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00631634"/>
        <w:docPartObj>
          <w:docPartGallery w:val="Cover Pages"/>
          <w:docPartUnique/>
        </w:docPartObj>
      </w:sdtPr>
      <w:sdtEndPr/>
      <w:sdtContent>
        <w:p w14:paraId="0627D066" w14:textId="77777777" w:rsidR="0075115C" w:rsidRDefault="0075115C"/>
        <w:p w14:paraId="407289E9" w14:textId="77777777" w:rsidR="0075115C" w:rsidRDefault="00623B17">
          <w:pPr>
            <w:spacing w:before="240" w:after="0" w:line="276" w:lineRule="auto"/>
            <w:contextualSpacing/>
            <w:rPr>
              <w:rFonts w:cs="Times New Roman"/>
              <w:color w:val="222A35" w:themeColor="text2" w:themeShade="80"/>
              <w:sz w:val="26"/>
              <w:szCs w:val="26"/>
            </w:rPr>
          </w:pPr>
          <w:r>
            <w:rPr>
              <w:rFonts w:cs="Times New Roman"/>
              <w:noProof/>
              <w:color w:val="222A35" w:themeColor="text2" w:themeShade="80"/>
              <w:sz w:val="26"/>
              <w:szCs w:val="26"/>
              <w:lang w:eastAsia="ru-RU"/>
            </w:rPr>
            <mc:AlternateContent>
              <mc:Choice Requires="wpg">
                <w:drawing>
                  <wp:anchor distT="0" distB="0" distL="114300" distR="114300" simplePos="0" relativeHeight="251658240" behindDoc="0" locked="0" layoutInCell="0" allowOverlap="1" wp14:anchorId="08C64215" wp14:editId="38E1CEFC">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804025" cy="2844165"/>
                    <wp:effectExtent l="0" t="0" r="0" b="0"/>
                    <wp:wrapNone/>
                    <wp:docPr id="1"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2844165"/>
                            </a:xfrm>
                            <a:prstGeom prst="rect">
                              <a:avLst/>
                            </a:prstGeom>
                            <a:solidFill>
                              <a:schemeClr val="accent1">
                                <a:lumMod val="75000"/>
                                <a:lumOff val="0"/>
                              </a:schemeClr>
                            </a:solidFill>
                            <a:ln>
                              <a:noFill/>
                              <a:miter/>
                            </a:ln>
                          </wps:spPr>
                          <wps:txbx>
                            <w:txbxContent>
                              <w:sdt>
                                <w:sdtPr>
                                  <w:rPr>
                                    <w:color w:val="FFFFFF" w:themeColor="background1"/>
                                    <w:sz w:val="56"/>
                                    <w:szCs w:val="56"/>
                                  </w:rPr>
                                  <w:alias w:val="Titlu"/>
                                  <w:id w:val="-1704864950"/>
                                </w:sdtPr>
                                <w:sdtEndPr/>
                                <w:sdtContent>
                                  <w:p w14:paraId="1D9B697D" w14:textId="77777777" w:rsidR="0075115C" w:rsidRDefault="00623B17">
                                    <w:pPr>
                                      <w:pStyle w:val="afb"/>
                                      <w:jc w:val="right"/>
                                      <w:rPr>
                                        <w:color w:val="FFFFFF" w:themeColor="background1"/>
                                        <w:sz w:val="56"/>
                                        <w:szCs w:val="56"/>
                                        <w:lang w:val="en-US"/>
                                      </w:rPr>
                                    </w:pPr>
                                    <w:r>
                                      <w:rPr>
                                        <w:color w:val="FFFFFF" w:themeColor="background1"/>
                                        <w:sz w:val="56"/>
                                        <w:szCs w:val="56"/>
                                        <w:lang w:val="en-US"/>
                                      </w:rPr>
                                      <w:t>PROGRAMUL NAȚIONAL PRIVIND INTEGRAREA ETAPIZATĂ A STRĂINILOR,</w:t>
                                    </w:r>
                                    <w:r>
                                      <w:rPr>
                                        <w:rFonts w:ascii="Arial" w:eastAsiaTheme="minorHAnsi" w:hAnsi="Arial" w:cs="Arial"/>
                                        <w:color w:val="000000"/>
                                        <w:sz w:val="24"/>
                                        <w:shd w:val="clear" w:color="auto" w:fill="FFFFFF"/>
                                        <w:lang w:val="en-US" w:eastAsia="en-US"/>
                                      </w:rPr>
                                      <w:t xml:space="preserve"> </w:t>
                                    </w:r>
                                    <w:r>
                                      <w:rPr>
                                        <w:color w:val="FFFFFF" w:themeColor="background1"/>
                                        <w:sz w:val="56"/>
                                        <w:szCs w:val="56"/>
                                        <w:lang w:val="en-US"/>
                                      </w:rPr>
                                      <w:t>INCLUSIV A PERSOANELOR STRĂMUTATE ÎN REPUBLICA MOLDOVA PENTRU PERIOADA 2025-2027</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0" o:spid="_x0000_s0" o:spt="1" type="#_x0000_t1" style="position:absolute;z-index:251658240;o:allowoverlap:true;o:allowincell:false;mso-position-horizontal-relative:page;mso-position-horizontal:left;mso-position-vertical-relative:page;width:535.75pt;height:223.95pt;mso-wrap-distance-left:9.00pt;mso-wrap-distance-top:0.00pt;mso-wrap-distance-right:9.00pt;mso-wrap-distance-bottom:0.00pt;v-text-anchor:middle;visibility:visible;" fillcolor="#2D77B3" stroked="f">
                    <v:textbox inset="0,0,0,0">
                      <w:txbxContent>
                        <w:sdt>
                          <w:sdtPr>
                            <w:alias w:val="Titlu"/>
                            <w15:appearance w15:val="boundingBox"/>
                            <w:id w:val="-1704864950"/>
                            <w:rPr>
                              <w:color w:val="ffffff" w:themeColor="background1"/>
                              <w:sz w:val="56"/>
                              <w:szCs w:val="56"/>
                            </w:rPr>
                          </w:sdtPr>
                          <w:sdtContent>
                            <w:p>
                              <w:pPr>
                                <w:pStyle w:val="1442"/>
                                <w:pBdr/>
                                <w:spacing/>
                                <w:ind/>
                                <w:jc w:val="right"/>
                                <w:rPr>
                                  <w:color w:val="ffffff" w:themeColor="background1"/>
                                  <w:sz w:val="56"/>
                                  <w:szCs w:val="56"/>
                                  <w:lang w:val="en-US"/>
                                </w:rPr>
                              </w:pPr>
                              <w:r>
                                <w:rPr>
                                  <w:color w:val="ffffff" w:themeColor="background1"/>
                                  <w:sz w:val="56"/>
                                  <w:szCs w:val="56"/>
                                  <w:lang w:val="en-US"/>
                                </w:rPr>
                                <w:t xml:space="preserve">PROGRAMUL NAȚIONAL PRIVIND INTEGRAREA ETAPIZATĂ A STRĂINILOR,</w:t>
                              </w:r>
                              <w:r>
                                <w:rPr>
                                  <w:rFonts w:ascii="Arial" w:hAnsi="Arial" w:cs="Arial" w:eastAsiaTheme="minorHAnsi"/>
                                  <w:color w:val="000000"/>
                                  <w:sz w:val="24"/>
                                  <w:shd w:val="clear" w:color="auto" w:fill="ffffff"/>
                                  <w:lang w:val="en-US" w:eastAsia="en-US"/>
                                </w:rPr>
                                <w:t xml:space="preserve"> </w:t>
                              </w:r>
                              <w:r>
                                <w:rPr>
                                  <w:color w:val="ffffff" w:themeColor="background1"/>
                                  <w:sz w:val="56"/>
                                  <w:szCs w:val="56"/>
                                  <w:lang w:val="en-US"/>
                                </w:rPr>
                                <w:t xml:space="preserve">INCLUSIV A PERSOANELOR STRĂMUTATE ÎN REPUBLICA MOLDOVA PENTRU PERIOADA 2025-2027</w:t>
                              </w:r>
                              <w:r>
                                <w:rPr>
                                  <w:color w:val="ffffff" w:themeColor="background1"/>
                                  <w:sz w:val="56"/>
                                  <w:szCs w:val="56"/>
                                  <w:lang w:val="en-US"/>
                                </w:rPr>
                              </w:r>
                              <w:r>
                                <w:rPr>
                                  <w:color w:val="ffffff" w:themeColor="background1"/>
                                  <w:sz w:val="56"/>
                                  <w:szCs w:val="56"/>
                                  <w:lang w:val="en-US"/>
                                </w:rPr>
                              </w:r>
                            </w:p>
                          </w:sdtContent>
                        </w:sdt>
                      </w:txbxContent>
                    </v:textbox>
                  </v:shape>
                </w:pict>
              </mc:Fallback>
            </mc:AlternateContent>
          </w:r>
          <w:r>
            <w:rPr>
              <w:rFonts w:cs="Times New Roman"/>
              <w:noProof/>
              <w:color w:val="222A35" w:themeColor="text2" w:themeShade="80"/>
              <w:sz w:val="26"/>
              <w:szCs w:val="26"/>
              <w:lang w:eastAsia="ru-RU"/>
            </w:rPr>
            <mc:AlternateContent>
              <mc:Choice Requires="wpg">
                <w:drawing>
                  <wp:anchor distT="0" distB="0" distL="114300" distR="114300" simplePos="0" relativeHeight="251670528" behindDoc="0" locked="0" layoutInCell="1" allowOverlap="1" wp14:anchorId="49CE6B98" wp14:editId="0F027C17">
                    <wp:simplePos x="0" y="0"/>
                    <wp:positionH relativeFrom="column">
                      <wp:posOffset>657225</wp:posOffset>
                    </wp:positionH>
                    <wp:positionV relativeFrom="paragraph">
                      <wp:posOffset>4415447</wp:posOffset>
                    </wp:positionV>
                    <wp:extent cx="5838190" cy="3203864"/>
                    <wp:effectExtent l="6350" t="6350" r="6350" b="6350"/>
                    <wp:wrapNone/>
                    <wp:docPr id="2" name="Imagine 1" descr="Crowd of people walking busy street in New York City Phot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d of people walking busy street in New York City Photos | Adobe Stock"/>
                            <pic:cNvPicPr>
                              <a:picLocks noChangeAspect="1"/>
                            </pic:cNvPicPr>
                          </pic:nvPicPr>
                          <pic:blipFill>
                            <a:blip r:embed="rId9"/>
                            <a:stretch/>
                          </pic:blipFill>
                          <pic:spPr bwMode="auto">
                            <a:xfrm>
                              <a:off x="0" y="0"/>
                              <a:ext cx="5838190" cy="3203863"/>
                            </a:xfrm>
                            <a:prstGeom prst="rect">
                              <a:avLst/>
                            </a:prstGeom>
                            <a:noFill/>
                            <a:ln>
                              <a:noFill/>
                            </a:ln>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70528;o:allowoverlap:true;o:allowincell:true;mso-position-horizontal-relative:text;margin-left:51.75pt;mso-position-horizontal:absolute;mso-position-vertical-relative:text;margin-top:347.67pt;mso-position-vertical:absolute;width:459.70pt;height:252.27pt;mso-wrap-distance-left:9.00pt;mso-wrap-distance-top:0.00pt;mso-wrap-distance-right:9.00pt;mso-wrap-distance-bottom:0.00pt;z-index:1;" stroked="f">
                    <v:imagedata r:id="rId12" o:title=""/>
                    <o:lock v:ext="edit" rotation="t"/>
                  </v:shape>
                </w:pict>
              </mc:Fallback>
            </mc:AlternateContent>
          </w:r>
          <w:r>
            <w:rPr>
              <w:rFonts w:cs="Times New Roman"/>
              <w:color w:val="222A35" w:themeColor="text2" w:themeShade="80"/>
              <w:sz w:val="26"/>
              <w:szCs w:val="26"/>
            </w:rPr>
            <w:br w:type="page" w:clear="all"/>
          </w:r>
        </w:p>
      </w:sdtContent>
    </w:sdt>
    <w:bookmarkStart w:id="1" w:name="_Toc193725330" w:displacedByCustomXml="next"/>
    <w:sdt>
      <w:sdtPr>
        <w:rPr>
          <w:rFonts w:eastAsiaTheme="minorHAnsi" w:cstheme="minorBidi"/>
          <w:b w:val="0"/>
          <w:color w:val="000000" w:themeColor="text1"/>
          <w:sz w:val="24"/>
          <w:szCs w:val="22"/>
        </w:rPr>
        <w:id w:val="-1606105920"/>
        <w:docPartObj>
          <w:docPartGallery w:val="Table of Contents"/>
          <w:docPartUnique/>
        </w:docPartObj>
      </w:sdtPr>
      <w:sdtEndPr/>
      <w:sdtContent>
        <w:p w14:paraId="0521739C" w14:textId="77777777" w:rsidR="0075115C" w:rsidRDefault="00623B17">
          <w:pPr>
            <w:pStyle w:val="1"/>
          </w:pPr>
          <w:r>
            <w:t>Cuprins</w:t>
          </w:r>
          <w:bookmarkEnd w:id="1"/>
        </w:p>
        <w:p w14:paraId="6F5CD17B" w14:textId="77777777" w:rsidR="0075115C" w:rsidRDefault="00623B17">
          <w:pPr>
            <w:pStyle w:val="12"/>
            <w:tabs>
              <w:tab w:val="right" w:leader="dot" w:pos="9627"/>
            </w:tabs>
            <w:rPr>
              <w:rFonts w:ascii="Times New Roman" w:hAnsi="Times New Roman"/>
              <w:sz w:val="28"/>
              <w:szCs w:val="28"/>
              <w:lang w:eastAsia="ru-RU"/>
              <w14:ligatures w14:val="standardContextual"/>
            </w:rPr>
          </w:pPr>
          <w:r>
            <w:rPr>
              <w:rFonts w:ascii="Times New Roman" w:hAnsi="Times New Roman"/>
              <w:color w:val="222A35" w:themeColor="text2" w:themeShade="80"/>
              <w:sz w:val="28"/>
              <w:szCs w:val="28"/>
            </w:rPr>
            <w:fldChar w:fldCharType="begin"/>
          </w:r>
          <w:r>
            <w:rPr>
              <w:rFonts w:ascii="Times New Roman" w:hAnsi="Times New Roman"/>
              <w:color w:val="222A35" w:themeColor="text2" w:themeShade="80"/>
              <w:sz w:val="28"/>
              <w:szCs w:val="28"/>
            </w:rPr>
            <w:instrText xml:space="preserve"> TOC \o "1-3" \h \z \u </w:instrText>
          </w:r>
          <w:r>
            <w:rPr>
              <w:rFonts w:ascii="Times New Roman" w:hAnsi="Times New Roman"/>
              <w:color w:val="222A35" w:themeColor="text2" w:themeShade="80"/>
              <w:sz w:val="28"/>
              <w:szCs w:val="28"/>
            </w:rPr>
            <w:fldChar w:fldCharType="separate"/>
          </w:r>
          <w:hyperlink w:anchor="_Toc193725330" w:tooltip="#_Toc193725330" w:history="1">
            <w:r>
              <w:rPr>
                <w:rStyle w:val="af1"/>
                <w:rFonts w:ascii="Times New Roman" w:hAnsi="Times New Roman"/>
                <w:sz w:val="28"/>
                <w:szCs w:val="28"/>
              </w:rPr>
              <w:t>Cuprins</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14:paraId="56DD4329"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31" w:tooltip="#_Toc193725331" w:history="1">
            <w:r>
              <w:rPr>
                <w:rStyle w:val="af1"/>
                <w:rFonts w:ascii="Times New Roman" w:hAnsi="Times New Roman"/>
                <w:sz w:val="28"/>
                <w:szCs w:val="28"/>
              </w:rPr>
              <w:t>Introducere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hyperlink>
        </w:p>
        <w:p w14:paraId="01664FE5"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32" w:tooltip="#_Toc193725332" w:history="1">
            <w:r>
              <w:rPr>
                <w:rStyle w:val="af1"/>
                <w:rFonts w:ascii="Times New Roman" w:hAnsi="Times New Roman"/>
                <w:sz w:val="28"/>
                <w:szCs w:val="28"/>
              </w:rPr>
              <w:t>Analiza situației</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hyperlink>
        </w:p>
        <w:p w14:paraId="4D13A90E"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3" w:tooltip="#_Toc193725333" w:history="1">
            <w:r>
              <w:rPr>
                <w:rStyle w:val="af1"/>
                <w:rFonts w:ascii="Times New Roman" w:hAnsi="Times New Roman"/>
                <w:sz w:val="28"/>
                <w:szCs w:val="28"/>
              </w:rPr>
              <w:t>Gestionarea fluxului migrațional.</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hyperlink>
        </w:p>
        <w:p w14:paraId="06496604"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4" w:tooltip="#_Toc193725334" w:history="1">
            <w:r>
              <w:rPr>
                <w:rStyle w:val="af1"/>
                <w:rFonts w:ascii="Times New Roman" w:hAnsi="Times New Roman"/>
                <w:sz w:val="28"/>
                <w:szCs w:val="28"/>
              </w:rPr>
              <w:t>Accesul străinilor la asistență socială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w:instrText>
            </w:r>
            <w:r>
              <w:rPr>
                <w:rFonts w:ascii="Times New Roman" w:hAnsi="Times New Roman"/>
                <w:sz w:val="28"/>
                <w:szCs w:val="28"/>
              </w:rPr>
              <w:instrText xml:space="preserve">EF _Toc193725334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hyperlink>
        </w:p>
        <w:p w14:paraId="48DB63EC"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5" w:tooltip="#_Toc193725335" w:history="1">
            <w:r>
              <w:rPr>
                <w:rStyle w:val="af1"/>
                <w:rFonts w:ascii="Times New Roman" w:hAnsi="Times New Roman"/>
                <w:sz w:val="28"/>
                <w:szCs w:val="28"/>
              </w:rPr>
              <w:t>Violența în bază de gen, inclusiv violență împotriva femeilor și violență în familie (VBG) și protecția copiilor</w:t>
            </w:r>
            <w:r>
              <w:rPr>
                <w:rStyle w:val="af1"/>
                <w:rFonts w:ascii="Times New Roman" w:hAnsi="Times New Roman"/>
                <w:sz w:val="28"/>
                <w:szCs w:val="28"/>
              </w:rPr>
              <w:t xml:space="preserve"> în raport străinii și persoanele refugiate din Ucraina</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hyperlink>
        </w:p>
        <w:p w14:paraId="23951E9E"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6" w:tooltip="#_Toc193725336" w:history="1">
            <w:r>
              <w:rPr>
                <w:rStyle w:val="af1"/>
                <w:rFonts w:ascii="Times New Roman" w:hAnsi="Times New Roman"/>
                <w:sz w:val="28"/>
                <w:szCs w:val="28"/>
              </w:rPr>
              <w:t>Integrarea economică a străinilor</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hyperlink>
        </w:p>
        <w:p w14:paraId="2AC44A9F"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7" w:tooltip="#_Toc193725337" w:history="1">
            <w:r>
              <w:rPr>
                <w:rStyle w:val="af1"/>
                <w:rFonts w:ascii="Times New Roman" w:hAnsi="Times New Roman"/>
                <w:sz w:val="28"/>
                <w:szCs w:val="28"/>
              </w:rPr>
              <w:t>Integrarea străinilor în câmpul muncii</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hyperlink>
        </w:p>
        <w:p w14:paraId="476F8A95"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8" w:tooltip="#_Toc193725338" w:history="1">
            <w:r>
              <w:rPr>
                <w:rStyle w:val="af1"/>
                <w:rFonts w:ascii="Times New Roman" w:hAnsi="Times New Roman"/>
                <w:sz w:val="28"/>
                <w:szCs w:val="28"/>
              </w:rPr>
              <w:t>Accesul străinilor la servicii medicale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hyperlink>
        </w:p>
        <w:p w14:paraId="1D244149"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39" w:tooltip="#_Toc193725339" w:history="1">
            <w:r>
              <w:rPr>
                <w:rStyle w:val="af1"/>
                <w:rFonts w:ascii="Times New Roman" w:hAnsi="Times New Roman"/>
                <w:sz w:val="28"/>
                <w:szCs w:val="28"/>
              </w:rPr>
              <w:t>Accesul străinilor la servicii educaționale și integrarea în sistemul de învățămân</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_Toc193725339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hyperlink>
        </w:p>
        <w:p w14:paraId="12E9481E"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40" w:tooltip="#_Toc193725340" w:history="1">
            <w:r>
              <w:rPr>
                <w:rStyle w:val="af1"/>
                <w:rFonts w:ascii="Times New Roman" w:hAnsi="Times New Roman"/>
                <w:sz w:val="28"/>
                <w:szCs w:val="28"/>
              </w:rPr>
              <w:t>Integrar</w:t>
            </w:r>
            <w:r>
              <w:rPr>
                <w:rStyle w:val="af1"/>
                <w:rFonts w:ascii="Times New Roman" w:hAnsi="Times New Roman"/>
                <w:sz w:val="28"/>
                <w:szCs w:val="28"/>
              </w:rPr>
              <w:t>ea socio-culturală a străinilor</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hyperlink>
        </w:p>
        <w:p w14:paraId="1A805C06"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41" w:tooltip="#_Toc193725341" w:history="1">
            <w:r>
              <w:rPr>
                <w:rStyle w:val="af1"/>
                <w:rFonts w:ascii="Times New Roman" w:hAnsi="Times New Roman"/>
                <w:sz w:val="28"/>
                <w:szCs w:val="28"/>
              </w:rPr>
              <w:t xml:space="preserve">Accesul străinilor la locuințe adecvate și sprijin în găsirea unui loc de </w:t>
            </w:r>
            <w:r>
              <w:rPr>
                <w:rStyle w:val="af1"/>
                <w:rFonts w:ascii="Times New Roman" w:hAnsi="Times New Roman"/>
                <w:sz w:val="28"/>
                <w:szCs w:val="28"/>
              </w:rPr>
              <w:t>locuit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hyperlink>
        </w:p>
        <w:p w14:paraId="495723B4" w14:textId="77777777" w:rsidR="0075115C" w:rsidRDefault="00623B17">
          <w:pPr>
            <w:pStyle w:val="24"/>
            <w:tabs>
              <w:tab w:val="right" w:leader="dot" w:pos="9627"/>
            </w:tabs>
            <w:rPr>
              <w:rFonts w:ascii="Times New Roman" w:hAnsi="Times New Roman"/>
              <w:sz w:val="28"/>
              <w:szCs w:val="28"/>
              <w:lang w:eastAsia="ru-RU"/>
              <w14:ligatures w14:val="standardContextual"/>
            </w:rPr>
          </w:pPr>
          <w:hyperlink w:anchor="_Toc193725342" w:tooltip="#_Toc193725342" w:history="1">
            <w:r>
              <w:rPr>
                <w:rStyle w:val="af1"/>
                <w:rFonts w:ascii="Times New Roman" w:hAnsi="Times New Roman"/>
                <w:sz w:val="28"/>
                <w:szCs w:val="28"/>
              </w:rPr>
              <w:t>Promovarea incluziunii străinilor în comunitățile locale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hyperlink>
        </w:p>
        <w:p w14:paraId="2F017BD8"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3" w:tooltip="#_Toc193725343" w:history="1">
            <w:r>
              <w:rPr>
                <w:rStyle w:val="af1"/>
                <w:rFonts w:ascii="Times New Roman" w:hAnsi="Times New Roman"/>
                <w:sz w:val="28"/>
                <w:szCs w:val="28"/>
              </w:rPr>
              <w:t>Obiectivele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hyperlink>
        </w:p>
        <w:p w14:paraId="66F8E3EF"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4" w:tooltip="#_Toc193725344" w:history="1">
            <w:r>
              <w:rPr>
                <w:rStyle w:val="af1"/>
                <w:rFonts w:ascii="Times New Roman" w:hAnsi="Times New Roman"/>
                <w:sz w:val="28"/>
                <w:szCs w:val="28"/>
              </w:rPr>
              <w:t>Impact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hyperlink>
        </w:p>
        <w:p w14:paraId="754D3930"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5" w:tooltip="#_Toc193725345" w:history="1">
            <w:r>
              <w:rPr>
                <w:rStyle w:val="af1"/>
                <w:rFonts w:ascii="Times New Roman" w:hAnsi="Times New Roman"/>
                <w:sz w:val="28"/>
                <w:szCs w:val="28"/>
                <w:highlight w:val="white"/>
              </w:rPr>
              <w:t>Costuri</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hyperlink>
        </w:p>
        <w:p w14:paraId="2E97DFD3"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6" w:tooltip="#_Toc193725346" w:history="1">
            <w:r>
              <w:rPr>
                <w:rStyle w:val="af1"/>
                <w:rFonts w:ascii="Times New Roman" w:hAnsi="Times New Roman"/>
                <w:sz w:val="28"/>
                <w:szCs w:val="28"/>
              </w:rPr>
              <w:t>Riscuri de implementare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44</w:t>
            </w:r>
            <w:r>
              <w:rPr>
                <w:rFonts w:ascii="Times New Roman" w:hAnsi="Times New Roman"/>
                <w:sz w:val="28"/>
                <w:szCs w:val="28"/>
              </w:rPr>
              <w:fldChar w:fldCharType="end"/>
            </w:r>
          </w:hyperlink>
        </w:p>
        <w:p w14:paraId="13725F06"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7" w:tooltip="#_Toc193725347" w:history="1">
            <w:r>
              <w:rPr>
                <w:rStyle w:val="af1"/>
                <w:rFonts w:ascii="Times New Roman" w:hAnsi="Times New Roman"/>
                <w:sz w:val="28"/>
                <w:szCs w:val="28"/>
              </w:rPr>
              <w:t>Autorități/instituții responsabile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hyperlink>
        </w:p>
        <w:p w14:paraId="25B41397" w14:textId="77777777" w:rsidR="0075115C" w:rsidRDefault="00623B17">
          <w:pPr>
            <w:pStyle w:val="12"/>
            <w:tabs>
              <w:tab w:val="right" w:leader="dot" w:pos="9627"/>
            </w:tabs>
            <w:rPr>
              <w:rFonts w:ascii="Times New Roman" w:hAnsi="Times New Roman"/>
              <w:sz w:val="28"/>
              <w:szCs w:val="28"/>
              <w:lang w:eastAsia="ru-RU"/>
              <w14:ligatures w14:val="standardContextual"/>
            </w:rPr>
          </w:pPr>
          <w:hyperlink w:anchor="_Toc193725348" w:tooltip="#_Toc193725348" w:history="1">
            <w:r>
              <w:rPr>
                <w:rStyle w:val="af1"/>
                <w:rFonts w:ascii="Times New Roman" w:hAnsi="Times New Roman"/>
                <w:sz w:val="28"/>
                <w:szCs w:val="28"/>
              </w:rPr>
              <w:t>Proceduri de monitorizare și raportare</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_Toc193725348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hyperlink>
        </w:p>
        <w:p w14:paraId="08605A5B" w14:textId="77777777" w:rsidR="0075115C" w:rsidRDefault="00623B17">
          <w:pPr>
            <w:pStyle w:val="12"/>
            <w:tabs>
              <w:tab w:val="right" w:leader="dot" w:pos="9627"/>
            </w:tabs>
            <w:rPr>
              <w:rFonts w:cstheme="minorBidi"/>
              <w:sz w:val="28"/>
              <w:szCs w:val="28"/>
              <w:lang w:eastAsia="ru-RU"/>
              <w14:ligatures w14:val="standardContextual"/>
            </w:rPr>
          </w:pPr>
          <w:hyperlink w:anchor="_Toc193725349" w:tooltip="#_Toc193725349" w:history="1">
            <w:r>
              <w:rPr>
                <w:rStyle w:val="af1"/>
                <w:rFonts w:ascii="Times New Roman" w:hAnsi="Times New Roman"/>
                <w:sz w:val="28"/>
                <w:szCs w:val="28"/>
              </w:rPr>
              <w:t>Planul de acțiuni</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w:instrText>
            </w:r>
            <w:r>
              <w:rPr>
                <w:rFonts w:ascii="Times New Roman" w:hAnsi="Times New Roman"/>
                <w:sz w:val="28"/>
                <w:szCs w:val="28"/>
              </w:rPr>
              <w:instrText xml:space="preserve">EREF _Toc193725349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hyperlink>
        </w:p>
        <w:p w14:paraId="73770802" w14:textId="77777777" w:rsidR="0075115C" w:rsidRDefault="00623B17">
          <w:pPr>
            <w:spacing w:before="240" w:after="0" w:line="276" w:lineRule="auto"/>
            <w:contextualSpacing/>
            <w:rPr>
              <w:rFonts w:cs="Times New Roman"/>
              <w:color w:val="222A35" w:themeColor="text2" w:themeShade="80"/>
              <w:sz w:val="28"/>
              <w:szCs w:val="28"/>
            </w:rPr>
          </w:pPr>
          <w:r>
            <w:rPr>
              <w:rFonts w:cs="Times New Roman"/>
              <w:b/>
              <w:bCs/>
              <w:color w:val="222A35" w:themeColor="text2" w:themeShade="80"/>
              <w:sz w:val="28"/>
              <w:szCs w:val="28"/>
            </w:rPr>
            <w:fldChar w:fldCharType="end"/>
          </w:r>
        </w:p>
      </w:sdtContent>
    </w:sdt>
    <w:p w14:paraId="387B2259" w14:textId="77777777" w:rsidR="0075115C" w:rsidRDefault="00623B17">
      <w:pPr>
        <w:spacing w:before="240" w:after="0" w:line="276" w:lineRule="auto"/>
        <w:contextualSpacing/>
        <w:rPr>
          <w:rFonts w:cs="Times New Roman"/>
          <w:color w:val="222A35" w:themeColor="text2" w:themeShade="80"/>
          <w:sz w:val="28"/>
          <w:szCs w:val="28"/>
        </w:rPr>
      </w:pPr>
      <w:r>
        <w:rPr>
          <w:rFonts w:cs="Times New Roman"/>
          <w:color w:val="222A35" w:themeColor="text2" w:themeShade="80"/>
          <w:sz w:val="28"/>
          <w:szCs w:val="28"/>
        </w:rPr>
        <w:br w:type="page" w:clear="all"/>
      </w:r>
    </w:p>
    <w:p w14:paraId="66E18047" w14:textId="77777777" w:rsidR="0075115C" w:rsidRPr="00C52E93" w:rsidRDefault="00623B17">
      <w:pPr>
        <w:pStyle w:val="1"/>
        <w:rPr>
          <w:lang w:val="en-US"/>
        </w:rPr>
      </w:pPr>
      <w:bookmarkStart w:id="2" w:name="_Toc193725331"/>
      <w:r w:rsidRPr="00C52E93">
        <w:rPr>
          <w:lang w:val="en-US"/>
        </w:rPr>
        <w:lastRenderedPageBreak/>
        <w:t>Introducere</w:t>
      </w:r>
      <w:bookmarkEnd w:id="2"/>
    </w:p>
    <w:p w14:paraId="74031CB9"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Integrarea străinilor în societatea moldovenească reprezintă o provocare tot mai mare în contextul globalizării și al schimbărilor geopolitice </w:t>
      </w:r>
      <w:r w:rsidRPr="00C52E93">
        <w:rPr>
          <w:rFonts w:eastAsia="Times New Roman" w:cs="Times New Roman"/>
          <w:color w:val="222A35" w:themeColor="text2" w:themeShade="80"/>
          <w:sz w:val="28"/>
          <w:szCs w:val="28"/>
          <w:lang w:val="en-US" w:eastAsia="zh-CN"/>
        </w:rPr>
        <w:t>din regiune. Republica Moldova, fiind atât o țară de tranzit, cât și de destinație pentru migranți și refugiați, a înregistrat în ultimii ani un flux semnificativ de străini, inclusiv persoane strămutate din Ucraina afectate de conflictul armat. De asemene</w:t>
      </w:r>
      <w:r w:rsidRPr="00C52E93">
        <w:rPr>
          <w:rFonts w:eastAsia="Times New Roman" w:cs="Times New Roman"/>
          <w:color w:val="222A35" w:themeColor="text2" w:themeShade="80"/>
          <w:sz w:val="28"/>
          <w:szCs w:val="28"/>
          <w:lang w:val="en-US" w:eastAsia="zh-CN"/>
        </w:rPr>
        <w:t>a, un număr tot mai mare de migranți economici și familii din afara Uniunii Europene caută oportunități economice și sociale în Moldova. Aceste dinamici au dus la o creștere a necesității de integrare socială, economică și culturală a acestor grupuri. Migr</w:t>
      </w:r>
      <w:r w:rsidRPr="00C52E93">
        <w:rPr>
          <w:rFonts w:eastAsia="Times New Roman" w:cs="Times New Roman"/>
          <w:color w:val="222A35" w:themeColor="text2" w:themeShade="80"/>
          <w:sz w:val="28"/>
          <w:szCs w:val="28"/>
          <w:lang w:val="en-US" w:eastAsia="zh-CN"/>
        </w:rPr>
        <w:t>ația este un fenomen care trebuie abordat într-o manieră coerentă și echilibrată, dintr-o perspectivă de ansamblu care ține seama de dimensiunea sa umană, inclusiv de aspectul său pozitiv asupra evoluției demografice și a dezvoltării economice.</w:t>
      </w:r>
    </w:p>
    <w:p w14:paraId="3671EBDB"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Programul N</w:t>
      </w:r>
      <w:r w:rsidRPr="00C52E93">
        <w:rPr>
          <w:rFonts w:eastAsia="Times New Roman" w:cs="Times New Roman"/>
          <w:color w:val="222A35" w:themeColor="text2" w:themeShade="80"/>
          <w:sz w:val="28"/>
          <w:szCs w:val="28"/>
          <w:lang w:val="en-US" w:eastAsia="zh-CN"/>
        </w:rPr>
        <w:t>ațional privind Integrarea Etapizată a Străinilor în Republica Moldova pentru perioada 2025-2027 (în continuare Programul) este conceput pentru a răspunde direct acestei provocări prin stabilirea măsurilor coerente și coordonate. Programul are rolul de a f</w:t>
      </w:r>
      <w:r w:rsidRPr="00C52E93">
        <w:rPr>
          <w:rFonts w:eastAsia="Times New Roman" w:cs="Times New Roman"/>
          <w:color w:val="222A35" w:themeColor="text2" w:themeShade="80"/>
          <w:sz w:val="28"/>
          <w:szCs w:val="28"/>
          <w:lang w:val="en-US" w:eastAsia="zh-CN"/>
        </w:rPr>
        <w:t>acilita integrarea treptată a străinilor, prin dezvoltarea măsurilor necesare pentru asigurarea accesului la educație, sănătate, locuințe, asistență socială și pe piața muncii. În absența unor măsuri concrete, coerente și sinergice, dezechilibrele economic</w:t>
      </w:r>
      <w:r w:rsidRPr="00C52E93">
        <w:rPr>
          <w:rFonts w:eastAsia="Times New Roman" w:cs="Times New Roman"/>
          <w:color w:val="222A35" w:themeColor="text2" w:themeShade="80"/>
          <w:sz w:val="28"/>
          <w:szCs w:val="28"/>
          <w:lang w:val="en-US" w:eastAsia="zh-CN"/>
        </w:rPr>
        <w:t>e și sociale generate de o integrare insuficientă ar putea duce la marginalizarea străinilor și la scăderea coeziunii sociale, afectând stabilitatea economică și socială a Republicii Moldova.</w:t>
      </w:r>
    </w:p>
    <w:p w14:paraId="4B71F3C5"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Programul totodată are ca scop stabilirea unui cadru de integrar</w:t>
      </w:r>
      <w:r w:rsidRPr="00C52E93">
        <w:rPr>
          <w:rFonts w:eastAsia="Times New Roman" w:cs="Times New Roman"/>
          <w:color w:val="222A35" w:themeColor="text2" w:themeShade="80"/>
          <w:sz w:val="28"/>
          <w:szCs w:val="28"/>
          <w:lang w:val="en-US" w:eastAsia="zh-CN"/>
        </w:rPr>
        <w:t xml:space="preserve">e multisectorială pentru instituțiile naționale și pentru partenerii internaționali, pentru a asigura respectarea drepturilor și furnizarea serviciilor socio-economice necesare persoanelor strămutate și imigranților, astfel încât, prin integrare, să poată </w:t>
      </w:r>
      <w:r w:rsidRPr="00C52E93">
        <w:rPr>
          <w:rFonts w:eastAsia="Times New Roman" w:cs="Times New Roman"/>
          <w:color w:val="222A35" w:themeColor="text2" w:themeShade="80"/>
          <w:sz w:val="28"/>
          <w:szCs w:val="28"/>
          <w:lang w:val="en-US" w:eastAsia="zh-CN"/>
        </w:rPr>
        <w:t>contribui la dezvoltarea durabilă a comunității.</w:t>
      </w:r>
    </w:p>
    <w:p w14:paraId="6DA1A3C8"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Programul este aliniat cu </w:t>
      </w:r>
      <w:r w:rsidRPr="00C52E93">
        <w:rPr>
          <w:rFonts w:eastAsia="Times New Roman" w:cs="Times New Roman"/>
          <w:i/>
          <w:iCs/>
          <w:color w:val="222A35" w:themeColor="text2" w:themeShade="80"/>
          <w:sz w:val="28"/>
          <w:szCs w:val="28"/>
          <w:lang w:val="en-US" w:eastAsia="zh-CN"/>
        </w:rPr>
        <w:t>Strategia Națională de Dezvoltare „Moldova Europeană 2030”</w:t>
      </w:r>
      <w:r w:rsidRPr="00C52E93">
        <w:rPr>
          <w:rFonts w:eastAsia="Times New Roman" w:cs="Times New Roman"/>
          <w:color w:val="222A35" w:themeColor="text2" w:themeShade="80"/>
          <w:sz w:val="28"/>
          <w:szCs w:val="28"/>
          <w:lang w:val="en-US" w:eastAsia="zh-CN"/>
        </w:rPr>
        <w:t>, aprobată prin Legea nr. 315/2020</w:t>
      </w:r>
      <w:r>
        <w:rPr>
          <w:rStyle w:val="af7"/>
          <w:rFonts w:eastAsia="Times New Roman" w:cs="Times New Roman"/>
          <w:color w:val="222A35" w:themeColor="text2" w:themeShade="80"/>
          <w:sz w:val="28"/>
          <w:szCs w:val="28"/>
          <w:lang w:eastAsia="zh-CN"/>
        </w:rPr>
        <w:footnoteReference w:id="1"/>
      </w:r>
      <w:r w:rsidRPr="00C52E93">
        <w:rPr>
          <w:rFonts w:eastAsia="Times New Roman" w:cs="Times New Roman"/>
          <w:color w:val="222A35" w:themeColor="text2" w:themeShade="80"/>
          <w:sz w:val="28"/>
          <w:szCs w:val="28"/>
          <w:lang w:val="en-US" w:eastAsia="zh-CN"/>
        </w:rPr>
        <w:t>, care recunoaște migrația ca un factor complementar al dezvoltării durabile a statutului, vizând promovarea incluziunii sociale, reducerea inegalităților și asigurarea accesului la resurse și servicii pentru toți, prin aplicarea principiului LNOB „A nu lă</w:t>
      </w:r>
      <w:r w:rsidRPr="00C52E93">
        <w:rPr>
          <w:rFonts w:eastAsia="Times New Roman" w:cs="Times New Roman"/>
          <w:color w:val="222A35" w:themeColor="text2" w:themeShade="80"/>
          <w:sz w:val="28"/>
          <w:szCs w:val="28"/>
          <w:lang w:val="en-US" w:eastAsia="zh-CN"/>
        </w:rPr>
        <w:t xml:space="preserve">sa pe nimeni în urmă”. De asemenea, programul este planificat în </w:t>
      </w:r>
      <w:r w:rsidRPr="00C52E93">
        <w:rPr>
          <w:rFonts w:eastAsia="Times New Roman" w:cs="Times New Roman"/>
          <w:i/>
          <w:iCs/>
          <w:color w:val="222A35" w:themeColor="text2" w:themeShade="80"/>
          <w:sz w:val="28"/>
          <w:szCs w:val="28"/>
          <w:lang w:val="en-US" w:eastAsia="zh-CN"/>
        </w:rPr>
        <w:t>Planul Național de Dezvoltare 2025-2027</w:t>
      </w:r>
      <w:r w:rsidRPr="00C52E93">
        <w:rPr>
          <w:rFonts w:eastAsia="Times New Roman" w:cs="Times New Roman"/>
          <w:color w:val="222A35" w:themeColor="text2" w:themeShade="80"/>
          <w:sz w:val="28"/>
          <w:szCs w:val="28"/>
          <w:lang w:val="en-US" w:eastAsia="zh-CN"/>
        </w:rPr>
        <w:t>, aprobat prin Hotărârea Guvernului nr. 361/2024</w:t>
      </w:r>
      <w:r>
        <w:rPr>
          <w:rStyle w:val="af7"/>
          <w:rFonts w:eastAsia="Times New Roman" w:cs="Times New Roman"/>
          <w:color w:val="222A35" w:themeColor="text2" w:themeShade="80"/>
          <w:sz w:val="28"/>
          <w:szCs w:val="28"/>
          <w:lang w:eastAsia="zh-CN"/>
        </w:rPr>
        <w:footnoteReference w:id="2"/>
      </w:r>
      <w:r w:rsidRPr="00C52E93">
        <w:rPr>
          <w:rFonts w:eastAsia="Times New Roman" w:cs="Times New Roman"/>
          <w:color w:val="222A35" w:themeColor="text2" w:themeShade="80"/>
          <w:sz w:val="28"/>
          <w:szCs w:val="28"/>
          <w:lang w:val="en-US" w:eastAsia="zh-CN"/>
        </w:rPr>
        <w:t xml:space="preserve">. </w:t>
      </w:r>
    </w:p>
    <w:p w14:paraId="6D1519FA" w14:textId="77777777" w:rsidR="0075115C" w:rsidRPr="00C52E93" w:rsidRDefault="00623B17">
      <w:pPr>
        <w:spacing w:after="0" w:line="240" w:lineRule="auto"/>
        <w:ind w:firstLine="720"/>
        <w:contextualSpacing/>
        <w:jc w:val="both"/>
        <w:rPr>
          <w:rFonts w:cs="Times New Roman"/>
          <w:color w:val="222A35" w:themeColor="text2" w:themeShade="80"/>
          <w:sz w:val="28"/>
          <w:szCs w:val="28"/>
          <w:lang w:val="en-US"/>
        </w:rPr>
      </w:pPr>
      <w:r w:rsidRPr="00C52E93">
        <w:rPr>
          <w:rFonts w:eastAsia="Times New Roman" w:cs="Times New Roman"/>
          <w:color w:val="222A35" w:themeColor="text2" w:themeShade="80"/>
          <w:sz w:val="28"/>
          <w:szCs w:val="28"/>
          <w:lang w:val="en-US" w:eastAsia="zh-CN"/>
        </w:rPr>
        <w:t xml:space="preserve">Programul este elaborat sub umbrela Strategiei de dezvoltare a domeniului afacerilor interne pentru </w:t>
      </w:r>
      <w:r w:rsidRPr="00C52E93">
        <w:rPr>
          <w:rFonts w:eastAsia="Times New Roman" w:cs="Times New Roman"/>
          <w:color w:val="222A35" w:themeColor="text2" w:themeShade="80"/>
          <w:sz w:val="28"/>
          <w:szCs w:val="28"/>
          <w:lang w:val="en-US" w:eastAsia="zh-CN"/>
        </w:rPr>
        <w:t>anii 2022-2030, aprobată prin Hotărârea Guvernului nr. 658/2022</w:t>
      </w:r>
      <w:r>
        <w:rPr>
          <w:rStyle w:val="af7"/>
          <w:rFonts w:eastAsia="Times New Roman" w:cs="Times New Roman"/>
          <w:color w:val="222A35" w:themeColor="text2" w:themeShade="80"/>
          <w:sz w:val="28"/>
          <w:szCs w:val="28"/>
          <w:lang w:eastAsia="zh-CN"/>
        </w:rPr>
        <w:footnoteReference w:id="3"/>
      </w:r>
      <w:r w:rsidRPr="00C52E93">
        <w:rPr>
          <w:rFonts w:eastAsia="Times New Roman" w:cs="Times New Roman"/>
          <w:color w:val="222A35" w:themeColor="text2" w:themeShade="80"/>
          <w:sz w:val="28"/>
          <w:szCs w:val="28"/>
          <w:lang w:val="en-US" w:eastAsia="zh-CN"/>
        </w:rPr>
        <w:t>. Programul și Strategia converg spre gestionarea migrației și integrarea eficientă a străinilor, cu accent pe siguranța publică, respectarea drepturilor fundamentale și accesul la servicii. P</w:t>
      </w:r>
      <w:r w:rsidRPr="00C52E93">
        <w:rPr>
          <w:rFonts w:eastAsia="Times New Roman" w:cs="Times New Roman"/>
          <w:color w:val="222A35" w:themeColor="text2" w:themeShade="80"/>
          <w:sz w:val="28"/>
          <w:szCs w:val="28"/>
          <w:lang w:val="en-US" w:eastAsia="zh-CN"/>
        </w:rPr>
        <w:t xml:space="preserve">rogramul operaționalizează și asigură realizarea </w:t>
      </w:r>
      <w:r w:rsidRPr="00C52E93">
        <w:rPr>
          <w:rFonts w:eastAsia="Times New Roman" w:cs="Times New Roman"/>
          <w:color w:val="222A35" w:themeColor="text2" w:themeShade="80"/>
          <w:sz w:val="28"/>
          <w:szCs w:val="28"/>
          <w:lang w:val="en-US" w:eastAsia="zh-CN"/>
        </w:rPr>
        <w:lastRenderedPageBreak/>
        <w:t xml:space="preserve">obiectivului general nr. </w:t>
      </w:r>
      <w:r w:rsidRPr="00C52E93">
        <w:rPr>
          <w:rFonts w:eastAsia="Times New Roman" w:cs="Times New Roman"/>
          <w:i/>
          <w:iCs/>
          <w:color w:val="222A35" w:themeColor="text2" w:themeShade="80"/>
          <w:sz w:val="28"/>
          <w:szCs w:val="28"/>
          <w:lang w:val="en-US" w:eastAsia="zh-CN"/>
        </w:rPr>
        <w:t xml:space="preserve">4.3. Implementarea și consolidarea mecanismului de integrare a străinilor </w:t>
      </w:r>
      <w:r w:rsidRPr="00C52E93">
        <w:rPr>
          <w:rFonts w:eastAsia="Times New Roman" w:cs="Times New Roman"/>
          <w:color w:val="222A35" w:themeColor="text2" w:themeShade="80"/>
          <w:sz w:val="28"/>
          <w:szCs w:val="28"/>
          <w:lang w:val="en-US" w:eastAsia="zh-CN"/>
        </w:rPr>
        <w:t xml:space="preserve">și se aliniază cu obiectivele generale nr. </w:t>
      </w:r>
      <w:r w:rsidRPr="00C52E93">
        <w:rPr>
          <w:rFonts w:eastAsia="Times New Roman" w:cs="Times New Roman"/>
          <w:i/>
          <w:iCs/>
          <w:color w:val="222A35" w:themeColor="text2" w:themeShade="80"/>
          <w:sz w:val="28"/>
          <w:szCs w:val="28"/>
          <w:lang w:val="en-US" w:eastAsia="zh-CN"/>
        </w:rPr>
        <w:t>4.1. Reglementarea fluxului migrațional în beneficiul țării și al</w:t>
      </w:r>
      <w:r w:rsidRPr="00C52E93">
        <w:rPr>
          <w:rFonts w:eastAsia="Times New Roman" w:cs="Times New Roman"/>
          <w:i/>
          <w:iCs/>
          <w:color w:val="222A35" w:themeColor="text2" w:themeShade="80"/>
          <w:sz w:val="28"/>
          <w:szCs w:val="28"/>
          <w:lang w:val="en-US" w:eastAsia="zh-CN"/>
        </w:rPr>
        <w:t xml:space="preserve"> migrantului și 5.3. Modernizarea sistemului național de pregătire pentru situații de urgență și excepționale</w:t>
      </w:r>
      <w:r w:rsidRPr="00C52E93">
        <w:rPr>
          <w:rFonts w:eastAsia="Times New Roman" w:cs="Times New Roman"/>
          <w:color w:val="222A35" w:themeColor="text2" w:themeShade="80"/>
          <w:sz w:val="28"/>
          <w:szCs w:val="28"/>
          <w:lang w:val="en-US" w:eastAsia="zh-CN"/>
        </w:rPr>
        <w:t xml:space="preserve">. </w:t>
      </w:r>
    </w:p>
    <w:p w14:paraId="5D92826E"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Programul consideră și respectă prevederile cadrului normativ național, inclusiv </w:t>
      </w:r>
      <w:r w:rsidRPr="00C52E93">
        <w:rPr>
          <w:rFonts w:eastAsia="Times New Roman" w:cs="Times New Roman"/>
          <w:i/>
          <w:iCs/>
          <w:color w:val="222A35" w:themeColor="text2" w:themeShade="80"/>
          <w:sz w:val="28"/>
          <w:szCs w:val="28"/>
          <w:lang w:val="en-US" w:eastAsia="zh-CN"/>
        </w:rPr>
        <w:t>Legea nr. 274/2011 privind integrarea străinilor în Republica M</w:t>
      </w:r>
      <w:r w:rsidRPr="00C52E93">
        <w:rPr>
          <w:rFonts w:eastAsia="Times New Roman" w:cs="Times New Roman"/>
          <w:i/>
          <w:iCs/>
          <w:color w:val="222A35" w:themeColor="text2" w:themeShade="80"/>
          <w:sz w:val="28"/>
          <w:szCs w:val="28"/>
          <w:lang w:val="en-US" w:eastAsia="zh-CN"/>
        </w:rPr>
        <w:t xml:space="preserve">oldova </w:t>
      </w:r>
      <w:r w:rsidRPr="00C52E93">
        <w:rPr>
          <w:rFonts w:eastAsia="Times New Roman" w:cs="Times New Roman"/>
          <w:color w:val="222A35" w:themeColor="text2" w:themeShade="80"/>
          <w:sz w:val="28"/>
          <w:szCs w:val="28"/>
          <w:lang w:val="en-US" w:eastAsia="zh-CN"/>
        </w:rPr>
        <w:t>și</w:t>
      </w:r>
      <w:r w:rsidRPr="00C52E93">
        <w:rPr>
          <w:rFonts w:eastAsia="Times New Roman" w:cs="Times New Roman"/>
          <w:i/>
          <w:iCs/>
          <w:color w:val="222A35" w:themeColor="text2" w:themeShade="80"/>
          <w:sz w:val="28"/>
          <w:szCs w:val="28"/>
          <w:lang w:val="en-US" w:eastAsia="zh-CN"/>
        </w:rPr>
        <w:t xml:space="preserve"> Hotărârea Guvernului nr. 21/2023</w:t>
      </w:r>
      <w:r w:rsidRPr="00C52E93">
        <w:rPr>
          <w:rFonts w:eastAsia="Times New Roman" w:cs="Times New Roman"/>
          <w:b/>
          <w:bCs/>
          <w:i/>
          <w:iCs/>
          <w:color w:val="222A35" w:themeColor="text2" w:themeShade="80"/>
          <w:sz w:val="28"/>
          <w:szCs w:val="28"/>
          <w:lang w:val="en-US" w:eastAsia="zh-CN"/>
        </w:rPr>
        <w:t xml:space="preserve"> </w:t>
      </w:r>
      <w:r w:rsidRPr="00C52E93">
        <w:rPr>
          <w:rFonts w:eastAsia="Times New Roman" w:cs="Times New Roman"/>
          <w:i/>
          <w:iCs/>
          <w:color w:val="222A35" w:themeColor="text2" w:themeShade="80"/>
          <w:sz w:val="28"/>
          <w:szCs w:val="28"/>
          <w:lang w:val="en-US" w:eastAsia="zh-CN"/>
        </w:rPr>
        <w:t>privind acordarea protecției temporare persoanelor strămutate din Ucraina</w:t>
      </w:r>
      <w:r w:rsidRPr="00C52E93">
        <w:rPr>
          <w:rFonts w:eastAsia="Times New Roman" w:cs="Times New Roman"/>
          <w:color w:val="222A35" w:themeColor="text2" w:themeShade="80"/>
          <w:sz w:val="28"/>
          <w:szCs w:val="28"/>
          <w:lang w:val="en-US" w:eastAsia="zh-CN"/>
        </w:rPr>
        <w:t>, care reglementează statutul străinilor și beneficiarilor de protecție temporară și drepturile acestora în ceea ce privește accesul la serv</w:t>
      </w:r>
      <w:r w:rsidRPr="00C52E93">
        <w:rPr>
          <w:rFonts w:eastAsia="Times New Roman" w:cs="Times New Roman"/>
          <w:color w:val="222A35" w:themeColor="text2" w:themeShade="80"/>
          <w:sz w:val="28"/>
          <w:szCs w:val="28"/>
          <w:lang w:val="en-US" w:eastAsia="zh-CN"/>
        </w:rPr>
        <w:t>icii publice, sănătate, educație și piața muncii. La fel, Programul este sinergic cu alte documente de politici publice din domenii conexe.</w:t>
      </w:r>
    </w:p>
    <w:p w14:paraId="58A2A47B"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Grupurile țintă ale politicilor reflectate în prezentul Program sunt stabilite în conformitate cu prevederile Legii </w:t>
      </w:r>
      <w:r w:rsidRPr="00C52E93">
        <w:rPr>
          <w:rFonts w:eastAsia="Times New Roman" w:cs="Times New Roman"/>
          <w:color w:val="222A35" w:themeColor="text2" w:themeShade="80"/>
          <w:sz w:val="28"/>
          <w:szCs w:val="28"/>
          <w:lang w:val="en-US" w:eastAsia="zh-CN"/>
        </w:rPr>
        <w:t xml:space="preserve">nr. 274/2011 </w:t>
      </w:r>
      <w:r w:rsidRPr="00C52E93">
        <w:rPr>
          <w:rFonts w:eastAsia="Times New Roman" w:cs="Times New Roman"/>
          <w:color w:val="222A35"/>
          <w:sz w:val="28"/>
          <w:szCs w:val="28"/>
          <w:lang w:val="en-US" w:eastAsia="zh-CN"/>
        </w:rPr>
        <w:t xml:space="preserve">privind integrarea străinilor în Republica Moldova </w:t>
      </w:r>
      <w:r w:rsidRPr="00C52E93">
        <w:rPr>
          <w:rFonts w:eastAsia="Times New Roman" w:cs="Times New Roman"/>
          <w:color w:val="222A35" w:themeColor="text2" w:themeShade="80"/>
          <w:sz w:val="28"/>
          <w:szCs w:val="28"/>
          <w:lang w:val="en-US" w:eastAsia="zh-CN"/>
        </w:rPr>
        <w:t xml:space="preserve">și </w:t>
      </w:r>
      <w:bookmarkStart w:id="3" w:name="_Hlk183757127"/>
      <w:r w:rsidRPr="00C52E93">
        <w:rPr>
          <w:rFonts w:eastAsia="Times New Roman" w:cs="Times New Roman"/>
          <w:color w:val="222A35" w:themeColor="text2" w:themeShade="80"/>
          <w:sz w:val="28"/>
          <w:szCs w:val="28"/>
          <w:lang w:val="en-US" w:eastAsia="zh-CN"/>
        </w:rPr>
        <w:t>Hotărârii Guvernului nr. 21/2023</w:t>
      </w:r>
      <w:r w:rsidRPr="00C52E93">
        <w:rPr>
          <w:rFonts w:eastAsia="Times New Roman" w:cs="Times New Roman"/>
          <w:b/>
          <w:bCs/>
          <w:i/>
          <w:iCs/>
          <w:color w:val="333333"/>
          <w:sz w:val="28"/>
          <w:szCs w:val="28"/>
          <w:lang w:val="en-US" w:eastAsia="ru-RU"/>
        </w:rPr>
        <w:t xml:space="preserve"> </w:t>
      </w:r>
      <w:r w:rsidRPr="00C52E93">
        <w:rPr>
          <w:rFonts w:eastAsia="Times New Roman" w:cs="Times New Roman"/>
          <w:color w:val="222A35" w:themeColor="text2" w:themeShade="80"/>
          <w:sz w:val="28"/>
          <w:szCs w:val="28"/>
          <w:lang w:val="en-US" w:eastAsia="zh-CN"/>
        </w:rPr>
        <w:t>privind acordarea protecției temporare persoanelor strămutate din Ucraina</w:t>
      </w:r>
      <w:bookmarkEnd w:id="3"/>
      <w:r w:rsidRPr="00C52E93">
        <w:rPr>
          <w:rFonts w:eastAsia="Times New Roman" w:cs="Times New Roman"/>
          <w:color w:val="222A35" w:themeColor="text2" w:themeShade="80"/>
          <w:sz w:val="28"/>
          <w:szCs w:val="28"/>
          <w:lang w:val="en-US" w:eastAsia="zh-CN"/>
        </w:rPr>
        <w:t>:</w:t>
      </w:r>
    </w:p>
    <w:p w14:paraId="728CD973"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străinii titulari ai dreptului de ședere provizorie;</w:t>
      </w:r>
    </w:p>
    <w:p w14:paraId="207EF7A8"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străini titulari ai </w:t>
      </w:r>
      <w:r w:rsidRPr="00C52E93">
        <w:rPr>
          <w:rFonts w:eastAsia="Times New Roman" w:cs="Times New Roman"/>
          <w:color w:val="222A35" w:themeColor="text2" w:themeShade="80"/>
          <w:sz w:val="28"/>
          <w:szCs w:val="28"/>
          <w:lang w:val="en-US" w:eastAsia="zh-CN"/>
        </w:rPr>
        <w:t>dreptului de ședere permanentă;</w:t>
      </w:r>
    </w:p>
    <w:p w14:paraId="41EFAAA5"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străini cărora li s-a recunoscut statutul de apatrid în Republica Moldova;</w:t>
      </w:r>
    </w:p>
    <w:p w14:paraId="227241C7"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beneficiari de protecție internațională sau de azil politic.</w:t>
      </w:r>
    </w:p>
    <w:p w14:paraId="14522DDC" w14:textId="77777777" w:rsidR="0075115C" w:rsidRDefault="00623B17">
      <w:pPr>
        <w:pStyle w:val="ae"/>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cât și:</w:t>
      </w:r>
    </w:p>
    <w:p w14:paraId="2FB61E19" w14:textId="77777777" w:rsidR="0075115C" w:rsidRPr="00C52E93" w:rsidRDefault="00623B17">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lang w:val="en-US"/>
        </w:rPr>
      </w:pPr>
      <w:r w:rsidRPr="00C52E93">
        <w:rPr>
          <w:rFonts w:eastAsia="Times New Roman" w:cs="Times New Roman"/>
          <w:color w:val="222A35" w:themeColor="text2" w:themeShade="80"/>
          <w:sz w:val="28"/>
          <w:szCs w:val="28"/>
          <w:highlight w:val="white"/>
          <w:lang w:val="en-US" w:eastAsia="zh-CN"/>
        </w:rPr>
        <w:t>străinii care beneficiază de protecție temporară;</w:t>
      </w:r>
    </w:p>
    <w:p w14:paraId="78AD825D" w14:textId="77777777" w:rsidR="0075115C" w:rsidRPr="00C52E93" w:rsidRDefault="00623B17">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lang w:val="en-US"/>
        </w:rPr>
      </w:pPr>
      <w:r w:rsidRPr="00C52E93">
        <w:rPr>
          <w:rFonts w:eastAsia="Times New Roman" w:cs="Times New Roman"/>
          <w:color w:val="222A35" w:themeColor="text2" w:themeShade="80"/>
          <w:sz w:val="28"/>
          <w:szCs w:val="28"/>
          <w:highlight w:val="white"/>
          <w:lang w:val="en-US" w:eastAsia="zh-CN"/>
        </w:rPr>
        <w:t>persoanele care, potrivit legi</w:t>
      </w:r>
      <w:r w:rsidRPr="00C52E93">
        <w:rPr>
          <w:rFonts w:eastAsia="Times New Roman" w:cs="Times New Roman"/>
          <w:color w:val="222A35" w:themeColor="text2" w:themeShade="80"/>
          <w:sz w:val="28"/>
          <w:szCs w:val="28"/>
          <w:highlight w:val="white"/>
          <w:lang w:val="en-US" w:eastAsia="zh-CN"/>
        </w:rPr>
        <w:t>i, au dreptul de dobândire sau redobândire a cetățeniei Republicii Moldova;</w:t>
      </w:r>
    </w:p>
    <w:p w14:paraId="336F2F75" w14:textId="77777777" w:rsidR="0075115C" w:rsidRPr="00C52E93" w:rsidRDefault="00623B17">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lang w:val="en-US"/>
        </w:rPr>
      </w:pPr>
      <w:r w:rsidRPr="00C52E93">
        <w:rPr>
          <w:rFonts w:eastAsia="Times New Roman" w:cs="Times New Roman"/>
          <w:color w:val="222A35" w:themeColor="text2" w:themeShade="80"/>
          <w:sz w:val="28"/>
          <w:szCs w:val="28"/>
          <w:highlight w:val="white"/>
          <w:lang w:val="en-US" w:eastAsia="zh-CN"/>
        </w:rPr>
        <w:t>alte categorii de persoane pentru care este stabilit un regim juridic aparte conform legislației naționale sau reglementărilor internaționale.</w:t>
      </w:r>
    </w:p>
    <w:p w14:paraId="4B7C7724" w14:textId="77777777" w:rsidR="0075115C" w:rsidRPr="00C52E93" w:rsidRDefault="00623B17">
      <w:pPr>
        <w:shd w:val="clear" w:color="FFFFFF" w:themeColor="background1" w:fill="FFFFFF" w:themeFill="background1"/>
        <w:spacing w:after="0" w:line="240" w:lineRule="auto"/>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Intervențiile planificate vizează </w:t>
      </w:r>
      <w:r w:rsidRPr="00C52E93">
        <w:rPr>
          <w:rFonts w:eastAsia="Times New Roman" w:cs="Times New Roman"/>
          <w:color w:val="222A35" w:themeColor="text2" w:themeShade="80"/>
          <w:sz w:val="28"/>
          <w:szCs w:val="28"/>
          <w:lang w:val="en-US" w:eastAsia="zh-CN"/>
        </w:rPr>
        <w:t>următoarele sectoare:</w:t>
      </w:r>
    </w:p>
    <w:p w14:paraId="00F37F8A"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Educație</w:t>
      </w:r>
      <w:r w:rsidRPr="00C52E93">
        <w:rPr>
          <w:rFonts w:eastAsia="Times New Roman" w:cs="Times New Roman"/>
          <w:color w:val="222A35" w:themeColor="text2" w:themeShade="80"/>
          <w:sz w:val="28"/>
          <w:szCs w:val="28"/>
          <w:lang w:val="en-US" w:eastAsia="zh-CN"/>
        </w:rPr>
        <w:t>: acces la educație pentru copii și adulți, inclusiv cursuri de limbă și programe de formare profesională, recunoașterea calificărilor.</w:t>
      </w:r>
    </w:p>
    <w:p w14:paraId="18709459"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Asistență socială</w:t>
      </w:r>
      <w:r w:rsidRPr="00C52E93">
        <w:rPr>
          <w:rFonts w:eastAsia="Times New Roman" w:cs="Times New Roman"/>
          <w:color w:val="222A35" w:themeColor="text2" w:themeShade="80"/>
          <w:sz w:val="28"/>
          <w:szCs w:val="28"/>
          <w:lang w:val="en-US" w:eastAsia="zh-CN"/>
        </w:rPr>
        <w:t>: asigurarea măsurilor de asistență socială pentru străini, inclusiv pent</w:t>
      </w:r>
      <w:r w:rsidRPr="00C52E93">
        <w:rPr>
          <w:rFonts w:eastAsia="Times New Roman" w:cs="Times New Roman"/>
          <w:color w:val="222A35" w:themeColor="text2" w:themeShade="80"/>
          <w:sz w:val="28"/>
          <w:szCs w:val="28"/>
          <w:lang w:val="en-US" w:eastAsia="zh-CN"/>
        </w:rPr>
        <w:t>ru persoanele strămutate de pe teritoriul altor state, beneficiare de protecție temporară aflate în situație de dificultate .</w:t>
      </w:r>
    </w:p>
    <w:p w14:paraId="31F7CB30"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Piața muncii</w:t>
      </w:r>
      <w:r w:rsidRPr="00C52E93">
        <w:rPr>
          <w:rFonts w:eastAsia="Times New Roman" w:cs="Times New Roman"/>
          <w:color w:val="222A35" w:themeColor="text2" w:themeShade="80"/>
          <w:sz w:val="28"/>
          <w:szCs w:val="28"/>
          <w:lang w:val="en-US" w:eastAsia="zh-CN"/>
        </w:rPr>
        <w:t>: dreptul de a lucra și sprijin în identificarea și angajarea la un loc de muncă.</w:t>
      </w:r>
    </w:p>
    <w:p w14:paraId="0A3ABFE7"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Servicii de sănătate</w:t>
      </w:r>
      <w:r w:rsidRPr="00C52E93">
        <w:rPr>
          <w:rFonts w:eastAsia="Times New Roman" w:cs="Times New Roman"/>
          <w:color w:val="222A35" w:themeColor="text2" w:themeShade="80"/>
          <w:sz w:val="28"/>
          <w:szCs w:val="28"/>
          <w:lang w:val="en-US" w:eastAsia="zh-CN"/>
        </w:rPr>
        <w:t>: acces la servi</w:t>
      </w:r>
      <w:r w:rsidRPr="00C52E93">
        <w:rPr>
          <w:rFonts w:eastAsia="Times New Roman" w:cs="Times New Roman"/>
          <w:color w:val="222A35" w:themeColor="text2" w:themeShade="80"/>
          <w:sz w:val="28"/>
          <w:szCs w:val="28"/>
          <w:lang w:val="en-US" w:eastAsia="zh-CN"/>
        </w:rPr>
        <w:t>cii medicale și asigurări medicale.</w:t>
      </w:r>
    </w:p>
    <w:p w14:paraId="0AE0B961"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Locuințe</w:t>
      </w:r>
      <w:r w:rsidRPr="00C52E93">
        <w:rPr>
          <w:rFonts w:eastAsia="Times New Roman" w:cs="Times New Roman"/>
          <w:i/>
          <w:color w:val="222A35" w:themeColor="text2" w:themeShade="80"/>
          <w:sz w:val="28"/>
          <w:szCs w:val="28"/>
          <w:lang w:val="en-US" w:eastAsia="zh-CN"/>
        </w:rPr>
        <w:t>:</w:t>
      </w:r>
      <w:r w:rsidRPr="00C52E93">
        <w:rPr>
          <w:rFonts w:eastAsia="Times New Roman" w:cs="Times New Roman"/>
          <w:color w:val="222A35" w:themeColor="text2" w:themeShade="80"/>
          <w:sz w:val="28"/>
          <w:szCs w:val="28"/>
          <w:lang w:val="en-US" w:eastAsia="zh-CN"/>
        </w:rPr>
        <w:t xml:space="preserve"> acces la locuințe adecvate și sprijin în găsirea unui spațiu de locuit în </w:t>
      </w:r>
      <w:r w:rsidRPr="00C52E93">
        <w:rPr>
          <w:rFonts w:cs="Times New Roman"/>
          <w:sz w:val="28"/>
          <w:szCs w:val="28"/>
          <w:lang w:val="en-US"/>
        </w:rPr>
        <w:t>condiții de locuire decente, sigure și sănătoase.</w:t>
      </w:r>
      <w:r w:rsidRPr="00C52E93">
        <w:rPr>
          <w:rFonts w:eastAsia="Times New Roman" w:cs="Times New Roman"/>
          <w:color w:val="222A35" w:themeColor="text2" w:themeShade="80"/>
          <w:sz w:val="28"/>
          <w:szCs w:val="28"/>
          <w:lang w:val="en-US" w:eastAsia="zh-CN"/>
        </w:rPr>
        <w:t>.</w:t>
      </w:r>
    </w:p>
    <w:p w14:paraId="6A347FC3"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Participare socială și culturală</w:t>
      </w:r>
      <w:r w:rsidRPr="00C52E93">
        <w:rPr>
          <w:rFonts w:eastAsia="Times New Roman" w:cs="Times New Roman"/>
          <w:color w:val="222A35" w:themeColor="text2" w:themeShade="80"/>
          <w:sz w:val="28"/>
          <w:szCs w:val="28"/>
          <w:lang w:val="en-US" w:eastAsia="zh-CN"/>
        </w:rPr>
        <w:t xml:space="preserve">: posibilitatea de a participa la viața culturală și </w:t>
      </w:r>
      <w:r w:rsidRPr="00C52E93">
        <w:rPr>
          <w:rFonts w:eastAsia="Times New Roman" w:cs="Times New Roman"/>
          <w:color w:val="222A35" w:themeColor="text2" w:themeShade="80"/>
          <w:sz w:val="28"/>
          <w:szCs w:val="28"/>
          <w:lang w:val="en-US" w:eastAsia="zh-CN"/>
        </w:rPr>
        <w:t>socială a comunității.</w:t>
      </w:r>
    </w:p>
    <w:p w14:paraId="7B1642E7"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Drepturi și protecție juridică</w:t>
      </w:r>
      <w:r w:rsidRPr="00C52E93">
        <w:rPr>
          <w:rFonts w:eastAsia="Times New Roman" w:cs="Times New Roman"/>
          <w:color w:val="222A35" w:themeColor="text2" w:themeShade="80"/>
          <w:sz w:val="28"/>
          <w:szCs w:val="28"/>
          <w:lang w:val="en-US" w:eastAsia="zh-CN"/>
        </w:rPr>
        <w:t>: acces la justiție, protecție împotriva discriminării și drepturi legale.</w:t>
      </w:r>
    </w:p>
    <w:p w14:paraId="20117F06" w14:textId="77777777" w:rsidR="0075115C" w:rsidRPr="00C52E93" w:rsidRDefault="00623B17">
      <w:pPr>
        <w:pStyle w:val="ae"/>
        <w:numPr>
          <w:ilvl w:val="0"/>
          <w:numId w:val="2"/>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i/>
          <w:color w:val="222A35" w:themeColor="text2" w:themeShade="80"/>
          <w:sz w:val="28"/>
          <w:szCs w:val="28"/>
          <w:lang w:val="en-US" w:eastAsia="zh-CN"/>
        </w:rPr>
        <w:t>Integrare comunitară</w:t>
      </w:r>
      <w:r w:rsidRPr="00C52E93">
        <w:rPr>
          <w:rFonts w:eastAsia="Times New Roman" w:cs="Times New Roman"/>
          <w:color w:val="222A35" w:themeColor="text2" w:themeShade="80"/>
          <w:sz w:val="28"/>
          <w:szCs w:val="28"/>
          <w:lang w:val="en-US" w:eastAsia="zh-CN"/>
        </w:rPr>
        <w:t xml:space="preserve">: programe de integrare și inițiative care promovează incluziunea socială </w:t>
      </w:r>
      <w:r w:rsidRPr="00C52E93">
        <w:rPr>
          <w:rFonts w:cs="Times New Roman"/>
          <w:sz w:val="28"/>
          <w:szCs w:val="28"/>
          <w:lang w:val="en-US"/>
        </w:rPr>
        <w:t>ș</w:t>
      </w:r>
      <w:r w:rsidRPr="00C52E93">
        <w:rPr>
          <w:rFonts w:cs="Times New Roman"/>
          <w:sz w:val="28"/>
          <w:szCs w:val="28"/>
          <w:lang w:val="en-US"/>
        </w:rPr>
        <w:t>i accesul la resurse și servicii.</w:t>
      </w:r>
      <w:r w:rsidRPr="00C52E93">
        <w:rPr>
          <w:rFonts w:eastAsia="Times New Roman" w:cs="Times New Roman"/>
          <w:color w:val="222A35" w:themeColor="text2" w:themeShade="80"/>
          <w:sz w:val="28"/>
          <w:szCs w:val="28"/>
          <w:lang w:val="en-US" w:eastAsia="zh-CN"/>
        </w:rPr>
        <w:t>.</w:t>
      </w:r>
    </w:p>
    <w:p w14:paraId="5A42BA42"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Documentul de politici publice răspunde angajamentelor internaționale ale Republicii Moldova privind acordarea și respectarea drepturilor omului, inclusiv cele </w:t>
      </w:r>
      <w:r w:rsidRPr="00C52E93">
        <w:rPr>
          <w:rFonts w:eastAsia="Times New Roman" w:cs="Times New Roman"/>
          <w:color w:val="222A35" w:themeColor="text2" w:themeShade="80"/>
          <w:sz w:val="28"/>
          <w:szCs w:val="28"/>
          <w:lang w:val="en-US" w:eastAsia="zh-CN"/>
        </w:rPr>
        <w:lastRenderedPageBreak/>
        <w:t xml:space="preserve">prevăzute de </w:t>
      </w:r>
      <w:r w:rsidRPr="00C52E93">
        <w:rPr>
          <w:rFonts w:eastAsia="Times New Roman" w:cs="Times New Roman"/>
          <w:i/>
          <w:iCs/>
          <w:color w:val="222A35" w:themeColor="text2" w:themeShade="80"/>
          <w:sz w:val="28"/>
          <w:szCs w:val="28"/>
          <w:lang w:val="en-US" w:eastAsia="zh-CN"/>
        </w:rPr>
        <w:t>Convenția cu privire la statutul refugiaților</w:t>
      </w:r>
      <w:r>
        <w:rPr>
          <w:rStyle w:val="af7"/>
          <w:rFonts w:eastAsia="Times New Roman" w:cs="Times New Roman"/>
          <w:color w:val="222A35" w:themeColor="text2" w:themeShade="80"/>
          <w:sz w:val="28"/>
          <w:szCs w:val="28"/>
          <w:lang w:eastAsia="zh-CN"/>
        </w:rPr>
        <w:footnoteReference w:id="4"/>
      </w:r>
      <w:r w:rsidRPr="00C52E93">
        <w:rPr>
          <w:rFonts w:eastAsia="Times New Roman" w:cs="Times New Roman"/>
          <w:color w:val="222A35" w:themeColor="text2" w:themeShade="80"/>
          <w:sz w:val="28"/>
          <w:szCs w:val="28"/>
          <w:lang w:val="en-US" w:eastAsia="zh-CN"/>
        </w:rPr>
        <w:t xml:space="preserve"> (1951), pentru implementarea pract</w:t>
      </w:r>
      <w:r w:rsidRPr="00C52E93">
        <w:rPr>
          <w:rFonts w:eastAsia="Times New Roman" w:cs="Times New Roman"/>
          <w:color w:val="222A35" w:themeColor="text2" w:themeShade="80"/>
          <w:sz w:val="28"/>
          <w:szCs w:val="28"/>
          <w:lang w:val="en-US" w:eastAsia="zh-CN"/>
        </w:rPr>
        <w:t xml:space="preserve">ică a obiectivelor stabilite în </w:t>
      </w:r>
      <w:r w:rsidRPr="00C52E93">
        <w:rPr>
          <w:rFonts w:eastAsia="Times New Roman" w:cs="Times New Roman"/>
          <w:i/>
          <w:iCs/>
          <w:color w:val="222A35" w:themeColor="text2" w:themeShade="80"/>
          <w:sz w:val="28"/>
          <w:szCs w:val="28"/>
          <w:lang w:val="en-US" w:eastAsia="zh-CN"/>
        </w:rPr>
        <w:t>Pactul Global pentru Refugiați</w:t>
      </w:r>
      <w:r>
        <w:rPr>
          <w:rStyle w:val="af7"/>
          <w:rFonts w:eastAsia="Times New Roman" w:cs="Times New Roman"/>
          <w:color w:val="222A35" w:themeColor="text2" w:themeShade="80"/>
          <w:sz w:val="28"/>
          <w:szCs w:val="28"/>
          <w:lang w:eastAsia="zh-CN"/>
        </w:rPr>
        <w:footnoteReference w:id="5"/>
      </w:r>
      <w:r w:rsidRPr="00C52E93">
        <w:rPr>
          <w:rFonts w:eastAsia="Times New Roman" w:cs="Times New Roman"/>
          <w:color w:val="222A35" w:themeColor="text2" w:themeShade="80"/>
          <w:sz w:val="28"/>
          <w:szCs w:val="28"/>
          <w:lang w:val="en-US" w:eastAsia="zh-CN"/>
        </w:rPr>
        <w:t xml:space="preserve"> (2018), realizarea </w:t>
      </w:r>
      <w:r w:rsidRPr="00C52E93">
        <w:rPr>
          <w:rFonts w:cs="Times New Roman"/>
          <w:color w:val="222A35" w:themeColor="text2" w:themeShade="80"/>
          <w:sz w:val="28"/>
          <w:szCs w:val="28"/>
          <w:lang w:val="en-US"/>
        </w:rPr>
        <w:t xml:space="preserve">Agendei 2030 pentru Dezvoltare Durabilă </w:t>
      </w:r>
      <w:r w:rsidRPr="00C52E93">
        <w:rPr>
          <w:rFonts w:eastAsia="Times New Roman" w:cs="Times New Roman"/>
          <w:color w:val="222A35" w:themeColor="text2" w:themeShade="80"/>
          <w:sz w:val="28"/>
          <w:szCs w:val="28"/>
          <w:lang w:val="en-US" w:eastAsia="zh-CN"/>
        </w:rPr>
        <w:t>și de alte angajamente internaționale care protejează drepturile străinilor și ale persoanelor strămutate. Republica Moldova, coopere</w:t>
      </w:r>
      <w:r w:rsidRPr="00C52E93">
        <w:rPr>
          <w:rFonts w:eastAsia="Times New Roman" w:cs="Times New Roman"/>
          <w:color w:val="222A35" w:themeColor="text2" w:themeShade="80"/>
          <w:sz w:val="28"/>
          <w:szCs w:val="28"/>
          <w:lang w:val="en-US" w:eastAsia="zh-CN"/>
        </w:rPr>
        <w:t>ază activ și constructiv în acest sens cu organizațiile internaționale, precum Agenția ONU pentru Refugiați (UNHCR) și Organizația Internațională pentru Migrație (OIM).</w:t>
      </w:r>
    </w:p>
    <w:p w14:paraId="4CF04ED7"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 xml:space="preserve">Programul va fi implementat pe parcursul unei perioade de 3 ani, între 2025 și 2027 și </w:t>
      </w:r>
      <w:r w:rsidRPr="00C52E93">
        <w:rPr>
          <w:rFonts w:eastAsia="Times New Roman" w:cs="Times New Roman"/>
          <w:color w:val="222A35" w:themeColor="text2" w:themeShade="80"/>
          <w:sz w:val="28"/>
          <w:szCs w:val="28"/>
          <w:lang w:val="en-US" w:eastAsia="zh-CN"/>
        </w:rPr>
        <w:t>va asigura o integrare treptată și sustenabilă a străinilor. Documentul tratează prioritățile stabilite în baza necesităților identificate ale străinilor și vizează ajustarea cadrului de politici, fortificarea capacităților instituționale, instituirea unor</w:t>
      </w:r>
      <w:r w:rsidRPr="00C52E93">
        <w:rPr>
          <w:rFonts w:eastAsia="Times New Roman" w:cs="Times New Roman"/>
          <w:color w:val="222A35" w:themeColor="text2" w:themeShade="80"/>
          <w:sz w:val="28"/>
          <w:szCs w:val="28"/>
          <w:lang w:val="en-US" w:eastAsia="zh-CN"/>
        </w:rPr>
        <w:t xml:space="preserve"> instrumente eficiente de cooperare și colaborare și nemijlocit măsuri pentru beneficiarii Programului, de la accesul la documentare și servicii de bază, până la integrarea pe piața muncii și participarea activă în viața socială și culturală.</w:t>
      </w:r>
    </w:p>
    <w:p w14:paraId="3A0D7848"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Elaborarea și</w:t>
      </w:r>
      <w:r w:rsidRPr="00C52E93">
        <w:rPr>
          <w:rFonts w:eastAsia="Times New Roman" w:cs="Times New Roman"/>
          <w:color w:val="222A35" w:themeColor="text2" w:themeShade="80"/>
          <w:sz w:val="28"/>
          <w:szCs w:val="28"/>
          <w:lang w:val="en-US" w:eastAsia="zh-CN"/>
        </w:rPr>
        <w:t xml:space="preserve"> implementarea Programului implică un număr mare de actori instituționali și parteneri:</w:t>
      </w:r>
    </w:p>
    <w:p w14:paraId="31CC2465" w14:textId="77777777" w:rsidR="0075115C" w:rsidRPr="00C52E93" w:rsidRDefault="00623B17">
      <w:pPr>
        <w:pStyle w:val="ae"/>
        <w:numPr>
          <w:ilvl w:val="0"/>
          <w:numId w:val="1"/>
        </w:numPr>
        <w:spacing w:after="0" w:line="240" w:lineRule="auto"/>
        <w:ind w:left="756"/>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Ministerul Afacerilor Interne și Inspectoratul General pentru Migrație sunt responsabili de coordonarea procesului de integrare și de monitorizare a progresului de impl</w:t>
      </w:r>
      <w:r w:rsidRPr="00C52E93">
        <w:rPr>
          <w:rFonts w:eastAsia="Times New Roman" w:cs="Times New Roman"/>
          <w:color w:val="222A35" w:themeColor="text2" w:themeShade="80"/>
          <w:sz w:val="28"/>
          <w:szCs w:val="28"/>
          <w:lang w:val="en-US" w:eastAsia="zh-CN"/>
        </w:rPr>
        <w:t>ementare.</w:t>
      </w:r>
    </w:p>
    <w:p w14:paraId="7F9D000B" w14:textId="77777777" w:rsidR="0075115C" w:rsidRPr="00C52E93" w:rsidRDefault="00623B17">
      <w:pPr>
        <w:pStyle w:val="ae"/>
        <w:numPr>
          <w:ilvl w:val="0"/>
          <w:numId w:val="1"/>
        </w:numPr>
        <w:spacing w:after="0" w:line="240" w:lineRule="auto"/>
        <w:ind w:left="756"/>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Ministerul Educației și Cercetării, Ministerul Sănătății, și Ministerul Muncii și Protecției Sociale ș.a. sunt instituțiile-cheie care vor asigura accesul străinilor la servicii esențiale, cum ar fi educația, sănătatea și protecția socială.</w:t>
      </w:r>
    </w:p>
    <w:p w14:paraId="45179F88" w14:textId="77777777" w:rsidR="0075115C" w:rsidRPr="00C52E93" w:rsidRDefault="00623B17">
      <w:pPr>
        <w:pStyle w:val="ae"/>
        <w:numPr>
          <w:ilvl w:val="0"/>
          <w:numId w:val="1"/>
        </w:numPr>
        <w:spacing w:after="0" w:line="240" w:lineRule="auto"/>
        <w:ind w:left="756"/>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Autor</w:t>
      </w:r>
      <w:r w:rsidRPr="00C52E93">
        <w:rPr>
          <w:rFonts w:eastAsia="Times New Roman" w:cs="Times New Roman"/>
          <w:color w:val="222A35" w:themeColor="text2" w:themeShade="80"/>
          <w:sz w:val="28"/>
          <w:szCs w:val="28"/>
          <w:lang w:val="en-US" w:eastAsia="zh-CN"/>
        </w:rPr>
        <w:t>itățile locale vor fi responsabile de implementarea măsurilor la nivel local, facilitând integrarea străinilor în comunitățile locale.</w:t>
      </w:r>
    </w:p>
    <w:p w14:paraId="364FEFDC" w14:textId="77777777" w:rsidR="0075115C" w:rsidRPr="00C52E93" w:rsidRDefault="00623B17">
      <w:pPr>
        <w:pStyle w:val="ae"/>
        <w:numPr>
          <w:ilvl w:val="0"/>
          <w:numId w:val="1"/>
        </w:numPr>
        <w:spacing w:after="0" w:line="240" w:lineRule="auto"/>
        <w:ind w:left="756"/>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t>Organizațiile internaționale și ONG-urile vor deține un rol important în asigurarea sprijinului tehnic și financiar, prec</w:t>
      </w:r>
      <w:r w:rsidRPr="00C52E93">
        <w:rPr>
          <w:rFonts w:eastAsia="Times New Roman" w:cs="Times New Roman"/>
          <w:color w:val="222A35" w:themeColor="text2" w:themeShade="80"/>
          <w:sz w:val="28"/>
          <w:szCs w:val="28"/>
          <w:lang w:val="en-US" w:eastAsia="zh-CN"/>
        </w:rPr>
        <w:t>um și în promovarea drepturilor străinilor și a participării acestora în societate.</w:t>
      </w:r>
    </w:p>
    <w:p w14:paraId="33B1A164" w14:textId="77777777" w:rsidR="0075115C" w:rsidRPr="00C52E93" w:rsidRDefault="0075115C">
      <w:pPr>
        <w:pStyle w:val="ae"/>
        <w:spacing w:after="0" w:line="240" w:lineRule="auto"/>
        <w:ind w:left="756"/>
        <w:jc w:val="both"/>
        <w:rPr>
          <w:rFonts w:eastAsia="Times New Roman" w:cs="Times New Roman"/>
          <w:color w:val="222A35" w:themeColor="text2" w:themeShade="80"/>
          <w:sz w:val="28"/>
          <w:szCs w:val="28"/>
          <w:lang w:val="en-US" w:eastAsia="zh-CN"/>
        </w:rPr>
      </w:pPr>
    </w:p>
    <w:p w14:paraId="40894455" w14:textId="77777777" w:rsidR="0075115C" w:rsidRPr="00C52E93" w:rsidRDefault="00623B17">
      <w:pPr>
        <w:pStyle w:val="1"/>
        <w:rPr>
          <w:lang w:val="en-US"/>
        </w:rPr>
      </w:pPr>
      <w:bookmarkStart w:id="4" w:name="_Toc193725332"/>
      <w:r w:rsidRPr="00C52E93">
        <w:rPr>
          <w:lang w:val="en-US"/>
        </w:rPr>
        <w:t>Analiza situației</w:t>
      </w:r>
      <w:bookmarkEnd w:id="4"/>
    </w:p>
    <w:p w14:paraId="6D0F43E6" w14:textId="77777777" w:rsidR="0075115C" w:rsidRPr="00C52E93" w:rsidRDefault="00623B17">
      <w:pPr>
        <w:pStyle w:val="aff8"/>
        <w:ind w:left="0" w:right="107" w:firstLine="709"/>
        <w:rPr>
          <w:sz w:val="28"/>
          <w:szCs w:val="28"/>
          <w:lang w:val="en-US"/>
        </w:rPr>
      </w:pPr>
      <w:r w:rsidRPr="00C52E93">
        <w:rPr>
          <w:rStyle w:val="fontstyle01"/>
          <w:rFonts w:ascii="Times New Roman" w:hAnsi="Times New Roman"/>
          <w:b w:val="0"/>
          <w:bCs w:val="0"/>
          <w:sz w:val="28"/>
          <w:szCs w:val="28"/>
          <w:lang w:val="en-US"/>
        </w:rPr>
        <w:t xml:space="preserve">Migrația este un proces multidimensional, generator de probleme complexe, </w:t>
      </w:r>
      <w:r w:rsidRPr="00C52E93">
        <w:rPr>
          <w:rStyle w:val="fontstyle01"/>
          <w:rFonts w:ascii="Times New Roman" w:eastAsiaTheme="minorHAnsi" w:hAnsi="Times New Roman"/>
          <w:b w:val="0"/>
          <w:bCs w:val="0"/>
          <w:sz w:val="28"/>
          <w:szCs w:val="28"/>
          <w:lang w:val="en-US"/>
        </w:rPr>
        <w:t>soluționarea cărora necesită implicarea coordonată a mai multor autorități.</w:t>
      </w:r>
      <w:r w:rsidRPr="00C52E93">
        <w:rPr>
          <w:sz w:val="28"/>
          <w:szCs w:val="28"/>
          <w:lang w:val="en-US"/>
        </w:rPr>
        <w:t xml:space="preserve"> </w:t>
      </w:r>
    </w:p>
    <w:p w14:paraId="7DACB248" w14:textId="77777777" w:rsidR="0075115C" w:rsidRPr="00C52E93" w:rsidRDefault="00623B17">
      <w:pPr>
        <w:spacing w:after="0" w:line="240" w:lineRule="auto"/>
        <w:ind w:firstLine="709"/>
        <w:jc w:val="both"/>
        <w:rPr>
          <w:rFonts w:cs="Times New Roman"/>
          <w:sz w:val="28"/>
          <w:szCs w:val="28"/>
          <w:lang w:val="en-US"/>
        </w:rPr>
      </w:pPr>
      <w:r w:rsidRPr="00C52E93">
        <w:rPr>
          <w:rFonts w:cs="Times New Roman"/>
          <w:sz w:val="28"/>
          <w:szCs w:val="28"/>
          <w:shd w:val="clear" w:color="auto" w:fill="FFFFFF"/>
          <w:lang w:val="en-US"/>
        </w:rPr>
        <w:t xml:space="preserve">În ultimii 10 ani s-au produs schimbări majore la nivelul fluxurilor de migrație, prin </w:t>
      </w:r>
      <w:r w:rsidRPr="00C52E93">
        <w:rPr>
          <w:rFonts w:cs="Times New Roman"/>
          <w:sz w:val="28"/>
          <w:szCs w:val="28"/>
          <w:lang w:val="en-US"/>
        </w:rPr>
        <w:t xml:space="preserve">intensificarea acestora, în special în perioade de criză, care au avut și continuă să producă impact semnificativ </w:t>
      </w:r>
      <w:r w:rsidRPr="00C52E93">
        <w:rPr>
          <w:rFonts w:cs="Times New Roman"/>
          <w:sz w:val="28"/>
          <w:szCs w:val="28"/>
          <w:shd w:val="clear" w:color="auto" w:fill="FFFFFF"/>
          <w:lang w:val="en-US"/>
        </w:rPr>
        <w:t xml:space="preserve">de ordin economic, social și politic </w:t>
      </w:r>
      <w:r w:rsidRPr="00C52E93">
        <w:rPr>
          <w:rFonts w:cs="Times New Roman"/>
          <w:sz w:val="28"/>
          <w:szCs w:val="28"/>
          <w:lang w:val="en-US"/>
        </w:rPr>
        <w:t>pentru Republica M</w:t>
      </w:r>
      <w:r w:rsidRPr="00C52E93">
        <w:rPr>
          <w:rFonts w:cs="Times New Roman"/>
          <w:sz w:val="28"/>
          <w:szCs w:val="28"/>
          <w:lang w:val="en-US"/>
        </w:rPr>
        <w:t xml:space="preserve">oldova. Imigrarea în RM în ultimii ani înregistrează tendințe constant crescânde, astfel </w:t>
      </w:r>
      <w:bookmarkStart w:id="5" w:name="_Hlk183003736"/>
      <w:r w:rsidRPr="00C52E93">
        <w:rPr>
          <w:rFonts w:cs="Times New Roman"/>
          <w:sz w:val="28"/>
          <w:szCs w:val="28"/>
          <w:lang w:val="en-US"/>
        </w:rPr>
        <w:t xml:space="preserve">în anul 2021 numărul </w:t>
      </w:r>
      <w:bookmarkEnd w:id="5"/>
      <w:r w:rsidRPr="00C52E93">
        <w:rPr>
          <w:rFonts w:cs="Times New Roman"/>
          <w:sz w:val="28"/>
          <w:szCs w:val="28"/>
          <w:lang w:val="en-US"/>
        </w:rPr>
        <w:t xml:space="preserve">străinilor din Republica Moldova a constituit 18 874 de persoane, dintre care: 6 476 dețineau permise de ședere permanentă și 12 398 – permise de </w:t>
      </w:r>
      <w:r w:rsidRPr="00C52E93">
        <w:rPr>
          <w:rFonts w:cs="Times New Roman"/>
          <w:sz w:val="28"/>
          <w:szCs w:val="28"/>
          <w:lang w:val="en-US"/>
        </w:rPr>
        <w:t>ș</w:t>
      </w:r>
      <w:r w:rsidRPr="00C52E93">
        <w:rPr>
          <w:rFonts w:cs="Times New Roman"/>
          <w:sz w:val="28"/>
          <w:szCs w:val="28"/>
          <w:lang w:val="en-US"/>
        </w:rPr>
        <w:t xml:space="preserve">edere provizorie. În același timp, în Registrul de stat al populației erau luate în </w:t>
      </w:r>
      <w:r w:rsidRPr="00C52E93">
        <w:rPr>
          <w:rFonts w:cs="Times New Roman"/>
          <w:sz w:val="28"/>
          <w:szCs w:val="28"/>
          <w:lang w:val="en-US"/>
        </w:rPr>
        <w:lastRenderedPageBreak/>
        <w:t>evidență 1909 persoane apatride, 1434 – cu cetățenia nedeterminată și 6939 – cu pașaport de tip sovietic (modelul anului 1974).</w:t>
      </w:r>
    </w:p>
    <w:p w14:paraId="65406B5D" w14:textId="77777777" w:rsidR="0075115C" w:rsidRPr="00C52E93" w:rsidRDefault="00623B17">
      <w:pPr>
        <w:pStyle w:val="aff8"/>
        <w:ind w:left="0" w:right="107" w:firstLine="709"/>
        <w:rPr>
          <w:sz w:val="28"/>
          <w:szCs w:val="28"/>
          <w:lang w:val="en-US"/>
        </w:rPr>
      </w:pPr>
      <w:bookmarkStart w:id="6" w:name="_Hlk183004085"/>
      <w:r w:rsidRPr="00C52E93">
        <w:rPr>
          <w:sz w:val="28"/>
          <w:szCs w:val="28"/>
          <w:lang w:val="en-US"/>
        </w:rPr>
        <w:t>Conform datelor statistice, în anul 2021 în</w:t>
      </w:r>
      <w:r w:rsidRPr="00C52E93">
        <w:rPr>
          <w:sz w:val="28"/>
          <w:szCs w:val="28"/>
          <w:lang w:val="en-US"/>
        </w:rPr>
        <w:t xml:space="preserve"> Republica Moldova cu statut de apatrid figurau documentate 1.091 persoane, cu 325 </w:t>
      </w:r>
      <w:bookmarkStart w:id="7" w:name="_Hlk183004135"/>
      <w:bookmarkEnd w:id="6"/>
      <w:r w:rsidRPr="00C52E93">
        <w:rPr>
          <w:sz w:val="28"/>
          <w:szCs w:val="28"/>
          <w:lang w:val="en-US"/>
        </w:rPr>
        <w:t>persoane mai puțin decât în 2018. La finele anului 2021 în Moldova locuiau 173 de persoane cu statut de refugiat, înregistrând o creștere nesemnificativă cu 13,8 % față de a</w:t>
      </w:r>
      <w:r w:rsidRPr="00C52E93">
        <w:rPr>
          <w:sz w:val="28"/>
          <w:szCs w:val="28"/>
          <w:lang w:val="en-US"/>
        </w:rPr>
        <w:t>nul 2017</w:t>
      </w:r>
      <w:r>
        <w:rPr>
          <w:rStyle w:val="af7"/>
          <w:sz w:val="28"/>
          <w:szCs w:val="28"/>
        </w:rPr>
        <w:footnoteReference w:id="6"/>
      </w:r>
      <w:bookmarkEnd w:id="7"/>
      <w:r w:rsidRPr="00C52E93">
        <w:rPr>
          <w:sz w:val="28"/>
          <w:szCs w:val="28"/>
          <w:lang w:val="en-US"/>
        </w:rPr>
        <w:t xml:space="preserve">. </w:t>
      </w:r>
    </w:p>
    <w:p w14:paraId="7363CEAF" w14:textId="77777777" w:rsidR="0075115C" w:rsidRPr="00C52E93" w:rsidRDefault="00623B17">
      <w:pPr>
        <w:pStyle w:val="aff8"/>
        <w:ind w:left="0" w:right="107" w:firstLine="709"/>
        <w:rPr>
          <w:sz w:val="28"/>
          <w:szCs w:val="28"/>
          <w:lang w:val="en-US"/>
        </w:rPr>
      </w:pPr>
      <w:r w:rsidRPr="00C52E93">
        <w:rPr>
          <w:sz w:val="28"/>
          <w:szCs w:val="28"/>
          <w:lang w:val="en-US"/>
        </w:rPr>
        <w:t>Fiind cunoscută ca țară de emigrare și de tranzit, Republica Moldova devine treptat și țară de destinație pentru cetățenii străini.</w:t>
      </w:r>
    </w:p>
    <w:p w14:paraId="56FD1219"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Atractivitatea țării noastre pentru străini se datorează poziției de țară limitrofă spațiului UE, realizării</w:t>
      </w:r>
      <w:r w:rsidRPr="00C52E93">
        <w:rPr>
          <w:spacing w:val="-15"/>
          <w:sz w:val="28"/>
          <w:szCs w:val="28"/>
          <w:lang w:val="en-US"/>
        </w:rPr>
        <w:t xml:space="preserve"> </w:t>
      </w:r>
      <w:r w:rsidRPr="00C52E93">
        <w:rPr>
          <w:sz w:val="28"/>
          <w:szCs w:val="28"/>
          <w:lang w:val="en-US"/>
        </w:rPr>
        <w:t>măs</w:t>
      </w:r>
      <w:r w:rsidRPr="00C52E93">
        <w:rPr>
          <w:sz w:val="28"/>
          <w:szCs w:val="28"/>
          <w:lang w:val="en-US"/>
        </w:rPr>
        <w:t>urilor</w:t>
      </w:r>
      <w:r w:rsidRPr="00C52E93">
        <w:rPr>
          <w:spacing w:val="-15"/>
          <w:sz w:val="28"/>
          <w:szCs w:val="28"/>
          <w:lang w:val="en-US"/>
        </w:rPr>
        <w:t xml:space="preserve"> </w:t>
      </w:r>
      <w:r w:rsidRPr="00C52E93">
        <w:rPr>
          <w:sz w:val="28"/>
          <w:szCs w:val="28"/>
          <w:lang w:val="en-US"/>
        </w:rPr>
        <w:t>ce</w:t>
      </w:r>
      <w:r w:rsidRPr="00C52E93">
        <w:rPr>
          <w:spacing w:val="-15"/>
          <w:sz w:val="28"/>
          <w:szCs w:val="28"/>
          <w:lang w:val="en-US"/>
        </w:rPr>
        <w:t xml:space="preserve"> </w:t>
      </w:r>
      <w:r w:rsidRPr="00C52E93">
        <w:rPr>
          <w:sz w:val="28"/>
          <w:szCs w:val="28"/>
          <w:lang w:val="en-US"/>
        </w:rPr>
        <w:t>țin</w:t>
      </w:r>
      <w:r w:rsidRPr="00C52E93">
        <w:rPr>
          <w:spacing w:val="-15"/>
          <w:sz w:val="28"/>
          <w:szCs w:val="28"/>
          <w:lang w:val="en-US"/>
        </w:rPr>
        <w:t xml:space="preserve"> </w:t>
      </w:r>
      <w:r w:rsidRPr="00C52E93">
        <w:rPr>
          <w:sz w:val="28"/>
          <w:szCs w:val="28"/>
          <w:lang w:val="en-US"/>
        </w:rPr>
        <w:t>de</w:t>
      </w:r>
      <w:r w:rsidRPr="00C52E93">
        <w:rPr>
          <w:spacing w:val="-15"/>
          <w:sz w:val="28"/>
          <w:szCs w:val="28"/>
          <w:lang w:val="en-US"/>
        </w:rPr>
        <w:t xml:space="preserve"> </w:t>
      </w:r>
      <w:r w:rsidRPr="00C52E93">
        <w:rPr>
          <w:sz w:val="28"/>
          <w:szCs w:val="28"/>
          <w:lang w:val="en-US"/>
        </w:rPr>
        <w:t>liberalizarea</w:t>
      </w:r>
      <w:r w:rsidRPr="00C52E93">
        <w:rPr>
          <w:spacing w:val="-15"/>
          <w:sz w:val="28"/>
          <w:szCs w:val="28"/>
          <w:lang w:val="en-US"/>
        </w:rPr>
        <w:t xml:space="preserve"> </w:t>
      </w:r>
      <w:r w:rsidRPr="00C52E93">
        <w:rPr>
          <w:sz w:val="28"/>
          <w:szCs w:val="28"/>
          <w:lang w:val="en-US"/>
        </w:rPr>
        <w:t>regimului</w:t>
      </w:r>
      <w:r w:rsidRPr="00C52E93">
        <w:rPr>
          <w:spacing w:val="-15"/>
          <w:sz w:val="28"/>
          <w:szCs w:val="28"/>
          <w:lang w:val="en-US"/>
        </w:rPr>
        <w:t xml:space="preserve"> </w:t>
      </w:r>
      <w:r w:rsidRPr="00C52E93">
        <w:rPr>
          <w:sz w:val="28"/>
          <w:szCs w:val="28"/>
          <w:lang w:val="en-US"/>
        </w:rPr>
        <w:t>de</w:t>
      </w:r>
      <w:r w:rsidRPr="00C52E93">
        <w:rPr>
          <w:spacing w:val="-15"/>
          <w:sz w:val="28"/>
          <w:szCs w:val="28"/>
          <w:lang w:val="en-US"/>
        </w:rPr>
        <w:t xml:space="preserve"> </w:t>
      </w:r>
      <w:r w:rsidRPr="00C52E93">
        <w:rPr>
          <w:sz w:val="28"/>
          <w:szCs w:val="28"/>
          <w:lang w:val="en-US"/>
        </w:rPr>
        <w:t>vize</w:t>
      </w:r>
      <w:r w:rsidRPr="00C52E93">
        <w:rPr>
          <w:spacing w:val="-15"/>
          <w:sz w:val="28"/>
          <w:szCs w:val="28"/>
          <w:lang w:val="en-US"/>
        </w:rPr>
        <w:t xml:space="preserve"> </w:t>
      </w:r>
      <w:r w:rsidRPr="00C52E93">
        <w:rPr>
          <w:sz w:val="28"/>
          <w:szCs w:val="28"/>
          <w:lang w:val="en-US"/>
        </w:rPr>
        <w:t>și</w:t>
      </w:r>
      <w:r w:rsidRPr="00C52E93">
        <w:rPr>
          <w:spacing w:val="-15"/>
          <w:sz w:val="28"/>
          <w:szCs w:val="28"/>
          <w:lang w:val="en-US"/>
        </w:rPr>
        <w:t xml:space="preserve"> </w:t>
      </w:r>
      <w:r w:rsidRPr="00C52E93">
        <w:rPr>
          <w:sz w:val="28"/>
          <w:szCs w:val="28"/>
          <w:lang w:val="en-US"/>
        </w:rPr>
        <w:t>a</w:t>
      </w:r>
      <w:r w:rsidRPr="00C52E93">
        <w:rPr>
          <w:spacing w:val="-15"/>
          <w:sz w:val="28"/>
          <w:szCs w:val="28"/>
          <w:lang w:val="en-US"/>
        </w:rPr>
        <w:t xml:space="preserve"> prevede</w:t>
      </w:r>
      <w:r w:rsidRPr="00C52E93">
        <w:rPr>
          <w:sz w:val="28"/>
          <w:szCs w:val="28"/>
          <w:lang w:val="en-US"/>
        </w:rPr>
        <w:t>rilor</w:t>
      </w:r>
      <w:r w:rsidRPr="00C52E93">
        <w:rPr>
          <w:spacing w:val="-15"/>
          <w:sz w:val="28"/>
          <w:szCs w:val="28"/>
          <w:lang w:val="en-US"/>
        </w:rPr>
        <w:t xml:space="preserve"> </w:t>
      </w:r>
      <w:r w:rsidRPr="00C52E93">
        <w:rPr>
          <w:sz w:val="28"/>
          <w:szCs w:val="28"/>
          <w:lang w:val="en-US"/>
        </w:rPr>
        <w:t xml:space="preserve">Acordului de Asociere RM-UE. Cadrul normativ (ajustat parțial la acquis-ul comunitar) a permis aflarea temporară liberă (până la 90 de zile) pe teritoriul Republicii Moldova, pentru </w:t>
      </w:r>
      <w:r w:rsidRPr="00C52E93">
        <w:rPr>
          <w:sz w:val="28"/>
          <w:szCs w:val="28"/>
          <w:lang w:val="en-US"/>
        </w:rPr>
        <w:t>străinii din circa 151 de state (statele din zona Schengen, Comunitatea Statelor Independente (CSI) și alte state terțe), iar numărul de solicitări pentru obținerea dreptului de ședere provizorie pentru o perioadă mai îndelungată pe parcursul anilor 2019-2</w:t>
      </w:r>
      <w:r w:rsidRPr="00C52E93">
        <w:rPr>
          <w:sz w:val="28"/>
          <w:szCs w:val="28"/>
          <w:lang w:val="en-US"/>
        </w:rPr>
        <w:t>021 a crescut cu 9,2%. Astfel, numărul străinilor care se aflau în Republica Moldova era în creștere, cota parte a străinilor față de populația locală reprezenta 2,6%.</w:t>
      </w:r>
    </w:p>
    <w:p w14:paraId="45AC331B"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În scopul prevenirii riscurilor excluziunii sociale a străinilor și generarea prin aceas</w:t>
      </w:r>
      <w:r w:rsidRPr="00C52E93">
        <w:rPr>
          <w:sz w:val="28"/>
          <w:szCs w:val="28"/>
          <w:lang w:val="en-US"/>
        </w:rPr>
        <w:t>ta a unor posibile conflicte social-culturale, confesionale și de altă natură cu populația locală, era important de a identifica mecanisme cât mai eficiente de integrare a străinilor pentru punerea în aplicare a normelor stabilite în Legea nr. 274/2011 pri</w:t>
      </w:r>
      <w:r w:rsidRPr="00C52E93">
        <w:rPr>
          <w:sz w:val="28"/>
          <w:szCs w:val="28"/>
          <w:lang w:val="en-US"/>
        </w:rPr>
        <w:t>vind integrarea străinilor în Republica Moldova. În perioada anilor 2020-2021 au fost operate modificări la cadrul legal prenotat, fiind ajustat cadrul național la directivele UE. Prevederile legii pun accentul pe creșterea rolului autorităților publice în</w:t>
      </w:r>
      <w:r w:rsidRPr="00C52E93">
        <w:rPr>
          <w:sz w:val="28"/>
          <w:szCs w:val="28"/>
          <w:lang w:val="en-US"/>
        </w:rPr>
        <w:t xml:space="preserve"> promovarea procesului de integrare prin informare diversificată, pe crearea oportunităților de autoîntreținere, pe creșterea rolului angajatorului în procesul de integrare, pe promovarea diversității culturale, asigurarea drepturilor la educație, servicii</w:t>
      </w:r>
      <w:r w:rsidRPr="00C52E93">
        <w:rPr>
          <w:sz w:val="28"/>
          <w:szCs w:val="28"/>
          <w:lang w:val="en-US"/>
        </w:rPr>
        <w:t xml:space="preserve"> sociale și de sănătate etc și, nu în ultimul rând, creșterea rolului străinului, și potențialului acestuia în implementarea programelor de integrare.</w:t>
      </w:r>
    </w:p>
    <w:p w14:paraId="7A316D78"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lastRenderedPageBreak/>
        <w:t>Integrarea migranților în Republica Moldova reprezintă o perspectivă aliniată la politicile UE (2021-2027</w:t>
      </w:r>
      <w:r>
        <w:rPr>
          <w:sz w:val="28"/>
          <w:szCs w:val="28"/>
        </w:rPr>
        <w:footnoteReference w:id="7"/>
      </w:r>
      <w:r w:rsidRPr="00C52E93">
        <w:rPr>
          <w:sz w:val="28"/>
          <w:szCs w:val="28"/>
          <w:lang w:val="en-US"/>
        </w:rPr>
        <w:t>)</w:t>
      </w:r>
    </w:p>
    <w:p w14:paraId="55418C8E"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 xml:space="preserve">Republica Moldova, în contextul aspirațiilor sale de integrare europeană, trebuie să acorde o importanță majoră politicilor de integrare și incluziune a migranților. Alinierea la standardele și principiile Uniunii Europene în acest domeniu nu este doar </w:t>
      </w:r>
      <w:r w:rsidRPr="00C52E93">
        <w:rPr>
          <w:sz w:val="28"/>
          <w:szCs w:val="28"/>
          <w:lang w:val="en-US"/>
        </w:rPr>
        <w:t>o cerință formală, ci o necesitate pentru a construi o societate mai coezivă, echitabilă și prosperă.</w:t>
      </w:r>
    </w:p>
    <w:p w14:paraId="4EB9F615"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Comunicarea Comisiei Europene către Parlamentul European, Consiliu, Comitetul Economic și Social European și Comitetul Regiunilor din 24 noiembrie 2020, i</w:t>
      </w:r>
      <w:r w:rsidRPr="00C52E93">
        <w:rPr>
          <w:sz w:val="28"/>
          <w:szCs w:val="28"/>
          <w:lang w:val="en-US"/>
        </w:rPr>
        <w:t>ntitulată "Plan de acțiune privind integrarea și incluziunea pentru perioada 2021-2027" (COM(2020) 758 final), oferă un cadru strategic valoros pentru statele membre și țările candidate la aderare, inclusiv Republica Moldova. Acest plan de acțiune, bazat p</w:t>
      </w:r>
      <w:r w:rsidRPr="00C52E93">
        <w:rPr>
          <w:sz w:val="28"/>
          <w:szCs w:val="28"/>
          <w:lang w:val="en-US"/>
        </w:rPr>
        <w:t>e un set de principii și valori comune, vizează promovarea unei abordări integrate a incluziunii migranților, prin crearea de sinergii cu strategiile UE existente și viitoare în domeniul egalității și coeziunii sociale.</w:t>
      </w:r>
    </w:p>
    <w:p w14:paraId="4F225CF1"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Principiile cheie ale acestui plan d</w:t>
      </w:r>
      <w:r w:rsidRPr="00C52E93">
        <w:rPr>
          <w:sz w:val="28"/>
          <w:szCs w:val="28"/>
          <w:lang w:val="en-US"/>
        </w:rPr>
        <w:t>e acțiune, care ar trebui să ghideze și politicile Republicii Moldova, includ:</w:t>
      </w:r>
    </w:p>
    <w:p w14:paraId="7454772B" w14:textId="77777777" w:rsidR="0075115C" w:rsidRPr="00C52E93" w:rsidRDefault="00623B17">
      <w:pPr>
        <w:numPr>
          <w:ilvl w:val="0"/>
          <w:numId w:val="17"/>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Incluziunea pentru toți</w:t>
      </w:r>
      <w:r w:rsidRPr="00C52E93">
        <w:rPr>
          <w:rFonts w:cs="Times New Roman"/>
          <w:sz w:val="28"/>
          <w:szCs w:val="28"/>
          <w:lang w:val="en-US"/>
        </w:rPr>
        <w:t>: Politicile trebuie să fie accesibile și să funcționeze pentru toți, inclusiv migranții, adaptându-se la diversitatea societății și evitând discriminarea</w:t>
      </w:r>
      <w:r w:rsidRPr="00C52E93">
        <w:rPr>
          <w:rFonts w:cs="Times New Roman"/>
          <w:sz w:val="28"/>
          <w:szCs w:val="28"/>
          <w:lang w:val="en-US"/>
        </w:rPr>
        <w:t>.</w:t>
      </w:r>
    </w:p>
    <w:p w14:paraId="676CA2DB" w14:textId="77777777" w:rsidR="0075115C" w:rsidRPr="00C52E93" w:rsidRDefault="00623B17">
      <w:pPr>
        <w:numPr>
          <w:ilvl w:val="0"/>
          <w:numId w:val="17"/>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Abordare integrată</w:t>
      </w:r>
      <w:r w:rsidRPr="00C52E93">
        <w:rPr>
          <w:rFonts w:cs="Times New Roman"/>
          <w:sz w:val="28"/>
          <w:szCs w:val="28"/>
          <w:lang w:val="en-US"/>
        </w:rPr>
        <w:t>: Integrarea migranților trebuie corelată cu alte strategii UE privind egalitatea, coeziunea socială și combaterea discriminării.</w:t>
      </w:r>
    </w:p>
    <w:p w14:paraId="4DB09DAD" w14:textId="77777777" w:rsidR="0075115C" w:rsidRPr="00C52E93" w:rsidRDefault="00623B17">
      <w:pPr>
        <w:numPr>
          <w:ilvl w:val="0"/>
          <w:numId w:val="17"/>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Combaterea discriminării multiple</w:t>
      </w:r>
      <w:r w:rsidRPr="00C52E93">
        <w:rPr>
          <w:rFonts w:cs="Times New Roman"/>
          <w:sz w:val="28"/>
          <w:szCs w:val="28"/>
          <w:lang w:val="en-US"/>
        </w:rPr>
        <w:t>: Este necesară o abordare care să țină cont de multiplele forme de discr</w:t>
      </w:r>
      <w:r w:rsidRPr="00C52E93">
        <w:rPr>
          <w:rFonts w:cs="Times New Roman"/>
          <w:sz w:val="28"/>
          <w:szCs w:val="28"/>
          <w:lang w:val="en-US"/>
        </w:rPr>
        <w:t>iminare cu care se pot confrunta migranții.</w:t>
      </w:r>
    </w:p>
    <w:p w14:paraId="0B9DC1D4" w14:textId="77777777" w:rsidR="0075115C" w:rsidRPr="00C52E93" w:rsidRDefault="00623B17">
      <w:pPr>
        <w:numPr>
          <w:ilvl w:val="0"/>
          <w:numId w:val="17"/>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Sprijin în toate etapele integrării</w:t>
      </w:r>
      <w:r w:rsidRPr="00C52E93">
        <w:rPr>
          <w:rFonts w:cs="Times New Roman"/>
          <w:sz w:val="28"/>
          <w:szCs w:val="28"/>
          <w:lang w:val="en-US"/>
        </w:rPr>
        <w:t>: Integrarea necesită măsuri de sprijin pe termen lung, de la sosire până la obținerea unui statut stabil.</w:t>
      </w:r>
    </w:p>
    <w:p w14:paraId="3E219C89" w14:textId="77777777" w:rsidR="0075115C" w:rsidRPr="00C52E93" w:rsidRDefault="00623B17">
      <w:pPr>
        <w:numPr>
          <w:ilvl w:val="0"/>
          <w:numId w:val="17"/>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Parteneriate multipartite</w:t>
      </w:r>
      <w:r w:rsidRPr="00C52E93">
        <w:rPr>
          <w:rFonts w:cs="Times New Roman"/>
          <w:sz w:val="28"/>
          <w:szCs w:val="28"/>
          <w:lang w:val="en-US"/>
        </w:rPr>
        <w:t>: Integrarea necesită implicarea tuturor acto</w:t>
      </w:r>
      <w:r w:rsidRPr="00C52E93">
        <w:rPr>
          <w:rFonts w:cs="Times New Roman"/>
          <w:sz w:val="28"/>
          <w:szCs w:val="28"/>
          <w:lang w:val="en-US"/>
        </w:rPr>
        <w:t>rilor relevanți, de la autorități publice și organizații ale societății civile, până la angajatori și comunități locale.</w:t>
      </w:r>
    </w:p>
    <w:p w14:paraId="2A7F084A" w14:textId="77777777" w:rsidR="0075115C" w:rsidRPr="00C52E93" w:rsidRDefault="00623B17">
      <w:pPr>
        <w:pStyle w:val="af3"/>
        <w:tabs>
          <w:tab w:val="num" w:pos="0"/>
        </w:tabs>
        <w:spacing w:before="0" w:beforeAutospacing="0" w:after="0" w:afterAutospacing="0"/>
        <w:ind w:firstLine="709"/>
        <w:rPr>
          <w:sz w:val="28"/>
          <w:szCs w:val="28"/>
          <w:lang w:val="en-US"/>
        </w:rPr>
      </w:pPr>
      <w:r w:rsidRPr="00C52E93">
        <w:rPr>
          <w:sz w:val="28"/>
          <w:szCs w:val="28"/>
          <w:lang w:val="en-US"/>
        </w:rPr>
        <w:t>Alinierea la aceste principii și valori este importantă pentru Republica Moldova din mai multe motive:</w:t>
      </w:r>
    </w:p>
    <w:p w14:paraId="666DD486" w14:textId="77777777" w:rsidR="0075115C" w:rsidRPr="00C52E93" w:rsidRDefault="00623B17">
      <w:pPr>
        <w:numPr>
          <w:ilvl w:val="0"/>
          <w:numId w:val="18"/>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Acces la finanțare europeană</w:t>
      </w:r>
      <w:r w:rsidRPr="00C52E93">
        <w:rPr>
          <w:rFonts w:cs="Times New Roman"/>
          <w:sz w:val="28"/>
          <w:szCs w:val="28"/>
          <w:lang w:val="en-US"/>
        </w:rPr>
        <w:t xml:space="preserve">: </w:t>
      </w:r>
      <w:r w:rsidRPr="00C52E93">
        <w:rPr>
          <w:rFonts w:cs="Times New Roman"/>
          <w:sz w:val="28"/>
          <w:szCs w:val="28"/>
          <w:lang w:val="en-US"/>
        </w:rPr>
        <w:t>Respectarea standardelor UE în domeniul integrării facilitează accesul la fonduri europene pentru programe și proiecte de sprijinire a migranților.</w:t>
      </w:r>
    </w:p>
    <w:p w14:paraId="1E7F0A20" w14:textId="77777777" w:rsidR="0075115C" w:rsidRPr="00C52E93" w:rsidRDefault="00623B17">
      <w:pPr>
        <w:numPr>
          <w:ilvl w:val="0"/>
          <w:numId w:val="18"/>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Schimb de bune practici</w:t>
      </w:r>
      <w:r w:rsidRPr="00C52E93">
        <w:rPr>
          <w:rFonts w:cs="Times New Roman"/>
          <w:sz w:val="28"/>
          <w:szCs w:val="28"/>
          <w:lang w:val="en-US"/>
        </w:rPr>
        <w:t xml:space="preserve">: Republica Moldova poate beneficia de schimbul de experiență și de bune practici cu </w:t>
      </w:r>
      <w:r w:rsidRPr="00C52E93">
        <w:rPr>
          <w:rFonts w:cs="Times New Roman"/>
          <w:sz w:val="28"/>
          <w:szCs w:val="28"/>
          <w:lang w:val="en-US"/>
        </w:rPr>
        <w:t>alte state membre UE.</w:t>
      </w:r>
    </w:p>
    <w:p w14:paraId="0AB42141" w14:textId="77777777" w:rsidR="0075115C" w:rsidRPr="00C52E93" w:rsidRDefault="00623B17">
      <w:pPr>
        <w:numPr>
          <w:ilvl w:val="0"/>
          <w:numId w:val="18"/>
        </w:numPr>
        <w:tabs>
          <w:tab w:val="clear" w:pos="720"/>
          <w:tab w:val="num" w:pos="709"/>
        </w:tabs>
        <w:spacing w:after="0" w:line="240" w:lineRule="auto"/>
        <w:ind w:left="709" w:hanging="153"/>
        <w:jc w:val="both"/>
        <w:rPr>
          <w:rFonts w:cs="Times New Roman"/>
          <w:sz w:val="28"/>
          <w:szCs w:val="28"/>
          <w:lang w:val="en-US"/>
        </w:rPr>
      </w:pPr>
      <w:r w:rsidRPr="00C52E93">
        <w:rPr>
          <w:rStyle w:val="af4"/>
          <w:lang w:val="en-US"/>
        </w:rPr>
        <w:t>Îmbunătățirea politicilor naționale</w:t>
      </w:r>
      <w:r w:rsidRPr="00C52E93">
        <w:rPr>
          <w:rFonts w:cs="Times New Roman"/>
          <w:sz w:val="28"/>
          <w:szCs w:val="28"/>
          <w:lang w:val="en-US"/>
        </w:rPr>
        <w:t>: Alinierea la standardele UE contribuie la îmbunătățirea calității și eficienței politicilor naționale în domeniul integrării.</w:t>
      </w:r>
    </w:p>
    <w:p w14:paraId="3B6C73DC" w14:textId="77777777" w:rsidR="0075115C" w:rsidRPr="00C52E93" w:rsidRDefault="00623B17">
      <w:pPr>
        <w:numPr>
          <w:ilvl w:val="0"/>
          <w:numId w:val="18"/>
        </w:numPr>
        <w:spacing w:after="0" w:line="240" w:lineRule="auto"/>
        <w:ind w:left="709" w:hanging="153"/>
        <w:jc w:val="both"/>
        <w:rPr>
          <w:rFonts w:cs="Times New Roman"/>
          <w:sz w:val="28"/>
          <w:szCs w:val="28"/>
          <w:lang w:val="en-US"/>
        </w:rPr>
      </w:pPr>
      <w:r w:rsidRPr="00C52E93">
        <w:rPr>
          <w:rStyle w:val="af4"/>
          <w:lang w:val="en-US"/>
        </w:rPr>
        <w:t>Consolidarea relațiilor cu UE</w:t>
      </w:r>
      <w:r w:rsidRPr="00C52E93">
        <w:rPr>
          <w:rFonts w:cs="Times New Roman"/>
          <w:sz w:val="28"/>
          <w:szCs w:val="28"/>
          <w:lang w:val="en-US"/>
        </w:rPr>
        <w:t>: Adoptarea unor politici conforme cu stan</w:t>
      </w:r>
      <w:r w:rsidRPr="00C52E93">
        <w:rPr>
          <w:rFonts w:cs="Times New Roman"/>
          <w:sz w:val="28"/>
          <w:szCs w:val="28"/>
          <w:lang w:val="en-US"/>
        </w:rPr>
        <w:t>dardele UE poate contribui la consolidarea relațiilor dintre Republica Moldova și Uniunea Europeană.</w:t>
      </w:r>
    </w:p>
    <w:p w14:paraId="4AA59012"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lastRenderedPageBreak/>
        <w:t>Prin urmare, este necesar ca Programul Național privind Integrarea Etapizată a Străinilor în Republica Moldova să se inspire din "Planul de acțiune privind</w:t>
      </w:r>
      <w:r w:rsidRPr="00C52E93">
        <w:rPr>
          <w:sz w:val="28"/>
          <w:szCs w:val="28"/>
          <w:lang w:val="en-US"/>
        </w:rPr>
        <w:t xml:space="preserve"> integrarea și incluziunea pentru perioada 2021-2027" și să se alinieze la politicile UE în materie de integrare. Aceasta va permite Republicii Moldova să construiască o societate mai incluzivă, în care migranții și persoanele aflate în căutarea protecției</w:t>
      </w:r>
      <w:r w:rsidRPr="00C52E93">
        <w:rPr>
          <w:sz w:val="28"/>
          <w:szCs w:val="28"/>
          <w:lang w:val="en-US"/>
        </w:rPr>
        <w:t xml:space="preserve"> se simt bineveniți și au oportunitatea de a-și aduce contribuția la dezvoltarea țării.</w:t>
      </w:r>
    </w:p>
    <w:p w14:paraId="4C94D183"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Așa cum a subliniat președinta von der Leyen în Discursul privind starea Uniunii din 2020, "persoanele care au drept de ședere trebuie să fie integrate și să se simtă b</w:t>
      </w:r>
      <w:r w:rsidRPr="00C52E93">
        <w:rPr>
          <w:sz w:val="28"/>
          <w:szCs w:val="28"/>
          <w:lang w:val="en-US"/>
        </w:rPr>
        <w:t>inevenite". Republica Moldova are un interes major în a transforma această viziune în realitate, oferind migranților un viitor și valorificând competențele, energia și talentul lor.</w:t>
      </w:r>
    </w:p>
    <w:p w14:paraId="043679AB" w14:textId="77777777" w:rsidR="0075115C" w:rsidRPr="00C52E93" w:rsidRDefault="0075115C">
      <w:pPr>
        <w:pStyle w:val="aff8"/>
        <w:ind w:left="0" w:right="107" w:firstLine="709"/>
        <w:rPr>
          <w:sz w:val="28"/>
          <w:szCs w:val="28"/>
          <w:lang w:val="en-US"/>
        </w:rPr>
      </w:pPr>
    </w:p>
    <w:p w14:paraId="38E637E3" w14:textId="77777777" w:rsidR="0075115C" w:rsidRPr="00C52E93" w:rsidRDefault="00623B17">
      <w:pPr>
        <w:pStyle w:val="af3"/>
        <w:spacing w:before="0" w:beforeAutospacing="0" w:after="0" w:afterAutospacing="0"/>
        <w:ind w:firstLine="709"/>
        <w:contextualSpacing/>
        <w:jc w:val="both"/>
        <w:rPr>
          <w:color w:val="222A35" w:themeColor="text2" w:themeShade="80"/>
          <w:sz w:val="28"/>
          <w:szCs w:val="28"/>
          <w:lang w:val="en-US"/>
        </w:rPr>
      </w:pPr>
      <w:r w:rsidRPr="00C52E93">
        <w:rPr>
          <w:b/>
          <w:bCs/>
          <w:i/>
          <w:iCs/>
          <w:sz w:val="28"/>
          <w:szCs w:val="28"/>
          <w:lang w:val="en-US"/>
        </w:rPr>
        <w:t>Gestionarea crizei migraționale</w:t>
      </w:r>
      <w:r w:rsidRPr="00C52E93">
        <w:rPr>
          <w:sz w:val="28"/>
          <w:szCs w:val="28"/>
          <w:lang w:val="en-US"/>
        </w:rPr>
        <w:t>. Criza migrațională provocată de războiul declanșat de Federația Rusă în Ucraina a impus statul să întreprindă măsuri urgente pentru a consolida instrumentele de coordonare și gestionare de către autoritățile competente a situațiilor de aflux sporit de mi</w:t>
      </w:r>
      <w:r w:rsidRPr="00C52E93">
        <w:rPr>
          <w:sz w:val="28"/>
          <w:szCs w:val="28"/>
          <w:lang w:val="en-US"/>
        </w:rPr>
        <w:t xml:space="preserve">granți. </w:t>
      </w:r>
      <w:r w:rsidRPr="00C52E93">
        <w:rPr>
          <w:color w:val="222A35" w:themeColor="text2" w:themeShade="80"/>
          <w:sz w:val="28"/>
          <w:szCs w:val="28"/>
          <w:lang w:val="en-US"/>
        </w:rPr>
        <w:t>De la începutul conflictului armat în Ucraina (în perioada 24.02.2022-31.12.2024), pe teritoriul Republicii Moldova, prin sectorul moldo-ucrainean, au traversat peste un milion de cetățeni ucraineni. Peste 120 mii de persoane strămutate din Ucraina</w:t>
      </w:r>
      <w:r w:rsidRPr="00C52E93">
        <w:rPr>
          <w:color w:val="222A35" w:themeColor="text2" w:themeShade="80"/>
          <w:sz w:val="28"/>
          <w:szCs w:val="28"/>
          <w:lang w:val="en-US"/>
        </w:rPr>
        <w:t xml:space="preserve"> se află în prezent pe teritoriul Moldovei, mulți optând să rămână din cauza incertitudinii privind siguranța în Ucraina.</w:t>
      </w:r>
    </w:p>
    <w:p w14:paraId="72FAE417" w14:textId="77777777" w:rsidR="0075115C" w:rsidRPr="00C52E93" w:rsidRDefault="00623B17">
      <w:pPr>
        <w:pStyle w:val="ae"/>
        <w:spacing w:after="0" w:line="240" w:lineRule="auto"/>
        <w:ind w:left="0" w:firstLine="709"/>
        <w:jc w:val="both"/>
        <w:rPr>
          <w:rFonts w:eastAsia="Calibri" w:cs="Times New Roman"/>
          <w:sz w:val="28"/>
          <w:szCs w:val="28"/>
          <w:lang w:val="en-US"/>
        </w:rPr>
      </w:pPr>
      <w:r w:rsidRPr="00C52E93">
        <w:rPr>
          <w:rFonts w:eastAsia="Calibri" w:cs="Times New Roman"/>
          <w:sz w:val="28"/>
          <w:szCs w:val="28"/>
          <w:lang w:val="en-US"/>
        </w:rPr>
        <w:t>De la 24 februarie 2022 și până la instituirea mecanismului de protecție temporară, șederea în Republica Moldova și accesul la dreptur</w:t>
      </w:r>
      <w:r w:rsidRPr="00C52E93">
        <w:rPr>
          <w:rFonts w:eastAsia="Calibri" w:cs="Times New Roman"/>
          <w:sz w:val="28"/>
          <w:szCs w:val="28"/>
          <w:lang w:val="en-US"/>
        </w:rPr>
        <w:t>ile de care puteau beneficia persoanele strămutate din Ucraina erau reglementate prin Dispozițiile Comisiei pentru Situații Excepționale (CSE) a Republicii Moldova, împuternicită să emită dispoziții în vederea punerii în executare a unor măsuri în contextu</w:t>
      </w:r>
      <w:r w:rsidRPr="00C52E93">
        <w:rPr>
          <w:rFonts w:eastAsia="Calibri" w:cs="Times New Roman"/>
          <w:sz w:val="28"/>
          <w:szCs w:val="28"/>
          <w:lang w:val="en-US"/>
        </w:rPr>
        <w:t>l declarării stării de urgență pe întregul teritoriu al Republicii Moldova, instituită prin Hotărârea Parlamentului nr. 41 din 24.02.2022</w:t>
      </w:r>
      <w:r>
        <w:rPr>
          <w:rStyle w:val="af7"/>
          <w:rFonts w:eastAsia="Calibri" w:cs="Times New Roman"/>
          <w:sz w:val="28"/>
          <w:szCs w:val="28"/>
        </w:rPr>
        <w:footnoteReference w:id="8"/>
      </w:r>
      <w:r w:rsidRPr="00C52E93">
        <w:rPr>
          <w:rFonts w:eastAsia="Calibri" w:cs="Times New Roman"/>
          <w:sz w:val="28"/>
          <w:szCs w:val="28"/>
          <w:lang w:val="en-US"/>
        </w:rPr>
        <w:t xml:space="preserve">. </w:t>
      </w:r>
    </w:p>
    <w:p w14:paraId="1E0D4463" w14:textId="77777777" w:rsidR="0075115C" w:rsidRDefault="00623B17">
      <w:pPr>
        <w:spacing w:after="0" w:line="240" w:lineRule="auto"/>
        <w:jc w:val="both"/>
        <w:rPr>
          <w:rFonts w:eastAsia="Calibri" w:cs="Times New Roman"/>
          <w:sz w:val="28"/>
          <w:szCs w:val="28"/>
        </w:rPr>
      </w:pPr>
      <w:r w:rsidRPr="00C52E93">
        <w:rPr>
          <w:rFonts w:eastAsia="Calibri" w:cs="Times New Roman"/>
          <w:i/>
          <w:iCs/>
          <w:sz w:val="28"/>
          <w:szCs w:val="28"/>
          <w:lang w:val="en-US"/>
        </w:rPr>
        <w:t xml:space="preserve">     Legea 270/2008 privind azilul</w:t>
      </w:r>
      <w:r w:rsidRPr="00C52E93">
        <w:rPr>
          <w:rFonts w:eastAsia="Calibri" w:cs="Times New Roman"/>
          <w:sz w:val="28"/>
          <w:szCs w:val="28"/>
          <w:lang w:val="en-US"/>
        </w:rPr>
        <w:t xml:space="preserve"> </w:t>
      </w:r>
      <w:r w:rsidRPr="00C52E93">
        <w:rPr>
          <w:rFonts w:eastAsia="Calibri" w:cs="Times New Roman"/>
          <w:i/>
          <w:iCs/>
          <w:sz w:val="28"/>
          <w:szCs w:val="28"/>
          <w:lang w:val="en-US"/>
        </w:rPr>
        <w:t>în Republica Moldova</w:t>
      </w:r>
      <w:r>
        <w:rPr>
          <w:rStyle w:val="af7"/>
          <w:rFonts w:eastAsia="Calibri" w:cs="Times New Roman"/>
          <w:sz w:val="28"/>
          <w:szCs w:val="28"/>
        </w:rPr>
        <w:footnoteReference w:id="9"/>
      </w:r>
      <w:r w:rsidRPr="00C52E93">
        <w:rPr>
          <w:rFonts w:eastAsia="Calibri" w:cs="Times New Roman"/>
          <w:sz w:val="28"/>
          <w:szCs w:val="28"/>
          <w:lang w:val="en-US"/>
        </w:rPr>
        <w:t xml:space="preserve"> </w:t>
      </w:r>
      <w:r w:rsidRPr="00C52E93">
        <w:rPr>
          <w:rFonts w:eastAsia="Calibri" w:cs="Times New Roman"/>
          <w:i/>
          <w:iCs/>
          <w:sz w:val="28"/>
          <w:szCs w:val="28"/>
          <w:lang w:val="en-US"/>
        </w:rPr>
        <w:t>ș</w:t>
      </w:r>
      <w:r w:rsidRPr="00C52E93">
        <w:rPr>
          <w:rFonts w:eastAsia="Calibri" w:cs="Times New Roman"/>
          <w:i/>
          <w:iCs/>
          <w:sz w:val="28"/>
          <w:szCs w:val="28"/>
          <w:lang w:val="en-US"/>
        </w:rPr>
        <w:t>i Dispozițiile CSE</w:t>
      </w:r>
      <w:r w:rsidRPr="00C52E93">
        <w:rPr>
          <w:rFonts w:eastAsia="Calibri" w:cs="Times New Roman"/>
          <w:sz w:val="28"/>
          <w:szCs w:val="28"/>
          <w:lang w:val="en-US"/>
        </w:rPr>
        <w:t xml:space="preserve"> (prevederi în 11 Dispoziții) au consti</w:t>
      </w:r>
      <w:r w:rsidRPr="00C52E93">
        <w:rPr>
          <w:rFonts w:eastAsia="Calibri" w:cs="Times New Roman"/>
          <w:sz w:val="28"/>
          <w:szCs w:val="28"/>
          <w:lang w:val="en-US"/>
        </w:rPr>
        <w:t xml:space="preserve">tuit cadrul normativ național pentru reglementarea și gestionarea proceselor migraționale, precum și asigurarea drepturilor fundamentale ale persoanelor strămutate din Ucraina. </w:t>
      </w:r>
      <w:r>
        <w:rPr>
          <w:rFonts w:eastAsia="Calibri" w:cs="Times New Roman"/>
          <w:sz w:val="28"/>
          <w:szCs w:val="28"/>
        </w:rPr>
        <w:t>Prin dispozițiile CSE au fost autorizate:</w:t>
      </w:r>
    </w:p>
    <w:p w14:paraId="7E055185"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t>traversarea frontierei de stat a stră</w:t>
      </w:r>
      <w:r w:rsidRPr="00C52E93">
        <w:rPr>
          <w:rFonts w:eastAsia="Calibri" w:cs="Times New Roman"/>
          <w:sz w:val="28"/>
          <w:szCs w:val="28"/>
          <w:lang w:val="en-US"/>
        </w:rPr>
        <w:t xml:space="preserve">inilor care vin din Ucraina, în baza unei liste extinse de documente de identitate, inclusiv cu termen expirat, dar și copii ai acestora; </w:t>
      </w:r>
    </w:p>
    <w:p w14:paraId="2D154711"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t>acordarea asistenței medicale cetățenilor străini sosiți din Ucraina, care întrunesc criteriile definiției de caz pen</w:t>
      </w:r>
      <w:r w:rsidRPr="00C52E93">
        <w:rPr>
          <w:rFonts w:eastAsia="Calibri" w:cs="Times New Roman"/>
          <w:sz w:val="28"/>
          <w:szCs w:val="28"/>
          <w:lang w:val="en-US"/>
        </w:rPr>
        <w:t>tru COVID-19 și în toate cazurile de urgențe medico-chirurgicale, acordarea serviciilor în domeniul sănătății reproducerii, a serviciilor medicale copiilor cu vârsta 0-18 ani și femeilor cu vârsta cuprinsă între 18-55 de ani, a serviciilor de dializă inclu</w:t>
      </w:r>
      <w:r w:rsidRPr="00C52E93">
        <w:rPr>
          <w:rFonts w:eastAsia="Calibri" w:cs="Times New Roman"/>
          <w:sz w:val="28"/>
          <w:szCs w:val="28"/>
          <w:lang w:val="en-US"/>
        </w:rPr>
        <w:t xml:space="preserve">se în Programul unic al asigurării obligatorii de asistență medicală; </w:t>
      </w:r>
    </w:p>
    <w:p w14:paraId="24541272"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t xml:space="preserve">acordarea dreptului de a munci pe teritoriul Republicii Moldova cetățenilor ucraineni, fără obținerea dreptului de ședere provizorie în scop de muncă; </w:t>
      </w:r>
    </w:p>
    <w:p w14:paraId="48546CE4"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lastRenderedPageBreak/>
        <w:t xml:space="preserve">stabilirea oportunității de a frecventa instituția de învățământ în calitate de audient pentru toți copiii din familiile refugiate din Ucraina; </w:t>
      </w:r>
    </w:p>
    <w:p w14:paraId="69E2399F"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t>instituirea mecanismul pentru identificarea, asistența și monitorizarea copiilor în situație de risc, veniți de</w:t>
      </w:r>
      <w:r w:rsidRPr="00C52E93">
        <w:rPr>
          <w:rFonts w:eastAsia="Calibri" w:cs="Times New Roman"/>
          <w:sz w:val="28"/>
          <w:szCs w:val="28"/>
          <w:lang w:val="en-US"/>
        </w:rPr>
        <w:t xml:space="preserve"> pe teritoriul Ucrainei în perioada declarării stării de război în Ucraina;</w:t>
      </w:r>
    </w:p>
    <w:p w14:paraId="26C97DF4" w14:textId="77777777" w:rsidR="0075115C" w:rsidRPr="00C52E93" w:rsidRDefault="00623B17">
      <w:pPr>
        <w:pStyle w:val="ae"/>
        <w:widowControl w:val="0"/>
        <w:numPr>
          <w:ilvl w:val="0"/>
          <w:numId w:val="6"/>
        </w:numPr>
        <w:tabs>
          <w:tab w:val="left" w:pos="993"/>
        </w:tabs>
        <w:spacing w:after="0" w:line="240" w:lineRule="auto"/>
        <w:ind w:left="709" w:firstLine="0"/>
        <w:jc w:val="both"/>
        <w:rPr>
          <w:rFonts w:eastAsia="Calibri" w:cs="Times New Roman"/>
          <w:sz w:val="28"/>
          <w:szCs w:val="28"/>
          <w:lang w:val="en-US"/>
        </w:rPr>
      </w:pPr>
      <w:r w:rsidRPr="00C52E93">
        <w:rPr>
          <w:rFonts w:eastAsia="Calibri" w:cs="Times New Roman"/>
          <w:sz w:val="28"/>
          <w:szCs w:val="28"/>
          <w:lang w:val="en-US"/>
        </w:rPr>
        <w:t>acordarea dreptului cetățenilor ucraineni și membrilor familiilor acestora, care au intrat Republica Moldova în timpul stării de urgență, precum și celor care se aflau legal pe ter</w:t>
      </w:r>
      <w:r w:rsidRPr="00C52E93">
        <w:rPr>
          <w:rFonts w:eastAsia="Calibri" w:cs="Times New Roman"/>
          <w:sz w:val="28"/>
          <w:szCs w:val="28"/>
          <w:lang w:val="en-US"/>
        </w:rPr>
        <w:t>itoriul Republicii Moldova la momentul declarării stării de urgență, să rămână pe teritoriul Republicii Moldova, fără respectarea termenului de 90 de zile calendaristice în orice perioadă de 180 de zile calendaristice</w:t>
      </w:r>
    </w:p>
    <w:p w14:paraId="1AF1B06A" w14:textId="77777777" w:rsidR="0075115C" w:rsidRPr="00C52E93" w:rsidRDefault="00623B17">
      <w:pPr>
        <w:widowControl w:val="0"/>
        <w:spacing w:after="0" w:line="240" w:lineRule="auto"/>
        <w:ind w:firstLine="709"/>
        <w:jc w:val="both"/>
        <w:rPr>
          <w:rFonts w:eastAsia="Calibri" w:cs="Times New Roman"/>
          <w:sz w:val="28"/>
          <w:szCs w:val="28"/>
          <w:lang w:val="en-US"/>
        </w:rPr>
      </w:pPr>
      <w:r w:rsidRPr="00C52E93">
        <w:rPr>
          <w:rFonts w:eastAsia="Calibri" w:cs="Times New Roman"/>
          <w:sz w:val="28"/>
          <w:szCs w:val="28"/>
          <w:lang w:val="en-US"/>
        </w:rPr>
        <w:t>Consecvent, în preajma punctelor de tr</w:t>
      </w:r>
      <w:r w:rsidRPr="00C52E93">
        <w:rPr>
          <w:rFonts w:eastAsia="Calibri" w:cs="Times New Roman"/>
          <w:sz w:val="28"/>
          <w:szCs w:val="28"/>
          <w:lang w:val="en-US"/>
        </w:rPr>
        <w:t>ecere amplasate la frontieră cu Ucraina au fost instituite centre provizorii de gestionare a unor afluxuri de străini, fiind în acest sens improvizată în preajma satului Palanca, rul Ștefan Vodă și o gară. Pe cale de consecință, Ministerul Afacerilor Inter</w:t>
      </w:r>
      <w:r w:rsidRPr="00C52E93">
        <w:rPr>
          <w:rFonts w:eastAsia="Calibri" w:cs="Times New Roman"/>
          <w:sz w:val="28"/>
          <w:szCs w:val="28"/>
          <w:lang w:val="en-US"/>
        </w:rPr>
        <w:t>ne și instituțiile din România au gestionat fluxul de migranți prin coridoare umanitare pentru transportarea persoanelor care se aflau în tranzit în Republica Moldova.</w:t>
      </w:r>
      <w:r>
        <w:rPr>
          <w:rStyle w:val="af7"/>
          <w:rFonts w:eastAsia="Calibri" w:cs="Times New Roman"/>
          <w:sz w:val="28"/>
          <w:szCs w:val="28"/>
        </w:rPr>
        <w:footnoteReference w:id="10"/>
      </w:r>
    </w:p>
    <w:p w14:paraId="4509A3E1" w14:textId="77777777" w:rsidR="0075115C" w:rsidRPr="00C52E93" w:rsidRDefault="00623B17">
      <w:pPr>
        <w:pStyle w:val="af3"/>
        <w:spacing w:before="0" w:beforeAutospacing="0" w:after="0" w:afterAutospacing="0"/>
        <w:ind w:firstLine="709"/>
        <w:contextualSpacing/>
        <w:jc w:val="both"/>
        <w:rPr>
          <w:sz w:val="28"/>
          <w:szCs w:val="28"/>
          <w:lang w:val="en-US"/>
        </w:rPr>
      </w:pPr>
      <w:r w:rsidRPr="00C52E93">
        <w:rPr>
          <w:color w:val="222A35" w:themeColor="text2" w:themeShade="80"/>
          <w:sz w:val="28"/>
          <w:szCs w:val="28"/>
          <w:lang w:val="en-US"/>
        </w:rPr>
        <w:t>Conform datelor din Socio-Economic Insights Survey (SEIS) din 2024</w:t>
      </w:r>
      <w:r>
        <w:rPr>
          <w:rStyle w:val="af7"/>
          <w:color w:val="222A35" w:themeColor="text2" w:themeShade="80"/>
          <w:sz w:val="28"/>
          <w:szCs w:val="28"/>
        </w:rPr>
        <w:footnoteReference w:id="11"/>
      </w:r>
      <w:r w:rsidRPr="00C52E93">
        <w:rPr>
          <w:color w:val="222A35" w:themeColor="text2" w:themeShade="80"/>
          <w:sz w:val="28"/>
          <w:szCs w:val="28"/>
          <w:lang w:val="en-US"/>
        </w:rPr>
        <w:t xml:space="preserve">, 85% dintre refugiații chestionați sunt femei, iar 48% sunt adulți cu vârste între 35-59 de ani. Ponderea </w:t>
      </w:r>
      <w:r w:rsidRPr="00C52E93">
        <w:rPr>
          <w:sz w:val="28"/>
          <w:szCs w:val="28"/>
          <w:lang w:val="en-US"/>
        </w:rPr>
        <w:t>ridicată a femeilor afectează capacitatea familiilor refugiate de a se integra și de a găsi oportunități de muncă, având în vedere și sarcinile de în</w:t>
      </w:r>
      <w:r w:rsidRPr="00C52E93">
        <w:rPr>
          <w:sz w:val="28"/>
          <w:szCs w:val="28"/>
          <w:lang w:val="en-US"/>
        </w:rPr>
        <w:t>grijire pe care femeile le îndeplinesc pentru copii sau alte persoane dependente.</w:t>
      </w:r>
    </w:p>
    <w:p w14:paraId="1DE0D29F" w14:textId="77777777" w:rsidR="0075115C" w:rsidRPr="00C52E93" w:rsidRDefault="00623B17">
      <w:pPr>
        <w:pStyle w:val="af3"/>
        <w:spacing w:before="0" w:beforeAutospacing="0" w:after="0" w:afterAutospacing="0"/>
        <w:ind w:firstLine="709"/>
        <w:contextualSpacing/>
        <w:jc w:val="both"/>
        <w:rPr>
          <w:sz w:val="28"/>
          <w:szCs w:val="28"/>
          <w:lang w:val="en-US"/>
        </w:rPr>
      </w:pPr>
      <w:r w:rsidRPr="00C52E93">
        <w:rPr>
          <w:sz w:val="28"/>
          <w:szCs w:val="28"/>
          <w:lang w:val="en-US"/>
        </w:rPr>
        <w:t>Până în prezent, aproximativ 51,27% dintre refugiați au primit statut de protecție temporară în Moldova, majoritatea dintre aceștia au raportat că nu au întâmpinat dificultăț</w:t>
      </w:r>
      <w:r w:rsidRPr="00C52E93">
        <w:rPr>
          <w:sz w:val="28"/>
          <w:szCs w:val="28"/>
          <w:lang w:val="en-US"/>
        </w:rPr>
        <w:t>i în procesul de obținere a statutului. Cu toate acestea, un procent semnificativ (18%) a raportat experiențe negative, inclusiv comportamente ostile și discriminare din partea comunității locale, fapt care impune Republica Moldova să instituie reguli și c</w:t>
      </w:r>
      <w:r w:rsidRPr="00C52E93">
        <w:rPr>
          <w:sz w:val="28"/>
          <w:szCs w:val="28"/>
          <w:lang w:val="en-US"/>
        </w:rPr>
        <w:t>erințe noi pentru gestionarea situațiilor.</w:t>
      </w:r>
    </w:p>
    <w:p w14:paraId="54FCD61B" w14:textId="77777777" w:rsidR="0075115C" w:rsidRPr="00C52E93" w:rsidRDefault="00623B17">
      <w:pPr>
        <w:widowControl w:val="0"/>
        <w:spacing w:after="0" w:line="240" w:lineRule="auto"/>
        <w:ind w:firstLine="709"/>
        <w:jc w:val="both"/>
        <w:rPr>
          <w:rFonts w:eastAsia="Calibri" w:cs="Times New Roman"/>
          <w:sz w:val="28"/>
          <w:szCs w:val="28"/>
          <w:lang w:val="en-US"/>
        </w:rPr>
      </w:pPr>
      <w:r w:rsidRPr="00C52E93">
        <w:rPr>
          <w:rFonts w:cs="Times New Roman"/>
          <w:sz w:val="28"/>
          <w:szCs w:val="28"/>
          <w:lang w:val="en-US"/>
        </w:rPr>
        <w:t>Printre provocările de bază, este considerată a fi integrarea copiilor în instituții de învățământ. O parte semnificativă a copiilor refugiați nu este inclusă în sistemul național de educație, mulți fiind încă îns</w:t>
      </w:r>
      <w:r w:rsidRPr="00C52E93">
        <w:rPr>
          <w:rFonts w:cs="Times New Roman"/>
          <w:sz w:val="28"/>
          <w:szCs w:val="28"/>
          <w:lang w:val="en-US"/>
        </w:rPr>
        <w:t>criși în școli din Ucraina și participă la cursuri online</w:t>
      </w:r>
    </w:p>
    <w:p w14:paraId="02AEBA6E" w14:textId="77777777" w:rsidR="0075115C" w:rsidRPr="00C52E93" w:rsidRDefault="00623B17">
      <w:pPr>
        <w:spacing w:after="0" w:line="240" w:lineRule="auto"/>
        <w:ind w:firstLine="709"/>
        <w:jc w:val="both"/>
        <w:rPr>
          <w:rFonts w:eastAsia="Times New Roman" w:cs="Times New Roman"/>
          <w:color w:val="auto"/>
          <w:sz w:val="28"/>
          <w:szCs w:val="28"/>
          <w:lang w:val="en-US"/>
        </w:rPr>
      </w:pPr>
      <w:r w:rsidRPr="00C52E93">
        <w:rPr>
          <w:rFonts w:eastAsia="Times New Roman" w:cs="Times New Roman"/>
          <w:color w:val="auto"/>
          <w:sz w:val="28"/>
          <w:szCs w:val="28"/>
          <w:lang w:val="en-US"/>
        </w:rPr>
        <w:t>Este important de menționat că Republica Moldova a depus eforturi considerabile pentru a oferi protecție și asistență acestor persoane, însă este necesară o monitorizare atentă a situației și adapta</w:t>
      </w:r>
      <w:r w:rsidRPr="00C52E93">
        <w:rPr>
          <w:rFonts w:eastAsia="Times New Roman" w:cs="Times New Roman"/>
          <w:color w:val="auto"/>
          <w:sz w:val="28"/>
          <w:szCs w:val="28"/>
          <w:lang w:val="en-US"/>
        </w:rPr>
        <w:t>rea strategiilor în funcție de evoluția conflictului și a nevoilor persoanelor strămutate.</w:t>
      </w:r>
    </w:p>
    <w:p w14:paraId="0432C1AA" w14:textId="77777777" w:rsidR="0075115C" w:rsidRPr="00C52E93" w:rsidRDefault="00623B17">
      <w:pPr>
        <w:spacing w:after="0" w:line="240" w:lineRule="auto"/>
        <w:ind w:firstLine="709"/>
        <w:contextualSpacing/>
        <w:jc w:val="both"/>
        <w:rPr>
          <w:rFonts w:cs="Times New Roman"/>
          <w:sz w:val="28"/>
          <w:szCs w:val="28"/>
          <w:lang w:val="en-US"/>
        </w:rPr>
      </w:pPr>
      <w:r w:rsidRPr="00C52E93">
        <w:rPr>
          <w:rFonts w:eastAsia="Times New Roman" w:cs="Times New Roman"/>
          <w:color w:val="auto"/>
          <w:sz w:val="28"/>
          <w:szCs w:val="28"/>
          <w:lang w:val="en-US" w:eastAsia="zh-CN"/>
        </w:rPr>
        <w:t>Conform datelor de evidență ale Inspectoratului General de Migrație (IGM), la 31 decembrie 2024, un număr de 84.904 de persoane s-au înregistrat pentru obținerea pro</w:t>
      </w:r>
      <w:r w:rsidRPr="00C52E93">
        <w:rPr>
          <w:rFonts w:eastAsia="Times New Roman" w:cs="Times New Roman"/>
          <w:color w:val="auto"/>
          <w:sz w:val="28"/>
          <w:szCs w:val="28"/>
          <w:lang w:val="en-US" w:eastAsia="zh-CN"/>
        </w:rPr>
        <w:t>tecției temporare. Până la data de 31 decembrie 2024,</w:t>
      </w:r>
      <w:r w:rsidRPr="00C52E93">
        <w:rPr>
          <w:rFonts w:cs="Times New Roman"/>
          <w:color w:val="auto"/>
          <w:sz w:val="28"/>
          <w:szCs w:val="28"/>
          <w:lang w:val="en-US"/>
        </w:rPr>
        <w:t xml:space="preserve"> </w:t>
      </w:r>
      <w:r w:rsidRPr="00C52E93">
        <w:rPr>
          <w:rFonts w:cs="Times New Roman"/>
          <w:sz w:val="28"/>
          <w:szCs w:val="28"/>
          <w:lang w:val="en-US"/>
        </w:rPr>
        <w:t>66.457 de persoane, inclusiv 16.857 de minori, au finalizat procedura și au primit documente de identitate, prezentându-se la ghișeele Inspectoratului General pentru Migrație.</w:t>
      </w:r>
    </w:p>
    <w:p w14:paraId="2A3C56FA" w14:textId="77777777" w:rsidR="0075115C" w:rsidRPr="00C52E93" w:rsidRDefault="00623B17">
      <w:pPr>
        <w:spacing w:after="0" w:line="240" w:lineRule="auto"/>
        <w:ind w:firstLine="709"/>
        <w:jc w:val="both"/>
        <w:rPr>
          <w:rFonts w:eastAsia="Times New Roman" w:cs="Times New Roman"/>
          <w:color w:val="auto"/>
          <w:sz w:val="28"/>
          <w:szCs w:val="28"/>
          <w:lang w:val="en-US"/>
        </w:rPr>
      </w:pPr>
      <w:r w:rsidRPr="00C52E93">
        <w:rPr>
          <w:rFonts w:eastAsia="Times New Roman" w:cs="Times New Roman"/>
          <w:color w:val="auto"/>
          <w:sz w:val="28"/>
          <w:szCs w:val="28"/>
          <w:lang w:val="en-US"/>
        </w:rPr>
        <w:lastRenderedPageBreak/>
        <w:t>Analiza datelor IGM relevă</w:t>
      </w:r>
      <w:r w:rsidRPr="00C52E93">
        <w:rPr>
          <w:rFonts w:eastAsia="Times New Roman" w:cs="Times New Roman"/>
          <w:color w:val="auto"/>
          <w:sz w:val="28"/>
          <w:szCs w:val="28"/>
          <w:lang w:val="en-US"/>
        </w:rPr>
        <w:t xml:space="preserve"> o creștere semnificativă a numărului de persoane care au solicitat și au obținut protecție temporară în Republica Moldova în 2024 comparativ cu 2023. Această creștere este, cel mai probabil, o consecință directă a continuării conflictului militar din Ucra</w:t>
      </w:r>
      <w:r w:rsidRPr="00C52E93">
        <w:rPr>
          <w:rFonts w:eastAsia="Times New Roman" w:cs="Times New Roman"/>
          <w:color w:val="auto"/>
          <w:sz w:val="28"/>
          <w:szCs w:val="28"/>
          <w:lang w:val="en-US"/>
        </w:rPr>
        <w:t>ina.</w:t>
      </w:r>
    </w:p>
    <w:p w14:paraId="67E1727A" w14:textId="77777777" w:rsidR="0075115C" w:rsidRPr="00C52E93" w:rsidRDefault="0075115C">
      <w:pPr>
        <w:spacing w:after="0" w:line="240" w:lineRule="auto"/>
        <w:contextualSpacing/>
        <w:rPr>
          <w:rFonts w:eastAsia="Times New Roman" w:cs="Times New Roman"/>
          <w:i/>
          <w:iCs/>
          <w:color w:val="222A35" w:themeColor="text2" w:themeShade="80"/>
          <w:sz w:val="28"/>
          <w:szCs w:val="28"/>
          <w:lang w:val="en-US" w:eastAsia="zh-CN"/>
        </w:rPr>
      </w:pPr>
    </w:p>
    <w:p w14:paraId="4EF18FB8" w14:textId="77777777" w:rsidR="0075115C" w:rsidRPr="00C52E93" w:rsidRDefault="00623B17">
      <w:pPr>
        <w:pStyle w:val="af3"/>
        <w:spacing w:before="0" w:beforeAutospacing="0" w:after="0" w:afterAutospacing="0"/>
        <w:ind w:left="1440"/>
        <w:contextualSpacing/>
        <w:jc w:val="both"/>
        <w:rPr>
          <w:b/>
          <w:bCs/>
          <w:i/>
          <w:iCs/>
          <w:color w:val="222A35" w:themeColor="text2" w:themeShade="80"/>
          <w:sz w:val="28"/>
          <w:szCs w:val="28"/>
          <w:lang w:val="en-US"/>
        </w:rPr>
      </w:pPr>
      <w:r w:rsidRPr="00C52E93">
        <w:rPr>
          <w:b/>
          <w:bCs/>
          <w:i/>
          <w:iCs/>
          <w:color w:val="222A35" w:themeColor="text2" w:themeShade="80"/>
          <w:sz w:val="28"/>
          <w:szCs w:val="28"/>
          <w:lang w:val="en-US"/>
        </w:rPr>
        <w:t>Analiza SWOT privind gestionarea crizei migraționale</w:t>
      </w:r>
    </w:p>
    <w:tbl>
      <w:tblPr>
        <w:tblStyle w:val="af2"/>
        <w:tblW w:w="5000" w:type="pct"/>
        <w:tblLook w:val="04A0" w:firstRow="1" w:lastRow="0" w:firstColumn="1" w:lastColumn="0" w:noHBand="0" w:noVBand="1"/>
      </w:tblPr>
      <w:tblGrid>
        <w:gridCol w:w="4813"/>
        <w:gridCol w:w="4814"/>
      </w:tblGrid>
      <w:tr w:rsidR="0075115C" w14:paraId="1BFC16FB"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235C76"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9EF3CE"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rsidRPr="006C41D2" w14:paraId="4E3A8213"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10A5973"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 xml:space="preserve">  Existența unui instrument legal privind gestionarea unitară și coerentă a situației în eventualitatea unui aflux sporit de străini (HG 1146/2017),</w:t>
            </w:r>
          </w:p>
          <w:p w14:paraId="75166871"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 xml:space="preserve">   Existența centrelor de plasament temporar și programe de protecție temporară facilitează adăpostirea </w:t>
            </w:r>
            <w:r w:rsidRPr="00C52E93">
              <w:rPr>
                <w:strike/>
                <w:color w:val="222A35" w:themeColor="text2" w:themeShade="80"/>
                <w:sz w:val="28"/>
                <w:szCs w:val="28"/>
                <w:lang w:val="en-US"/>
              </w:rPr>
              <w:t>refugiaților</w:t>
            </w:r>
            <w:r w:rsidRPr="00C52E93">
              <w:rPr>
                <w:color w:val="222A35" w:themeColor="text2" w:themeShade="80"/>
                <w:sz w:val="28"/>
                <w:szCs w:val="28"/>
                <w:lang w:val="en-US"/>
              </w:rPr>
              <w:t xml:space="preserve"> străinilor.</w:t>
            </w:r>
          </w:p>
          <w:p w14:paraId="77B1A4D1"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Instituirea a unor centre provizorii de gestionare a unor afluxuri de străini (cu amplasarea în localitățile din zona de fronti</w:t>
            </w:r>
            <w:r w:rsidRPr="00C52E93">
              <w:rPr>
                <w:color w:val="222A35" w:themeColor="text2" w:themeShade="80"/>
                <w:sz w:val="28"/>
                <w:szCs w:val="28"/>
                <w:lang w:val="en-US"/>
              </w:rPr>
              <w:t>eră Palanca, Ștefan Vodă și Calarașovca, Ocnița).</w:t>
            </w:r>
          </w:p>
          <w:p w14:paraId="750CEA2C"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strike/>
                <w:color w:val="222A35" w:themeColor="text2" w:themeShade="80"/>
                <w:sz w:val="28"/>
                <w:szCs w:val="28"/>
                <w:lang w:val="en-US"/>
              </w:rPr>
              <w:t>Refugiații</w:t>
            </w:r>
            <w:r w:rsidRPr="00C52E93">
              <w:rPr>
                <w:color w:val="222A35" w:themeColor="text2" w:themeShade="80"/>
                <w:sz w:val="28"/>
                <w:szCs w:val="28"/>
                <w:lang w:val="en-US"/>
              </w:rPr>
              <w:t xml:space="preserve"> Străinii beneficiază de acces gratuit la asistență medicală și educație pentru copii.</w:t>
            </w:r>
          </w:p>
          <w:p w14:paraId="0B808AC1"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Inițiativele de voluntariat contribuie la incluziune și la reducerea barierelor culturale.</w:t>
            </w:r>
          </w:p>
        </w:tc>
        <w:tc>
          <w:tcPr>
            <w:tcW w:w="2500" w:type="pct"/>
            <w:tcBorders>
              <w:top w:val="single" w:sz="4" w:space="0" w:color="auto"/>
              <w:left w:val="single" w:sz="4" w:space="0" w:color="auto"/>
              <w:bottom w:val="single" w:sz="4" w:space="0" w:color="auto"/>
              <w:right w:val="single" w:sz="4" w:space="0" w:color="auto"/>
            </w:tcBorders>
          </w:tcPr>
          <w:p w14:paraId="5D57CFD3"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Resursele sunt ins</w:t>
            </w:r>
            <w:r w:rsidRPr="00C52E93">
              <w:rPr>
                <w:color w:val="222A35" w:themeColor="text2" w:themeShade="80"/>
                <w:sz w:val="28"/>
                <w:szCs w:val="28"/>
                <w:lang w:val="en-US"/>
              </w:rPr>
              <w:t>uficiente.</w:t>
            </w:r>
          </w:p>
          <w:p w14:paraId="0CCCB6F5"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Barierele lingvistice și lipsa de competențe specifice îngreunează integrarea în piața muncii.</w:t>
            </w:r>
          </w:p>
          <w:p w14:paraId="24939EA9"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Majoritatea programelor depind de ajutor internațional, ceea ce poate afecta sustenabilitatea.</w:t>
            </w:r>
          </w:p>
        </w:tc>
      </w:tr>
      <w:tr w:rsidR="0075115C" w14:paraId="57893D56"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9CF416"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4CBA05"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rsidRPr="006C41D2" w14:paraId="3119F041"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4702FF2F"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 xml:space="preserve">Colaborarea cu organizații </w:t>
            </w:r>
            <w:r w:rsidRPr="00C52E93">
              <w:rPr>
                <w:color w:val="222A35" w:themeColor="text2" w:themeShade="80"/>
                <w:sz w:val="28"/>
                <w:szCs w:val="28"/>
                <w:lang w:val="en-US"/>
              </w:rPr>
              <w:t>internaționale asigură resursele financiare și logistice necesare.</w:t>
            </w:r>
          </w:p>
          <w:p w14:paraId="590479FA"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Adaptarea legislației poate facilita accesul la piața muncii și antreprenoriatul</w:t>
            </w:r>
          </w:p>
        </w:tc>
        <w:tc>
          <w:tcPr>
            <w:tcW w:w="2500" w:type="pct"/>
            <w:tcBorders>
              <w:top w:val="single" w:sz="4" w:space="0" w:color="auto"/>
              <w:left w:val="single" w:sz="4" w:space="0" w:color="auto"/>
              <w:bottom w:val="single" w:sz="4" w:space="0" w:color="auto"/>
              <w:right w:val="single" w:sz="4" w:space="0" w:color="auto"/>
            </w:tcBorders>
          </w:tcPr>
          <w:p w14:paraId="1BC845BD"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Lipsa unei finanțări constante poate afecta serviciile esențiale pentru refugiați.</w:t>
            </w:r>
          </w:p>
          <w:p w14:paraId="6D2815EF"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Creșterea numărului de re</w:t>
            </w:r>
            <w:r w:rsidRPr="00C52E93">
              <w:rPr>
                <w:color w:val="222A35" w:themeColor="text2" w:themeShade="80"/>
                <w:sz w:val="28"/>
                <w:szCs w:val="28"/>
                <w:lang w:val="en-US"/>
              </w:rPr>
              <w:t>fugiați poate amplifica tensiunile sociale și marginalizarea.</w:t>
            </w:r>
          </w:p>
          <w:p w14:paraId="35DE6D75"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Conflictul de durata din Ucraina și incertitudinea securității regionale și internaționale afectează negativ calitatea vieții.</w:t>
            </w:r>
          </w:p>
        </w:tc>
      </w:tr>
    </w:tbl>
    <w:p w14:paraId="4B22C3C8" w14:textId="77777777" w:rsidR="0075115C" w:rsidRPr="00C52E93" w:rsidRDefault="00623B17">
      <w:pPr>
        <w:pStyle w:val="2"/>
        <w:rPr>
          <w:lang w:val="en-US"/>
        </w:rPr>
      </w:pPr>
      <w:bookmarkStart w:id="8" w:name="_Toc193725333"/>
      <w:r w:rsidRPr="00C52E93">
        <w:rPr>
          <w:lang w:val="en-US"/>
        </w:rPr>
        <w:t>Gestionarea fluxului migrațional.</w:t>
      </w:r>
      <w:bookmarkEnd w:id="8"/>
      <w:r w:rsidRPr="00C52E93">
        <w:rPr>
          <w:lang w:val="en-US"/>
        </w:rPr>
        <w:t xml:space="preserve"> </w:t>
      </w:r>
    </w:p>
    <w:p w14:paraId="0FBDA527" w14:textId="77777777" w:rsidR="0075115C" w:rsidRPr="00C52E93" w:rsidRDefault="00623B17">
      <w:pPr>
        <w:spacing w:after="0" w:line="240" w:lineRule="auto"/>
        <w:ind w:firstLine="709"/>
        <w:jc w:val="both"/>
        <w:rPr>
          <w:rFonts w:cs="Times New Roman"/>
          <w:sz w:val="28"/>
          <w:szCs w:val="28"/>
          <w:lang w:val="en-US"/>
        </w:rPr>
      </w:pPr>
      <w:r w:rsidRPr="00C52E93">
        <w:rPr>
          <w:rFonts w:cs="Times New Roman"/>
          <w:sz w:val="28"/>
          <w:szCs w:val="28"/>
          <w:lang w:val="en-US"/>
        </w:rPr>
        <w:t xml:space="preserve">Beneficiarii de protecție temporară pot beneficia de măsurile de asistență socială destinate familiilor cu copii, precum și copiilor neînsoțiți, similar asistenței acordate familiilor cu copii - cetățeni ai Republicii Moldova, prevăzute în </w:t>
      </w:r>
      <w:r w:rsidRPr="00C52E93">
        <w:rPr>
          <w:rFonts w:cs="Times New Roman"/>
          <w:i/>
          <w:iCs/>
          <w:sz w:val="28"/>
          <w:szCs w:val="28"/>
          <w:lang w:val="en-US"/>
        </w:rPr>
        <w:t>Hotărârea Guvern</w:t>
      </w:r>
      <w:r w:rsidRPr="00C52E93">
        <w:rPr>
          <w:rFonts w:cs="Times New Roman"/>
          <w:i/>
          <w:iCs/>
          <w:sz w:val="28"/>
          <w:szCs w:val="28"/>
          <w:lang w:val="en-US"/>
        </w:rPr>
        <w:t xml:space="preserve">ului nr.889/2013 pentru aprobarea Regulamentului-cadru cu privire la organizarea şi </w:t>
      </w:r>
      <w:r w:rsidRPr="00C52E93">
        <w:rPr>
          <w:rFonts w:cs="Times New Roman"/>
          <w:i/>
          <w:iCs/>
          <w:sz w:val="28"/>
          <w:szCs w:val="28"/>
          <w:lang w:val="en-US"/>
        </w:rPr>
        <w:lastRenderedPageBreak/>
        <w:t xml:space="preserve">funcționarea Serviciului social de sprijin pentru familiile cu copii, </w:t>
      </w:r>
      <w:r w:rsidRPr="00C52E93">
        <w:rPr>
          <w:rFonts w:cs="Times New Roman"/>
          <w:sz w:val="28"/>
          <w:szCs w:val="28"/>
          <w:lang w:val="en-US"/>
        </w:rPr>
        <w:t>inclusiv de ajutor bănesc, pentru a preveni şi/sau a depăși situațiile de risc..</w:t>
      </w:r>
    </w:p>
    <w:p w14:paraId="7975864E" w14:textId="77777777" w:rsidR="0075115C" w:rsidRPr="00C52E93" w:rsidRDefault="00623B17">
      <w:pPr>
        <w:spacing w:after="0" w:line="240" w:lineRule="auto"/>
        <w:ind w:firstLine="709"/>
        <w:jc w:val="both"/>
        <w:rPr>
          <w:rFonts w:cs="Times New Roman"/>
          <w:b/>
          <w:i/>
          <w:iCs/>
          <w:sz w:val="28"/>
          <w:szCs w:val="28"/>
          <w:lang w:val="en-US"/>
        </w:rPr>
      </w:pPr>
      <w:r w:rsidRPr="00C52E93">
        <w:rPr>
          <w:rFonts w:cs="Times New Roman"/>
          <w:sz w:val="28"/>
          <w:szCs w:val="28"/>
          <w:lang w:val="en-US"/>
        </w:rPr>
        <w:t xml:space="preserve">Republica Moldova se </w:t>
      </w:r>
      <w:r w:rsidRPr="00C52E93">
        <w:rPr>
          <w:rFonts w:cs="Times New Roman"/>
          <w:sz w:val="28"/>
          <w:szCs w:val="28"/>
          <w:lang w:val="en-US"/>
        </w:rPr>
        <w:t xml:space="preserve">confruntă cu migrarea economică, migrarea forțată din cauza conflictelor din vecinătatea sa, dar și cu fenomenul de emigrație a tinerelor talente. </w:t>
      </w:r>
    </w:p>
    <w:p w14:paraId="2CAE66EF"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Pe parcursul evoluției și apropierea de standardele UE, Republica Moldova au implementat politici de facilit</w:t>
      </w:r>
      <w:r w:rsidRPr="00C52E93">
        <w:rPr>
          <w:sz w:val="28"/>
          <w:szCs w:val="28"/>
          <w:lang w:val="en-US"/>
        </w:rPr>
        <w:t>are a mobilității pentru cetățenii moldoveni, în special prin acorduri de liber schimb și programe de muncă în statele UE. Totodată, autoritățile moldovenești au adaptat cadrul normativ la standardele UE în contextul aplicării măsurilor de protecție pentru</w:t>
      </w:r>
      <w:r w:rsidRPr="00C52E93">
        <w:rPr>
          <w:sz w:val="28"/>
          <w:szCs w:val="28"/>
          <w:lang w:val="en-US"/>
        </w:rPr>
        <w:t xml:space="preserve"> solicitanții de o formă de protecției, pentru străinii ce sosesc în republica Moldova într-o formă reglementată și ordonată. </w:t>
      </w:r>
    </w:p>
    <w:p w14:paraId="39AF9765" w14:textId="77777777" w:rsidR="0075115C" w:rsidRPr="00C52E93" w:rsidRDefault="00623B17">
      <w:pPr>
        <w:pStyle w:val="af3"/>
        <w:spacing w:before="0" w:beforeAutospacing="0" w:after="0" w:afterAutospacing="0"/>
        <w:ind w:firstLine="709"/>
        <w:jc w:val="both"/>
        <w:rPr>
          <w:sz w:val="28"/>
          <w:szCs w:val="28"/>
          <w:lang w:val="en-US"/>
        </w:rPr>
      </w:pPr>
      <w:r w:rsidRPr="00C52E93">
        <w:rPr>
          <w:sz w:val="28"/>
          <w:szCs w:val="28"/>
          <w:lang w:val="en-US"/>
        </w:rPr>
        <w:t xml:space="preserve">Procesul de integrare în Uniunea Europeană presupune și adaptarea sistemului legislativ și instituțional pentru a face față </w:t>
      </w:r>
      <w:r w:rsidRPr="00C52E93">
        <w:rPr>
          <w:sz w:val="28"/>
          <w:szCs w:val="28"/>
          <w:lang w:val="en-US"/>
        </w:rPr>
        <w:t xml:space="preserve">fluxurilor migratorii, inclusiv prin consolidarea controalelor la frontieră și cooperarea internațională în domeniul securității. De asemenea, se pune un accent deosebit pe integrarea migranților în societatea moldovenească. Astfel, gestionarea fluxurilor </w:t>
      </w:r>
      <w:r w:rsidRPr="00C52E93">
        <w:rPr>
          <w:sz w:val="28"/>
          <w:szCs w:val="28"/>
          <w:lang w:val="en-US"/>
        </w:rPr>
        <w:t>migratorii se află într-o continuă adaptare, în scopul alinierii la standardele europene, dar și pentru a răspunde nevoilor economice și sociale ale țării.</w:t>
      </w:r>
    </w:p>
    <w:p w14:paraId="204FDCDA" w14:textId="77777777" w:rsidR="0075115C" w:rsidRPr="00C52E93" w:rsidRDefault="00623B17">
      <w:pPr>
        <w:pStyle w:val="af3"/>
        <w:shd w:val="clear" w:color="auto" w:fill="FFFFFF"/>
        <w:spacing w:before="0" w:beforeAutospacing="0" w:after="0" w:afterAutospacing="0"/>
        <w:ind w:firstLine="709"/>
        <w:jc w:val="both"/>
        <w:rPr>
          <w:color w:val="262626"/>
          <w:sz w:val="28"/>
          <w:szCs w:val="28"/>
          <w:lang w:val="en-US"/>
        </w:rPr>
      </w:pPr>
      <w:r w:rsidRPr="00C52E93">
        <w:rPr>
          <w:color w:val="222A35"/>
          <w:sz w:val="28"/>
          <w:szCs w:val="28"/>
          <w:lang w:val="en-US"/>
        </w:rPr>
        <w:t>În conformitate cu art.7 alin. (1) al Legii 274/2011 privind integrarea străinilor în Republica Mold</w:t>
      </w:r>
      <w:r w:rsidRPr="00C52E93">
        <w:rPr>
          <w:color w:val="222A35"/>
          <w:sz w:val="28"/>
          <w:szCs w:val="28"/>
          <w:lang w:val="en-US"/>
        </w:rPr>
        <w:t>ova</w:t>
      </w:r>
      <w:r>
        <w:rPr>
          <w:rStyle w:val="af7"/>
          <w:color w:val="222A35"/>
          <w:sz w:val="28"/>
          <w:szCs w:val="28"/>
        </w:rPr>
        <w:footnoteReference w:id="12"/>
      </w:r>
      <w:r w:rsidRPr="00C52E93">
        <w:rPr>
          <w:color w:val="222A35"/>
          <w:sz w:val="28"/>
          <w:szCs w:val="28"/>
          <w:lang w:val="en-US"/>
        </w:rPr>
        <w:t xml:space="preserve">, </w:t>
      </w:r>
      <w:r w:rsidRPr="00C52E93">
        <w:rPr>
          <w:color w:val="262626"/>
          <w:sz w:val="28"/>
          <w:szCs w:val="28"/>
          <w:lang w:val="en-US"/>
        </w:rPr>
        <w:t xml:space="preserve">Ministerul Afacerilor Interne, prin structura sa responsabilă </w:t>
      </w:r>
      <w:r w:rsidRPr="00C52E93">
        <w:rPr>
          <w:color w:val="222A35"/>
          <w:sz w:val="28"/>
          <w:szCs w:val="28"/>
          <w:lang w:val="en-US"/>
        </w:rPr>
        <w:t>Inspectoratul General pentru Migrație</w:t>
      </w:r>
      <w:r w:rsidRPr="00C52E93">
        <w:rPr>
          <w:color w:val="262626"/>
          <w:sz w:val="28"/>
          <w:szCs w:val="28"/>
          <w:lang w:val="en-US"/>
        </w:rPr>
        <w:t xml:space="preserve">, coordonează procesul de integrare a străinilor pe teritoriul Republicii Moldova. </w:t>
      </w:r>
    </w:p>
    <w:p w14:paraId="32D864E6" w14:textId="77777777" w:rsidR="0075115C" w:rsidRPr="00C52E93" w:rsidRDefault="00623B17">
      <w:pPr>
        <w:pStyle w:val="af3"/>
        <w:shd w:val="clear" w:color="auto" w:fill="FFFFFF"/>
        <w:spacing w:before="0" w:beforeAutospacing="0" w:after="0" w:afterAutospacing="0"/>
        <w:ind w:firstLine="284"/>
        <w:jc w:val="both"/>
        <w:rPr>
          <w:color w:val="333333"/>
          <w:sz w:val="28"/>
          <w:szCs w:val="28"/>
          <w:lang w:val="en-US"/>
        </w:rPr>
      </w:pPr>
      <w:r w:rsidRPr="00C52E93">
        <w:rPr>
          <w:color w:val="262626"/>
          <w:sz w:val="28"/>
          <w:szCs w:val="28"/>
          <w:lang w:val="en-US"/>
        </w:rPr>
        <w:t xml:space="preserve">   Totodată, autoritățile administrației publice centrale şi locale</w:t>
      </w:r>
      <w:r w:rsidRPr="00C52E93">
        <w:rPr>
          <w:color w:val="262626"/>
          <w:sz w:val="28"/>
          <w:szCs w:val="28"/>
          <w:lang w:val="en-US"/>
        </w:rPr>
        <w:t xml:space="preserve"> colaborează pentru realizarea prevederilor prezentei legi şi cooperează cu </w:t>
      </w:r>
      <w:r w:rsidRPr="00C52E93">
        <w:rPr>
          <w:color w:val="222A35"/>
          <w:sz w:val="28"/>
          <w:szCs w:val="28"/>
          <w:lang w:val="en-US"/>
        </w:rPr>
        <w:t>Inspectoratul General pentru Migrație</w:t>
      </w:r>
      <w:r w:rsidRPr="00C52E93">
        <w:rPr>
          <w:color w:val="262626"/>
          <w:sz w:val="28"/>
          <w:szCs w:val="28"/>
          <w:lang w:val="en-US"/>
        </w:rPr>
        <w:t xml:space="preserve"> (IGM) în vederea realizării eficiente a procesului de integrare a străinilor.</w:t>
      </w:r>
    </w:p>
    <w:p w14:paraId="32A38CE5" w14:textId="77777777" w:rsidR="0075115C" w:rsidRPr="00C52E93" w:rsidRDefault="00623B17">
      <w:pPr>
        <w:pStyle w:val="ae"/>
        <w:numPr>
          <w:ilvl w:val="0"/>
          <w:numId w:val="6"/>
        </w:numPr>
        <w:tabs>
          <w:tab w:val="left" w:pos="993"/>
        </w:tabs>
        <w:spacing w:after="0" w:line="240" w:lineRule="auto"/>
        <w:ind w:left="709" w:firstLine="0"/>
        <w:jc w:val="both"/>
        <w:rPr>
          <w:rFonts w:eastAsia="Times New Roman" w:cs="Times New Roman"/>
          <w:color w:val="222A35"/>
          <w:sz w:val="28"/>
          <w:szCs w:val="28"/>
          <w:lang w:val="en-US" w:eastAsia="zh-CN"/>
        </w:rPr>
      </w:pPr>
      <w:r w:rsidRPr="00C52E93">
        <w:rPr>
          <w:rFonts w:eastAsia="Times New Roman" w:cs="Times New Roman"/>
          <w:color w:val="222A35"/>
          <w:sz w:val="28"/>
          <w:szCs w:val="28"/>
          <w:lang w:val="en-US" w:eastAsia="zh-CN"/>
        </w:rPr>
        <w:t xml:space="preserve">Inspectoratul General pentru Migrație prin intermediul Centrelor de integrare pentru străini ale Direcțiilor regionale Nord (mun. Bălți), Centru (mun. Chișinău) și Sud. (mun. Cahul) asigură coordonarea procesului de integrare la nivel local. </w:t>
      </w:r>
    </w:p>
    <w:p w14:paraId="4760EFA7" w14:textId="77777777" w:rsidR="0075115C" w:rsidRPr="00C52E93" w:rsidRDefault="00623B17">
      <w:pPr>
        <w:pStyle w:val="ae"/>
        <w:numPr>
          <w:ilvl w:val="0"/>
          <w:numId w:val="6"/>
        </w:numPr>
        <w:tabs>
          <w:tab w:val="left" w:pos="993"/>
        </w:tabs>
        <w:spacing w:after="0" w:line="240" w:lineRule="auto"/>
        <w:ind w:left="709" w:firstLine="0"/>
        <w:jc w:val="both"/>
        <w:rPr>
          <w:rFonts w:eastAsia="Times New Roman" w:cs="Times New Roman"/>
          <w:color w:val="222A35"/>
          <w:sz w:val="28"/>
          <w:szCs w:val="28"/>
          <w:lang w:val="en-US" w:eastAsia="zh-CN"/>
        </w:rPr>
      </w:pPr>
      <w:r w:rsidRPr="00C52E93">
        <w:rPr>
          <w:rFonts w:eastAsia="Times New Roman" w:cs="Times New Roman"/>
          <w:color w:val="222A35"/>
          <w:sz w:val="28"/>
          <w:szCs w:val="28"/>
          <w:lang w:val="en-US" w:eastAsia="zh-CN"/>
        </w:rPr>
        <w:t>Aceste centre</w:t>
      </w:r>
      <w:r w:rsidRPr="00C52E93">
        <w:rPr>
          <w:rFonts w:eastAsia="Times New Roman" w:cs="Times New Roman"/>
          <w:color w:val="222A35"/>
          <w:sz w:val="28"/>
          <w:szCs w:val="28"/>
          <w:lang w:val="en-US" w:eastAsia="zh-CN"/>
        </w:rPr>
        <w:t xml:space="preserve"> reprezintă puncte de contact pentru străini, oferind servicii de consiliere, asistență și informare. IGM se asigură că aceste centre funcționează eficient, având un personalul calificat și că resursele necesare sunt disponibile pentru a sprijini străinii </w:t>
      </w:r>
      <w:r w:rsidRPr="00C52E93">
        <w:rPr>
          <w:rFonts w:eastAsia="Times New Roman" w:cs="Times New Roman"/>
          <w:color w:val="222A35"/>
          <w:sz w:val="28"/>
          <w:szCs w:val="28"/>
          <w:lang w:val="en-US" w:eastAsia="zh-CN"/>
        </w:rPr>
        <w:t>în procesul lor de adaptare și integrare. De asemenea, Inspectoratul General pentru Migrație propune capacitarea Centrelor de integrare pentru străini în vederea dezvoltării personalului și creării condițiilor optime pentru desfășurarea activităților propu</w:t>
      </w:r>
      <w:r w:rsidRPr="00C52E93">
        <w:rPr>
          <w:rFonts w:eastAsia="Times New Roman" w:cs="Times New Roman"/>
          <w:color w:val="222A35"/>
          <w:sz w:val="28"/>
          <w:szCs w:val="28"/>
          <w:lang w:val="en-US" w:eastAsia="zh-CN"/>
        </w:rPr>
        <w:t>se prin accesarea fondurilor externe.</w:t>
      </w:r>
    </w:p>
    <w:p w14:paraId="6CD6B7ED" w14:textId="77777777" w:rsidR="0075115C" w:rsidRPr="00C52E93" w:rsidRDefault="00623B17">
      <w:pPr>
        <w:pStyle w:val="af3"/>
        <w:numPr>
          <w:ilvl w:val="0"/>
          <w:numId w:val="6"/>
        </w:numPr>
        <w:shd w:val="clear" w:color="auto" w:fill="FFFFFF"/>
        <w:tabs>
          <w:tab w:val="left" w:pos="993"/>
        </w:tabs>
        <w:spacing w:before="0" w:beforeAutospacing="0" w:after="0" w:afterAutospacing="0"/>
        <w:ind w:left="709" w:firstLine="0"/>
        <w:jc w:val="both"/>
        <w:rPr>
          <w:color w:val="333333"/>
          <w:sz w:val="28"/>
          <w:szCs w:val="28"/>
          <w:lang w:val="en-US"/>
        </w:rPr>
      </w:pPr>
      <w:r w:rsidRPr="00C52E93">
        <w:rPr>
          <w:color w:val="222A35"/>
          <w:sz w:val="28"/>
          <w:szCs w:val="28"/>
          <w:lang w:val="en-US"/>
        </w:rPr>
        <w:t>Inspectoratul General pentru Migrație asigură accesul străinilor la măsurile și programele de integrare, care sunt oferite de comun cu alte entități, în conformitate cu art. 5 alin. (1) al Legii 274/2011, ce prevede că</w:t>
      </w:r>
      <w:r w:rsidRPr="00C52E93">
        <w:rPr>
          <w:color w:val="222A35"/>
          <w:sz w:val="28"/>
          <w:szCs w:val="28"/>
          <w:lang w:val="en-US"/>
        </w:rPr>
        <w:t xml:space="preserve"> s</w:t>
      </w:r>
      <w:r w:rsidRPr="00C52E93">
        <w:rPr>
          <w:color w:val="262626"/>
          <w:sz w:val="28"/>
          <w:szCs w:val="28"/>
          <w:lang w:val="en-US"/>
        </w:rPr>
        <w:t xml:space="preserve">trăinii beneficiază, prin intermediul autorităților publice centrale și cu sprijinul celor locale, de măsuri de integrare, precum: </w:t>
      </w:r>
    </w:p>
    <w:p w14:paraId="045AEC46" w14:textId="77777777" w:rsidR="0075115C" w:rsidRPr="00C52E93" w:rsidRDefault="00623B17">
      <w:pPr>
        <w:pStyle w:val="af3"/>
        <w:shd w:val="clear" w:color="auto" w:fill="FFFFFF"/>
        <w:spacing w:before="0" w:beforeAutospacing="0" w:after="0" w:afterAutospacing="0"/>
        <w:ind w:firstLine="284"/>
        <w:jc w:val="both"/>
        <w:rPr>
          <w:color w:val="262626"/>
          <w:sz w:val="28"/>
          <w:szCs w:val="28"/>
          <w:lang w:val="en-US"/>
        </w:rPr>
      </w:pPr>
      <w:r w:rsidRPr="00C52E93">
        <w:rPr>
          <w:color w:val="262626"/>
          <w:sz w:val="28"/>
          <w:szCs w:val="28"/>
          <w:lang w:val="en-US"/>
        </w:rPr>
        <w:lastRenderedPageBreak/>
        <w:t xml:space="preserve">  a) activități de integrare ce includ sesiuni de informare specializată, sesiuni de acomodare socioculturală, cursuri de </w:t>
      </w:r>
      <w:r w:rsidRPr="00C52E93">
        <w:rPr>
          <w:color w:val="262626"/>
          <w:sz w:val="28"/>
          <w:szCs w:val="28"/>
          <w:lang w:val="en-US"/>
        </w:rPr>
        <w:t xml:space="preserve">studiere a limbii române, măsuri de ocupare a forței de muncă, informare/consiliere privind obținerea cetățeniei Republicii Moldova; </w:t>
      </w:r>
    </w:p>
    <w:p w14:paraId="2F26DF92" w14:textId="77777777" w:rsidR="0075115C" w:rsidRPr="00C52E93" w:rsidRDefault="00623B17">
      <w:pPr>
        <w:pStyle w:val="af3"/>
        <w:shd w:val="clear" w:color="auto" w:fill="FFFFFF"/>
        <w:spacing w:before="0" w:beforeAutospacing="0" w:after="0" w:afterAutospacing="0"/>
        <w:ind w:firstLine="709"/>
        <w:jc w:val="both"/>
        <w:rPr>
          <w:color w:val="262626"/>
          <w:sz w:val="28"/>
          <w:szCs w:val="28"/>
          <w:lang w:val="en-US"/>
        </w:rPr>
      </w:pPr>
      <w:r w:rsidRPr="00C52E93">
        <w:rPr>
          <w:color w:val="262626"/>
          <w:sz w:val="28"/>
          <w:szCs w:val="28"/>
          <w:lang w:val="en-US"/>
        </w:rPr>
        <w:t xml:space="preserve">  b) planuri/programe de integrare specializate, susținute integral sau parțial din mijloace publice sau din surse externe</w:t>
      </w:r>
      <w:r w:rsidRPr="00C52E93">
        <w:rPr>
          <w:color w:val="262626"/>
          <w:sz w:val="28"/>
          <w:szCs w:val="28"/>
          <w:lang w:val="en-US"/>
        </w:rPr>
        <w:t xml:space="preserve"> de finanțare și realizate prin cooperarea dintre autoritățile publice centrale și/sau cu sprijinul celor locale și organizațiile necomerciale.</w:t>
      </w:r>
    </w:p>
    <w:p w14:paraId="015BA8FA" w14:textId="77777777" w:rsidR="0075115C" w:rsidRPr="00C52E93" w:rsidRDefault="00623B17">
      <w:pPr>
        <w:pStyle w:val="af3"/>
        <w:shd w:val="clear" w:color="auto" w:fill="FFFFFF"/>
        <w:spacing w:before="0" w:beforeAutospacing="0" w:after="0" w:afterAutospacing="0"/>
        <w:ind w:firstLine="709"/>
        <w:jc w:val="both"/>
        <w:rPr>
          <w:color w:val="333333"/>
          <w:sz w:val="28"/>
          <w:szCs w:val="28"/>
          <w:lang w:val="en-US"/>
        </w:rPr>
      </w:pPr>
      <w:r w:rsidRPr="00C52E93">
        <w:rPr>
          <w:color w:val="262626"/>
          <w:sz w:val="28"/>
          <w:szCs w:val="28"/>
          <w:lang w:val="en-US"/>
        </w:rPr>
        <w:t xml:space="preserve">Totodată, în conformitate cu </w:t>
      </w:r>
      <w:r w:rsidRPr="00C52E93">
        <w:rPr>
          <w:color w:val="222A35"/>
          <w:sz w:val="28"/>
          <w:szCs w:val="28"/>
          <w:lang w:val="en-US"/>
        </w:rPr>
        <w:t xml:space="preserve">art. 5 alin. (2) al Legii 274/2011, Inspectoratul General pentru Migrație </w:t>
      </w:r>
      <w:r w:rsidRPr="00C52E93">
        <w:rPr>
          <w:color w:val="262626"/>
          <w:sz w:val="28"/>
          <w:szCs w:val="28"/>
          <w:lang w:val="en-US"/>
        </w:rPr>
        <w:t xml:space="preserve">în comun </w:t>
      </w:r>
      <w:r w:rsidRPr="00C52E93">
        <w:rPr>
          <w:color w:val="262626"/>
          <w:sz w:val="28"/>
          <w:szCs w:val="28"/>
          <w:lang w:val="en-US"/>
        </w:rPr>
        <w:t>cu autoritățile publice centrale și/sau locale și/sau sectorul neguvernamental, și/sau angajatorul, pot desfășura și alte măsuri de integrare care nu contravin legislației, menite să faciliteze interacțiunea diversă și pozitivă dintre străini și societatea</w:t>
      </w:r>
      <w:r w:rsidRPr="00C52E93">
        <w:rPr>
          <w:color w:val="262626"/>
          <w:sz w:val="28"/>
          <w:szCs w:val="28"/>
          <w:lang w:val="en-US"/>
        </w:rPr>
        <w:t xml:space="preserve">-gazdă și să creeze oportunități diverse pentru interacțiune. </w:t>
      </w:r>
    </w:p>
    <w:p w14:paraId="346E367E" w14:textId="77777777" w:rsidR="0075115C" w:rsidRPr="00C52E93" w:rsidRDefault="00623B17">
      <w:pPr>
        <w:pStyle w:val="af3"/>
        <w:shd w:val="clear" w:color="auto" w:fill="FFFFFF"/>
        <w:spacing w:before="0" w:beforeAutospacing="0" w:after="0" w:afterAutospacing="0"/>
        <w:ind w:firstLine="709"/>
        <w:jc w:val="both"/>
        <w:rPr>
          <w:color w:val="262626"/>
          <w:sz w:val="28"/>
          <w:szCs w:val="28"/>
          <w:lang w:val="en-US"/>
        </w:rPr>
      </w:pPr>
      <w:r w:rsidRPr="00C52E93">
        <w:rPr>
          <w:color w:val="262626"/>
          <w:sz w:val="28"/>
          <w:szCs w:val="28"/>
          <w:lang w:val="en-US"/>
        </w:rPr>
        <w:t xml:space="preserve">Subsidiar, în conformitate cu prevederile </w:t>
      </w:r>
      <w:r w:rsidRPr="00C52E93">
        <w:rPr>
          <w:color w:val="222A35"/>
          <w:sz w:val="28"/>
          <w:szCs w:val="28"/>
          <w:lang w:val="en-US"/>
        </w:rPr>
        <w:t>Legii 274/2011,</w:t>
      </w:r>
      <w:r w:rsidRPr="00C52E93">
        <w:rPr>
          <w:color w:val="262626"/>
          <w:sz w:val="28"/>
          <w:szCs w:val="28"/>
          <w:lang w:val="en-US"/>
        </w:rPr>
        <w:t xml:space="preserve"> străinii se pot adresa la centrele de integrare din momentul obținerii unui drept de ședere, recunoașterii statutului de apatrid în Rep</w:t>
      </w:r>
      <w:r w:rsidRPr="00C52E93">
        <w:rPr>
          <w:color w:val="262626"/>
          <w:sz w:val="28"/>
          <w:szCs w:val="28"/>
          <w:lang w:val="en-US"/>
        </w:rPr>
        <w:t xml:space="preserve">ublica Moldova sau obținerii protecției internaționale. </w:t>
      </w:r>
    </w:p>
    <w:p w14:paraId="032D580B" w14:textId="77777777" w:rsidR="0075115C" w:rsidRPr="00C52E93" w:rsidRDefault="00623B17">
      <w:pPr>
        <w:pStyle w:val="af3"/>
        <w:shd w:val="clear" w:color="auto" w:fill="FFFFFF"/>
        <w:spacing w:before="0" w:beforeAutospacing="0" w:after="0" w:afterAutospacing="0"/>
        <w:ind w:firstLine="709"/>
        <w:jc w:val="both"/>
        <w:rPr>
          <w:color w:val="262626"/>
          <w:sz w:val="28"/>
          <w:szCs w:val="28"/>
          <w:lang w:val="en-US"/>
        </w:rPr>
      </w:pPr>
      <w:r w:rsidRPr="00C52E93">
        <w:rPr>
          <w:color w:val="262626"/>
          <w:sz w:val="28"/>
          <w:szCs w:val="28"/>
          <w:lang w:val="en-US"/>
        </w:rPr>
        <w:t>Mecanismul de includere a străinilor în măsurile de integrare este stabilit de Guvern (Ordin nr. 42/26/46/128/61/28-A din 16-02-2016)</w:t>
      </w:r>
      <w:r>
        <w:rPr>
          <w:rStyle w:val="af7"/>
          <w:color w:val="262626"/>
          <w:sz w:val="28"/>
          <w:szCs w:val="28"/>
        </w:rPr>
        <w:footnoteReference w:id="13"/>
      </w:r>
      <w:r w:rsidRPr="00C52E93">
        <w:rPr>
          <w:color w:val="262626"/>
          <w:sz w:val="28"/>
          <w:szCs w:val="28"/>
          <w:lang w:val="en-US"/>
        </w:rPr>
        <w:t xml:space="preserve">. </w:t>
      </w:r>
    </w:p>
    <w:p w14:paraId="7D975BEC" w14:textId="77777777" w:rsidR="0075115C" w:rsidRPr="00C52E93" w:rsidRDefault="00623B17">
      <w:pPr>
        <w:pStyle w:val="ae"/>
        <w:spacing w:after="0" w:line="240" w:lineRule="auto"/>
        <w:ind w:left="0" w:firstLine="709"/>
        <w:jc w:val="both"/>
        <w:rPr>
          <w:rFonts w:eastAsia="Times New Roman" w:cs="Times New Roman"/>
          <w:color w:val="222A35"/>
          <w:sz w:val="28"/>
          <w:szCs w:val="28"/>
          <w:lang w:val="en-US" w:eastAsia="zh-CN"/>
        </w:rPr>
      </w:pPr>
      <w:r w:rsidRPr="00C52E93">
        <w:rPr>
          <w:rFonts w:eastAsia="Times New Roman" w:cs="Times New Roman"/>
          <w:color w:val="222A35"/>
          <w:sz w:val="28"/>
          <w:szCs w:val="28"/>
          <w:lang w:val="en-US" w:eastAsia="zh-CN"/>
        </w:rPr>
        <w:t>Inspectoratul General pentru Migrație joacă un rol activ în pr</w:t>
      </w:r>
      <w:r w:rsidRPr="00C52E93">
        <w:rPr>
          <w:rFonts w:eastAsia="Times New Roman" w:cs="Times New Roman"/>
          <w:color w:val="222A35"/>
          <w:sz w:val="28"/>
          <w:szCs w:val="28"/>
          <w:lang w:val="en-US" w:eastAsia="zh-CN"/>
        </w:rPr>
        <w:t xml:space="preserve">omovarea dialogului intercultural și în combaterea discriminării. Aceasta colaborează cu diverse organizații pentru a sensibiliza societatea cu privire la importanța integrării străinilor și pentru a combate stereotipurile și prejudecățile. IGM se implică </w:t>
      </w:r>
      <w:r w:rsidRPr="00C52E93">
        <w:rPr>
          <w:rFonts w:eastAsia="Times New Roman" w:cs="Times New Roman"/>
          <w:color w:val="222A35"/>
          <w:sz w:val="28"/>
          <w:szCs w:val="28"/>
          <w:lang w:val="en-US" w:eastAsia="zh-CN"/>
        </w:rPr>
        <w:t>în proiecte și inițiative care vizează promovarea respectului pentru diversitate și crearea unui mediu incluziv pentru toți membrii societății, inclusiv organizează și susține desfășurarea activităților în scopul promovării diversității culturale și a proc</w:t>
      </w:r>
      <w:r w:rsidRPr="00C52E93">
        <w:rPr>
          <w:rFonts w:eastAsia="Times New Roman" w:cs="Times New Roman"/>
          <w:color w:val="222A35"/>
          <w:sz w:val="28"/>
          <w:szCs w:val="28"/>
          <w:lang w:val="en-US" w:eastAsia="zh-CN"/>
        </w:rPr>
        <w:t>esului de integrare, al identificării beneficiilor comune, al prevenirii intoleranței/xenofobiei, al asigurării respectării drepturilor, obligațiilor, ordinii publice și securității naționale în școli și universități. Prevenirea şi combaterea stereotipuril</w:t>
      </w:r>
      <w:r w:rsidRPr="00C52E93">
        <w:rPr>
          <w:rFonts w:eastAsia="Times New Roman" w:cs="Times New Roman"/>
          <w:color w:val="222A35"/>
          <w:sz w:val="28"/>
          <w:szCs w:val="28"/>
          <w:lang w:val="en-US" w:eastAsia="zh-CN"/>
        </w:rPr>
        <w:t>or în rândurile/străinilor persoanelor strămutate privind violența bazată pe gen, violența sexuală şi discriminarea, inclusiv alte aspecte de gen sunt un alt gen de activități organizate și desfășurate de IGM.</w:t>
      </w:r>
    </w:p>
    <w:p w14:paraId="32AE5E97" w14:textId="77777777" w:rsidR="0075115C" w:rsidRPr="00C52E93" w:rsidRDefault="00623B17">
      <w:pPr>
        <w:spacing w:after="0" w:line="240" w:lineRule="auto"/>
        <w:ind w:firstLine="709"/>
        <w:jc w:val="both"/>
        <w:rPr>
          <w:rFonts w:eastAsia="Calibri" w:cs="Times New Roman"/>
          <w:sz w:val="28"/>
          <w:szCs w:val="28"/>
          <w:lang w:val="en-US"/>
        </w:rPr>
      </w:pPr>
      <w:r w:rsidRPr="00C52E93">
        <w:rPr>
          <w:rFonts w:eastAsia="Calibri" w:cs="Times New Roman"/>
          <w:sz w:val="28"/>
          <w:szCs w:val="28"/>
          <w:lang w:val="en-US"/>
        </w:rPr>
        <w:t xml:space="preserve">În vederea respectării drepturilor și </w:t>
      </w:r>
      <w:r w:rsidRPr="00C52E93">
        <w:rPr>
          <w:rFonts w:eastAsia="Calibri" w:cs="Times New Roman"/>
          <w:sz w:val="28"/>
          <w:szCs w:val="28"/>
          <w:lang w:val="en-US"/>
        </w:rPr>
        <w:t>libertăților fundamentale ale omului și asigurării măsurilor de protecție a persoanelor strămutate, l</w:t>
      </w:r>
      <w:r w:rsidRPr="00C52E93">
        <w:rPr>
          <w:rFonts w:cs="Times New Roman"/>
          <w:sz w:val="28"/>
          <w:szCs w:val="28"/>
          <w:lang w:val="en-US"/>
        </w:rPr>
        <w:t>a data de 18 ianuarie 2023, Guvernul Republicii Moldova,</w:t>
      </w:r>
      <w:r w:rsidRPr="00C52E93">
        <w:rPr>
          <w:rFonts w:eastAsia="Calibri" w:cs="Times New Roman"/>
          <w:sz w:val="28"/>
          <w:szCs w:val="28"/>
          <w:lang w:val="en-US"/>
        </w:rPr>
        <w:t xml:space="preserve"> în temeiul art. 21 din </w:t>
      </w:r>
      <w:hyperlink r:id="rId13" w:tooltip="https://www.legis.md/cautare/getResults?doc_id=136582&amp;lang=ro" w:history="1">
        <w:r w:rsidRPr="00C52E93">
          <w:rPr>
            <w:rStyle w:val="af1"/>
            <w:color w:val="auto"/>
            <w:u w:val="none"/>
            <w:lang w:val="en-US"/>
          </w:rPr>
          <w:t>Legea nr. 270/2008 privind azilul în Republica Moldova</w:t>
        </w:r>
      </w:hyperlink>
      <w:r>
        <w:rPr>
          <w:rStyle w:val="af7"/>
          <w:rFonts w:eastAsia="Calibri" w:cs="Times New Roman"/>
          <w:color w:val="auto"/>
          <w:sz w:val="28"/>
          <w:szCs w:val="28"/>
        </w:rPr>
        <w:footnoteReference w:id="14"/>
      </w:r>
      <w:r w:rsidRPr="00C52E93">
        <w:rPr>
          <w:rFonts w:cs="Times New Roman"/>
          <w:color w:val="auto"/>
          <w:sz w:val="28"/>
          <w:szCs w:val="28"/>
          <w:lang w:val="en-US"/>
        </w:rPr>
        <w:t xml:space="preserve"> </w:t>
      </w:r>
      <w:r w:rsidRPr="00C52E93">
        <w:rPr>
          <w:rFonts w:cs="Times New Roman"/>
          <w:sz w:val="28"/>
          <w:szCs w:val="28"/>
          <w:lang w:val="en-US"/>
        </w:rPr>
        <w:t>a aprobat acordarea protecției temporare persoanelor strămutate din Ucraina, precum și anumitor resortisanți ai țărilor terțe, începând cu 1 martie 2023. Această etapă importantă a oferit un statut juridic mai sigur pentru persoanele strămutate din Ucraina</w:t>
      </w:r>
      <w:r w:rsidRPr="00C52E93">
        <w:rPr>
          <w:rFonts w:cs="Times New Roman"/>
          <w:sz w:val="28"/>
          <w:szCs w:val="28"/>
          <w:lang w:val="en-US"/>
        </w:rPr>
        <w:t xml:space="preserve"> – un pas decisiv pentru o mai bună incluziune a persoanelor respective în Republica Moldova. Prin </w:t>
      </w:r>
      <w:r w:rsidRPr="00C52E93">
        <w:rPr>
          <w:rFonts w:eastAsia="Calibri" w:cs="Times New Roman"/>
          <w:sz w:val="28"/>
          <w:szCs w:val="28"/>
          <w:lang w:val="en-US"/>
        </w:rPr>
        <w:t>Hotărârea Guvernului nr. 21/2023 privind acordarea protecției temporare persoanelor strămutate din Ucraina</w:t>
      </w:r>
      <w:r>
        <w:rPr>
          <w:rStyle w:val="af7"/>
          <w:rFonts w:eastAsia="Calibri" w:cs="Times New Roman"/>
          <w:sz w:val="28"/>
          <w:szCs w:val="28"/>
        </w:rPr>
        <w:footnoteReference w:id="15"/>
      </w:r>
      <w:r w:rsidRPr="00C52E93">
        <w:rPr>
          <w:rFonts w:cs="Times New Roman"/>
          <w:sz w:val="28"/>
          <w:szCs w:val="28"/>
          <w:lang w:val="en-US"/>
        </w:rPr>
        <w:t>Republica Moldova a introdus un mecanism de protec</w:t>
      </w:r>
      <w:r w:rsidRPr="00C52E93">
        <w:rPr>
          <w:rFonts w:cs="Times New Roman"/>
          <w:sz w:val="28"/>
          <w:szCs w:val="28"/>
          <w:lang w:val="en-US"/>
        </w:rPr>
        <w:t>ț</w:t>
      </w:r>
      <w:r w:rsidRPr="00C52E93">
        <w:rPr>
          <w:rFonts w:cs="Times New Roman"/>
          <w:sz w:val="28"/>
          <w:szCs w:val="28"/>
          <w:lang w:val="en-US"/>
        </w:rPr>
        <w:t>ie temporară pentru persoanele strămutate din Ucraina, începând cu 1 martie 2023 șimilar cu statele Uniunii Europene, pe o perioadă de un an de zile, cu posibilitatea de a fi prelungită</w:t>
      </w:r>
      <w:r w:rsidRPr="00C52E93">
        <w:rPr>
          <w:rFonts w:cs="Times New Roman"/>
          <w:color w:val="333333"/>
          <w:sz w:val="28"/>
          <w:szCs w:val="28"/>
          <w:shd w:val="clear" w:color="auto" w:fill="FFFFFF"/>
          <w:lang w:val="en-US"/>
        </w:rPr>
        <w:t>(p</w:t>
      </w:r>
      <w:r w:rsidRPr="00C52E93">
        <w:rPr>
          <w:rFonts w:cs="Times New Roman"/>
          <w:sz w:val="28"/>
          <w:szCs w:val="28"/>
          <w:lang w:val="en-US"/>
        </w:rPr>
        <w:t>rin HG nr.141/2024, protecția temporară a fost prelungită până la 01</w:t>
      </w:r>
      <w:r w:rsidRPr="00C52E93">
        <w:rPr>
          <w:rFonts w:cs="Times New Roman"/>
          <w:sz w:val="28"/>
          <w:szCs w:val="28"/>
          <w:lang w:val="en-US"/>
        </w:rPr>
        <w:t>.03. 2025).</w:t>
      </w:r>
    </w:p>
    <w:p w14:paraId="666FA4BD" w14:textId="77777777" w:rsidR="0075115C" w:rsidRPr="00C52E93" w:rsidRDefault="00623B17">
      <w:pPr>
        <w:spacing w:after="0" w:line="240" w:lineRule="auto"/>
        <w:ind w:firstLine="709"/>
        <w:jc w:val="both"/>
        <w:rPr>
          <w:rFonts w:eastAsia="Calibri" w:cs="Times New Roman"/>
          <w:sz w:val="28"/>
          <w:szCs w:val="28"/>
          <w:lang w:val="en-US"/>
        </w:rPr>
      </w:pPr>
      <w:r w:rsidRPr="00C52E93">
        <w:rPr>
          <w:rFonts w:eastAsia="Calibri" w:cs="Times New Roman"/>
          <w:sz w:val="28"/>
          <w:szCs w:val="28"/>
          <w:lang w:val="en-US"/>
        </w:rPr>
        <w:lastRenderedPageBreak/>
        <w:t>De menționat faptul că este pentru prima dată când Republica Moldova a aprobat și implementează mecanismul de acordare a protecției temporare. Prin actul normativ în cauză au fost stabilite condițiile de acordare a protecției temporare, măsuril</w:t>
      </w:r>
      <w:r w:rsidRPr="00C52E93">
        <w:rPr>
          <w:rFonts w:eastAsia="Calibri" w:cs="Times New Roman"/>
          <w:sz w:val="28"/>
          <w:szCs w:val="28"/>
          <w:lang w:val="en-US"/>
        </w:rPr>
        <w:t>e/tipurile de asistență acordate beneficiarilor de protecție temporară și autoritățile publice responsabile, precum și un pachet de măsuri necesare incluse în Planul de acțiuni spre a fi realizate pentru acordarea și implementarea protecției temporare pers</w:t>
      </w:r>
      <w:r w:rsidRPr="00C52E93">
        <w:rPr>
          <w:rFonts w:eastAsia="Calibri" w:cs="Times New Roman"/>
          <w:sz w:val="28"/>
          <w:szCs w:val="28"/>
          <w:lang w:val="en-US"/>
        </w:rPr>
        <w:t>oanelor strămutate din Ucraina.</w:t>
      </w:r>
    </w:p>
    <w:p w14:paraId="640FD75A" w14:textId="77777777" w:rsidR="0075115C" w:rsidRPr="00C52E93" w:rsidRDefault="00623B17">
      <w:pPr>
        <w:spacing w:after="0" w:line="240" w:lineRule="auto"/>
        <w:jc w:val="both"/>
        <w:rPr>
          <w:rFonts w:cs="Times New Roman"/>
          <w:sz w:val="28"/>
          <w:szCs w:val="28"/>
          <w:lang w:val="en-US"/>
        </w:rPr>
      </w:pPr>
      <w:r w:rsidRPr="00C52E93">
        <w:rPr>
          <w:rFonts w:cs="Times New Roman"/>
          <w:sz w:val="28"/>
          <w:szCs w:val="28"/>
          <w:lang w:val="en-US"/>
        </w:rPr>
        <w:t>Statutul de protecție temporată garantează titularilor:</w:t>
      </w:r>
    </w:p>
    <w:p w14:paraId="4EC578BA" w14:textId="77777777" w:rsidR="0075115C" w:rsidRPr="00C52E93" w:rsidRDefault="00623B17">
      <w:pPr>
        <w:pStyle w:val="ae"/>
        <w:numPr>
          <w:ilvl w:val="0"/>
          <w:numId w:val="7"/>
        </w:numPr>
        <w:tabs>
          <w:tab w:val="left" w:pos="709"/>
          <w:tab w:val="left" w:pos="851"/>
        </w:tabs>
        <w:spacing w:after="0" w:line="240" w:lineRule="auto"/>
        <w:ind w:left="709" w:hanging="283"/>
        <w:jc w:val="both"/>
        <w:rPr>
          <w:rFonts w:cs="Times New Roman"/>
          <w:sz w:val="28"/>
          <w:szCs w:val="28"/>
          <w:lang w:val="en-US"/>
        </w:rPr>
      </w:pPr>
      <w:r w:rsidRPr="00C52E93">
        <w:rPr>
          <w:rFonts w:cs="Times New Roman"/>
          <w:sz w:val="28"/>
          <w:szCs w:val="28"/>
          <w:lang w:val="en-US"/>
        </w:rPr>
        <w:t xml:space="preserve">obținerea documentului de identitate </w:t>
      </w:r>
      <w:r w:rsidRPr="00C52E93">
        <w:rPr>
          <w:rFonts w:cs="Times New Roman"/>
          <w:color w:val="333333"/>
          <w:sz w:val="28"/>
          <w:szCs w:val="28"/>
          <w:shd w:val="clear" w:color="auto" w:fill="FFFFFF"/>
          <w:lang w:val="en-US"/>
        </w:rPr>
        <w:t>prin care i se acordă permisiunea de a rămâne pe teritoriul Republicii Moldova și a beneficia de serviciile de bază</w:t>
      </w:r>
      <w:r w:rsidRPr="00C52E93">
        <w:rPr>
          <w:rFonts w:cs="Times New Roman"/>
          <w:sz w:val="28"/>
          <w:szCs w:val="28"/>
          <w:lang w:val="en-US"/>
        </w:rPr>
        <w:t>;</w:t>
      </w:r>
    </w:p>
    <w:p w14:paraId="08B55A08" w14:textId="77777777" w:rsidR="0075115C" w:rsidRPr="00C52E93" w:rsidRDefault="00623B17">
      <w:pPr>
        <w:pStyle w:val="ae"/>
        <w:numPr>
          <w:ilvl w:val="0"/>
          <w:numId w:val="7"/>
        </w:numPr>
        <w:tabs>
          <w:tab w:val="left" w:pos="709"/>
          <w:tab w:val="left" w:pos="851"/>
        </w:tabs>
        <w:spacing w:after="0" w:line="240" w:lineRule="auto"/>
        <w:ind w:left="709" w:hanging="283"/>
        <w:jc w:val="both"/>
        <w:rPr>
          <w:rFonts w:cs="Times New Roman"/>
          <w:sz w:val="28"/>
          <w:szCs w:val="28"/>
          <w:lang w:val="en-US"/>
        </w:rPr>
      </w:pPr>
      <w:r w:rsidRPr="00C52E93">
        <w:rPr>
          <w:rFonts w:cs="Times New Roman"/>
          <w:sz w:val="28"/>
          <w:szCs w:val="28"/>
          <w:lang w:val="en-US"/>
        </w:rPr>
        <w:t>dreptul la ang</w:t>
      </w:r>
      <w:r w:rsidRPr="00C52E93">
        <w:rPr>
          <w:rFonts w:cs="Times New Roman"/>
          <w:sz w:val="28"/>
          <w:szCs w:val="28"/>
          <w:lang w:val="en-US"/>
        </w:rPr>
        <w:t xml:space="preserve">ajare (fără permis suplimentar de muncă) și de inițiere/dezvoltare a unei afaceri; </w:t>
      </w:r>
    </w:p>
    <w:p w14:paraId="304B8BF2" w14:textId="77777777" w:rsidR="0075115C" w:rsidRDefault="00623B17">
      <w:pPr>
        <w:pStyle w:val="ae"/>
        <w:numPr>
          <w:ilvl w:val="0"/>
          <w:numId w:val="7"/>
        </w:numPr>
        <w:tabs>
          <w:tab w:val="left" w:pos="709"/>
          <w:tab w:val="left" w:pos="851"/>
        </w:tabs>
        <w:spacing w:after="0" w:line="240" w:lineRule="auto"/>
        <w:ind w:left="709" w:hanging="283"/>
        <w:jc w:val="both"/>
        <w:rPr>
          <w:rFonts w:cs="Times New Roman"/>
          <w:sz w:val="28"/>
          <w:szCs w:val="28"/>
        </w:rPr>
      </w:pPr>
      <w:r>
        <w:rPr>
          <w:rFonts w:cs="Times New Roman"/>
          <w:sz w:val="28"/>
          <w:szCs w:val="28"/>
        </w:rPr>
        <w:t>acces la servicii:</w:t>
      </w:r>
    </w:p>
    <w:p w14:paraId="5D448EBD" w14:textId="77777777" w:rsidR="0075115C" w:rsidRDefault="00623B17">
      <w:pPr>
        <w:pStyle w:val="ae"/>
        <w:tabs>
          <w:tab w:val="left" w:pos="426"/>
        </w:tabs>
        <w:spacing w:after="0" w:line="240" w:lineRule="auto"/>
        <w:ind w:left="567" w:firstLine="567"/>
        <w:jc w:val="both"/>
        <w:rPr>
          <w:rFonts w:cs="Times New Roman"/>
          <w:color w:val="333333"/>
          <w:sz w:val="28"/>
          <w:szCs w:val="28"/>
          <w:shd w:val="clear" w:color="auto" w:fill="FFFFFF"/>
        </w:rPr>
      </w:pPr>
      <w:r>
        <w:rPr>
          <w:rFonts w:cs="Times New Roman"/>
          <w:sz w:val="28"/>
          <w:szCs w:val="28"/>
        </w:rPr>
        <w:t>- de educație</w:t>
      </w:r>
      <w:r>
        <w:rPr>
          <w:rFonts w:cs="Times New Roman"/>
          <w:color w:val="333333"/>
          <w:sz w:val="28"/>
          <w:szCs w:val="28"/>
          <w:shd w:val="clear" w:color="auto" w:fill="FFFFFF"/>
        </w:rPr>
        <w:t xml:space="preserve"> al minorilor beneficiari de protecție temporară în instituțiile publice de învățământ general în limitele posibilităților sistemului educaț</w:t>
      </w:r>
      <w:r>
        <w:rPr>
          <w:rFonts w:cs="Times New Roman"/>
          <w:color w:val="333333"/>
          <w:sz w:val="28"/>
          <w:szCs w:val="28"/>
          <w:shd w:val="clear" w:color="auto" w:fill="FFFFFF"/>
        </w:rPr>
        <w:t xml:space="preserve">ional şi în aceleași condiții ca și pentru minorii cetățeni ai Republicii Moldova În septembrie 2024 </w:t>
      </w:r>
      <w:r>
        <w:rPr>
          <w:rFonts w:cs="Times New Roman"/>
          <w:sz w:val="28"/>
          <w:szCs w:val="28"/>
        </w:rPr>
        <w:t xml:space="preserve">cca 3.000 copiii strămutați din Ucraina au fost înregistrați oficial în instituțiile de învățământ din Republica Moldova, inclusiv peste 600 au fost </w:t>
      </w:r>
      <w:r>
        <w:rPr>
          <w:rFonts w:cs="Times New Roman"/>
          <w:sz w:val="28"/>
          <w:szCs w:val="28"/>
        </w:rPr>
        <w:t>înscriși în grădinițe;</w:t>
      </w:r>
    </w:p>
    <w:p w14:paraId="2A24E1F9" w14:textId="77777777" w:rsidR="0075115C" w:rsidRPr="00C52E93" w:rsidRDefault="00623B17">
      <w:pPr>
        <w:pStyle w:val="ae"/>
        <w:tabs>
          <w:tab w:val="left" w:pos="426"/>
        </w:tabs>
        <w:spacing w:after="0" w:line="240" w:lineRule="auto"/>
        <w:ind w:left="567" w:firstLine="567"/>
        <w:jc w:val="both"/>
        <w:rPr>
          <w:rFonts w:cs="Times New Roman"/>
          <w:sz w:val="28"/>
          <w:szCs w:val="28"/>
          <w:lang w:val="en-US"/>
        </w:rPr>
      </w:pPr>
      <w:r w:rsidRPr="00C52E93">
        <w:rPr>
          <w:rFonts w:cs="Times New Roman"/>
          <w:color w:val="333333"/>
          <w:sz w:val="28"/>
          <w:szCs w:val="28"/>
          <w:shd w:val="clear" w:color="auto" w:fill="FFFFFF"/>
          <w:lang w:val="en-US"/>
        </w:rPr>
        <w:t>-</w:t>
      </w:r>
      <w:r w:rsidRPr="00C52E93">
        <w:rPr>
          <w:rFonts w:cs="Times New Roman"/>
          <w:sz w:val="28"/>
          <w:szCs w:val="28"/>
          <w:lang w:val="en-US"/>
        </w:rPr>
        <w:t xml:space="preserve"> asistență medicală - prin prelungirea protecției temporare a fost extins pachetul de asistență și servicii medicale (</w:t>
      </w:r>
      <w:r w:rsidRPr="00C52E93">
        <w:rPr>
          <w:rFonts w:cs="Times New Roman"/>
          <w:color w:val="333333"/>
          <w:sz w:val="28"/>
          <w:szCs w:val="28"/>
          <w:shd w:val="clear" w:color="auto" w:fill="FFFFFF"/>
          <w:lang w:val="en-US"/>
        </w:rPr>
        <w:t>asistența medicală de urgență, asistența medicală primară, inclusiv medicamente și dispozitive medicale compensate</w:t>
      </w:r>
      <w:r w:rsidRPr="00C52E93">
        <w:rPr>
          <w:rFonts w:cs="Times New Roman"/>
          <w:color w:val="333333"/>
          <w:sz w:val="28"/>
          <w:szCs w:val="28"/>
          <w:shd w:val="clear" w:color="auto" w:fill="FFFFFF"/>
          <w:lang w:val="en-US"/>
        </w:rPr>
        <w:t>, asistența medicală specializată de ambulatoriu și examenul medical gratuit din motive de sănătate publică, în cadrul instituțiilor medico-sanitare, conform listei serviciilor medicale stabilite de Ministerul Sănătății);</w:t>
      </w:r>
      <w:r w:rsidRPr="00C52E93">
        <w:rPr>
          <w:rFonts w:cs="Times New Roman"/>
          <w:sz w:val="28"/>
          <w:szCs w:val="28"/>
          <w:lang w:val="en-US"/>
        </w:rPr>
        <w:t xml:space="preserve"> </w:t>
      </w:r>
    </w:p>
    <w:p w14:paraId="63FDC3DA" w14:textId="77777777" w:rsidR="0075115C" w:rsidRPr="00C52E93" w:rsidRDefault="00623B17">
      <w:pPr>
        <w:pStyle w:val="ae"/>
        <w:tabs>
          <w:tab w:val="left" w:pos="426"/>
        </w:tabs>
        <w:spacing w:after="0" w:line="240" w:lineRule="auto"/>
        <w:ind w:left="567" w:firstLine="567"/>
        <w:jc w:val="both"/>
        <w:rPr>
          <w:rFonts w:cs="Times New Roman"/>
          <w:sz w:val="28"/>
          <w:szCs w:val="28"/>
          <w:lang w:val="en-US"/>
        </w:rPr>
      </w:pPr>
      <w:r w:rsidRPr="00C52E93">
        <w:rPr>
          <w:rFonts w:cs="Times New Roman"/>
          <w:sz w:val="28"/>
          <w:szCs w:val="28"/>
          <w:lang w:val="en-US"/>
        </w:rPr>
        <w:t>- asistență socială - b</w:t>
      </w:r>
      <w:r w:rsidRPr="00C52E93">
        <w:rPr>
          <w:rFonts w:cs="Times New Roman"/>
          <w:color w:val="333333"/>
          <w:sz w:val="28"/>
          <w:szCs w:val="28"/>
          <w:shd w:val="clear" w:color="auto" w:fill="FFFFFF"/>
          <w:lang w:val="en-US"/>
        </w:rPr>
        <w:t>eneficiari</w:t>
      </w:r>
      <w:r w:rsidRPr="00C52E93">
        <w:rPr>
          <w:rFonts w:cs="Times New Roman"/>
          <w:color w:val="333333"/>
          <w:sz w:val="28"/>
          <w:szCs w:val="28"/>
          <w:shd w:val="clear" w:color="auto" w:fill="FFFFFF"/>
          <w:lang w:val="en-US"/>
        </w:rPr>
        <w:t>i de protecție temporară pot beneficia de măsurile de asistență socială familiilor cu copii, precum și minorilor neînsoțiți , similar asistenței familiilor cu copii minori - cetățeni ai RM prevăzute în HG nr. 889/2013, inclusiv de ajutor bănesc, pentru a p</w:t>
      </w:r>
      <w:r w:rsidRPr="00C52E93">
        <w:rPr>
          <w:rFonts w:cs="Times New Roman"/>
          <w:color w:val="333333"/>
          <w:sz w:val="28"/>
          <w:szCs w:val="28"/>
          <w:shd w:val="clear" w:color="auto" w:fill="FFFFFF"/>
          <w:lang w:val="en-US"/>
        </w:rPr>
        <w:t>reveni şi/sau a depăși situațiile de risc. Totodată, familiile strămutate au acces la programele de asistență în numerar din partea organizațiilor internaționale pentru a sprijini persoanele vulnerabile pe perioada rece a anului.</w:t>
      </w:r>
    </w:p>
    <w:p w14:paraId="194F7D74" w14:textId="77777777" w:rsidR="0075115C" w:rsidRPr="00C52E93" w:rsidRDefault="00623B17">
      <w:pPr>
        <w:pStyle w:val="ae"/>
        <w:numPr>
          <w:ilvl w:val="0"/>
          <w:numId w:val="7"/>
        </w:numPr>
        <w:tabs>
          <w:tab w:val="left" w:pos="709"/>
        </w:tabs>
        <w:spacing w:after="0" w:line="240" w:lineRule="auto"/>
        <w:ind w:left="426" w:firstLine="0"/>
        <w:jc w:val="both"/>
        <w:rPr>
          <w:rFonts w:cs="Times New Roman"/>
          <w:color w:val="auto"/>
          <w:sz w:val="28"/>
          <w:szCs w:val="28"/>
          <w:lang w:val="en-US"/>
        </w:rPr>
      </w:pPr>
      <w:r w:rsidRPr="00C52E93">
        <w:rPr>
          <w:rFonts w:cs="Times New Roman"/>
          <w:sz w:val="28"/>
          <w:szCs w:val="28"/>
          <w:lang w:val="en-US"/>
        </w:rPr>
        <w:t xml:space="preserve">Persoanele strămutate au </w:t>
      </w:r>
      <w:r w:rsidRPr="00C52E93">
        <w:rPr>
          <w:rFonts w:cs="Times New Roman"/>
          <w:color w:val="auto"/>
          <w:sz w:val="28"/>
          <w:szCs w:val="28"/>
          <w:lang w:val="en-US"/>
        </w:rPr>
        <w:t>a</w:t>
      </w:r>
      <w:r w:rsidRPr="00C52E93">
        <w:rPr>
          <w:rFonts w:cs="Times New Roman"/>
          <w:color w:val="auto"/>
          <w:sz w:val="28"/>
          <w:szCs w:val="28"/>
          <w:lang w:val="en-US"/>
        </w:rPr>
        <w:t>cces de cazare în centrele temporare pentru persoanele care au nevoie de adăpost;</w:t>
      </w:r>
    </w:p>
    <w:p w14:paraId="198C9D44" w14:textId="77777777" w:rsidR="0075115C" w:rsidRPr="00C52E93" w:rsidRDefault="00623B17">
      <w:pPr>
        <w:pStyle w:val="ae"/>
        <w:numPr>
          <w:ilvl w:val="0"/>
          <w:numId w:val="7"/>
        </w:numPr>
        <w:tabs>
          <w:tab w:val="left" w:pos="709"/>
        </w:tabs>
        <w:spacing w:after="0" w:line="240" w:lineRule="auto"/>
        <w:ind w:left="426" w:firstLine="0"/>
        <w:jc w:val="both"/>
        <w:rPr>
          <w:rFonts w:cs="Times New Roman"/>
          <w:color w:val="auto"/>
          <w:sz w:val="28"/>
          <w:szCs w:val="28"/>
          <w:lang w:val="en-US"/>
        </w:rPr>
      </w:pPr>
      <w:r w:rsidRPr="00C52E93">
        <w:rPr>
          <w:rFonts w:cs="Times New Roman"/>
          <w:color w:val="auto"/>
          <w:sz w:val="28"/>
          <w:szCs w:val="28"/>
          <w:shd w:val="clear" w:color="auto" w:fill="FFFFFF"/>
          <w:lang w:val="en-US"/>
        </w:rPr>
        <w:t>Beneficiarii de protecție temporară au dreptul la admiterea temporară a mijloacelor de transport de uz privat pe teritoriul Republicii Moldova. Perioada maximă de păstrare su</w:t>
      </w:r>
      <w:r w:rsidRPr="00C52E93">
        <w:rPr>
          <w:rFonts w:cs="Times New Roman"/>
          <w:color w:val="auto"/>
          <w:sz w:val="28"/>
          <w:szCs w:val="28"/>
          <w:shd w:val="clear" w:color="auto" w:fill="FFFFFF"/>
          <w:lang w:val="en-US"/>
        </w:rPr>
        <w:t xml:space="preserve">b regimul vamal de admitere temporară a acestora, pentru aceeași utilizare și sub responsabilitatea aceluiași titular de autorizație, este de până la 12 luni, cu dreptul de prelungire (ulterior modificată/îmbunătățite condițiile prin </w:t>
      </w:r>
      <w:r w:rsidRPr="00C52E93">
        <w:rPr>
          <w:rStyle w:val="aff5"/>
          <w:lang w:val="en-US"/>
        </w:rPr>
        <w:t>LP nr. 214 din 31.07.2</w:t>
      </w:r>
      <w:r w:rsidRPr="00C52E93">
        <w:rPr>
          <w:rStyle w:val="aff5"/>
          <w:lang w:val="en-US"/>
        </w:rPr>
        <w:t>4</w:t>
      </w:r>
      <w:r w:rsidRPr="00C52E93">
        <w:rPr>
          <w:rFonts w:cs="Times New Roman"/>
          <w:color w:val="auto"/>
          <w:sz w:val="28"/>
          <w:szCs w:val="28"/>
          <w:shd w:val="clear" w:color="auto" w:fill="FFFFFF"/>
          <w:lang w:val="en-US"/>
        </w:rPr>
        <w:t>).</w:t>
      </w:r>
    </w:p>
    <w:p w14:paraId="4279F02D" w14:textId="77777777" w:rsidR="0075115C" w:rsidRPr="00C52E93" w:rsidRDefault="00623B17">
      <w:pPr>
        <w:spacing w:after="0" w:line="240" w:lineRule="auto"/>
        <w:ind w:firstLine="709"/>
        <w:contextualSpacing/>
        <w:jc w:val="both"/>
        <w:rPr>
          <w:rFonts w:eastAsia="Times New Roman" w:cs="Times New Roman"/>
          <w:color w:val="auto"/>
          <w:sz w:val="28"/>
          <w:szCs w:val="28"/>
          <w:lang w:val="en-US" w:eastAsia="zh-CN"/>
        </w:rPr>
      </w:pPr>
      <w:r w:rsidRPr="00C52E93">
        <w:rPr>
          <w:rFonts w:eastAsia="Times New Roman" w:cs="Times New Roman"/>
          <w:color w:val="auto"/>
          <w:sz w:val="28"/>
          <w:szCs w:val="28"/>
          <w:lang w:val="en-US" w:eastAsia="zh-CN"/>
        </w:rPr>
        <w:t xml:space="preserve">Potrivit datelor de evidență gestionate în Subsistemul informațional al IGM, la 31 decembrie 2024, pe teritoriul Republicii Moldova erau înregistrați cu acte de identitate valabile </w:t>
      </w:r>
      <w:r w:rsidRPr="00C52E93">
        <w:rPr>
          <w:rFonts w:eastAsia="Times New Roman" w:cs="Times New Roman"/>
          <w:b/>
          <w:color w:val="auto"/>
          <w:sz w:val="28"/>
          <w:szCs w:val="28"/>
          <w:lang w:val="en-US" w:eastAsia="zh-CN"/>
        </w:rPr>
        <w:t>21.596</w:t>
      </w:r>
      <w:r w:rsidRPr="00C52E93">
        <w:rPr>
          <w:rFonts w:eastAsia="Times New Roman" w:cs="Times New Roman"/>
          <w:color w:val="auto"/>
          <w:sz w:val="28"/>
          <w:szCs w:val="28"/>
          <w:lang w:val="en-US" w:eastAsia="zh-CN"/>
        </w:rPr>
        <w:t xml:space="preserve"> de străini și apatrizi (față de 20.763 la 31 decembrie 2023), dintre care:</w:t>
      </w:r>
    </w:p>
    <w:p w14:paraId="5AFFCA35" w14:textId="77777777" w:rsidR="0075115C" w:rsidRPr="00C52E93" w:rsidRDefault="00623B17">
      <w:pPr>
        <w:numPr>
          <w:ilvl w:val="0"/>
          <w:numId w:val="14"/>
        </w:numPr>
        <w:tabs>
          <w:tab w:val="clear" w:pos="720"/>
          <w:tab w:val="num" w:pos="567"/>
        </w:tabs>
        <w:spacing w:after="0" w:line="240" w:lineRule="auto"/>
        <w:ind w:left="0" w:firstLine="426"/>
        <w:contextualSpacing/>
        <w:jc w:val="both"/>
        <w:rPr>
          <w:rFonts w:eastAsia="Times New Roman" w:cs="Times New Roman"/>
          <w:bCs/>
          <w:i/>
          <w:color w:val="auto"/>
          <w:sz w:val="28"/>
          <w:szCs w:val="28"/>
          <w:lang w:val="en-US" w:eastAsia="zh-CN"/>
        </w:rPr>
      </w:pPr>
      <w:r w:rsidRPr="00C52E93">
        <w:rPr>
          <w:rFonts w:eastAsia="Times New Roman" w:cs="Times New Roman"/>
          <w:bCs/>
          <w:i/>
          <w:color w:val="auto"/>
          <w:sz w:val="28"/>
          <w:szCs w:val="28"/>
          <w:lang w:val="en-US" w:eastAsia="zh-CN"/>
        </w:rPr>
        <w:lastRenderedPageBreak/>
        <w:t>5.892 cu drept de ședere permanentă;</w:t>
      </w:r>
    </w:p>
    <w:p w14:paraId="21FD479F" w14:textId="77777777" w:rsidR="0075115C" w:rsidRPr="00C52E93" w:rsidRDefault="00623B17">
      <w:pPr>
        <w:numPr>
          <w:ilvl w:val="0"/>
          <w:numId w:val="14"/>
        </w:numPr>
        <w:tabs>
          <w:tab w:val="clear" w:pos="720"/>
          <w:tab w:val="num" w:pos="567"/>
        </w:tabs>
        <w:spacing w:after="0" w:line="240" w:lineRule="auto"/>
        <w:ind w:left="0" w:firstLine="426"/>
        <w:contextualSpacing/>
        <w:jc w:val="both"/>
        <w:rPr>
          <w:rFonts w:eastAsia="Times New Roman" w:cs="Times New Roman"/>
          <w:bCs/>
          <w:i/>
          <w:color w:val="auto"/>
          <w:sz w:val="28"/>
          <w:szCs w:val="28"/>
          <w:lang w:val="en-US" w:eastAsia="zh-CN"/>
        </w:rPr>
      </w:pPr>
      <w:r w:rsidRPr="00C52E93">
        <w:rPr>
          <w:rFonts w:eastAsia="Times New Roman" w:cs="Times New Roman"/>
          <w:bCs/>
          <w:i/>
          <w:color w:val="auto"/>
          <w:sz w:val="28"/>
          <w:szCs w:val="28"/>
          <w:lang w:val="en-US" w:eastAsia="zh-CN"/>
        </w:rPr>
        <w:t>15.970 cu drept de ședere provizorie.</w:t>
      </w:r>
    </w:p>
    <w:p w14:paraId="0CB1559D" w14:textId="77777777" w:rsidR="0075115C" w:rsidRPr="00C52E93" w:rsidRDefault="0075115C">
      <w:pPr>
        <w:spacing w:after="0" w:line="240" w:lineRule="auto"/>
        <w:ind w:firstLine="709"/>
        <w:contextualSpacing/>
        <w:jc w:val="both"/>
        <w:rPr>
          <w:rFonts w:eastAsia="Times New Roman" w:cs="Times New Roman"/>
          <w:color w:val="auto"/>
          <w:sz w:val="28"/>
          <w:szCs w:val="28"/>
          <w:lang w:val="en-US" w:eastAsia="zh-CN"/>
        </w:rPr>
      </w:pPr>
    </w:p>
    <w:p w14:paraId="0A2E1A04" w14:textId="77777777" w:rsidR="0075115C" w:rsidRPr="00C52E93" w:rsidRDefault="00623B17">
      <w:pPr>
        <w:spacing w:after="0" w:line="240" w:lineRule="auto"/>
        <w:ind w:firstLine="709"/>
        <w:contextualSpacing/>
        <w:jc w:val="both"/>
        <w:rPr>
          <w:rFonts w:eastAsia="Times New Roman" w:cs="Times New Roman"/>
          <w:color w:val="auto"/>
          <w:sz w:val="28"/>
          <w:szCs w:val="28"/>
          <w:lang w:val="en-US" w:eastAsia="zh-CN"/>
        </w:rPr>
      </w:pPr>
      <w:r w:rsidRPr="00C52E93">
        <w:rPr>
          <w:rFonts w:eastAsia="Times New Roman" w:cs="Times New Roman"/>
          <w:color w:val="auto"/>
          <w:sz w:val="28"/>
          <w:szCs w:val="28"/>
          <w:lang w:val="en-US" w:eastAsia="zh-CN"/>
        </w:rPr>
        <w:t xml:space="preserve">De asemenea, au fost înregistrați cu acte de identitate 20 străini (în anul 2023 - 20), din categoria </w:t>
      </w:r>
      <w:r w:rsidRPr="00C52E93">
        <w:rPr>
          <w:rFonts w:eastAsia="Times New Roman" w:cs="Times New Roman"/>
          <w:color w:val="auto"/>
          <w:sz w:val="28"/>
          <w:szCs w:val="28"/>
          <w:lang w:val="en-US" w:eastAsia="zh-CN"/>
        </w:rPr>
        <w:t>persoanelor netransportabile sau imobilizate la pat, din motive de vârstă sau dizabilitate.</w:t>
      </w:r>
    </w:p>
    <w:p w14:paraId="25A8C4DA" w14:textId="77777777" w:rsidR="0075115C" w:rsidRPr="00C52E93" w:rsidRDefault="00623B17">
      <w:pPr>
        <w:spacing w:after="0" w:line="240" w:lineRule="auto"/>
        <w:ind w:firstLine="709"/>
        <w:contextualSpacing/>
        <w:jc w:val="both"/>
        <w:rPr>
          <w:rFonts w:eastAsia="Times New Roman" w:cs="Times New Roman"/>
          <w:color w:val="auto"/>
          <w:sz w:val="28"/>
          <w:szCs w:val="28"/>
          <w:lang w:val="en-US" w:eastAsia="zh-CN"/>
        </w:rPr>
      </w:pPr>
      <w:r w:rsidRPr="00C52E93">
        <w:rPr>
          <w:rFonts w:eastAsia="Times New Roman" w:cs="Times New Roman"/>
          <w:color w:val="auto"/>
          <w:sz w:val="28"/>
          <w:szCs w:val="28"/>
          <w:lang w:val="en-US" w:eastAsia="zh-CN"/>
        </w:rPr>
        <w:t xml:space="preserve">Pe teritoriul unităților administrativ-teritoriale din stânga Nistrului, la 31 decembrie 2024, erau înregistrați cu acte de identitate 3.323 de străini </w:t>
      </w:r>
      <w:r w:rsidRPr="00C52E93">
        <w:rPr>
          <w:rFonts w:eastAsia="Times New Roman" w:cs="Times New Roman"/>
          <w:iCs/>
          <w:color w:val="auto"/>
          <w:sz w:val="28"/>
          <w:szCs w:val="28"/>
          <w:lang w:val="en-US"/>
        </w:rPr>
        <w:t>(anul 2023 –</w:t>
      </w:r>
      <w:r w:rsidRPr="00C52E93">
        <w:rPr>
          <w:rFonts w:eastAsia="Times New Roman" w:cs="Times New Roman"/>
          <w:iCs/>
          <w:color w:val="auto"/>
          <w:sz w:val="28"/>
          <w:szCs w:val="28"/>
          <w:lang w:val="en-US"/>
        </w:rPr>
        <w:t xml:space="preserve"> 2.929)</w:t>
      </w:r>
      <w:r w:rsidRPr="00C52E93">
        <w:rPr>
          <w:rFonts w:eastAsia="Times New Roman" w:cs="Times New Roman"/>
          <w:iCs/>
          <w:color w:val="auto"/>
          <w:sz w:val="28"/>
          <w:szCs w:val="28"/>
          <w:lang w:val="en-US" w:eastAsia="zh-CN"/>
        </w:rPr>
        <w:t>,</w:t>
      </w:r>
      <w:r w:rsidRPr="00C52E93">
        <w:rPr>
          <w:rFonts w:eastAsia="Times New Roman" w:cs="Times New Roman"/>
          <w:color w:val="auto"/>
          <w:sz w:val="28"/>
          <w:szCs w:val="28"/>
          <w:lang w:val="en-US" w:eastAsia="zh-CN"/>
        </w:rPr>
        <w:t xml:space="preserve"> dintre care 1.378 cu drept de ședere permanentă și 1.945 cu drept de ședere provizorie.</w:t>
      </w:r>
      <w:r>
        <w:rPr>
          <w:rStyle w:val="af7"/>
          <w:rFonts w:eastAsia="Times New Roman" w:cs="Times New Roman"/>
          <w:color w:val="auto"/>
          <w:sz w:val="28"/>
          <w:szCs w:val="28"/>
          <w:lang w:eastAsia="zh-CN"/>
        </w:rPr>
        <w:footnoteReference w:id="16"/>
      </w:r>
    </w:p>
    <w:p w14:paraId="569497EA" w14:textId="77777777" w:rsidR="0075115C" w:rsidRPr="00C52E93" w:rsidRDefault="00623B17">
      <w:pPr>
        <w:spacing w:after="0" w:line="240" w:lineRule="auto"/>
        <w:ind w:firstLine="709"/>
        <w:contextualSpacing/>
        <w:jc w:val="both"/>
        <w:rPr>
          <w:rFonts w:eastAsia="Times New Roman" w:cs="Times New Roman"/>
          <w:color w:val="auto"/>
          <w:sz w:val="28"/>
          <w:szCs w:val="28"/>
          <w:lang w:val="en-US" w:eastAsia="zh-CN"/>
        </w:rPr>
      </w:pPr>
      <w:r w:rsidRPr="00C52E93">
        <w:rPr>
          <w:rFonts w:eastAsia="Times New Roman" w:cs="Times New Roman"/>
          <w:color w:val="auto"/>
          <w:sz w:val="28"/>
          <w:szCs w:val="28"/>
          <w:lang w:val="en-US" w:eastAsia="zh-CN"/>
        </w:rPr>
        <w:t>La data de 31 decembrie 2024, în sistemul de azil al Republicii Moldova se aflau 1.601 de persoane: 212 cu statut de refugiat (dintre care 1 din Ucraina), 458</w:t>
      </w:r>
      <w:r w:rsidRPr="00C52E93">
        <w:rPr>
          <w:rFonts w:eastAsia="Times New Roman" w:cs="Times New Roman"/>
          <w:color w:val="auto"/>
          <w:sz w:val="28"/>
          <w:szCs w:val="28"/>
          <w:lang w:val="en-US" w:eastAsia="zh-CN"/>
        </w:rPr>
        <w:t xml:space="preserve"> beneficiari de protecție umanitară (dintre care 207 din Ucraina) și 931 solicitanți de azil (dintre care 375 din Ucraina).</w:t>
      </w:r>
    </w:p>
    <w:p w14:paraId="1D94D91B" w14:textId="77777777" w:rsidR="0075115C" w:rsidRPr="00C52E93" w:rsidRDefault="0075115C">
      <w:pPr>
        <w:spacing w:after="0" w:line="240" w:lineRule="auto"/>
        <w:ind w:firstLine="709"/>
        <w:contextualSpacing/>
        <w:jc w:val="both"/>
        <w:rPr>
          <w:rFonts w:eastAsia="Times New Roman" w:cs="Times New Roman"/>
          <w:color w:val="auto"/>
          <w:sz w:val="28"/>
          <w:szCs w:val="28"/>
          <w:lang w:val="en-US" w:eastAsia="zh-CN"/>
        </w:rPr>
      </w:pPr>
    </w:p>
    <w:p w14:paraId="7259A644" w14:textId="77777777" w:rsidR="0075115C" w:rsidRPr="00C52E93" w:rsidRDefault="00623B17">
      <w:pPr>
        <w:spacing w:after="0" w:line="240" w:lineRule="auto"/>
        <w:ind w:firstLine="720"/>
        <w:contextualSpacing/>
        <w:jc w:val="both"/>
        <w:rPr>
          <w:rFonts w:eastAsia="Times New Roman" w:cs="Times New Roman"/>
          <w:b/>
          <w:bCs/>
          <w:color w:val="auto"/>
          <w:sz w:val="28"/>
          <w:szCs w:val="28"/>
          <w:lang w:val="en-US" w:eastAsia="zh-CN"/>
        </w:rPr>
      </w:pPr>
      <w:r w:rsidRPr="00C52E93">
        <w:rPr>
          <w:rFonts w:eastAsia="Times New Roman" w:cs="Times New Roman"/>
          <w:b/>
          <w:bCs/>
          <w:i/>
          <w:iCs/>
          <w:color w:val="auto"/>
          <w:sz w:val="28"/>
          <w:szCs w:val="28"/>
          <w:lang w:val="en-US" w:eastAsia="zh-CN"/>
        </w:rPr>
        <w:t>Tabelul nr. 1</w:t>
      </w:r>
      <w:r w:rsidRPr="00C52E93">
        <w:rPr>
          <w:rFonts w:eastAsia="Times New Roman" w:cs="Times New Roman"/>
          <w:color w:val="auto"/>
          <w:sz w:val="28"/>
          <w:szCs w:val="28"/>
          <w:lang w:val="en-US" w:eastAsia="zh-CN"/>
        </w:rPr>
        <w:t xml:space="preserve"> </w:t>
      </w:r>
      <w:r w:rsidRPr="00C52E93">
        <w:rPr>
          <w:rFonts w:eastAsia="Times New Roman" w:cs="Times New Roman"/>
          <w:b/>
          <w:bCs/>
          <w:color w:val="auto"/>
          <w:sz w:val="28"/>
          <w:szCs w:val="28"/>
          <w:lang w:val="en-US" w:eastAsia="zh-CN"/>
        </w:rPr>
        <w:t>Persoane înregistrate în Sistemul de azil la 31.12.2024</w:t>
      </w:r>
    </w:p>
    <w:tbl>
      <w:tblPr>
        <w:tblW w:w="9472" w:type="dxa"/>
        <w:tblInd w:w="-5" w:type="dxa"/>
        <w:tblLook w:val="04A0" w:firstRow="1" w:lastRow="0" w:firstColumn="1" w:lastColumn="0" w:noHBand="0" w:noVBand="1"/>
      </w:tblPr>
      <w:tblGrid>
        <w:gridCol w:w="3205"/>
        <w:gridCol w:w="3174"/>
        <w:gridCol w:w="3093"/>
      </w:tblGrid>
      <w:tr w:rsidR="0075115C" w14:paraId="1F195982" w14:textId="77777777">
        <w:trPr>
          <w:trHeight w:val="516"/>
        </w:trPr>
        <w:tc>
          <w:tcPr>
            <w:tcW w:w="32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744C6726" w14:textId="77777777" w:rsidR="0075115C" w:rsidRPr="00C52E93" w:rsidRDefault="00623B17">
            <w:pPr>
              <w:spacing w:after="0" w:line="240" w:lineRule="auto"/>
              <w:contextualSpacing/>
              <w:rPr>
                <w:rFonts w:eastAsia="Times New Roman" w:cs="Times New Roman"/>
                <w:b/>
                <w:bCs/>
                <w:color w:val="auto"/>
                <w:sz w:val="28"/>
                <w:szCs w:val="28"/>
                <w:lang w:val="en-US" w:eastAsia="zh-CN"/>
              </w:rPr>
            </w:pPr>
            <w:r w:rsidRPr="00C52E93">
              <w:rPr>
                <w:rFonts w:eastAsia="Times New Roman" w:cs="Times New Roman"/>
                <w:b/>
                <w:bCs/>
                <w:color w:val="auto"/>
                <w:sz w:val="28"/>
                <w:szCs w:val="28"/>
                <w:lang w:val="en-US" w:eastAsia="zh-CN"/>
              </w:rPr>
              <w:t xml:space="preserve">Persoane înregistrate în sistemul de azil </w:t>
            </w:r>
          </w:p>
        </w:tc>
        <w:tc>
          <w:tcPr>
            <w:tcW w:w="3174" w:type="dxa"/>
            <w:tcBorders>
              <w:top w:val="single" w:sz="4" w:space="0" w:color="auto"/>
              <w:left w:val="none" w:sz="4" w:space="0" w:color="000000"/>
              <w:bottom w:val="single" w:sz="4" w:space="0" w:color="auto"/>
              <w:right w:val="single" w:sz="4" w:space="0" w:color="auto"/>
            </w:tcBorders>
            <w:shd w:val="clear" w:color="auto" w:fill="BDD6EE" w:themeFill="accent1" w:themeFillTint="66"/>
            <w:vAlign w:val="center"/>
          </w:tcPr>
          <w:p w14:paraId="321E251A" w14:textId="77777777" w:rsidR="0075115C" w:rsidRDefault="00623B17">
            <w:pPr>
              <w:spacing w:after="0" w:line="240" w:lineRule="auto"/>
              <w:contextualSpacing/>
              <w:jc w:val="center"/>
              <w:rPr>
                <w:rFonts w:eastAsia="Times New Roman" w:cs="Times New Roman"/>
                <w:b/>
                <w:bCs/>
                <w:color w:val="auto"/>
                <w:sz w:val="28"/>
                <w:szCs w:val="28"/>
                <w:lang w:eastAsia="zh-CN"/>
              </w:rPr>
            </w:pPr>
            <w:r>
              <w:rPr>
                <w:rFonts w:eastAsia="Times New Roman" w:cs="Times New Roman"/>
                <w:b/>
                <w:bCs/>
                <w:color w:val="auto"/>
                <w:sz w:val="28"/>
                <w:szCs w:val="28"/>
                <w:lang w:eastAsia="zh-CN"/>
              </w:rPr>
              <w:t>Date la 31.12.2023</w:t>
            </w:r>
          </w:p>
        </w:tc>
        <w:tc>
          <w:tcPr>
            <w:tcW w:w="3093" w:type="dxa"/>
            <w:tcBorders>
              <w:top w:val="single" w:sz="4" w:space="0" w:color="auto"/>
              <w:left w:val="none" w:sz="4" w:space="0" w:color="000000"/>
              <w:bottom w:val="single" w:sz="4" w:space="0" w:color="auto"/>
              <w:right w:val="single" w:sz="4" w:space="0" w:color="auto"/>
            </w:tcBorders>
            <w:shd w:val="clear" w:color="auto" w:fill="BDD6EE" w:themeFill="accent1" w:themeFillTint="66"/>
            <w:noWrap/>
            <w:vAlign w:val="center"/>
          </w:tcPr>
          <w:p w14:paraId="49821982" w14:textId="77777777" w:rsidR="0075115C" w:rsidRDefault="00623B17">
            <w:pPr>
              <w:spacing w:after="0" w:line="240" w:lineRule="auto"/>
              <w:contextualSpacing/>
              <w:jc w:val="center"/>
              <w:rPr>
                <w:rFonts w:eastAsia="Times New Roman" w:cs="Times New Roman"/>
                <w:b/>
                <w:bCs/>
                <w:color w:val="auto"/>
                <w:sz w:val="28"/>
                <w:szCs w:val="28"/>
                <w:lang w:eastAsia="zh-CN"/>
              </w:rPr>
            </w:pPr>
            <w:r>
              <w:rPr>
                <w:rFonts w:eastAsia="Times New Roman" w:cs="Times New Roman"/>
                <w:b/>
                <w:bCs/>
                <w:color w:val="auto"/>
                <w:sz w:val="28"/>
                <w:szCs w:val="28"/>
                <w:lang w:eastAsia="zh-CN"/>
              </w:rPr>
              <w:t>Date la 31.12.2024</w:t>
            </w:r>
          </w:p>
        </w:tc>
      </w:tr>
      <w:tr w:rsidR="0075115C" w14:paraId="6786D107" w14:textId="77777777">
        <w:trPr>
          <w:trHeight w:val="399"/>
        </w:trPr>
        <w:tc>
          <w:tcPr>
            <w:tcW w:w="3205" w:type="dxa"/>
            <w:tcBorders>
              <w:top w:val="single" w:sz="4" w:space="0" w:color="auto"/>
              <w:left w:val="single" w:sz="4" w:space="0" w:color="auto"/>
              <w:bottom w:val="single" w:sz="4" w:space="0" w:color="auto"/>
              <w:right w:val="single" w:sz="4" w:space="0" w:color="auto"/>
            </w:tcBorders>
            <w:noWrap/>
            <w:vAlign w:val="center"/>
          </w:tcPr>
          <w:p w14:paraId="2A8B9C6E" w14:textId="77777777" w:rsidR="0075115C" w:rsidRDefault="00623B17">
            <w:pPr>
              <w:spacing w:after="0" w:line="240" w:lineRule="auto"/>
              <w:contextualSpacing/>
              <w:rPr>
                <w:rFonts w:eastAsia="Times New Roman" w:cs="Times New Roman"/>
                <w:bCs/>
                <w:color w:val="auto"/>
                <w:sz w:val="28"/>
                <w:szCs w:val="28"/>
                <w:lang w:eastAsia="zh-CN"/>
              </w:rPr>
            </w:pPr>
            <w:r>
              <w:rPr>
                <w:rFonts w:eastAsia="Times New Roman" w:cs="Times New Roman"/>
                <w:bCs/>
                <w:color w:val="auto"/>
                <w:sz w:val="28"/>
                <w:szCs w:val="28"/>
                <w:lang w:eastAsia="zh-CN"/>
              </w:rPr>
              <w:t>Solicitanți de azil</w:t>
            </w:r>
          </w:p>
        </w:tc>
        <w:tc>
          <w:tcPr>
            <w:tcW w:w="3174" w:type="dxa"/>
            <w:tcBorders>
              <w:top w:val="single" w:sz="4" w:space="0" w:color="auto"/>
              <w:left w:val="none" w:sz="4" w:space="0" w:color="000000"/>
              <w:bottom w:val="single" w:sz="4" w:space="0" w:color="auto"/>
              <w:right w:val="single" w:sz="4" w:space="0" w:color="auto"/>
            </w:tcBorders>
            <w:vAlign w:val="center"/>
          </w:tcPr>
          <w:p w14:paraId="48FCF762"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593</w:t>
            </w:r>
          </w:p>
        </w:tc>
        <w:tc>
          <w:tcPr>
            <w:tcW w:w="3093" w:type="dxa"/>
            <w:tcBorders>
              <w:top w:val="single" w:sz="4" w:space="0" w:color="auto"/>
              <w:left w:val="none" w:sz="4" w:space="0" w:color="000000"/>
              <w:bottom w:val="single" w:sz="4" w:space="0" w:color="auto"/>
              <w:right w:val="single" w:sz="4" w:space="0" w:color="auto"/>
            </w:tcBorders>
            <w:noWrap/>
            <w:vAlign w:val="center"/>
          </w:tcPr>
          <w:p w14:paraId="2BAB591F"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931</w:t>
            </w:r>
          </w:p>
        </w:tc>
      </w:tr>
      <w:tr w:rsidR="0075115C" w14:paraId="553B6FCB" w14:textId="77777777">
        <w:trPr>
          <w:trHeight w:val="385"/>
        </w:trPr>
        <w:tc>
          <w:tcPr>
            <w:tcW w:w="3205" w:type="dxa"/>
            <w:tcBorders>
              <w:top w:val="single" w:sz="4" w:space="0" w:color="auto"/>
              <w:left w:val="single" w:sz="4" w:space="0" w:color="auto"/>
              <w:bottom w:val="single" w:sz="4" w:space="0" w:color="auto"/>
              <w:right w:val="single" w:sz="4" w:space="0" w:color="auto"/>
            </w:tcBorders>
            <w:noWrap/>
            <w:vAlign w:val="center"/>
          </w:tcPr>
          <w:p w14:paraId="3A0DE06C" w14:textId="77777777" w:rsidR="0075115C" w:rsidRDefault="00623B17">
            <w:pPr>
              <w:spacing w:after="0" w:line="240" w:lineRule="auto"/>
              <w:contextualSpacing/>
              <w:rPr>
                <w:rFonts w:eastAsia="Times New Roman" w:cs="Times New Roman"/>
                <w:bCs/>
                <w:color w:val="auto"/>
                <w:sz w:val="28"/>
                <w:szCs w:val="28"/>
                <w:lang w:eastAsia="zh-CN"/>
              </w:rPr>
            </w:pPr>
            <w:r>
              <w:rPr>
                <w:rFonts w:eastAsia="Times New Roman" w:cs="Times New Roman"/>
                <w:bCs/>
                <w:color w:val="auto"/>
                <w:sz w:val="28"/>
                <w:szCs w:val="28"/>
                <w:lang w:eastAsia="zh-CN"/>
              </w:rPr>
              <w:t>Refugiați</w:t>
            </w:r>
          </w:p>
        </w:tc>
        <w:tc>
          <w:tcPr>
            <w:tcW w:w="3174" w:type="dxa"/>
            <w:tcBorders>
              <w:top w:val="single" w:sz="4" w:space="0" w:color="auto"/>
              <w:left w:val="none" w:sz="4" w:space="0" w:color="000000"/>
              <w:bottom w:val="single" w:sz="4" w:space="0" w:color="auto"/>
              <w:right w:val="single" w:sz="4" w:space="0" w:color="auto"/>
            </w:tcBorders>
            <w:vAlign w:val="center"/>
          </w:tcPr>
          <w:p w14:paraId="416751C5"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206</w:t>
            </w:r>
          </w:p>
        </w:tc>
        <w:tc>
          <w:tcPr>
            <w:tcW w:w="3093" w:type="dxa"/>
            <w:tcBorders>
              <w:top w:val="single" w:sz="4" w:space="0" w:color="auto"/>
              <w:left w:val="none" w:sz="4" w:space="0" w:color="000000"/>
              <w:bottom w:val="single" w:sz="4" w:space="0" w:color="auto"/>
              <w:right w:val="single" w:sz="4" w:space="0" w:color="auto"/>
            </w:tcBorders>
            <w:noWrap/>
            <w:vAlign w:val="center"/>
          </w:tcPr>
          <w:p w14:paraId="33B8D7CC"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212</w:t>
            </w:r>
          </w:p>
        </w:tc>
      </w:tr>
      <w:tr w:rsidR="0075115C" w14:paraId="48F54B11" w14:textId="77777777">
        <w:trPr>
          <w:trHeight w:val="406"/>
        </w:trPr>
        <w:tc>
          <w:tcPr>
            <w:tcW w:w="3205" w:type="dxa"/>
            <w:tcBorders>
              <w:top w:val="single" w:sz="4" w:space="0" w:color="auto"/>
              <w:left w:val="single" w:sz="4" w:space="0" w:color="auto"/>
              <w:bottom w:val="single" w:sz="4" w:space="0" w:color="auto"/>
              <w:right w:val="single" w:sz="4" w:space="0" w:color="auto"/>
            </w:tcBorders>
            <w:noWrap/>
            <w:vAlign w:val="center"/>
          </w:tcPr>
          <w:p w14:paraId="643CB1E9" w14:textId="77777777" w:rsidR="0075115C" w:rsidRDefault="00623B17">
            <w:pPr>
              <w:spacing w:after="0" w:line="240" w:lineRule="auto"/>
              <w:contextualSpacing/>
              <w:rPr>
                <w:rFonts w:eastAsia="Times New Roman" w:cs="Times New Roman"/>
                <w:bCs/>
                <w:color w:val="auto"/>
                <w:sz w:val="28"/>
                <w:szCs w:val="28"/>
                <w:lang w:eastAsia="zh-CN"/>
              </w:rPr>
            </w:pPr>
            <w:r>
              <w:rPr>
                <w:rFonts w:eastAsia="Times New Roman" w:cs="Times New Roman"/>
                <w:bCs/>
                <w:color w:val="auto"/>
                <w:sz w:val="28"/>
                <w:szCs w:val="28"/>
                <w:lang w:eastAsia="zh-CN"/>
              </w:rPr>
              <w:t>Beneficiari de protecție umanitară</w:t>
            </w:r>
          </w:p>
        </w:tc>
        <w:tc>
          <w:tcPr>
            <w:tcW w:w="3174" w:type="dxa"/>
            <w:tcBorders>
              <w:top w:val="single" w:sz="4" w:space="0" w:color="auto"/>
              <w:left w:val="none" w:sz="4" w:space="0" w:color="000000"/>
              <w:bottom w:val="single" w:sz="4" w:space="0" w:color="auto"/>
              <w:right w:val="single" w:sz="4" w:space="0" w:color="auto"/>
            </w:tcBorders>
            <w:vAlign w:val="center"/>
          </w:tcPr>
          <w:p w14:paraId="07821875"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357</w:t>
            </w:r>
          </w:p>
        </w:tc>
        <w:tc>
          <w:tcPr>
            <w:tcW w:w="3093" w:type="dxa"/>
            <w:tcBorders>
              <w:top w:val="single" w:sz="4" w:space="0" w:color="auto"/>
              <w:left w:val="none" w:sz="4" w:space="0" w:color="000000"/>
              <w:bottom w:val="single" w:sz="4" w:space="0" w:color="auto"/>
              <w:right w:val="single" w:sz="4" w:space="0" w:color="auto"/>
            </w:tcBorders>
            <w:noWrap/>
            <w:vAlign w:val="center"/>
          </w:tcPr>
          <w:p w14:paraId="24F0E7B2"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458</w:t>
            </w:r>
          </w:p>
        </w:tc>
      </w:tr>
      <w:tr w:rsidR="0075115C" w14:paraId="31B14BB8" w14:textId="77777777">
        <w:trPr>
          <w:trHeight w:val="89"/>
        </w:trPr>
        <w:tc>
          <w:tcPr>
            <w:tcW w:w="3205" w:type="dxa"/>
            <w:tcBorders>
              <w:top w:val="single" w:sz="4" w:space="0" w:color="auto"/>
              <w:left w:val="single" w:sz="4" w:space="0" w:color="auto"/>
              <w:bottom w:val="single" w:sz="4" w:space="0" w:color="auto"/>
              <w:right w:val="single" w:sz="4" w:space="0" w:color="auto"/>
            </w:tcBorders>
            <w:noWrap/>
            <w:vAlign w:val="center"/>
          </w:tcPr>
          <w:p w14:paraId="054D95E2" w14:textId="77777777" w:rsidR="0075115C" w:rsidRDefault="00623B17">
            <w:pPr>
              <w:spacing w:after="0" w:line="240" w:lineRule="auto"/>
              <w:contextualSpacing/>
              <w:rPr>
                <w:rFonts w:eastAsia="Times New Roman" w:cs="Times New Roman"/>
                <w:bCs/>
                <w:color w:val="auto"/>
                <w:sz w:val="28"/>
                <w:szCs w:val="28"/>
                <w:lang w:eastAsia="zh-CN"/>
              </w:rPr>
            </w:pPr>
            <w:r>
              <w:rPr>
                <w:rFonts w:eastAsia="Times New Roman" w:cs="Times New Roman"/>
                <w:bCs/>
                <w:color w:val="auto"/>
                <w:sz w:val="28"/>
                <w:szCs w:val="28"/>
                <w:lang w:eastAsia="zh-CN"/>
              </w:rPr>
              <w:t>Total</w:t>
            </w:r>
          </w:p>
        </w:tc>
        <w:tc>
          <w:tcPr>
            <w:tcW w:w="3174" w:type="dxa"/>
            <w:tcBorders>
              <w:top w:val="single" w:sz="4" w:space="0" w:color="auto"/>
              <w:left w:val="none" w:sz="4" w:space="0" w:color="000000"/>
              <w:bottom w:val="single" w:sz="4" w:space="0" w:color="auto"/>
              <w:right w:val="single" w:sz="4" w:space="0" w:color="auto"/>
            </w:tcBorders>
            <w:vAlign w:val="center"/>
          </w:tcPr>
          <w:p w14:paraId="0C7BB641"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1.156</w:t>
            </w:r>
          </w:p>
        </w:tc>
        <w:tc>
          <w:tcPr>
            <w:tcW w:w="3093" w:type="dxa"/>
            <w:tcBorders>
              <w:top w:val="single" w:sz="4" w:space="0" w:color="auto"/>
              <w:left w:val="none" w:sz="4" w:space="0" w:color="000000"/>
              <w:bottom w:val="single" w:sz="4" w:space="0" w:color="auto"/>
              <w:right w:val="single" w:sz="4" w:space="0" w:color="auto"/>
            </w:tcBorders>
            <w:noWrap/>
            <w:vAlign w:val="center"/>
          </w:tcPr>
          <w:p w14:paraId="010B831B" w14:textId="77777777" w:rsidR="0075115C" w:rsidRDefault="00623B17">
            <w:pPr>
              <w:spacing w:after="0" w:line="240" w:lineRule="auto"/>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1.601</w:t>
            </w:r>
          </w:p>
        </w:tc>
      </w:tr>
    </w:tbl>
    <w:p w14:paraId="79B2B26D" w14:textId="77777777" w:rsidR="0075115C" w:rsidRDefault="0075115C">
      <w:pPr>
        <w:spacing w:after="0" w:line="240" w:lineRule="auto"/>
        <w:ind w:firstLine="720"/>
        <w:contextualSpacing/>
        <w:jc w:val="both"/>
        <w:rPr>
          <w:rFonts w:eastAsia="Times New Roman" w:cs="Times New Roman"/>
          <w:color w:val="auto"/>
          <w:sz w:val="28"/>
          <w:szCs w:val="28"/>
        </w:rPr>
      </w:pPr>
    </w:p>
    <w:p w14:paraId="5773EA1B" w14:textId="77777777" w:rsidR="0075115C" w:rsidRPr="00C52E93" w:rsidRDefault="00623B17">
      <w:pPr>
        <w:spacing w:after="0" w:line="240" w:lineRule="auto"/>
        <w:ind w:firstLine="720"/>
        <w:contextualSpacing/>
        <w:jc w:val="both"/>
        <w:rPr>
          <w:rFonts w:eastAsia="Times New Roman" w:cs="Times New Roman"/>
          <w:color w:val="auto"/>
          <w:sz w:val="28"/>
          <w:szCs w:val="28"/>
          <w:lang w:val="en-US" w:eastAsia="zh-CN"/>
        </w:rPr>
      </w:pPr>
      <w:r w:rsidRPr="00C52E93">
        <w:rPr>
          <w:rFonts w:eastAsia="Times New Roman" w:cs="Times New Roman"/>
          <w:color w:val="auto"/>
          <w:sz w:val="28"/>
          <w:szCs w:val="28"/>
          <w:lang w:val="en-US"/>
        </w:rPr>
        <w:t xml:space="preserve">Pe parcursul anului 2024, au fost recepționate și examinate în total </w:t>
      </w:r>
      <w:r w:rsidRPr="00C52E93">
        <w:rPr>
          <w:rFonts w:eastAsia="Times New Roman" w:cs="Times New Roman"/>
          <w:bCs/>
          <w:color w:val="auto"/>
          <w:sz w:val="28"/>
          <w:szCs w:val="28"/>
          <w:lang w:val="en-US"/>
        </w:rPr>
        <w:t>8.153</w:t>
      </w:r>
      <w:r w:rsidRPr="00C52E93">
        <w:rPr>
          <w:rFonts w:eastAsia="Times New Roman" w:cs="Times New Roman"/>
          <w:color w:val="auto"/>
          <w:sz w:val="28"/>
          <w:szCs w:val="28"/>
          <w:lang w:val="en-US"/>
        </w:rPr>
        <w:t xml:space="preserve">, </w:t>
      </w:r>
      <w:r w:rsidRPr="00C52E93">
        <w:rPr>
          <w:rFonts w:eastAsia="Times New Roman" w:cs="Times New Roman"/>
          <w:color w:val="auto"/>
          <w:sz w:val="28"/>
          <w:szCs w:val="28"/>
          <w:lang w:val="en-US" w:eastAsia="zh-CN"/>
        </w:rPr>
        <w:t xml:space="preserve">dintre care 7.614 originari din Ucraina, 255 </w:t>
      </w:r>
      <w:r w:rsidRPr="00C52E93">
        <w:rPr>
          <w:rFonts w:eastAsia="Times New Roman" w:cs="Times New Roman"/>
          <w:color w:val="auto"/>
          <w:sz w:val="28"/>
          <w:szCs w:val="28"/>
          <w:lang w:val="en-US" w:eastAsia="zh-CN"/>
        </w:rPr>
        <w:t>din Federația Rusă, 53 din Siria, 33 din Bangladeshș și 22 din Turcia.</w:t>
      </w:r>
    </w:p>
    <w:p w14:paraId="14E902A0" w14:textId="77777777" w:rsidR="0075115C" w:rsidRPr="00C52E93" w:rsidRDefault="0075115C">
      <w:pPr>
        <w:spacing w:after="0" w:line="240" w:lineRule="auto"/>
        <w:ind w:firstLine="720"/>
        <w:contextualSpacing/>
        <w:jc w:val="both"/>
        <w:rPr>
          <w:rFonts w:eastAsia="Times New Roman" w:cs="Times New Roman"/>
          <w:color w:val="auto"/>
          <w:sz w:val="28"/>
          <w:szCs w:val="28"/>
          <w:lang w:val="en-US" w:eastAsia="zh-CN"/>
        </w:rPr>
      </w:pPr>
    </w:p>
    <w:p w14:paraId="4A166E6B" w14:textId="77777777" w:rsidR="0075115C" w:rsidRPr="00C52E93" w:rsidRDefault="00623B17">
      <w:pPr>
        <w:spacing w:after="0" w:line="240" w:lineRule="auto"/>
        <w:ind w:firstLine="720"/>
        <w:contextualSpacing/>
        <w:jc w:val="both"/>
        <w:rPr>
          <w:rFonts w:eastAsia="Times New Roman" w:cs="Times New Roman"/>
          <w:b/>
          <w:bCs/>
          <w:color w:val="auto"/>
          <w:sz w:val="28"/>
          <w:szCs w:val="28"/>
          <w:lang w:val="en-US" w:eastAsia="zh-CN"/>
        </w:rPr>
      </w:pPr>
      <w:r w:rsidRPr="00C52E93">
        <w:rPr>
          <w:rFonts w:eastAsia="Times New Roman" w:cs="Times New Roman"/>
          <w:b/>
          <w:bCs/>
          <w:i/>
          <w:iCs/>
          <w:color w:val="auto"/>
          <w:sz w:val="28"/>
          <w:szCs w:val="28"/>
          <w:lang w:val="en-US" w:eastAsia="zh-CN"/>
        </w:rPr>
        <w:t>Tabelul nr. 2</w:t>
      </w:r>
      <w:r w:rsidRPr="00C52E93">
        <w:rPr>
          <w:rFonts w:eastAsia="Times New Roman" w:cs="Times New Roman"/>
          <w:color w:val="auto"/>
          <w:sz w:val="28"/>
          <w:szCs w:val="28"/>
          <w:lang w:val="en-US" w:eastAsia="zh-CN"/>
        </w:rPr>
        <w:t xml:space="preserve"> </w:t>
      </w:r>
      <w:r w:rsidRPr="00C52E93">
        <w:rPr>
          <w:rFonts w:eastAsia="Times New Roman" w:cs="Times New Roman"/>
          <w:b/>
          <w:bCs/>
          <w:color w:val="auto"/>
          <w:sz w:val="28"/>
          <w:szCs w:val="28"/>
          <w:lang w:val="en-US" w:eastAsia="zh-CN"/>
        </w:rPr>
        <w:t>Cererile de azil/ acordarea protecției internaționale pe teritoriul Republicii Moldova</w:t>
      </w:r>
    </w:p>
    <w:tbl>
      <w:tblPr>
        <w:tblStyle w:val="af2"/>
        <w:tblW w:w="9530" w:type="dxa"/>
        <w:tblLook w:val="04A0" w:firstRow="1" w:lastRow="0" w:firstColumn="1" w:lastColumn="0" w:noHBand="0" w:noVBand="1"/>
      </w:tblPr>
      <w:tblGrid>
        <w:gridCol w:w="3880"/>
        <w:gridCol w:w="2641"/>
        <w:gridCol w:w="3009"/>
      </w:tblGrid>
      <w:tr w:rsidR="0075115C" w14:paraId="2BBA6801" w14:textId="77777777">
        <w:trPr>
          <w:trHeight w:val="512"/>
        </w:trPr>
        <w:tc>
          <w:tcPr>
            <w:tcW w:w="38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96E4D9" w14:textId="77777777" w:rsidR="0075115C" w:rsidRPr="00C52E93" w:rsidRDefault="0075115C">
            <w:pPr>
              <w:contextualSpacing/>
              <w:jc w:val="both"/>
              <w:rPr>
                <w:rFonts w:eastAsia="Times New Roman" w:cs="Times New Roman"/>
                <w:b/>
                <w:bCs/>
                <w:color w:val="auto"/>
                <w:sz w:val="28"/>
                <w:szCs w:val="28"/>
                <w:lang w:val="en-US" w:eastAsia="zh-CN"/>
              </w:rPr>
            </w:pPr>
          </w:p>
        </w:tc>
        <w:tc>
          <w:tcPr>
            <w:tcW w:w="26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D63AD7" w14:textId="77777777" w:rsidR="0075115C" w:rsidRDefault="00623B17">
            <w:pPr>
              <w:contextualSpacing/>
              <w:jc w:val="center"/>
              <w:rPr>
                <w:rFonts w:eastAsia="Times New Roman" w:cs="Times New Roman"/>
                <w:b/>
                <w:bCs/>
                <w:color w:val="auto"/>
                <w:sz w:val="28"/>
                <w:szCs w:val="28"/>
                <w:lang w:eastAsia="zh-CN"/>
              </w:rPr>
            </w:pPr>
            <w:r>
              <w:rPr>
                <w:rFonts w:eastAsia="Times New Roman" w:cs="Times New Roman"/>
                <w:b/>
                <w:bCs/>
                <w:color w:val="auto"/>
                <w:sz w:val="28"/>
                <w:szCs w:val="28"/>
                <w:lang w:eastAsia="zh-CN"/>
              </w:rPr>
              <w:t>12 luni 2023</w:t>
            </w:r>
          </w:p>
        </w:tc>
        <w:tc>
          <w:tcPr>
            <w:tcW w:w="30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C1410" w14:textId="77777777" w:rsidR="0075115C" w:rsidRDefault="00623B17">
            <w:pPr>
              <w:contextualSpacing/>
              <w:jc w:val="center"/>
              <w:rPr>
                <w:rFonts w:eastAsia="Times New Roman" w:cs="Times New Roman"/>
                <w:b/>
                <w:bCs/>
                <w:color w:val="auto"/>
                <w:sz w:val="28"/>
                <w:szCs w:val="28"/>
                <w:lang w:eastAsia="zh-CN"/>
              </w:rPr>
            </w:pPr>
            <w:r>
              <w:rPr>
                <w:rFonts w:eastAsia="Times New Roman" w:cs="Times New Roman"/>
                <w:b/>
                <w:bCs/>
                <w:color w:val="auto"/>
                <w:sz w:val="28"/>
                <w:szCs w:val="28"/>
                <w:lang w:eastAsia="zh-CN"/>
              </w:rPr>
              <w:t>12 luni 2024</w:t>
            </w:r>
          </w:p>
        </w:tc>
      </w:tr>
      <w:tr w:rsidR="0075115C" w14:paraId="411B8BE1" w14:textId="77777777">
        <w:trPr>
          <w:trHeight w:val="218"/>
        </w:trPr>
        <w:tc>
          <w:tcPr>
            <w:tcW w:w="3880" w:type="dxa"/>
            <w:tcBorders>
              <w:top w:val="single" w:sz="4" w:space="0" w:color="auto"/>
              <w:left w:val="single" w:sz="4" w:space="0" w:color="auto"/>
              <w:bottom w:val="single" w:sz="4" w:space="0" w:color="auto"/>
              <w:right w:val="single" w:sz="4" w:space="0" w:color="auto"/>
            </w:tcBorders>
          </w:tcPr>
          <w:p w14:paraId="2934BF10" w14:textId="77777777" w:rsidR="0075115C" w:rsidRDefault="00623B17">
            <w:pPr>
              <w:contextualSpacing/>
              <w:rPr>
                <w:rFonts w:eastAsia="Times New Roman" w:cs="Times New Roman"/>
                <w:bCs/>
                <w:color w:val="auto"/>
                <w:sz w:val="28"/>
                <w:szCs w:val="28"/>
                <w:lang w:eastAsia="zh-CN"/>
              </w:rPr>
            </w:pPr>
            <w:r>
              <w:rPr>
                <w:rFonts w:eastAsia="Times New Roman" w:cs="Times New Roman"/>
                <w:bCs/>
                <w:color w:val="auto"/>
                <w:sz w:val="28"/>
                <w:szCs w:val="28"/>
                <w:lang w:eastAsia="zh-CN"/>
              </w:rPr>
              <w:t xml:space="preserve">Cereri de azil recepționate </w:t>
            </w:r>
          </w:p>
        </w:tc>
        <w:tc>
          <w:tcPr>
            <w:tcW w:w="2641" w:type="dxa"/>
            <w:tcBorders>
              <w:top w:val="single" w:sz="4" w:space="0" w:color="auto"/>
              <w:left w:val="single" w:sz="4" w:space="0" w:color="auto"/>
              <w:bottom w:val="single" w:sz="4" w:space="0" w:color="auto"/>
              <w:right w:val="single" w:sz="4" w:space="0" w:color="auto"/>
            </w:tcBorders>
          </w:tcPr>
          <w:p w14:paraId="67929457"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4.101</w:t>
            </w:r>
          </w:p>
        </w:tc>
        <w:tc>
          <w:tcPr>
            <w:tcW w:w="3009" w:type="dxa"/>
            <w:tcBorders>
              <w:top w:val="single" w:sz="4" w:space="0" w:color="auto"/>
              <w:left w:val="single" w:sz="4" w:space="0" w:color="auto"/>
              <w:bottom w:val="single" w:sz="4" w:space="0" w:color="auto"/>
              <w:right w:val="single" w:sz="4" w:space="0" w:color="auto"/>
            </w:tcBorders>
          </w:tcPr>
          <w:p w14:paraId="7D51AB0A"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8.153</w:t>
            </w:r>
          </w:p>
        </w:tc>
      </w:tr>
      <w:tr w:rsidR="0075115C" w14:paraId="342CDD76" w14:textId="77777777">
        <w:trPr>
          <w:trHeight w:val="218"/>
        </w:trPr>
        <w:tc>
          <w:tcPr>
            <w:tcW w:w="3880" w:type="dxa"/>
            <w:tcBorders>
              <w:top w:val="single" w:sz="4" w:space="0" w:color="auto"/>
              <w:left w:val="single" w:sz="4" w:space="0" w:color="auto"/>
              <w:bottom w:val="single" w:sz="4" w:space="0" w:color="auto"/>
              <w:right w:val="single" w:sz="4" w:space="0" w:color="auto"/>
            </w:tcBorders>
          </w:tcPr>
          <w:p w14:paraId="58D20A48" w14:textId="77777777" w:rsidR="0075115C" w:rsidRPr="00C52E93" w:rsidRDefault="00623B17">
            <w:pPr>
              <w:contextualSpacing/>
              <w:rPr>
                <w:rFonts w:eastAsia="Times New Roman" w:cs="Times New Roman"/>
                <w:bCs/>
                <w:color w:val="auto"/>
                <w:sz w:val="28"/>
                <w:szCs w:val="28"/>
                <w:lang w:val="en-US" w:eastAsia="zh-CN"/>
              </w:rPr>
            </w:pPr>
            <w:r w:rsidRPr="00C52E93">
              <w:rPr>
                <w:rFonts w:eastAsia="Times New Roman" w:cs="Times New Roman"/>
                <w:bCs/>
                <w:color w:val="auto"/>
                <w:sz w:val="28"/>
                <w:szCs w:val="28"/>
                <w:lang w:val="en-US" w:eastAsia="zh-CN"/>
              </w:rPr>
              <w:t xml:space="preserve">Încetarea </w:t>
            </w:r>
            <w:r w:rsidRPr="00C52E93">
              <w:rPr>
                <w:rFonts w:eastAsia="Times New Roman" w:cs="Times New Roman"/>
                <w:bCs/>
                <w:color w:val="auto"/>
                <w:sz w:val="28"/>
                <w:szCs w:val="28"/>
                <w:lang w:val="en-US" w:eastAsia="zh-CN"/>
              </w:rPr>
              <w:t>procedurii de azil (decizii)</w:t>
            </w:r>
          </w:p>
        </w:tc>
        <w:tc>
          <w:tcPr>
            <w:tcW w:w="2641" w:type="dxa"/>
            <w:tcBorders>
              <w:top w:val="single" w:sz="4" w:space="0" w:color="auto"/>
              <w:left w:val="single" w:sz="4" w:space="0" w:color="auto"/>
              <w:bottom w:val="single" w:sz="4" w:space="0" w:color="auto"/>
              <w:right w:val="single" w:sz="4" w:space="0" w:color="auto"/>
            </w:tcBorders>
          </w:tcPr>
          <w:p w14:paraId="0CE15A4E"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6.987</w:t>
            </w:r>
          </w:p>
        </w:tc>
        <w:tc>
          <w:tcPr>
            <w:tcW w:w="3009" w:type="dxa"/>
            <w:tcBorders>
              <w:top w:val="single" w:sz="4" w:space="0" w:color="auto"/>
              <w:left w:val="single" w:sz="4" w:space="0" w:color="auto"/>
              <w:bottom w:val="single" w:sz="4" w:space="0" w:color="auto"/>
              <w:right w:val="single" w:sz="4" w:space="0" w:color="auto"/>
            </w:tcBorders>
          </w:tcPr>
          <w:p w14:paraId="3C521643"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7.653</w:t>
            </w:r>
          </w:p>
        </w:tc>
      </w:tr>
      <w:tr w:rsidR="0075115C" w14:paraId="53247814" w14:textId="77777777">
        <w:trPr>
          <w:trHeight w:val="218"/>
        </w:trPr>
        <w:tc>
          <w:tcPr>
            <w:tcW w:w="3880" w:type="dxa"/>
            <w:tcBorders>
              <w:top w:val="single" w:sz="4" w:space="0" w:color="auto"/>
              <w:left w:val="single" w:sz="4" w:space="0" w:color="auto"/>
              <w:bottom w:val="single" w:sz="4" w:space="0" w:color="auto"/>
              <w:right w:val="single" w:sz="4" w:space="0" w:color="auto"/>
            </w:tcBorders>
          </w:tcPr>
          <w:p w14:paraId="3838B888" w14:textId="77777777" w:rsidR="0075115C" w:rsidRPr="00C52E93" w:rsidRDefault="00623B17">
            <w:pPr>
              <w:contextualSpacing/>
              <w:rPr>
                <w:rFonts w:eastAsia="Times New Roman" w:cs="Times New Roman"/>
                <w:bCs/>
                <w:color w:val="auto"/>
                <w:sz w:val="28"/>
                <w:szCs w:val="28"/>
                <w:lang w:val="en-US" w:eastAsia="zh-CN"/>
              </w:rPr>
            </w:pPr>
            <w:r w:rsidRPr="00C52E93">
              <w:rPr>
                <w:rFonts w:eastAsia="Times New Roman" w:cs="Times New Roman"/>
                <w:bCs/>
                <w:color w:val="auto"/>
                <w:sz w:val="28"/>
                <w:szCs w:val="28"/>
                <w:lang w:val="en-US" w:eastAsia="zh-CN"/>
              </w:rPr>
              <w:t>Decizii de respingere a cererii de azil</w:t>
            </w:r>
          </w:p>
        </w:tc>
        <w:tc>
          <w:tcPr>
            <w:tcW w:w="2641" w:type="dxa"/>
            <w:tcBorders>
              <w:top w:val="single" w:sz="4" w:space="0" w:color="auto"/>
              <w:left w:val="single" w:sz="4" w:space="0" w:color="auto"/>
              <w:bottom w:val="single" w:sz="4" w:space="0" w:color="auto"/>
              <w:right w:val="single" w:sz="4" w:space="0" w:color="auto"/>
            </w:tcBorders>
          </w:tcPr>
          <w:p w14:paraId="730C09E0"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21</w:t>
            </w:r>
          </w:p>
        </w:tc>
        <w:tc>
          <w:tcPr>
            <w:tcW w:w="3009" w:type="dxa"/>
            <w:tcBorders>
              <w:top w:val="single" w:sz="4" w:space="0" w:color="auto"/>
              <w:left w:val="single" w:sz="4" w:space="0" w:color="auto"/>
              <w:bottom w:val="single" w:sz="4" w:space="0" w:color="auto"/>
              <w:right w:val="single" w:sz="4" w:space="0" w:color="auto"/>
            </w:tcBorders>
          </w:tcPr>
          <w:p w14:paraId="2FE3D9BA"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238</w:t>
            </w:r>
          </w:p>
        </w:tc>
      </w:tr>
      <w:tr w:rsidR="0075115C" w14:paraId="58DE1D75" w14:textId="77777777">
        <w:trPr>
          <w:trHeight w:val="218"/>
        </w:trPr>
        <w:tc>
          <w:tcPr>
            <w:tcW w:w="3880" w:type="dxa"/>
            <w:tcBorders>
              <w:top w:val="single" w:sz="4" w:space="0" w:color="auto"/>
              <w:left w:val="single" w:sz="4" w:space="0" w:color="auto"/>
              <w:bottom w:val="single" w:sz="4" w:space="0" w:color="auto"/>
              <w:right w:val="single" w:sz="4" w:space="0" w:color="auto"/>
            </w:tcBorders>
          </w:tcPr>
          <w:p w14:paraId="391F8A5B" w14:textId="77777777" w:rsidR="0075115C" w:rsidRPr="00C52E93" w:rsidRDefault="00623B17">
            <w:pPr>
              <w:contextualSpacing/>
              <w:rPr>
                <w:rFonts w:eastAsia="Times New Roman" w:cs="Times New Roman"/>
                <w:bCs/>
                <w:color w:val="auto"/>
                <w:sz w:val="28"/>
                <w:szCs w:val="28"/>
                <w:lang w:val="en-US" w:eastAsia="zh-CN"/>
              </w:rPr>
            </w:pPr>
            <w:r w:rsidRPr="00C52E93">
              <w:rPr>
                <w:rFonts w:eastAsia="Times New Roman" w:cs="Times New Roman"/>
                <w:bCs/>
                <w:color w:val="auto"/>
                <w:sz w:val="28"/>
                <w:szCs w:val="28"/>
                <w:lang w:val="en-US" w:eastAsia="zh-CN"/>
              </w:rPr>
              <w:t>Acordat statut de refugiat/protecție umanitară pe teritoriul RM</w:t>
            </w:r>
          </w:p>
        </w:tc>
        <w:tc>
          <w:tcPr>
            <w:tcW w:w="2641" w:type="dxa"/>
            <w:tcBorders>
              <w:top w:val="single" w:sz="4" w:space="0" w:color="auto"/>
              <w:left w:val="single" w:sz="4" w:space="0" w:color="auto"/>
              <w:bottom w:val="single" w:sz="4" w:space="0" w:color="auto"/>
              <w:right w:val="single" w:sz="4" w:space="0" w:color="auto"/>
            </w:tcBorders>
          </w:tcPr>
          <w:p w14:paraId="0A0B9EE7"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18</w:t>
            </w:r>
          </w:p>
        </w:tc>
        <w:tc>
          <w:tcPr>
            <w:tcW w:w="3009" w:type="dxa"/>
            <w:tcBorders>
              <w:top w:val="single" w:sz="4" w:space="0" w:color="auto"/>
              <w:left w:val="single" w:sz="4" w:space="0" w:color="auto"/>
              <w:bottom w:val="single" w:sz="4" w:space="0" w:color="auto"/>
              <w:right w:val="single" w:sz="4" w:space="0" w:color="auto"/>
            </w:tcBorders>
          </w:tcPr>
          <w:p w14:paraId="7ADBAF39"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121</w:t>
            </w:r>
          </w:p>
        </w:tc>
      </w:tr>
      <w:tr w:rsidR="0075115C" w14:paraId="70DABCE8" w14:textId="77777777">
        <w:trPr>
          <w:trHeight w:val="124"/>
        </w:trPr>
        <w:tc>
          <w:tcPr>
            <w:tcW w:w="3880" w:type="dxa"/>
            <w:tcBorders>
              <w:top w:val="single" w:sz="4" w:space="0" w:color="auto"/>
              <w:left w:val="single" w:sz="4" w:space="0" w:color="auto"/>
              <w:bottom w:val="single" w:sz="4" w:space="0" w:color="auto"/>
              <w:right w:val="single" w:sz="4" w:space="0" w:color="auto"/>
            </w:tcBorders>
          </w:tcPr>
          <w:p w14:paraId="5C1D062A" w14:textId="77777777" w:rsidR="0075115C" w:rsidRPr="00C52E93" w:rsidRDefault="00623B17">
            <w:pPr>
              <w:contextualSpacing/>
              <w:rPr>
                <w:rFonts w:eastAsia="Times New Roman" w:cs="Times New Roman"/>
                <w:bCs/>
                <w:color w:val="auto"/>
                <w:sz w:val="28"/>
                <w:szCs w:val="28"/>
                <w:lang w:val="en-US" w:eastAsia="zh-CN"/>
              </w:rPr>
            </w:pPr>
            <w:r w:rsidRPr="00C52E93">
              <w:rPr>
                <w:rFonts w:eastAsia="Times New Roman" w:cs="Times New Roman"/>
                <w:bCs/>
                <w:color w:val="auto"/>
                <w:sz w:val="28"/>
                <w:szCs w:val="28"/>
                <w:lang w:val="en-US" w:eastAsia="zh-CN"/>
              </w:rPr>
              <w:t xml:space="preserve">Total străini cazați în Centrul de cazare al IGM </w:t>
            </w:r>
          </w:p>
        </w:tc>
        <w:tc>
          <w:tcPr>
            <w:tcW w:w="2641" w:type="dxa"/>
            <w:tcBorders>
              <w:top w:val="single" w:sz="4" w:space="0" w:color="auto"/>
              <w:left w:val="single" w:sz="4" w:space="0" w:color="auto"/>
              <w:bottom w:val="single" w:sz="4" w:space="0" w:color="auto"/>
              <w:right w:val="single" w:sz="4" w:space="0" w:color="auto"/>
            </w:tcBorders>
          </w:tcPr>
          <w:p w14:paraId="60827257"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248</w:t>
            </w:r>
          </w:p>
        </w:tc>
        <w:tc>
          <w:tcPr>
            <w:tcW w:w="3009" w:type="dxa"/>
            <w:tcBorders>
              <w:top w:val="single" w:sz="4" w:space="0" w:color="auto"/>
              <w:left w:val="single" w:sz="4" w:space="0" w:color="auto"/>
              <w:bottom w:val="single" w:sz="4" w:space="0" w:color="auto"/>
              <w:right w:val="single" w:sz="4" w:space="0" w:color="auto"/>
            </w:tcBorders>
          </w:tcPr>
          <w:p w14:paraId="076961D4" w14:textId="77777777" w:rsidR="0075115C" w:rsidRDefault="00623B17">
            <w:pPr>
              <w:contextualSpacing/>
              <w:jc w:val="center"/>
              <w:rPr>
                <w:rFonts w:eastAsia="Times New Roman" w:cs="Times New Roman"/>
                <w:bCs/>
                <w:color w:val="auto"/>
                <w:sz w:val="28"/>
                <w:szCs w:val="28"/>
                <w:lang w:eastAsia="zh-CN"/>
              </w:rPr>
            </w:pPr>
            <w:r>
              <w:rPr>
                <w:rFonts w:eastAsia="Times New Roman" w:cs="Times New Roman"/>
                <w:bCs/>
                <w:color w:val="auto"/>
                <w:sz w:val="28"/>
                <w:szCs w:val="28"/>
                <w:lang w:eastAsia="zh-CN"/>
              </w:rPr>
              <w:t>144</w:t>
            </w:r>
          </w:p>
        </w:tc>
      </w:tr>
    </w:tbl>
    <w:p w14:paraId="128E07A5" w14:textId="77777777" w:rsidR="0075115C" w:rsidRDefault="0075115C">
      <w:pPr>
        <w:spacing w:after="0" w:line="240" w:lineRule="auto"/>
        <w:ind w:firstLine="720"/>
        <w:contextualSpacing/>
        <w:jc w:val="both"/>
        <w:rPr>
          <w:rFonts w:eastAsia="Times New Roman" w:cs="Times New Roman"/>
          <w:b/>
          <w:bCs/>
          <w:i/>
          <w:iCs/>
          <w:color w:val="auto"/>
          <w:sz w:val="28"/>
          <w:szCs w:val="28"/>
          <w:lang w:eastAsia="zh-CN"/>
        </w:rPr>
      </w:pPr>
    </w:p>
    <w:p w14:paraId="6DC8060D" w14:textId="77777777" w:rsidR="0075115C" w:rsidRDefault="0075115C">
      <w:pPr>
        <w:spacing w:after="0" w:line="240" w:lineRule="auto"/>
        <w:ind w:firstLine="720"/>
        <w:contextualSpacing/>
        <w:jc w:val="both"/>
        <w:rPr>
          <w:rFonts w:eastAsia="Times New Roman" w:cs="Times New Roman"/>
          <w:b/>
          <w:bCs/>
          <w:i/>
          <w:iCs/>
          <w:color w:val="auto"/>
          <w:sz w:val="28"/>
          <w:szCs w:val="28"/>
          <w:lang w:eastAsia="zh-CN"/>
        </w:rPr>
      </w:pPr>
    </w:p>
    <w:p w14:paraId="2D9D1B02" w14:textId="77777777" w:rsidR="0075115C" w:rsidRPr="00C52E93" w:rsidRDefault="00623B17">
      <w:pPr>
        <w:spacing w:after="0" w:line="240" w:lineRule="auto"/>
        <w:ind w:firstLine="720"/>
        <w:contextualSpacing/>
        <w:jc w:val="both"/>
        <w:rPr>
          <w:rFonts w:eastAsia="Times New Roman" w:cs="Times New Roman"/>
          <w:i/>
          <w:iCs/>
          <w:color w:val="auto"/>
          <w:sz w:val="28"/>
          <w:szCs w:val="28"/>
          <w:lang w:val="en-US" w:eastAsia="zh-CN"/>
        </w:rPr>
      </w:pPr>
      <w:r w:rsidRPr="00C52E93">
        <w:rPr>
          <w:rFonts w:eastAsia="Times New Roman" w:cs="Times New Roman"/>
          <w:b/>
          <w:bCs/>
          <w:i/>
          <w:iCs/>
          <w:color w:val="auto"/>
          <w:sz w:val="28"/>
          <w:szCs w:val="28"/>
          <w:lang w:val="en-US" w:eastAsia="zh-CN"/>
        </w:rPr>
        <w:t xml:space="preserve">Diagrama nr. 1 </w:t>
      </w:r>
      <w:r w:rsidRPr="00C52E93">
        <w:rPr>
          <w:rFonts w:eastAsia="Times New Roman" w:cs="Times New Roman"/>
          <w:i/>
          <w:iCs/>
          <w:color w:val="auto"/>
          <w:sz w:val="28"/>
          <w:szCs w:val="28"/>
          <w:lang w:val="en-US" w:eastAsia="zh-CN"/>
        </w:rPr>
        <w:t xml:space="preserve">Potențiali </w:t>
      </w:r>
      <w:r w:rsidRPr="00C52E93">
        <w:rPr>
          <w:rFonts w:eastAsia="Times New Roman" w:cs="Times New Roman"/>
          <w:i/>
          <w:iCs/>
          <w:color w:val="auto"/>
          <w:sz w:val="28"/>
          <w:szCs w:val="28"/>
          <w:lang w:val="en-US" w:eastAsia="zh-CN"/>
        </w:rPr>
        <w:t>beneficiari ai programelor de integrare</w:t>
      </w:r>
    </w:p>
    <w:p w14:paraId="7F21DFFC" w14:textId="77777777" w:rsidR="0075115C" w:rsidRPr="00C52E93" w:rsidRDefault="0075115C">
      <w:pPr>
        <w:spacing w:after="0" w:line="240" w:lineRule="auto"/>
        <w:ind w:firstLine="720"/>
        <w:contextualSpacing/>
        <w:jc w:val="both"/>
        <w:rPr>
          <w:rFonts w:eastAsia="Times New Roman" w:cs="Times New Roman"/>
          <w:i/>
          <w:iCs/>
          <w:color w:val="0070C0"/>
          <w:sz w:val="28"/>
          <w:szCs w:val="28"/>
          <w:lang w:val="en-US" w:eastAsia="zh-CN"/>
        </w:rPr>
      </w:pPr>
    </w:p>
    <w:p w14:paraId="519AB298" w14:textId="77777777" w:rsidR="0075115C" w:rsidRPr="00C52E93" w:rsidRDefault="0075115C">
      <w:pPr>
        <w:spacing w:after="0" w:line="240" w:lineRule="auto"/>
        <w:ind w:firstLine="720"/>
        <w:contextualSpacing/>
        <w:jc w:val="both"/>
        <w:rPr>
          <w:rFonts w:eastAsia="Times New Roman" w:cs="Times New Roman"/>
          <w:i/>
          <w:iCs/>
          <w:color w:val="0070C0"/>
          <w:sz w:val="28"/>
          <w:szCs w:val="28"/>
          <w:lang w:val="en-US" w:eastAsia="zh-CN"/>
        </w:rPr>
      </w:pPr>
    </w:p>
    <w:p w14:paraId="36C2485C" w14:textId="77777777" w:rsidR="0075115C" w:rsidRDefault="00623B17">
      <w:pPr>
        <w:spacing w:after="0" w:line="240" w:lineRule="auto"/>
        <w:ind w:firstLine="720"/>
        <w:contextualSpacing/>
        <w:jc w:val="both"/>
        <w:rPr>
          <w:rFonts w:eastAsia="Times New Roman" w:cs="Times New Roman"/>
          <w:i/>
          <w:iCs/>
          <w:color w:val="0070C0"/>
          <w:sz w:val="28"/>
          <w:szCs w:val="28"/>
          <w:lang w:eastAsia="zh-CN"/>
        </w:rPr>
      </w:pPr>
      <w:r>
        <w:rPr>
          <w:rFonts w:cs="Times New Roman"/>
          <w:noProof/>
          <w:sz w:val="28"/>
          <w:szCs w:val="28"/>
          <w:lang w:eastAsia="ru-RU"/>
        </w:rPr>
        <w:drawing>
          <wp:inline distT="0" distB="0" distL="0" distR="0" wp14:anchorId="6D5F37F9" wp14:editId="78F33F71">
            <wp:extent cx="6035040" cy="3215005"/>
            <wp:effectExtent l="0" t="0" r="3810" b="444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5ED4C7" w14:textId="77777777" w:rsidR="0075115C" w:rsidRDefault="0075115C">
      <w:pPr>
        <w:spacing w:after="0" w:line="240" w:lineRule="auto"/>
        <w:ind w:firstLine="720"/>
        <w:contextualSpacing/>
        <w:jc w:val="both"/>
        <w:rPr>
          <w:rFonts w:eastAsia="Times New Roman" w:cs="Times New Roman"/>
          <w:b/>
          <w:bCs/>
          <w:i/>
          <w:iCs/>
          <w:color w:val="222A35" w:themeColor="text2" w:themeShade="80"/>
          <w:sz w:val="28"/>
          <w:szCs w:val="28"/>
          <w:lang w:eastAsia="zh-CN"/>
        </w:rPr>
      </w:pPr>
    </w:p>
    <w:p w14:paraId="0F15AA97" w14:textId="77777777" w:rsidR="0075115C" w:rsidRDefault="0075115C">
      <w:pPr>
        <w:spacing w:after="0" w:line="240" w:lineRule="auto"/>
        <w:ind w:firstLine="720"/>
        <w:contextualSpacing/>
        <w:jc w:val="both"/>
        <w:rPr>
          <w:rFonts w:eastAsia="Times New Roman" w:cs="Times New Roman"/>
          <w:b/>
          <w:bCs/>
          <w:i/>
          <w:iCs/>
          <w:color w:val="222A35" w:themeColor="text2" w:themeShade="80"/>
          <w:sz w:val="28"/>
          <w:szCs w:val="28"/>
          <w:lang w:eastAsia="zh-CN"/>
        </w:rPr>
      </w:pPr>
    </w:p>
    <w:p w14:paraId="4D3E2398" w14:textId="77777777" w:rsidR="0075115C" w:rsidRPr="00C52E93" w:rsidRDefault="00623B17">
      <w:pPr>
        <w:spacing w:after="0" w:line="240" w:lineRule="auto"/>
        <w:ind w:firstLine="720"/>
        <w:contextualSpacing/>
        <w:jc w:val="both"/>
        <w:rPr>
          <w:rFonts w:eastAsia="Times New Roman" w:cs="Times New Roman"/>
          <w:i/>
          <w:iCs/>
          <w:color w:val="222A35" w:themeColor="text2" w:themeShade="80"/>
          <w:sz w:val="28"/>
          <w:szCs w:val="28"/>
          <w:lang w:val="en-US" w:eastAsia="zh-CN"/>
        </w:rPr>
      </w:pPr>
      <w:r w:rsidRPr="00C52E93">
        <w:rPr>
          <w:rFonts w:eastAsia="Times New Roman" w:cs="Times New Roman"/>
          <w:b/>
          <w:bCs/>
          <w:i/>
          <w:iCs/>
          <w:color w:val="222A35" w:themeColor="text2" w:themeShade="80"/>
          <w:sz w:val="28"/>
          <w:szCs w:val="28"/>
          <w:lang w:val="en-US" w:eastAsia="zh-CN"/>
        </w:rPr>
        <w:t>Diagrama nr. 2.</w:t>
      </w:r>
      <w:r w:rsidRPr="00C52E93">
        <w:rPr>
          <w:rFonts w:eastAsia="Times New Roman" w:cs="Times New Roman"/>
          <w:i/>
          <w:iCs/>
          <w:color w:val="222A35" w:themeColor="text2" w:themeShade="80"/>
          <w:sz w:val="28"/>
          <w:szCs w:val="28"/>
          <w:lang w:val="en-US" w:eastAsia="zh-CN"/>
        </w:rPr>
        <w:t xml:space="preserve"> Disponibilitatea de resurse umane pentru implementarea măsurilor de integrare în decembrie 2023</w:t>
      </w:r>
    </w:p>
    <w:p w14:paraId="63E855A8" w14:textId="77777777" w:rsidR="0075115C" w:rsidRDefault="00623B17">
      <w:pPr>
        <w:spacing w:after="0" w:line="240" w:lineRule="auto"/>
        <w:ind w:hanging="180"/>
        <w:contextualSpacing/>
        <w:jc w:val="center"/>
        <w:rPr>
          <w:rFonts w:eastAsia="Times New Roman" w:cs="Times New Roman"/>
          <w:i/>
          <w:iCs/>
          <w:color w:val="222A35" w:themeColor="text2" w:themeShade="80"/>
          <w:sz w:val="28"/>
          <w:szCs w:val="28"/>
          <w:lang w:eastAsia="zh-CN"/>
        </w:rPr>
      </w:pPr>
      <w:r>
        <w:rPr>
          <w:rFonts w:eastAsia="Times New Roman" w:cs="Times New Roman"/>
          <w:i/>
          <w:iCs/>
          <w:noProof/>
          <w:color w:val="222A35" w:themeColor="text2" w:themeShade="80"/>
          <w:sz w:val="28"/>
          <w:szCs w:val="28"/>
          <w:lang w:eastAsia="ru-RU"/>
        </w:rPr>
        <mc:AlternateContent>
          <mc:Choice Requires="wpg">
            <w:drawing>
              <wp:inline distT="0" distB="0" distL="0" distR="0" wp14:anchorId="26D5D926" wp14:editId="74F84D76">
                <wp:extent cx="3234690" cy="28238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pic:blipFill>
                      <pic:spPr bwMode="auto">
                        <a:xfrm>
                          <a:off x="0" y="0"/>
                          <a:ext cx="3249946" cy="2837188"/>
                        </a:xfrm>
                        <a:prstGeom prst="rect">
                          <a:avLst/>
                        </a:prstGeom>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54.70pt;height:222.35pt;mso-wrap-distance-left:0.00pt;mso-wrap-distance-top:0.00pt;mso-wrap-distance-right:0.00pt;mso-wrap-distance-bottom:0.00pt;z-index:1;" stroked="false">
                <v:imagedata r:id="rId16" o:title=""/>
                <o:lock v:ext="edit" rotation="t"/>
              </v:shape>
            </w:pict>
          </mc:Fallback>
        </mc:AlternateContent>
      </w:r>
    </w:p>
    <w:p w14:paraId="632B0D42" w14:textId="77777777" w:rsidR="0075115C" w:rsidRDefault="0075115C">
      <w:pPr>
        <w:spacing w:after="0" w:line="240" w:lineRule="auto"/>
        <w:ind w:hanging="180"/>
        <w:contextualSpacing/>
        <w:rPr>
          <w:rFonts w:cs="Times New Roman"/>
          <w:b/>
          <w:bCs/>
          <w:color w:val="222A35" w:themeColor="text2" w:themeShade="80"/>
          <w:sz w:val="28"/>
          <w:szCs w:val="28"/>
        </w:rPr>
      </w:pPr>
    </w:p>
    <w:p w14:paraId="05A88727" w14:textId="77777777" w:rsidR="0075115C" w:rsidRPr="00C52E93" w:rsidRDefault="00623B17">
      <w:pPr>
        <w:spacing w:after="0" w:line="240" w:lineRule="auto"/>
        <w:ind w:firstLine="720"/>
        <w:contextualSpacing/>
        <w:jc w:val="both"/>
        <w:rPr>
          <w:rFonts w:eastAsia="Times New Roman" w:cs="Times New Roman"/>
          <w:color w:val="222A35" w:themeColor="text2" w:themeShade="80"/>
          <w:sz w:val="28"/>
          <w:szCs w:val="28"/>
          <w:lang w:val="en-US" w:eastAsia="zh-CN"/>
        </w:rPr>
      </w:pPr>
      <w:r w:rsidRPr="00C52E93">
        <w:rPr>
          <w:rFonts w:eastAsia="Times New Roman" w:cs="Times New Roman"/>
          <w:color w:val="222A35" w:themeColor="text2" w:themeShade="80"/>
          <w:sz w:val="28"/>
          <w:szCs w:val="28"/>
          <w:lang w:val="en-US" w:eastAsia="zh-CN"/>
        </w:rPr>
        <w:lastRenderedPageBreak/>
        <w:t>Potrivit studiului efectuat de către Mircea Radu ,,</w:t>
      </w:r>
      <w:r w:rsidRPr="00C52E93">
        <w:rPr>
          <w:rFonts w:eastAsia="Times New Roman" w:cs="Times New Roman"/>
          <w:i/>
          <w:color w:val="222A35" w:themeColor="text2" w:themeShade="80"/>
          <w:sz w:val="28"/>
          <w:szCs w:val="28"/>
          <w:lang w:val="en-US" w:eastAsia="zh-CN"/>
        </w:rPr>
        <w:t xml:space="preserve">Politica și practica privind integrarea </w:t>
      </w:r>
      <w:r w:rsidRPr="00C52E93">
        <w:rPr>
          <w:rFonts w:eastAsia="Times New Roman" w:cs="Times New Roman"/>
          <w:i/>
          <w:color w:val="222A35" w:themeColor="text2" w:themeShade="80"/>
          <w:sz w:val="28"/>
          <w:szCs w:val="28"/>
          <w:lang w:val="en-US" w:eastAsia="zh-CN"/>
        </w:rPr>
        <w:t>imigranților și străinilor în statele europene</w:t>
      </w:r>
      <w:r w:rsidRPr="00C52E93">
        <w:rPr>
          <w:rFonts w:eastAsia="Times New Roman" w:cs="Times New Roman"/>
          <w:color w:val="222A35" w:themeColor="text2" w:themeShade="80"/>
          <w:sz w:val="28"/>
          <w:szCs w:val="28"/>
          <w:lang w:val="en-US" w:eastAsia="zh-CN"/>
        </w:rPr>
        <w:t>”</w:t>
      </w:r>
      <w:r>
        <w:rPr>
          <w:rStyle w:val="af7"/>
          <w:rFonts w:eastAsia="Times New Roman" w:cs="Times New Roman"/>
          <w:color w:val="222A35" w:themeColor="text2" w:themeShade="80"/>
          <w:sz w:val="28"/>
          <w:szCs w:val="28"/>
          <w:lang w:eastAsia="zh-CN"/>
        </w:rPr>
        <w:footnoteReference w:id="17"/>
      </w:r>
      <w:r w:rsidRPr="00C52E93">
        <w:rPr>
          <w:rFonts w:eastAsia="Times New Roman" w:cs="Times New Roman"/>
          <w:color w:val="222A35" w:themeColor="text2" w:themeShade="80"/>
          <w:sz w:val="28"/>
          <w:szCs w:val="28"/>
          <w:lang w:val="en-US" w:eastAsia="zh-CN"/>
        </w:rPr>
        <w:t>, principalele probleme și eventuale soluții în procesul de integrare includ:</w:t>
      </w:r>
    </w:p>
    <w:p w14:paraId="2D55A568"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Bariera lingvistică</w:t>
      </w:r>
      <w:r w:rsidRPr="00C52E93">
        <w:rPr>
          <w:rFonts w:eastAsia="Times New Roman" w:cs="Times New Roman"/>
          <w:color w:val="222A35" w:themeColor="text2" w:themeShade="80"/>
          <w:sz w:val="28"/>
          <w:szCs w:val="28"/>
          <w:lang w:val="en-US" w:eastAsia="zh-CN"/>
        </w:rPr>
        <w:t>: cunoștințele limitate ale limbii țării gazdă pot crea dificultăți în accesarea serviciilor de bază, serviciil</w:t>
      </w:r>
      <w:r w:rsidRPr="00C52E93">
        <w:rPr>
          <w:rFonts w:eastAsia="Times New Roman" w:cs="Times New Roman"/>
          <w:color w:val="222A35" w:themeColor="text2" w:themeShade="80"/>
          <w:sz w:val="28"/>
          <w:szCs w:val="28"/>
          <w:lang w:val="en-US" w:eastAsia="zh-CN"/>
        </w:rPr>
        <w:t>or sociale și a oportunităților de muncă decente. Aceasta constituie una dintre piedicile în procesul de integrare și limitează capacitatea de încadrare în viața de zi cu zi.</w:t>
      </w:r>
    </w:p>
    <w:p w14:paraId="49B75023"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Discriminare și prejudecăți</w:t>
      </w:r>
      <w:r w:rsidRPr="00C52E93">
        <w:rPr>
          <w:rFonts w:eastAsia="Times New Roman" w:cs="Times New Roman"/>
          <w:color w:val="222A35" w:themeColor="text2" w:themeShade="80"/>
          <w:sz w:val="28"/>
          <w:szCs w:val="28"/>
          <w:lang w:val="en-US" w:eastAsia="zh-CN"/>
        </w:rPr>
        <w:t xml:space="preserve">: străinii pot fi supuși discriminării pe baza rasei, </w:t>
      </w:r>
      <w:r w:rsidRPr="00C52E93">
        <w:rPr>
          <w:rFonts w:eastAsia="Times New Roman" w:cs="Times New Roman"/>
          <w:color w:val="222A35" w:themeColor="text2" w:themeShade="80"/>
          <w:sz w:val="28"/>
          <w:szCs w:val="28"/>
          <w:lang w:val="en-US" w:eastAsia="zh-CN"/>
        </w:rPr>
        <w:t>etniei, religiei sau naționalității, ceea ce poate împiedica integrarea lor socială și economică. Prejudecățile împotriva unor grupuri specifice pot exacerba și mai mult aceste provocări.</w:t>
      </w:r>
    </w:p>
    <w:p w14:paraId="188A21E3"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Accesul la educație pentru copii și adulți</w:t>
      </w:r>
      <w:r w:rsidRPr="00C52E93">
        <w:rPr>
          <w:rFonts w:eastAsia="Times New Roman" w:cs="Times New Roman"/>
          <w:color w:val="222A35" w:themeColor="text2" w:themeShade="80"/>
          <w:sz w:val="28"/>
          <w:szCs w:val="28"/>
          <w:lang w:val="en-US" w:eastAsia="zh-CN"/>
        </w:rPr>
        <w:t xml:space="preserve"> este esențial, cuprinzând</w:t>
      </w:r>
      <w:r w:rsidRPr="00C52E93">
        <w:rPr>
          <w:rFonts w:eastAsia="Times New Roman" w:cs="Times New Roman"/>
          <w:color w:val="222A35" w:themeColor="text2" w:themeShade="80"/>
          <w:sz w:val="28"/>
          <w:szCs w:val="28"/>
          <w:lang w:val="en-US" w:eastAsia="zh-CN"/>
        </w:rPr>
        <w:t xml:space="preserve"> studierea limbii, programe de formare profesională și oportunități de învățământ superior. Programele educaționale personalizate care abordează nevoile specifice ale copiilor străini, inclusiv sprijinul lingvistic și adaptarea curriculumului, sunt esenția</w:t>
      </w:r>
      <w:r w:rsidRPr="00C52E93">
        <w:rPr>
          <w:rFonts w:eastAsia="Times New Roman" w:cs="Times New Roman"/>
          <w:color w:val="222A35" w:themeColor="text2" w:themeShade="80"/>
          <w:sz w:val="28"/>
          <w:szCs w:val="28"/>
          <w:lang w:val="en-US" w:eastAsia="zh-CN"/>
        </w:rPr>
        <w:t>le. Programele de educație pentru adulți, cum ar fi formarea profesională și oportunitățile de învățământ superior, ar trebui extinse pentru a îmbunătăți calificările și perspectivele de angajare.</w:t>
      </w:r>
    </w:p>
    <w:p w14:paraId="0642CCC6"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Acces la piața muncii</w:t>
      </w:r>
      <w:r w:rsidRPr="00C52E93">
        <w:rPr>
          <w:rFonts w:eastAsia="Times New Roman" w:cs="Times New Roman"/>
          <w:color w:val="222A35" w:themeColor="text2" w:themeShade="80"/>
          <w:sz w:val="28"/>
          <w:szCs w:val="28"/>
          <w:lang w:val="en-US" w:eastAsia="zh-CN"/>
        </w:rPr>
        <w:t>: recunoașterea calificărilor și a exp</w:t>
      </w:r>
      <w:r w:rsidRPr="00C52E93">
        <w:rPr>
          <w:rFonts w:eastAsia="Times New Roman" w:cs="Times New Roman"/>
          <w:color w:val="222A35" w:themeColor="text2" w:themeShade="80"/>
          <w:sz w:val="28"/>
          <w:szCs w:val="28"/>
          <w:lang w:val="en-US" w:eastAsia="zh-CN"/>
        </w:rPr>
        <w:t>erienței profesionale din țara de origine este adesea limitată, ducând la sub-ocupare sau șomaj. Accesul limitat la oportunități de muncă decente afectează stabilitatea economică a străinilor. În plus, există adesea o neconcordanță între abilitățile pe car</w:t>
      </w:r>
      <w:r w:rsidRPr="00C52E93">
        <w:rPr>
          <w:rFonts w:eastAsia="Times New Roman" w:cs="Times New Roman"/>
          <w:color w:val="222A35" w:themeColor="text2" w:themeShade="80"/>
          <w:sz w:val="28"/>
          <w:szCs w:val="28"/>
          <w:lang w:val="en-US" w:eastAsia="zh-CN"/>
        </w:rPr>
        <w:t>e le dețin străinii și disponibilitatea ofertelor de muncă potrivite, complicând și mai mult integrarea lor pe piața muncii.</w:t>
      </w:r>
    </w:p>
    <w:p w14:paraId="4BB66A19"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Acces limitat la servicii sociale și de sănătate</w:t>
      </w:r>
      <w:r w:rsidRPr="00C52E93">
        <w:rPr>
          <w:rFonts w:eastAsia="Times New Roman" w:cs="Times New Roman"/>
          <w:color w:val="222A35" w:themeColor="text2" w:themeShade="80"/>
          <w:sz w:val="28"/>
          <w:szCs w:val="28"/>
          <w:lang w:val="en-US" w:eastAsia="zh-CN"/>
        </w:rPr>
        <w:t>: străinii întâmpină dificultăți în accesarea serviciilor sociale și de sănătate, a</w:t>
      </w:r>
      <w:r w:rsidRPr="00C52E93">
        <w:rPr>
          <w:rFonts w:eastAsia="Times New Roman" w:cs="Times New Roman"/>
          <w:color w:val="222A35" w:themeColor="text2" w:themeShade="80"/>
          <w:sz w:val="28"/>
          <w:szCs w:val="28"/>
          <w:lang w:val="en-US" w:eastAsia="zh-CN"/>
        </w:rPr>
        <w:t xml:space="preserve"> informațiilor insuficiente. Acest lucru include bariere în obținerea asistenței medicale necesare, a asigurării de sănătate și a serviciilor de asistență socială, inclusiv sprijinul social pentru grupurile vulnerabile. Aceste bariere sunt deosebit de impo</w:t>
      </w:r>
      <w:r w:rsidRPr="00C52E93">
        <w:rPr>
          <w:rFonts w:eastAsia="Times New Roman" w:cs="Times New Roman"/>
          <w:color w:val="222A35" w:themeColor="text2" w:themeShade="80"/>
          <w:sz w:val="28"/>
          <w:szCs w:val="28"/>
          <w:lang w:val="en-US" w:eastAsia="zh-CN"/>
        </w:rPr>
        <w:t>rtante pentru bunăstare și integrare, deoarece oferă sisteme de sprijin esențiale pentru menținerea sănătății și stabilității sociale.</w:t>
      </w:r>
    </w:p>
    <w:p w14:paraId="30111454"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t>Accesul la locuință reprezintă o provocare semnificativă pentru străini</w:t>
      </w:r>
      <w:r w:rsidRPr="00C52E93">
        <w:rPr>
          <w:rFonts w:eastAsia="Times New Roman" w:cs="Times New Roman"/>
          <w:color w:val="222A35" w:themeColor="text2" w:themeShade="80"/>
          <w:sz w:val="28"/>
          <w:szCs w:val="28"/>
          <w:lang w:val="en-US" w:eastAsia="zh-CN"/>
        </w:rPr>
        <w:t xml:space="preserve">, în special, pentru refugiații din Ucraina. Deși </w:t>
      </w:r>
      <w:r w:rsidRPr="00C52E93">
        <w:rPr>
          <w:rFonts w:eastAsia="Times New Roman" w:cs="Times New Roman"/>
          <w:color w:val="222A35" w:themeColor="text2" w:themeShade="80"/>
          <w:sz w:val="28"/>
          <w:szCs w:val="28"/>
          <w:lang w:val="en-US" w:eastAsia="zh-CN"/>
        </w:rPr>
        <w:t>mulți refugiați locuiesc în cazări private, o mare parte sunt găzduiți de familii sau depind de asistența pentru chirie. Costurile ridicate ale locuințelor, în special iarna, consumă o parte semnificativă din veniturile refugiaților, ducând la instabilitat</w:t>
      </w:r>
      <w:r w:rsidRPr="00C52E93">
        <w:rPr>
          <w:rFonts w:eastAsia="Times New Roman" w:cs="Times New Roman"/>
          <w:color w:val="222A35" w:themeColor="text2" w:themeShade="80"/>
          <w:sz w:val="28"/>
          <w:szCs w:val="28"/>
          <w:lang w:val="en-US" w:eastAsia="zh-CN"/>
        </w:rPr>
        <w:t>e financiară și dependență de asistența financiară. În plus, există dificultăți în găsirea unor locuințe adecvate și accesibile, cu probleme cum ar fi discriminarea împotriva chiriașilor și opțiunile insuficiente de locuințe sociale pentru grupurile cele m</w:t>
      </w:r>
      <w:r w:rsidRPr="00C52E93">
        <w:rPr>
          <w:rFonts w:eastAsia="Times New Roman" w:cs="Times New Roman"/>
          <w:color w:val="222A35" w:themeColor="text2" w:themeShade="80"/>
          <w:sz w:val="28"/>
          <w:szCs w:val="28"/>
          <w:lang w:val="en-US" w:eastAsia="zh-CN"/>
        </w:rPr>
        <w:t>ai vulnerabile.</w:t>
      </w:r>
    </w:p>
    <w:p w14:paraId="1A45ACCA" w14:textId="77777777" w:rsidR="0075115C" w:rsidRPr="00C52E93" w:rsidRDefault="00623B17">
      <w:pPr>
        <w:pStyle w:val="ae"/>
        <w:numPr>
          <w:ilvl w:val="0"/>
          <w:numId w:val="3"/>
        </w:numPr>
        <w:spacing w:after="0" w:line="240" w:lineRule="auto"/>
        <w:ind w:left="720"/>
        <w:jc w:val="both"/>
        <w:rPr>
          <w:rFonts w:eastAsia="Times New Roman" w:cs="Times New Roman"/>
          <w:color w:val="222A35" w:themeColor="text2" w:themeShade="80"/>
          <w:sz w:val="28"/>
          <w:szCs w:val="28"/>
          <w:lang w:val="en-US" w:eastAsia="zh-CN"/>
        </w:rPr>
      </w:pPr>
      <w:r w:rsidRPr="00C52E93">
        <w:rPr>
          <w:rFonts w:eastAsia="Times New Roman" w:cs="Times New Roman"/>
          <w:b/>
          <w:bCs/>
          <w:color w:val="222A35" w:themeColor="text2" w:themeShade="80"/>
          <w:sz w:val="28"/>
          <w:szCs w:val="28"/>
          <w:lang w:val="en-US" w:eastAsia="zh-CN"/>
        </w:rPr>
        <w:lastRenderedPageBreak/>
        <w:t>Coeziunea socială</w:t>
      </w:r>
      <w:r w:rsidRPr="00C52E93">
        <w:rPr>
          <w:rFonts w:eastAsia="Times New Roman" w:cs="Times New Roman"/>
          <w:color w:val="222A35" w:themeColor="text2" w:themeShade="80"/>
          <w:sz w:val="28"/>
          <w:szCs w:val="28"/>
          <w:lang w:val="en-US" w:eastAsia="zh-CN"/>
        </w:rPr>
        <w:t>: rețele insuficiente de sprijin social și dificultățile în formarea relațiilor cu localnicii pot duce la izolare și excludere. Lipsa de coeziune socială poate afecta semnificativ sănătatea mintală și poate împiedica integr</w:t>
      </w:r>
      <w:r w:rsidRPr="00C52E93">
        <w:rPr>
          <w:rFonts w:eastAsia="Times New Roman" w:cs="Times New Roman"/>
          <w:color w:val="222A35" w:themeColor="text2" w:themeShade="80"/>
          <w:sz w:val="28"/>
          <w:szCs w:val="28"/>
          <w:lang w:val="en-US" w:eastAsia="zh-CN"/>
        </w:rPr>
        <w:t>area. Eforturile de a spori coeziunea socială se concentrează pe crearea de oportunități de interacțiune între străini și localnici, promovând înțelegerea și respectul reciproc și construind punți între diverse culturi.</w:t>
      </w:r>
    </w:p>
    <w:p w14:paraId="7E0285CA" w14:textId="77777777" w:rsidR="0075115C" w:rsidRPr="00C52E93" w:rsidRDefault="0075115C">
      <w:pPr>
        <w:pStyle w:val="ae"/>
        <w:spacing w:after="0" w:line="240" w:lineRule="auto"/>
        <w:jc w:val="both"/>
        <w:rPr>
          <w:rFonts w:eastAsia="Times New Roman" w:cs="Times New Roman"/>
          <w:color w:val="222A35" w:themeColor="text2" w:themeShade="80"/>
          <w:sz w:val="28"/>
          <w:szCs w:val="28"/>
          <w:lang w:val="en-US" w:eastAsia="zh-CN"/>
        </w:rPr>
      </w:pPr>
    </w:p>
    <w:p w14:paraId="41D3905E" w14:textId="77777777" w:rsidR="0075115C" w:rsidRPr="00C52E93" w:rsidRDefault="00623B17">
      <w:pPr>
        <w:spacing w:after="0" w:line="240" w:lineRule="auto"/>
        <w:contextualSpacing/>
        <w:rPr>
          <w:rFonts w:cs="Times New Roman"/>
          <w:b/>
          <w:bCs/>
          <w:color w:val="222A35" w:themeColor="text2" w:themeShade="80"/>
          <w:sz w:val="28"/>
          <w:szCs w:val="28"/>
          <w:lang w:val="en-US"/>
        </w:rPr>
      </w:pPr>
      <w:r w:rsidRPr="00C52E93">
        <w:rPr>
          <w:rFonts w:cs="Times New Roman"/>
          <w:b/>
          <w:bCs/>
          <w:color w:val="222A35" w:themeColor="text2" w:themeShade="80"/>
          <w:sz w:val="28"/>
          <w:szCs w:val="28"/>
          <w:lang w:val="en-US"/>
        </w:rPr>
        <w:t xml:space="preserve">Analiza SWOT privind implementarea </w:t>
      </w:r>
      <w:r w:rsidRPr="00C52E93">
        <w:rPr>
          <w:rFonts w:cs="Times New Roman"/>
          <w:b/>
          <w:bCs/>
          <w:color w:val="222A35" w:themeColor="text2" w:themeShade="80"/>
          <w:sz w:val="28"/>
          <w:szCs w:val="28"/>
          <w:lang w:val="en-US"/>
        </w:rPr>
        <w:t>mecanismului de integrare a străinilor</w:t>
      </w:r>
    </w:p>
    <w:tbl>
      <w:tblPr>
        <w:tblStyle w:val="af2"/>
        <w:tblW w:w="5000" w:type="pct"/>
        <w:tblLook w:val="04A0" w:firstRow="1" w:lastRow="0" w:firstColumn="1" w:lastColumn="0" w:noHBand="0" w:noVBand="1"/>
      </w:tblPr>
      <w:tblGrid>
        <w:gridCol w:w="4813"/>
        <w:gridCol w:w="4814"/>
      </w:tblGrid>
      <w:tr w:rsidR="0075115C" w14:paraId="00D85BDB"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5634E5" w14:textId="77777777" w:rsidR="0075115C" w:rsidRDefault="00623B17">
            <w:pPr>
              <w:contextualSpacing/>
              <w:jc w:val="both"/>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831B9" w14:textId="77777777" w:rsidR="0075115C" w:rsidRDefault="00623B17">
            <w:pPr>
              <w:contextualSpacing/>
              <w:jc w:val="both"/>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rsidRPr="00C52E93" w14:paraId="068BEC91"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7488547"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 xml:space="preserve">Cadru legal clar definit pentru acordarea statutului legal și integrarea străinilor. (Legea nr. 274/2011, Legea 200/2010 privind regimul străinilor, Legea 270/2008 privind azilul în republica Moldova, </w:t>
            </w:r>
            <w:r w:rsidRPr="00C52E93">
              <w:rPr>
                <w:color w:val="222A35" w:themeColor="text2" w:themeShade="80"/>
                <w:sz w:val="28"/>
                <w:szCs w:val="28"/>
                <w:lang w:val="en-US" w:eastAsia="ro-RO"/>
              </w:rPr>
              <w:t>Hotărârea Guvernului nr. 21/2023</w:t>
            </w:r>
            <w:r w:rsidRPr="00C52E93">
              <w:rPr>
                <w:b/>
                <w:bCs/>
                <w:i/>
                <w:iCs/>
                <w:color w:val="222A35" w:themeColor="text2" w:themeShade="80"/>
                <w:sz w:val="28"/>
                <w:szCs w:val="28"/>
                <w:lang w:val="en-US" w:eastAsia="ro-RO"/>
              </w:rPr>
              <w:t xml:space="preserve"> </w:t>
            </w:r>
            <w:r w:rsidRPr="00C52E93">
              <w:rPr>
                <w:color w:val="222A35" w:themeColor="text2" w:themeShade="80"/>
                <w:sz w:val="28"/>
                <w:szCs w:val="28"/>
                <w:lang w:val="en-US" w:eastAsia="ro-RO"/>
              </w:rPr>
              <w:t>privind acordarea prot</w:t>
            </w:r>
            <w:r w:rsidRPr="00C52E93">
              <w:rPr>
                <w:color w:val="222A35" w:themeColor="text2" w:themeShade="80"/>
                <w:sz w:val="28"/>
                <w:szCs w:val="28"/>
                <w:lang w:val="en-US" w:eastAsia="ro-RO"/>
              </w:rPr>
              <w:t>ecției temporare persoanelor strămutate din Ucraina</w:t>
            </w:r>
            <w:r w:rsidRPr="00C52E93">
              <w:rPr>
                <w:color w:val="222A35" w:themeColor="text2" w:themeShade="80"/>
                <w:sz w:val="28"/>
                <w:szCs w:val="28"/>
                <w:lang w:val="en-US"/>
              </w:rPr>
              <w:t xml:space="preserve"> și Ordinul nr. 42/2016, privind Mecanismul de includere a străinilor în activități/măsuri de integrare).</w:t>
            </w:r>
          </w:p>
          <w:p w14:paraId="042DA86C"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Există o cooperare strânsă între instituțiile guvernamentale și non-guvernamentale, care faciliteaz</w:t>
            </w:r>
            <w:r w:rsidRPr="00C52E93">
              <w:rPr>
                <w:color w:val="222A35" w:themeColor="text2" w:themeShade="80"/>
                <w:sz w:val="28"/>
                <w:szCs w:val="28"/>
                <w:lang w:val="en-US"/>
              </w:rPr>
              <w:t>ă accesul la resurse și informații.</w:t>
            </w:r>
          </w:p>
          <w:p w14:paraId="66A2FBFB"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Există proceduri clare și instrumente de documentare, evaluare și referire (Fișa individuală de integrare) care facilitează procesul de integrare.</w:t>
            </w:r>
          </w:p>
          <w:p w14:paraId="15A9ABFB"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Adaptarea legislației și politicii Republicii Moldova la standardele Uniu</w:t>
            </w:r>
            <w:r w:rsidRPr="00C52E93">
              <w:rPr>
                <w:color w:val="222A35" w:themeColor="text2" w:themeShade="80"/>
                <w:sz w:val="28"/>
                <w:szCs w:val="28"/>
                <w:lang w:val="en-US"/>
              </w:rPr>
              <w:t>nii Europene și internaționale pentru a asigura o integrare eficientă în domeniul protecției și integrării străinilor.</w:t>
            </w:r>
          </w:p>
          <w:p w14:paraId="29378B9C"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(Directiva 2001/55/CE a UE</w:t>
            </w:r>
            <w:r>
              <w:rPr>
                <w:rStyle w:val="af7"/>
                <w:color w:val="222A35" w:themeColor="text2" w:themeShade="80"/>
                <w:sz w:val="28"/>
                <w:szCs w:val="28"/>
              </w:rPr>
              <w:footnoteReference w:id="18"/>
            </w:r>
            <w:r>
              <w:rPr>
                <w:color w:val="222A35" w:themeColor="text2" w:themeShade="80"/>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52F3A7D4"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Buget insuficient pentru implementarea tuturor activităților necesare pentru o integrare eficientă.</w:t>
            </w:r>
          </w:p>
          <w:p w14:paraId="687A46C8"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Persona</w:t>
            </w:r>
            <w:r w:rsidRPr="00C52E93">
              <w:rPr>
                <w:color w:val="222A35" w:themeColor="text2" w:themeShade="80"/>
                <w:sz w:val="28"/>
                <w:szCs w:val="28"/>
                <w:lang w:val="en-US"/>
              </w:rPr>
              <w:t>l insuficient și suprasolicitat în instituțiile implicate în procesul de integrare, personalului desemnat i se atribuie sarcini suplimentare.</w:t>
            </w:r>
          </w:p>
          <w:p w14:paraId="35FA4D89"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Posibile deficiențe în coordonarea dintre diversele instituții/ministere implicate, ceea ce poate duce la lipsa sc</w:t>
            </w:r>
            <w:r w:rsidRPr="00C52E93">
              <w:rPr>
                <w:color w:val="222A35" w:themeColor="text2" w:themeShade="80"/>
                <w:sz w:val="28"/>
                <w:szCs w:val="28"/>
                <w:lang w:val="en-US"/>
              </w:rPr>
              <w:t>himbului de date, întârzieri și ineficiențe.</w:t>
            </w:r>
          </w:p>
          <w:p w14:paraId="5E7D434E"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Dificultăți în comunicare și adaptare culturală atât pentru străini, cât și pentru personalul de integrare.</w:t>
            </w:r>
          </w:p>
        </w:tc>
      </w:tr>
      <w:tr w:rsidR="0075115C" w14:paraId="683A684C"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FF395D" w14:textId="77777777" w:rsidR="0075115C" w:rsidRDefault="00623B17">
            <w:pPr>
              <w:pStyle w:val="af3"/>
              <w:spacing w:before="0" w:beforeAutospacing="0" w:after="0" w:afterAutospacing="0"/>
              <w:contextualSpacing/>
              <w:jc w:val="both"/>
              <w:rPr>
                <w:b/>
                <w:color w:val="222A35" w:themeColor="text2" w:themeShade="80"/>
                <w:sz w:val="28"/>
                <w:szCs w:val="28"/>
              </w:rPr>
            </w:pPr>
            <w:r>
              <w:rPr>
                <w:b/>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487197" w14:textId="77777777" w:rsidR="0075115C" w:rsidRDefault="00623B17">
            <w:pPr>
              <w:pStyle w:val="af3"/>
              <w:spacing w:before="0" w:beforeAutospacing="0" w:after="0" w:afterAutospacing="0"/>
              <w:contextualSpacing/>
              <w:jc w:val="both"/>
              <w:rPr>
                <w:b/>
                <w:color w:val="222A35" w:themeColor="text2" w:themeShade="80"/>
                <w:sz w:val="28"/>
                <w:szCs w:val="28"/>
              </w:rPr>
            </w:pPr>
            <w:r>
              <w:rPr>
                <w:b/>
                <w:color w:val="222A35" w:themeColor="text2" w:themeShade="80"/>
                <w:sz w:val="28"/>
                <w:szCs w:val="28"/>
              </w:rPr>
              <w:t>Amenințări</w:t>
            </w:r>
          </w:p>
        </w:tc>
      </w:tr>
      <w:tr w:rsidR="0075115C" w14:paraId="5EAA9B64"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23C01F87"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Valorificarea potențialului persoanelor strămutate pentru economia Republicii</w:t>
            </w:r>
            <w:r w:rsidRPr="00C52E93">
              <w:rPr>
                <w:color w:val="222A35" w:themeColor="text2" w:themeShade="80"/>
                <w:sz w:val="28"/>
                <w:szCs w:val="28"/>
                <w:lang w:val="en-US"/>
              </w:rPr>
              <w:t xml:space="preserve"> Moldova.</w:t>
            </w:r>
          </w:p>
          <w:p w14:paraId="1C863172" w14:textId="77777777" w:rsidR="0075115C" w:rsidRPr="00C52E93" w:rsidRDefault="00623B17">
            <w:pPr>
              <w:pStyle w:val="af3"/>
              <w:spacing w:before="0" w:beforeAutospacing="0" w:after="0" w:afterAutospacing="0"/>
              <w:contextualSpacing/>
              <w:jc w:val="both"/>
              <w:rPr>
                <w:color w:val="222A35" w:themeColor="text2" w:themeShade="80"/>
                <w:sz w:val="28"/>
                <w:szCs w:val="28"/>
                <w:lang w:val="en-US"/>
              </w:rPr>
            </w:pPr>
            <w:r w:rsidRPr="00C52E93">
              <w:rPr>
                <w:color w:val="222A35" w:themeColor="text2" w:themeShade="80"/>
                <w:sz w:val="28"/>
                <w:szCs w:val="28"/>
                <w:lang w:val="en-US"/>
              </w:rPr>
              <w:t xml:space="preserve">Utilizarea tehnologiei pentru îmbunătățirea proceselor de documentare și evaluare, precum și pentru furnizarea </w:t>
            </w:r>
            <w:r w:rsidRPr="00C52E93">
              <w:rPr>
                <w:color w:val="222A35" w:themeColor="text2" w:themeShade="80"/>
                <w:sz w:val="28"/>
                <w:szCs w:val="28"/>
                <w:lang w:val="en-US"/>
              </w:rPr>
              <w:lastRenderedPageBreak/>
              <w:t>de servicii de integrare online, schimb de date eficient și operativ.</w:t>
            </w:r>
          </w:p>
          <w:p w14:paraId="6323AD1E"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Colaborarea cu organizații non-guvernamentale pentru a extinde și</w:t>
            </w:r>
            <w:r>
              <w:rPr>
                <w:color w:val="222A35" w:themeColor="text2" w:themeShade="80"/>
                <w:sz w:val="28"/>
                <w:szCs w:val="28"/>
              </w:rPr>
              <w:t xml:space="preserve"> îmbunătăți serviciile oferite străinilor.</w:t>
            </w:r>
          </w:p>
          <w:p w14:paraId="6AB53568"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Acces la fonduri și granturi internaționale, ONU destinate sprijinirii integrării străinilor.Campanii de sensibilizare și educare a populației autohtone privind beneficiile integrării străinilor.</w:t>
            </w:r>
          </w:p>
        </w:tc>
        <w:tc>
          <w:tcPr>
            <w:tcW w:w="2500" w:type="pct"/>
            <w:tcBorders>
              <w:top w:val="single" w:sz="4" w:space="0" w:color="auto"/>
              <w:left w:val="single" w:sz="4" w:space="0" w:color="auto"/>
              <w:bottom w:val="single" w:sz="4" w:space="0" w:color="auto"/>
              <w:right w:val="single" w:sz="4" w:space="0" w:color="auto"/>
            </w:tcBorders>
          </w:tcPr>
          <w:p w14:paraId="44CECAFF"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lastRenderedPageBreak/>
              <w:t>Schimbări politic</w:t>
            </w:r>
            <w:r>
              <w:rPr>
                <w:color w:val="222A35" w:themeColor="text2" w:themeShade="80"/>
                <w:sz w:val="28"/>
                <w:szCs w:val="28"/>
              </w:rPr>
              <w:t>e sau legislative care pot afecta negativ procesul de integrare.</w:t>
            </w:r>
          </w:p>
          <w:p w14:paraId="4C4E67E9"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Atitudini negative și prejudecăți din partea populației locale, care pot crea un mediu ostil pentru străini.</w:t>
            </w:r>
          </w:p>
          <w:p w14:paraId="76F53639"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lastRenderedPageBreak/>
              <w:t>Situații economice nefavorabile care pot reduce resursele disponibile pentru progr</w:t>
            </w:r>
            <w:r>
              <w:rPr>
                <w:color w:val="222A35" w:themeColor="text2" w:themeShade="80"/>
                <w:sz w:val="28"/>
                <w:szCs w:val="28"/>
              </w:rPr>
              <w:t>amele de integrare.</w:t>
            </w:r>
          </w:p>
          <w:p w14:paraId="382E2E15"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Modificări în politicile și reglementările internaționale privind migrația și azilul în procesul de aderare la UE, care pot influența fluxul de străini și cerințele de integrare.</w:t>
            </w:r>
          </w:p>
        </w:tc>
      </w:tr>
    </w:tbl>
    <w:p w14:paraId="52183B45" w14:textId="77777777" w:rsidR="0075115C" w:rsidRDefault="0075115C">
      <w:pPr>
        <w:spacing w:after="0" w:line="240" w:lineRule="auto"/>
        <w:ind w:firstLine="720"/>
        <w:contextualSpacing/>
        <w:jc w:val="both"/>
        <w:rPr>
          <w:rFonts w:eastAsia="Times New Roman" w:cs="Times New Roman"/>
          <w:i/>
          <w:iCs/>
          <w:color w:val="0070C0"/>
          <w:sz w:val="28"/>
          <w:szCs w:val="28"/>
          <w:lang w:eastAsia="zh-CN"/>
        </w:rPr>
      </w:pPr>
    </w:p>
    <w:p w14:paraId="06A6AE25" w14:textId="77777777" w:rsidR="0075115C" w:rsidRDefault="00623B17">
      <w:pPr>
        <w:pStyle w:val="2"/>
      </w:pPr>
      <w:bookmarkStart w:id="9" w:name="_Toc193725334"/>
      <w:r>
        <w:t>Accesul străinilor la asistență socială</w:t>
      </w:r>
      <w:bookmarkEnd w:id="9"/>
    </w:p>
    <w:p w14:paraId="43738062" w14:textId="77777777" w:rsidR="0075115C" w:rsidRDefault="00623B17">
      <w:pPr>
        <w:jc w:val="both"/>
        <w:rPr>
          <w:color w:val="222A35" w:themeColor="text2" w:themeShade="80"/>
          <w:sz w:val="28"/>
        </w:rPr>
      </w:pPr>
      <w:r>
        <w:rPr>
          <w:color w:val="222A35" w:themeColor="text2" w:themeShade="80"/>
          <w:sz w:val="28"/>
        </w:rPr>
        <w:t xml:space="preserve"> Pentru a răspunde nevoilor persoanelor strămutate din Ucraina, cu sprijinul partenerilor de dezvoltare, al organizațiilor necomerciale, al autorităților locale și al întregii societăți, au fost organizate locuri de cazare, inclusiv Centre de Plasament Tem</w:t>
      </w:r>
      <w:r>
        <w:rPr>
          <w:color w:val="222A35" w:themeColor="text2" w:themeShade="80"/>
          <w:sz w:val="28"/>
        </w:rPr>
        <w:t>porar pentru persoanele strămutate de pe teritoriul altor state.</w:t>
      </w:r>
    </w:p>
    <w:p w14:paraId="4110F942" w14:textId="77777777" w:rsidR="0075115C" w:rsidRDefault="00623B17">
      <w:pPr>
        <w:jc w:val="both"/>
        <w:rPr>
          <w:color w:val="222A35" w:themeColor="text2" w:themeShade="80"/>
          <w:sz w:val="28"/>
        </w:rPr>
      </w:pPr>
      <w:bookmarkStart w:id="10" w:name="_Hlk183602307"/>
      <w:r>
        <w:rPr>
          <w:color w:val="222A35" w:themeColor="text2" w:themeShade="80"/>
          <w:sz w:val="28"/>
        </w:rPr>
        <w:t>Începând cu februarie 2022 și până în prezent</w:t>
      </w:r>
      <w:bookmarkEnd w:id="10"/>
      <w:r>
        <w:rPr>
          <w:color w:val="222A35" w:themeColor="text2" w:themeShade="80"/>
          <w:sz w:val="28"/>
        </w:rPr>
        <w:t xml:space="preserve"> au fost înființate 137 de Centre de Plasament Temporar pentru persoanele strămutate de pe teritoriul altor state, cu o capacitate totală de aprox</w:t>
      </w:r>
      <w:r>
        <w:rPr>
          <w:color w:val="222A35" w:themeColor="text2" w:themeShade="80"/>
          <w:sz w:val="28"/>
        </w:rPr>
        <w:t>imativ 11.050 de locuri. Conform datelor din 20 noiembrie 2024 Ministerul Muncii și Protecției Sociale gestionează 26 de Centre de plasament temporar pentru persoane strămutate de pe teritoriul altor state, cu o capacitate totală de 1671 locuri, dintre car</w:t>
      </w:r>
      <w:r>
        <w:rPr>
          <w:color w:val="222A35" w:themeColor="text2" w:themeShade="80"/>
          <w:sz w:val="28"/>
        </w:rPr>
        <w:t>e 1301 sunt ocupate. Totodată, persoanele strămutate sunt cazate în gospodării private: persoane fizice care găzduiesc persoane strămutate din Ucraina - 18,618; persoane strămutate din Ucraina găzduite de persoane fizice - 48,488.</w:t>
      </w:r>
    </w:p>
    <w:p w14:paraId="433721A8"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Misiunea Centrelor este d</w:t>
      </w:r>
      <w:r>
        <w:rPr>
          <w:color w:val="222A35" w:themeColor="text2" w:themeShade="80"/>
          <w:sz w:val="28"/>
          <w:szCs w:val="28"/>
        </w:rPr>
        <w:t>e a oferi plasament, protecție și asistență persoanelor strămutate de pe teritoriul altor state pentru a facilita integrarea și incluziunea socială.</w:t>
      </w:r>
    </w:p>
    <w:p w14:paraId="35130B37"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 xml:space="preserve"> La moment, Ministerul împreună cu partenerii de dezvoltare (Înaltul Comisariat a Națiunilor Unite pentru R</w:t>
      </w:r>
      <w:r>
        <w:rPr>
          <w:color w:val="222A35" w:themeColor="text2" w:themeShade="80"/>
          <w:sz w:val="28"/>
          <w:szCs w:val="28"/>
        </w:rPr>
        <w:t>efugiați (UNHCR), Organizația Internațională pentru Migrație din Moldova (OIM), Catholic Relief Services Moldova (CRS), Agenția pentru cooperare tehnică și dezvoltare (ACTED), UN World Food Programme (WFP) a elaborat și este în proces de implementare a Pro</w:t>
      </w:r>
      <w:r>
        <w:rPr>
          <w:color w:val="222A35" w:themeColor="text2" w:themeShade="80"/>
          <w:sz w:val="28"/>
          <w:szCs w:val="28"/>
        </w:rPr>
        <w:t xml:space="preserve">cedurii de reorganizare a Centrelor de plasament temporar pentru persoane strămutate. </w:t>
      </w:r>
    </w:p>
    <w:p w14:paraId="36A20703"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Scopul de bază a Procedurii de reorganizare a Centrelor este integrarea persoanelor strămutate din Ucraina în comunitate, prin oferirea unui suport material pentru o per</w:t>
      </w:r>
      <w:r>
        <w:rPr>
          <w:color w:val="222A35" w:themeColor="text2" w:themeShade="80"/>
          <w:sz w:val="28"/>
          <w:szCs w:val="28"/>
        </w:rPr>
        <w:t>ioadă de 6 luni beneficiarilor care vor accepta să ducă un mod de viață independent.</w:t>
      </w:r>
    </w:p>
    <w:p w14:paraId="00F3C341" w14:textId="77777777" w:rsidR="0075115C" w:rsidRDefault="00623B17">
      <w:pPr>
        <w:pStyle w:val="af3"/>
        <w:spacing w:before="0" w:beforeAutospacing="0" w:after="0" w:afterAutospacing="0"/>
        <w:ind w:firstLine="567"/>
        <w:contextualSpacing/>
        <w:jc w:val="both"/>
        <w:rPr>
          <w:color w:val="222A35" w:themeColor="text2" w:themeShade="80"/>
          <w:sz w:val="28"/>
          <w:szCs w:val="28"/>
        </w:rPr>
      </w:pPr>
      <w:r>
        <w:rPr>
          <w:color w:val="222A35" w:themeColor="text2" w:themeShade="80"/>
          <w:sz w:val="28"/>
          <w:szCs w:val="28"/>
        </w:rPr>
        <w:t xml:space="preserve"> Obiectivele Procedurii de reorganizare a Centrelor sunt: asigurarea funcționării eficiente a Centrelor; promovarea integrării beneficiarilor în comunitate; asigurarea </w:t>
      </w:r>
      <w:r>
        <w:rPr>
          <w:color w:val="222A35" w:themeColor="text2" w:themeShade="80"/>
          <w:sz w:val="28"/>
          <w:szCs w:val="28"/>
        </w:rPr>
        <w:lastRenderedPageBreak/>
        <w:t>acc</w:t>
      </w:r>
      <w:r>
        <w:rPr>
          <w:color w:val="222A35" w:themeColor="text2" w:themeShade="80"/>
          <w:sz w:val="28"/>
          <w:szCs w:val="28"/>
        </w:rPr>
        <w:t>esului sigur tuturor persoanelor strămutate la locuri de cazare sigure și demne. Doar beneficiarii care fac parte din grupul de persoane social-vulnerabile (persoane cu dizabilități, persoane vârstnice, femei însărcinate, mame cu copii mici, persoane cu bo</w:t>
      </w:r>
      <w:r>
        <w:rPr>
          <w:color w:val="222A35" w:themeColor="text2" w:themeShade="80"/>
          <w:sz w:val="28"/>
          <w:szCs w:val="28"/>
        </w:rPr>
        <w:t>li cronice etc.) vor fi redirecționați și cazați în alte Centre de plasament temporar după perioada de 90 de zile de plasament. Serviciile oferite conform Procedurii de reorganizare a Centrelor de plasament temporar pentru persoane strămutate de pe teritor</w:t>
      </w:r>
      <w:r>
        <w:rPr>
          <w:color w:val="222A35" w:themeColor="text2" w:themeShade="80"/>
          <w:sz w:val="28"/>
          <w:szCs w:val="28"/>
        </w:rPr>
        <w:t>iul altor state sunt: consultații și sprijin; asistență în timpul relocării; sprijin juridic; program de asistență pentru închiriere; sprijin pentru sănătatea mentală; sprijin pentru angajare în câmpul muncii.</w:t>
      </w:r>
    </w:p>
    <w:p w14:paraId="22963AD4"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ceea ce privește măsurile de asistența soci</w:t>
      </w:r>
      <w:r>
        <w:rPr>
          <w:color w:val="222A35" w:themeColor="text2" w:themeShade="80"/>
          <w:sz w:val="28"/>
          <w:szCs w:val="28"/>
        </w:rPr>
        <w:t xml:space="preserve">ală destinate copiilor, în conformitate cu cadrul normativ național și internațional (Convenția ONU cu privire la drepturile copilului, Legea nr. 370/2023 privind drepturile copilului) copiii beneficiază de protecție fără nicio discriminare, indiferent de </w:t>
      </w:r>
      <w:r>
        <w:rPr>
          <w:color w:val="222A35" w:themeColor="text2" w:themeShade="80"/>
          <w:sz w:val="28"/>
          <w:szCs w:val="28"/>
        </w:rPr>
        <w:t>rasă, culoare, sex, limbă, religie, opinii politice sau de altă natură, indiferent de cetățenie, de apartenența etnică sau originea socială, de statutul obținut prin naștere, de situația materială, de gradul și tipul de dizabilitate, de aspectele specifice</w:t>
      </w:r>
      <w:r>
        <w:rPr>
          <w:color w:val="222A35" w:themeColor="text2" w:themeShade="80"/>
          <w:sz w:val="28"/>
          <w:szCs w:val="28"/>
        </w:rPr>
        <w:t xml:space="preserve"> de creștere și educație ale lor, ale părinților lor sau ale reprezentanților lor legali/responsabililor lor legali, indiferent de locul aflării lor (familie, instituție educațională, serviciu social, instituție medicală, comunitate etc.) sau de orice alt </w:t>
      </w:r>
      <w:r>
        <w:rPr>
          <w:color w:val="222A35" w:themeColor="text2" w:themeShade="80"/>
          <w:sz w:val="28"/>
          <w:szCs w:val="28"/>
        </w:rPr>
        <w:t>criteriu.</w:t>
      </w:r>
    </w:p>
    <w:p w14:paraId="785BA2EB"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Totodată, persoanele care au venit de pe teritoriul Ucrainei au necesitate sporită de asistență, inclusiv psihologică, pentru a stabili un echilibru psiho-emoțional, în special copiii.</w:t>
      </w:r>
    </w:p>
    <w:p w14:paraId="6E85F6C9"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De menționat în acest sens că în Republica Moldova este dezvo</w:t>
      </w:r>
      <w:r>
        <w:rPr>
          <w:color w:val="222A35" w:themeColor="text2" w:themeShade="80"/>
          <w:sz w:val="28"/>
          <w:szCs w:val="28"/>
        </w:rPr>
        <w:t>ltat Serviciul de asistență telefonică gratuită pentru copii (Telefonul copilului), scopul căruia este de a spori nivelul de protecție a copiilor prin oferirea accesului direct și gratuit la consiliere psihologică, suport psiho-emoțional și informarea aces</w:t>
      </w:r>
      <w:r>
        <w:rPr>
          <w:color w:val="222A35" w:themeColor="text2" w:themeShade="80"/>
          <w:sz w:val="28"/>
          <w:szCs w:val="28"/>
        </w:rPr>
        <w:t xml:space="preserve">tora despre drepturile lor și modalitățile cum aceste drepturi pot fi apărate. Serviciul specializat național este, la cererea apelantului anonim, și accesibil tuturor copiilor, precum și persoanelor, care au în îngrijire copii, 24/7, în limbile română și </w:t>
      </w:r>
      <w:r>
        <w:rPr>
          <w:color w:val="222A35" w:themeColor="text2" w:themeShade="80"/>
          <w:sz w:val="28"/>
          <w:szCs w:val="28"/>
        </w:rPr>
        <w:t>rusă.</w:t>
      </w:r>
    </w:p>
    <w:p w14:paraId="24596459"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anul 2023 de sprijin psiho-emoțional în situații de criză, de informare privind sistemul de protecție din Republica Moldova și de asistență în cazuri de încălcare a drepturilor copiilor s-au bucurat 4190 de copii.</w:t>
      </w:r>
    </w:p>
    <w:p w14:paraId="146B7065"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 xml:space="preserve">Pentru a face acest serviciu cât </w:t>
      </w:r>
      <w:r>
        <w:rPr>
          <w:color w:val="222A35" w:themeColor="text2" w:themeShade="80"/>
          <w:sz w:val="28"/>
          <w:szCs w:val="28"/>
        </w:rPr>
        <w:t xml:space="preserve">mai accesibil și pentru copiii care vin pe teritoriul Republicii Moldova de pe teritoriul altor state se propune promovarea acestui serviciu prin desfășurarea campaniilor de informare în acest sens cu sprijinul partenerilor de dezvoltare. </w:t>
      </w:r>
    </w:p>
    <w:p w14:paraId="78C37FCC"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 xml:space="preserve">Suplimentar, în </w:t>
      </w:r>
      <w:r>
        <w:rPr>
          <w:color w:val="222A35" w:themeColor="text2" w:themeShade="80"/>
          <w:sz w:val="28"/>
          <w:szCs w:val="28"/>
        </w:rPr>
        <w:t>anul 2023 urmare a promovării proiectului Acordului dintre Republica Moldova și Ucraina cu privire la cooperarea în domeniul repatrierii copiilor neînsoțiți la locul habitual de trai a acestora, prin decretul Președintelui Republicii Moldova nr. 942/2023 a</w:t>
      </w:r>
      <w:r>
        <w:rPr>
          <w:color w:val="222A35" w:themeColor="text2" w:themeShade="80"/>
          <w:sz w:val="28"/>
          <w:szCs w:val="28"/>
        </w:rPr>
        <w:t xml:space="preserve"> fost aprobată inițierea negocierilor asupra proiectului Acordului dintre Republica Moldova și Ucraina cu privire la cooperarea în domeniul repatrierii copiilor neînsoțiți la locul habitual de trai a acestora. Astfel, în perioada imediat următoare se preco</w:t>
      </w:r>
      <w:r>
        <w:rPr>
          <w:color w:val="222A35" w:themeColor="text2" w:themeShade="80"/>
          <w:sz w:val="28"/>
          <w:szCs w:val="28"/>
        </w:rPr>
        <w:t xml:space="preserve">nizează continuarea procesului de negociere pe marginea Acordului vizat. Încheierea Acordului dintre Republica Moldova și Ucraina cu privire </w:t>
      </w:r>
      <w:r>
        <w:rPr>
          <w:color w:val="222A35" w:themeColor="text2" w:themeShade="80"/>
          <w:sz w:val="28"/>
          <w:szCs w:val="28"/>
        </w:rPr>
        <w:lastRenderedPageBreak/>
        <w:t>la cooperarea în domeniul repatrierii copiilor neînsoțiți la locul habitual de trai a acestora va acorda posibilita</w:t>
      </w:r>
      <w:r>
        <w:rPr>
          <w:color w:val="222A35" w:themeColor="text2" w:themeShade="80"/>
          <w:sz w:val="28"/>
          <w:szCs w:val="28"/>
        </w:rPr>
        <w:t>te celor două state părți de a oferi soluții prompte și eficiente de restabilire în drepturi a copiilor neînsoțiți, aflați în situație de dificultate/risc, în scopul repatrierii acestora la reședința habituală, precum și de aliniere a cadrului normativ naț</w:t>
      </w:r>
      <w:r>
        <w:rPr>
          <w:color w:val="222A35" w:themeColor="text2" w:themeShade="80"/>
          <w:sz w:val="28"/>
          <w:szCs w:val="28"/>
        </w:rPr>
        <w:t>ional și a practicilor din domeniul protecției copilului la prevederile Convenției ONU cu privire la drepturile copilului.</w:t>
      </w:r>
    </w:p>
    <w:p w14:paraId="7F0A9C48"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Printre alte măsuri de asistență socială oferite persoanelor strămutate din Ucraina sunt cu suportul partenerilor de dezvoltare:</w:t>
      </w:r>
    </w:p>
    <w:p w14:paraId="551A7B01" w14:textId="77777777" w:rsidR="0075115C" w:rsidRDefault="00623B17">
      <w:pPr>
        <w:pStyle w:val="af3"/>
        <w:numPr>
          <w:ilvl w:val="0"/>
          <w:numId w:val="9"/>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Ajut</w:t>
      </w:r>
      <w:r>
        <w:rPr>
          <w:color w:val="222A35" w:themeColor="text2" w:themeShade="80"/>
          <w:sz w:val="28"/>
          <w:szCs w:val="28"/>
        </w:rPr>
        <w:t>orul financiar de 2200 lei pe lună oferit beneficiarilor de protecție temporară;</w:t>
      </w:r>
    </w:p>
    <w:p w14:paraId="73EDB126" w14:textId="77777777" w:rsidR="0075115C" w:rsidRDefault="00623B17">
      <w:pPr>
        <w:pStyle w:val="af3"/>
        <w:numPr>
          <w:ilvl w:val="0"/>
          <w:numId w:val="9"/>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Sprijinul pentru perioada rece a anului;</w:t>
      </w:r>
    </w:p>
    <w:p w14:paraId="00B1EC34" w14:textId="77777777" w:rsidR="0075115C" w:rsidRDefault="00623B17">
      <w:pPr>
        <w:pStyle w:val="af3"/>
        <w:numPr>
          <w:ilvl w:val="0"/>
          <w:numId w:val="9"/>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Ajutorul material unic (AMU) ș.a.</w:t>
      </w:r>
    </w:p>
    <w:p w14:paraId="44BF41DC" w14:textId="77777777" w:rsidR="0075115C" w:rsidRDefault="0075115C">
      <w:pPr>
        <w:pStyle w:val="af3"/>
        <w:spacing w:before="0" w:beforeAutospacing="0" w:after="0" w:afterAutospacing="0"/>
        <w:ind w:left="720"/>
        <w:contextualSpacing/>
        <w:jc w:val="both"/>
        <w:rPr>
          <w:color w:val="222A35" w:themeColor="text2" w:themeShade="80"/>
          <w:sz w:val="28"/>
          <w:szCs w:val="28"/>
        </w:rPr>
      </w:pPr>
    </w:p>
    <w:p w14:paraId="784E6CE3" w14:textId="77777777" w:rsidR="0075115C" w:rsidRDefault="00623B17">
      <w:pPr>
        <w:pStyle w:val="af3"/>
        <w:spacing w:before="0" w:beforeAutospacing="0" w:after="0" w:afterAutospacing="0"/>
        <w:contextualSpacing/>
        <w:jc w:val="both"/>
        <w:rPr>
          <w:sz w:val="28"/>
          <w:szCs w:val="28"/>
        </w:rPr>
      </w:pPr>
      <w:r>
        <w:rPr>
          <w:b/>
          <w:bCs/>
          <w:i/>
          <w:iCs/>
          <w:color w:val="222A35" w:themeColor="text2" w:themeShade="80"/>
          <w:sz w:val="28"/>
          <w:szCs w:val="28"/>
        </w:rPr>
        <w:t>Analiza SWOT privind accesul străinilor la asistență socială în Republica Moldova</w:t>
      </w:r>
    </w:p>
    <w:tbl>
      <w:tblPr>
        <w:tblStyle w:val="af2"/>
        <w:tblW w:w="5000" w:type="pct"/>
        <w:tblLook w:val="04A0" w:firstRow="1" w:lastRow="0" w:firstColumn="1" w:lastColumn="0" w:noHBand="0" w:noVBand="1"/>
      </w:tblPr>
      <w:tblGrid>
        <w:gridCol w:w="4813"/>
        <w:gridCol w:w="4814"/>
      </w:tblGrid>
      <w:tr w:rsidR="0075115C" w14:paraId="7A9DF16D"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B42F35"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83F013"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47E02D98"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843CB5A"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Existența Centrelor de Plasament Temporar</w:t>
            </w:r>
          </w:p>
          <w:p w14:paraId="7BDCECC5"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Existența programelor care includ accesul la servicii de asistență socială pentru străini.</w:t>
            </w:r>
          </w:p>
        </w:tc>
        <w:tc>
          <w:tcPr>
            <w:tcW w:w="2500" w:type="pct"/>
            <w:tcBorders>
              <w:top w:val="single" w:sz="4" w:space="0" w:color="auto"/>
              <w:left w:val="single" w:sz="4" w:space="0" w:color="auto"/>
              <w:bottom w:val="single" w:sz="4" w:space="0" w:color="auto"/>
              <w:right w:val="single" w:sz="4" w:space="0" w:color="auto"/>
            </w:tcBorders>
          </w:tcPr>
          <w:p w14:paraId="657440CB"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Procesul de integrare socială și economică a persoanelor strămutate poate fi lent și complex.</w:t>
            </w:r>
          </w:p>
          <w:p w14:paraId="37E69612"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Necesitatea cre</w:t>
            </w:r>
            <w:r>
              <w:rPr>
                <w:color w:val="222A35" w:themeColor="text2" w:themeShade="80"/>
                <w:sz w:val="28"/>
                <w:szCs w:val="28"/>
              </w:rPr>
              <w:t>scută de asistență psihologică, mai ales pentru copii, pentru a stabili un echilibru psiho-emoțional.</w:t>
            </w:r>
          </w:p>
          <w:p w14:paraId="241800B7"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Finanțare insuficientă pentru acoperirea tuturor nevoilor străinilor.</w:t>
            </w:r>
          </w:p>
        </w:tc>
      </w:tr>
      <w:tr w:rsidR="0075115C" w14:paraId="01B5485E"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41F423"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3FCD57"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5D05340D"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22A5F5BF"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 xml:space="preserve">Există instituții și organizații neguvernamentale care </w:t>
            </w:r>
            <w:r>
              <w:rPr>
                <w:color w:val="222A35" w:themeColor="text2" w:themeShade="80"/>
                <w:sz w:val="28"/>
                <w:szCs w:val="28"/>
              </w:rPr>
              <w:t>oferă sprijin și asistență socială străinilor.</w:t>
            </w:r>
          </w:p>
          <w:p w14:paraId="53D171AF"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Parteneriate externe pentru implementarea programelor de sprijin pentru închiriere și angajare, precum și sprijin pentru sănătatea mentală.</w:t>
            </w:r>
          </w:p>
        </w:tc>
        <w:tc>
          <w:tcPr>
            <w:tcW w:w="2500" w:type="pct"/>
            <w:tcBorders>
              <w:top w:val="single" w:sz="4" w:space="0" w:color="auto"/>
              <w:left w:val="single" w:sz="4" w:space="0" w:color="auto"/>
              <w:bottom w:val="single" w:sz="4" w:space="0" w:color="auto"/>
              <w:right w:val="single" w:sz="4" w:space="0" w:color="auto"/>
            </w:tcBorders>
          </w:tcPr>
          <w:p w14:paraId="25033A7E"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Un aflux mare de imigranți poate supraîncărca sistemul de asistență s</w:t>
            </w:r>
            <w:r>
              <w:rPr>
                <w:color w:val="222A35" w:themeColor="text2" w:themeShade="80"/>
                <w:sz w:val="28"/>
                <w:szCs w:val="28"/>
              </w:rPr>
              <w:t>ocială și poate duce la insuficiența resurselor disponibile.</w:t>
            </w:r>
          </w:p>
          <w:p w14:paraId="07E7A72E" w14:textId="77777777" w:rsidR="0075115C" w:rsidRDefault="00623B17">
            <w:pPr>
              <w:pStyle w:val="af3"/>
              <w:spacing w:before="0" w:beforeAutospacing="0" w:after="0" w:afterAutospacing="0"/>
              <w:contextualSpacing/>
              <w:jc w:val="both"/>
              <w:rPr>
                <w:b/>
                <w:bCs/>
                <w:color w:val="222A35" w:themeColor="text2" w:themeShade="80"/>
                <w:sz w:val="28"/>
                <w:szCs w:val="28"/>
              </w:rPr>
            </w:pPr>
            <w:r>
              <w:rPr>
                <w:color w:val="222A35" w:themeColor="text2" w:themeShade="80"/>
                <w:sz w:val="28"/>
                <w:szCs w:val="28"/>
              </w:rPr>
              <w:t>Crizele energetice pot reduce resursele disponibile pentru asistența socială și pot crește concurența pentru aceste resurse între cetățeni și străini.</w:t>
            </w:r>
          </w:p>
        </w:tc>
      </w:tr>
    </w:tbl>
    <w:p w14:paraId="2BAAB43C" w14:textId="77777777" w:rsidR="0075115C" w:rsidRDefault="0075115C">
      <w:pPr>
        <w:pStyle w:val="Frspaiere1"/>
      </w:pPr>
      <w:bookmarkStart w:id="11" w:name="_Hlk181743838"/>
    </w:p>
    <w:p w14:paraId="4ED12FA6" w14:textId="77777777" w:rsidR="0075115C" w:rsidRDefault="00623B17">
      <w:pPr>
        <w:pStyle w:val="2"/>
      </w:pPr>
      <w:bookmarkStart w:id="12" w:name="_Toc193725335"/>
      <w:r>
        <w:t>Violența în bază de gen, inclusiv violență</w:t>
      </w:r>
      <w:r>
        <w:t xml:space="preserve"> împotriva femeilor și violență în familie (VBG) și protecția copiilor în raport străinii și persoanele refugiate din Ucraina</w:t>
      </w:r>
      <w:bookmarkEnd w:id="12"/>
    </w:p>
    <w:p w14:paraId="4A1DC294" w14:textId="77777777" w:rsidR="0075115C" w:rsidRDefault="00623B17">
      <w:pPr>
        <w:pStyle w:val="af3"/>
        <w:spacing w:before="0" w:beforeAutospacing="0" w:after="0" w:afterAutospacing="0"/>
        <w:ind w:firstLine="720"/>
        <w:contextualSpacing/>
        <w:jc w:val="both"/>
        <w:rPr>
          <w:sz w:val="28"/>
          <w:szCs w:val="28"/>
        </w:rPr>
      </w:pPr>
      <w:r>
        <w:rPr>
          <w:sz w:val="28"/>
          <w:szCs w:val="28"/>
        </w:rPr>
        <w:t>Conform raportului „Auditul siguranței - răspunsul la criza refugiaților din Ucraina în Moldova” (2024), Republica Moldova găzduie</w:t>
      </w:r>
      <w:r>
        <w:rPr>
          <w:sz w:val="28"/>
          <w:szCs w:val="28"/>
        </w:rPr>
        <w:t>ște peste 120.000 de refugiați din Ucraina, majoritatea fiind femei și copii. Acest context creează vulnerabilități semnificative la violența în bază de gen, inclusiv violență împotriva femeilor și violență în familie (VBG), cu multiple riscuri identificat</w:t>
      </w:r>
      <w:r>
        <w:rPr>
          <w:sz w:val="28"/>
          <w:szCs w:val="28"/>
        </w:rPr>
        <w:t xml:space="preserve">e, inclusiv violență din partea partenerului intim, trafic de persoane, exploatare sexuală și hărțuire facilitată de tehnologie. Grupurile cele mai vulnerabile includ femeile de etnie romă, persoanele cu dizabilități, adolescentele și lucrătoarele sexului </w:t>
      </w:r>
      <w:r>
        <w:rPr>
          <w:sz w:val="28"/>
          <w:szCs w:val="28"/>
        </w:rPr>
        <w:t xml:space="preserve">comercial. Barierele în accesarea </w:t>
      </w:r>
      <w:r>
        <w:rPr>
          <w:sz w:val="28"/>
          <w:szCs w:val="28"/>
        </w:rPr>
        <w:lastRenderedPageBreak/>
        <w:t>serviciilor includ probleme lingvistice, neîncrederea în instituții, normele sociale dăunătoare și accesibilitatea limitată la infrastructură.</w:t>
      </w:r>
    </w:p>
    <w:p w14:paraId="72BE8858" w14:textId="77777777" w:rsidR="0075115C" w:rsidRDefault="00623B17">
      <w:pPr>
        <w:pStyle w:val="af3"/>
        <w:spacing w:before="0" w:beforeAutospacing="0" w:after="0" w:afterAutospacing="0"/>
        <w:ind w:firstLine="720"/>
        <w:contextualSpacing/>
        <w:jc w:val="both"/>
        <w:rPr>
          <w:sz w:val="28"/>
          <w:szCs w:val="28"/>
        </w:rPr>
      </w:pPr>
      <w:r>
        <w:rPr>
          <w:sz w:val="28"/>
          <w:szCs w:val="28"/>
        </w:rPr>
        <w:t>Din numărul total de refugiați rămași în Moldova, aproximativ 36% sunt copii. C</w:t>
      </w:r>
      <w:r>
        <w:rPr>
          <w:sz w:val="28"/>
          <w:szCs w:val="28"/>
        </w:rPr>
        <w:t>opiii refugiați sunt deosebit de vulnerabili la factori de violența, inclusiv exploatare sexuală, trafic de persoane, hărțuire psihologică și alte forme de abuz. Lipsa unui mediu stabil, separarea de rețele sociale de suport și incertitudinea privind viito</w:t>
      </w:r>
      <w:r>
        <w:rPr>
          <w:sz w:val="28"/>
          <w:szCs w:val="28"/>
        </w:rPr>
        <w:t>rul sunt factori care amplifică vulnerabilitatea acestora. Grupurile cele mai expuse includ fetele adolescente, copiii neînsoțiți de familie și cei din comunități marginalizate (ex. etnia romă). De asemenea, accesul limitat la educație, servicii de protecț</w:t>
      </w:r>
      <w:r>
        <w:rPr>
          <w:sz w:val="28"/>
          <w:szCs w:val="28"/>
        </w:rPr>
        <w:t>ie și sprijin psihosocial contribuie la sporirea riscurilor de VBG.</w:t>
      </w:r>
    </w:p>
    <w:p w14:paraId="12819D58" w14:textId="77777777" w:rsidR="0075115C" w:rsidRDefault="00623B17">
      <w:pPr>
        <w:pStyle w:val="af3"/>
        <w:spacing w:before="0" w:beforeAutospacing="0" w:after="0" w:afterAutospacing="0"/>
        <w:ind w:firstLine="720"/>
        <w:contextualSpacing/>
        <w:jc w:val="both"/>
        <w:rPr>
          <w:sz w:val="28"/>
          <w:szCs w:val="28"/>
        </w:rPr>
      </w:pPr>
      <w:r>
        <w:rPr>
          <w:sz w:val="28"/>
          <w:szCs w:val="28"/>
        </w:rPr>
        <w:t>Printre principalele provocări identificate, se evidențiază dificultățile cu care se confruntă în special femeile și fetele în accesarea serviciilor juridice, psihologice și sociale. Totod</w:t>
      </w:r>
      <w:r>
        <w:rPr>
          <w:sz w:val="28"/>
          <w:szCs w:val="28"/>
        </w:rPr>
        <w:t>ată, normele culturale și sociale perpetuează ideea că victimele sunt responsabile pentru violență, iar insuficiența resurselor umane și financiare limitează capacitatea de intervenție.</w:t>
      </w:r>
    </w:p>
    <w:p w14:paraId="117DF8BC" w14:textId="77777777" w:rsidR="0075115C" w:rsidRDefault="00623B17">
      <w:pPr>
        <w:pStyle w:val="af3"/>
        <w:spacing w:before="0" w:beforeAutospacing="0" w:after="0" w:afterAutospacing="0"/>
        <w:ind w:firstLine="567"/>
        <w:jc w:val="both"/>
        <w:rPr>
          <w:sz w:val="28"/>
          <w:szCs w:val="28"/>
        </w:rPr>
      </w:pPr>
      <w:r>
        <w:rPr>
          <w:sz w:val="28"/>
          <w:szCs w:val="28"/>
        </w:rPr>
        <w:t xml:space="preserve">În contextul crizei umanitare generate de războiul din Ucraina, </w:t>
      </w:r>
      <w:r>
        <w:rPr>
          <w:sz w:val="28"/>
          <w:szCs w:val="28"/>
        </w:rPr>
        <w:t>Republica Moldova a implementat măsuri complexe pentru protecția copiilor refugiați, în special a celor neînsoțiți și celor aflați în situație de risc. Conform legislației naționale, copil se consideră persoana care nu a împlinit vârsta de 18 ani, cu excep</w:t>
      </w:r>
      <w:r>
        <w:rPr>
          <w:sz w:val="28"/>
          <w:szCs w:val="28"/>
        </w:rPr>
        <w:t>ția cazurilor când copilul obține capacitatea deplină de exercițiu în cazurile prevăzute de lege. Cu referire la străini, „</w:t>
      </w:r>
      <w:r>
        <w:rPr>
          <w:rStyle w:val="aff5"/>
          <w:rFonts w:eastAsia="Arial"/>
        </w:rPr>
        <w:t>minor neînsoţit</w:t>
      </w:r>
      <w:r>
        <w:rPr>
          <w:color w:val="000000"/>
          <w:sz w:val="28"/>
          <w:szCs w:val="28"/>
          <w:shd w:val="clear" w:color="auto" w:fill="FFFFFF"/>
        </w:rPr>
        <w:t> – străinul sub optsprezece ani, care intră pe teritoriul Republicii Moldova fără a fi însoţit de o persoană adultă ca</w:t>
      </w:r>
      <w:r>
        <w:rPr>
          <w:color w:val="000000"/>
          <w:sz w:val="28"/>
          <w:szCs w:val="28"/>
          <w:shd w:val="clear" w:color="auto" w:fill="FFFFFF"/>
        </w:rPr>
        <w:t>re să fie responsabilă pentru el prin lege sau un act juridic şi atîta timp cît nu este efectiv luat în îngrijire de o astfel de persoană; această noţiune desemnează, de asemenea, minorul care este lăsat neînsoţit după intrarea pe teritoriul Republicii Mol</w:t>
      </w:r>
      <w:r>
        <w:rPr>
          <w:color w:val="000000"/>
          <w:sz w:val="28"/>
          <w:szCs w:val="28"/>
          <w:shd w:val="clear" w:color="auto" w:fill="FFFFFF"/>
        </w:rPr>
        <w:t>dova” potrivit Legii nr. 200/2010 privind regimul străinilor în Republica Moldova.</w:t>
      </w:r>
      <w:r>
        <w:rPr>
          <w:sz w:val="28"/>
          <w:szCs w:val="28"/>
        </w:rPr>
        <w:t xml:space="preserve"> Integrarea minorilor neînsoțiți străini reprezintă un capitol distinct și necesită o atenție specială în cadrul politicilor naționale de integrare, datorită vulnerabilității</w:t>
      </w:r>
      <w:r>
        <w:rPr>
          <w:sz w:val="28"/>
          <w:szCs w:val="28"/>
        </w:rPr>
        <w:t xml:space="preserve"> deosebite a acestui grup. Republica Moldova, în concordanță cu standardele Uniunii Europene și cu instrumentele internaționale privind drepturile copilului, are obligația de a asigura protecția și bunăstarea acestor copii, care se află într-o situație deo</w:t>
      </w:r>
      <w:r>
        <w:rPr>
          <w:sz w:val="28"/>
          <w:szCs w:val="28"/>
        </w:rPr>
        <w:t>sebit de dificilă.</w:t>
      </w:r>
    </w:p>
    <w:p w14:paraId="28BC0DE1" w14:textId="77777777" w:rsidR="0075115C" w:rsidRDefault="00623B17">
      <w:pPr>
        <w:pStyle w:val="af3"/>
        <w:spacing w:before="0" w:beforeAutospacing="0" w:after="0" w:afterAutospacing="0"/>
        <w:ind w:firstLine="709"/>
        <w:jc w:val="both"/>
        <w:rPr>
          <w:sz w:val="28"/>
          <w:szCs w:val="28"/>
        </w:rPr>
      </w:pPr>
      <w:r>
        <w:rPr>
          <w:sz w:val="28"/>
          <w:szCs w:val="28"/>
        </w:rPr>
        <w:t>Cadrul legal național, inclusiv articolele 85, 86 și 87 din Legea nr. 200/2010, stabilește regimul juridic aplicabil minorilor străini neînsoțiți, de la identificarea și documentarea acestora, până la asigurarea reprezentării legale, a a</w:t>
      </w:r>
      <w:r>
        <w:rPr>
          <w:sz w:val="28"/>
          <w:szCs w:val="28"/>
        </w:rPr>
        <w:t>ccesului la educație și a dreptului la repatriere, atunci când este cazul. IGM are un rol principal în acest proces, fiind responsabilă de implementarea măsurilor de protecție și de cooperarea cu alte instituții și organizații specializate în domeniul prot</w:t>
      </w:r>
      <w:r>
        <w:rPr>
          <w:sz w:val="28"/>
          <w:szCs w:val="28"/>
        </w:rPr>
        <w:t>ecției copilului. La fel este coordonat procesul în cazul minorilor neînsoțiți care solicită azil, acest grup fiind prevăzut de și Legea nr. 270/2008 privind azilul în Republica Moldova.</w:t>
      </w:r>
    </w:p>
    <w:p w14:paraId="516D3273" w14:textId="77777777" w:rsidR="0075115C" w:rsidRDefault="00623B17">
      <w:pPr>
        <w:pStyle w:val="af3"/>
        <w:spacing w:before="0" w:beforeAutospacing="0" w:after="0" w:afterAutospacing="0"/>
        <w:ind w:firstLine="720"/>
        <w:contextualSpacing/>
        <w:jc w:val="both"/>
        <w:rPr>
          <w:sz w:val="28"/>
          <w:szCs w:val="28"/>
        </w:rPr>
      </w:pPr>
      <w:r>
        <w:rPr>
          <w:sz w:val="28"/>
          <w:szCs w:val="28"/>
        </w:rPr>
        <w:t>Identificarea și protecția acestor copii sunt reglementate prin Legea</w:t>
      </w:r>
      <w:r>
        <w:rPr>
          <w:sz w:val="28"/>
          <w:szCs w:val="28"/>
        </w:rPr>
        <w:t xml:space="preserve"> nr. 200/2010 privind regimul străinilor și Legea nr. 270/2008 privind azilul, Legea nr. 140/2013 privind protecția specială a copiilor aflați în situații de risc și a copiilor separați de părinți și Hotărârii de Guvern nr. 270/2014, cu privire la aprobare</w:t>
      </w:r>
      <w:r>
        <w:rPr>
          <w:sz w:val="28"/>
          <w:szCs w:val="28"/>
        </w:rPr>
        <w:t xml:space="preserve">a Instrucțiunilor privind mecanismul intersectorial de cooperare pentru identificarea, evaluarea, </w:t>
      </w:r>
      <w:r>
        <w:rPr>
          <w:sz w:val="28"/>
          <w:szCs w:val="28"/>
        </w:rPr>
        <w:lastRenderedPageBreak/>
        <w:t xml:space="preserve">referirea, asistența şi monitorizarea copiilor victime şi potențiale victime ale violenţei, neglijării, exploatării şi traficului precum și prin regulamentul </w:t>
      </w:r>
      <w:r>
        <w:rPr>
          <w:sz w:val="28"/>
          <w:szCs w:val="28"/>
        </w:rPr>
        <w:t>adoptat prin Decizia CSE nr. 14 din 2022. Sistemul intersectorial de cooperare asigură monitorizarea, referirea și intervenția autorităților tutelare, implicând Poliția de Frontieră și instituțiile locale de protecție socială în preluarea și asistarea mino</w:t>
      </w:r>
      <w:r>
        <w:rPr>
          <w:sz w:val="28"/>
          <w:szCs w:val="28"/>
        </w:rPr>
        <w:t>rilor expuși riscurilor de trafic, violență sau separare de familie. Toate măsurile sunt ghidate de principiul interesului superior al copilului și de standardele internaționale privind drepturile copilului.</w:t>
      </w:r>
    </w:p>
    <w:p w14:paraId="65354B14" w14:textId="77777777" w:rsidR="0075115C" w:rsidRDefault="00623B17">
      <w:pPr>
        <w:pStyle w:val="af3"/>
        <w:spacing w:before="0" w:beforeAutospacing="0" w:after="0" w:afterAutospacing="0"/>
        <w:ind w:firstLine="720"/>
        <w:contextualSpacing/>
        <w:jc w:val="both"/>
        <w:rPr>
          <w:sz w:val="28"/>
          <w:szCs w:val="28"/>
        </w:rPr>
      </w:pPr>
      <w:r>
        <w:rPr>
          <w:sz w:val="28"/>
          <w:szCs w:val="28"/>
        </w:rPr>
        <w:t>În contextul protecției minorilor neînsoțiți str</w:t>
      </w:r>
      <w:r>
        <w:rPr>
          <w:sz w:val="28"/>
          <w:szCs w:val="28"/>
        </w:rPr>
        <w:t>ăini, un instrument deosebit de important este Hotărârea Guvernului nr. 270/2014</w:t>
      </w:r>
      <w:r>
        <w:rPr>
          <w:rStyle w:val="af7"/>
          <w:sz w:val="28"/>
          <w:szCs w:val="28"/>
        </w:rPr>
        <w:footnoteReference w:id="19"/>
      </w:r>
      <w:r>
        <w:rPr>
          <w:sz w:val="28"/>
          <w:szCs w:val="28"/>
        </w:rPr>
        <w:t xml:space="preserve">, care aprobă Instrucțiunile privind mecanismul intersectorial de cooperare pentru identificarea, evaluarea, referirea, asistența și monitorizarea copiilor victime și </w:t>
      </w:r>
      <w:r>
        <w:rPr>
          <w:sz w:val="28"/>
          <w:szCs w:val="28"/>
        </w:rPr>
        <w:t>potențiale victime ale violenței, neglijării, exploatării și traficului. Această Hotărâre a Guvernului este adoptată în scopul executării art. 20 din Legea nr. 140/2013 privind protecția specială a copiilor aflați în situație de risc și a copiilor separați</w:t>
      </w:r>
      <w:r>
        <w:rPr>
          <w:sz w:val="28"/>
          <w:szCs w:val="28"/>
        </w:rPr>
        <w:t xml:space="preserve"> de părinți</w:t>
      </w:r>
      <w:r>
        <w:rPr>
          <w:rStyle w:val="af7"/>
          <w:sz w:val="28"/>
          <w:szCs w:val="28"/>
        </w:rPr>
        <w:footnoteReference w:id="20"/>
      </w:r>
      <w:r>
        <w:rPr>
          <w:sz w:val="28"/>
          <w:szCs w:val="28"/>
        </w:rPr>
        <w:t xml:space="preserve">.  </w:t>
      </w:r>
    </w:p>
    <w:p w14:paraId="488E2E49" w14:textId="77777777" w:rsidR="0075115C" w:rsidRDefault="00623B17">
      <w:pPr>
        <w:pStyle w:val="af3"/>
        <w:spacing w:before="0" w:beforeAutospacing="0" w:after="0" w:afterAutospacing="0"/>
        <w:ind w:firstLine="720"/>
        <w:contextualSpacing/>
        <w:jc w:val="both"/>
        <w:rPr>
          <w:sz w:val="28"/>
          <w:szCs w:val="28"/>
        </w:rPr>
      </w:pPr>
      <w:r>
        <w:rPr>
          <w:sz w:val="28"/>
          <w:szCs w:val="28"/>
        </w:rPr>
        <w:t>Acest mecanism intersectorial asigură o abordare coordonată și eficientă în protecția minorilor neînsoțiți, implicând diverse instituții și actori relevanți. Cooperarea dintre Ministerul Muncii și Protecției Sociale, Ministerul Afacerilor I</w:t>
      </w:r>
      <w:r>
        <w:rPr>
          <w:sz w:val="28"/>
          <w:szCs w:val="28"/>
        </w:rPr>
        <w:t>nterne, Ministerul Educației și Cercetării și Ministerul Sănătății este esențială pentru a asigura ocrotirea și integrarea efectivă a acestor copii vulnerabili.</w:t>
      </w:r>
    </w:p>
    <w:p w14:paraId="11926F34" w14:textId="77777777" w:rsidR="0075115C" w:rsidRDefault="00623B17">
      <w:pPr>
        <w:pStyle w:val="af3"/>
        <w:spacing w:before="0" w:beforeAutospacing="0" w:after="0" w:afterAutospacing="0"/>
        <w:ind w:firstLine="720"/>
        <w:contextualSpacing/>
        <w:jc w:val="both"/>
        <w:rPr>
          <w:sz w:val="28"/>
          <w:szCs w:val="28"/>
        </w:rPr>
      </w:pPr>
      <w:r>
        <w:rPr>
          <w:sz w:val="28"/>
          <w:szCs w:val="28"/>
        </w:rPr>
        <w:t>Instrucțiunile aprobate prin Hotărârea Guvernului nr. 270/2014 stabilesc proceduri clare și res</w:t>
      </w:r>
      <w:r>
        <w:rPr>
          <w:sz w:val="28"/>
          <w:szCs w:val="28"/>
        </w:rPr>
        <w:t xml:space="preserve">ponsabilități pentru fiecare actor implicat în protecția minorilor neînsoțiți, acoperind toate etapele, de la identificarea și evaluarea inițială a copilului, până la oferirea de asistență juridică, socială și psihologică, precum și monitorizarea continuă </w:t>
      </w:r>
      <w:r>
        <w:rPr>
          <w:sz w:val="28"/>
          <w:szCs w:val="28"/>
        </w:rPr>
        <w:t>a situației acestuia. În mod specific, copiii, inclusiv minorii neînsoțiți, beneficiază de protecție fără nicio discriminare, indiferent de rasă, culoare, sex, limbă, religie, opinii politice sau de altă natură, de cetățenie, apartenența etnică sau origine</w:t>
      </w:r>
      <w:r>
        <w:rPr>
          <w:sz w:val="28"/>
          <w:szCs w:val="28"/>
        </w:rPr>
        <w:t>a socială, de statutul obținut prin naștere, de situația materială, de gradul și tipul de dizabilitate, de aspectele specifice de creștere și educație a copiilor, a părinților lor ori a altor reprezentanți legali ai acestora, de locul aflării lor (familie,</w:t>
      </w:r>
      <w:r>
        <w:rPr>
          <w:sz w:val="28"/>
          <w:szCs w:val="28"/>
        </w:rPr>
        <w:t xml:space="preserve"> instituție educațională, serviciu social, instituție medicală, comunitate etc.).</w:t>
      </w:r>
    </w:p>
    <w:p w14:paraId="39C0D8B6" w14:textId="77777777" w:rsidR="0075115C" w:rsidRDefault="00623B17">
      <w:pPr>
        <w:pStyle w:val="af3"/>
        <w:spacing w:before="0" w:beforeAutospacing="0" w:after="0" w:afterAutospacing="0"/>
        <w:ind w:firstLine="720"/>
        <w:contextualSpacing/>
        <w:jc w:val="both"/>
        <w:rPr>
          <w:sz w:val="28"/>
          <w:szCs w:val="28"/>
        </w:rPr>
      </w:pPr>
      <w:r>
        <w:rPr>
          <w:sz w:val="28"/>
          <w:szCs w:val="28"/>
        </w:rPr>
        <w:t>Prin existența și implementarea acestui mecanism intersectorial, Republica Moldova demonstrează angajamentul său față de protecția drepturilor copilului și se aliniază la sta</w:t>
      </w:r>
      <w:r>
        <w:rPr>
          <w:sz w:val="28"/>
          <w:szCs w:val="28"/>
        </w:rPr>
        <w:t>ndardele internaționale și europene în domeniu. Este important ca toți cei implicați în protecția minorilor neînsoțiți să cunoască și să aplice prevederile Hotărârii Guvernului nr. 270/2014, pentru a asigura ocrotirea și integrarea efectivă a acestor copii</w:t>
      </w:r>
      <w:r>
        <w:rPr>
          <w:sz w:val="28"/>
          <w:szCs w:val="28"/>
        </w:rPr>
        <w:t xml:space="preserve"> vulnerabili, în conformitate cu Legea nr. 140/2013.</w:t>
      </w:r>
    </w:p>
    <w:p w14:paraId="36468826" w14:textId="77777777" w:rsidR="0075115C" w:rsidRDefault="00623B17">
      <w:pPr>
        <w:pStyle w:val="af3"/>
        <w:spacing w:before="0" w:beforeAutospacing="0" w:after="0" w:afterAutospacing="0"/>
        <w:ind w:firstLine="720"/>
        <w:contextualSpacing/>
        <w:jc w:val="both"/>
        <w:rPr>
          <w:sz w:val="28"/>
          <w:szCs w:val="28"/>
        </w:rPr>
      </w:pPr>
      <w:r>
        <w:rPr>
          <w:sz w:val="28"/>
          <w:szCs w:val="28"/>
        </w:rPr>
        <w:t>Copiii în situație de risc includ minori care prezintă vulnerabilități semnificative, cum ar fi lipsa îngrijirii parentale, expunerea la abuz, neglijare sau exploatare. La traversarea frontierei, Poliția</w:t>
      </w:r>
      <w:r>
        <w:rPr>
          <w:sz w:val="28"/>
          <w:szCs w:val="28"/>
        </w:rPr>
        <w:t xml:space="preserve"> de Frontieră identifică copiii însoțiți de persoane neautorizate sau cei fără acte valide, semnalând cazurile către autoritățile tutelare locale pentru intervenție imediată. Pe teritoriul Republicii Moldova, autoritatea tutelară locală </w:t>
      </w:r>
      <w:r>
        <w:rPr>
          <w:sz w:val="28"/>
          <w:szCs w:val="28"/>
        </w:rPr>
        <w:lastRenderedPageBreak/>
        <w:t>este responsabilă d</w:t>
      </w:r>
      <w:r>
        <w:rPr>
          <w:sz w:val="28"/>
          <w:szCs w:val="28"/>
        </w:rPr>
        <w:t>e monitorizarea continuă și de reacția promptă la orice situație care pune în pericol siguranța minorilor, în baza prevederilor Legii nr. 140/2013 și Hotărârii de Guvern nr. 270/2014. Procedurile sunt completate prin informarea proactivă a familiilor refug</w:t>
      </w:r>
      <w:r>
        <w:rPr>
          <w:sz w:val="28"/>
          <w:szCs w:val="28"/>
        </w:rPr>
        <w:t xml:space="preserve">iate despre drepturile și serviciile disponibile, inclusiv suport consular și acces la linii telefonice de asistență. Protecția eficientă a copiilor refugiați necesită o coordonare robustă între autorități și respectarea strictă a legislației naționale și </w:t>
      </w:r>
      <w:r>
        <w:rPr>
          <w:sz w:val="28"/>
          <w:szCs w:val="28"/>
        </w:rPr>
        <w:t>internaționale.</w:t>
      </w:r>
    </w:p>
    <w:p w14:paraId="4AE1DEF7" w14:textId="77777777" w:rsidR="0075115C" w:rsidRDefault="00623B17">
      <w:pPr>
        <w:pStyle w:val="af3"/>
        <w:spacing w:before="0" w:beforeAutospacing="0" w:after="0" w:afterAutospacing="0"/>
        <w:ind w:firstLine="720"/>
        <w:contextualSpacing/>
        <w:jc w:val="both"/>
        <w:rPr>
          <w:sz w:val="28"/>
          <w:szCs w:val="28"/>
        </w:rPr>
      </w:pPr>
      <w:r>
        <w:rPr>
          <w:sz w:val="28"/>
          <w:szCs w:val="28"/>
        </w:rPr>
        <w:t>Dimensiunea de gen, precum și măsurile de protecția le copiilor sunt abordate în prezentul Program în mod transversal. În contextul crizei refugiaților din Ucraina este necesară o implicare multisectorială, investiții sustenabile și adaptar</w:t>
      </w:r>
      <w:r>
        <w:rPr>
          <w:sz w:val="28"/>
          <w:szCs w:val="28"/>
        </w:rPr>
        <w:t>ea continuă. Documentele de politici sectoriale, inclusiv Programul național privind asigurarea respectării drepturilor omului pentru anii 2024-2027</w:t>
      </w:r>
      <w:r>
        <w:rPr>
          <w:sz w:val="28"/>
          <w:szCs w:val="28"/>
          <w:vertAlign w:val="superscript"/>
        </w:rPr>
        <w:footnoteReference w:id="21"/>
      </w:r>
      <w:r>
        <w:rPr>
          <w:sz w:val="28"/>
          <w:szCs w:val="28"/>
        </w:rPr>
        <w:t xml:space="preserve">, Programul de promovare și asigurare a egalității între femei și bărbați în Republica Moldova pentru anii </w:t>
      </w:r>
      <w:r>
        <w:rPr>
          <w:sz w:val="28"/>
          <w:szCs w:val="28"/>
        </w:rPr>
        <w:t>2023-2027</w:t>
      </w:r>
      <w:r>
        <w:rPr>
          <w:sz w:val="28"/>
          <w:szCs w:val="28"/>
          <w:vertAlign w:val="superscript"/>
        </w:rPr>
        <w:footnoteReference w:id="22"/>
      </w:r>
      <w:r>
        <w:rPr>
          <w:sz w:val="28"/>
          <w:szCs w:val="28"/>
        </w:rPr>
        <w:t>, Programul național pentru protecția copilului pe anii 2022-2026</w:t>
      </w:r>
      <w:r>
        <w:rPr>
          <w:sz w:val="28"/>
          <w:szCs w:val="28"/>
          <w:vertAlign w:val="superscript"/>
        </w:rPr>
        <w:footnoteReference w:id="23"/>
      </w:r>
      <w:r>
        <w:rPr>
          <w:sz w:val="28"/>
          <w:szCs w:val="28"/>
        </w:rPr>
        <w:t>, prevăd măsuri integrate care consideră necesitățile specifice ale străinilor de pe teritoriul Republicii Moldova, inclusiv a femeilor, bărbaților și copiilor refugiați.</w:t>
      </w:r>
    </w:p>
    <w:p w14:paraId="5633764E" w14:textId="77777777" w:rsidR="0075115C" w:rsidRDefault="0075115C">
      <w:pPr>
        <w:pStyle w:val="af3"/>
        <w:spacing w:before="0" w:beforeAutospacing="0" w:after="0" w:afterAutospacing="0"/>
        <w:ind w:firstLine="720"/>
        <w:contextualSpacing/>
        <w:jc w:val="both"/>
        <w:rPr>
          <w:sz w:val="28"/>
          <w:szCs w:val="28"/>
        </w:rPr>
      </w:pPr>
    </w:p>
    <w:p w14:paraId="0F4E809B"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 xml:space="preserve">Analiza </w:t>
      </w:r>
      <w:r>
        <w:rPr>
          <w:b/>
          <w:bCs/>
          <w:i/>
          <w:iCs/>
          <w:color w:val="222A35" w:themeColor="text2" w:themeShade="80"/>
          <w:sz w:val="28"/>
          <w:szCs w:val="28"/>
        </w:rPr>
        <w:t>SWOT privind protecția copiilor și prevenirea violența în bază de gen, inclusiv violență împotriva femeilor și violență în familie</w:t>
      </w:r>
    </w:p>
    <w:tbl>
      <w:tblPr>
        <w:tblStyle w:val="af2"/>
        <w:tblW w:w="5000" w:type="pct"/>
        <w:tblLook w:val="04A0" w:firstRow="1" w:lastRow="0" w:firstColumn="1" w:lastColumn="0" w:noHBand="0" w:noVBand="1"/>
      </w:tblPr>
      <w:tblGrid>
        <w:gridCol w:w="4813"/>
        <w:gridCol w:w="4814"/>
      </w:tblGrid>
      <w:tr w:rsidR="0075115C" w14:paraId="105D8E96"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86DDC"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8B6990"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4079765C"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7033B8BA"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Existența unui cadru legal și a mecanismelor instituționale pentru combaterea VBG.</w:t>
            </w:r>
          </w:p>
          <w:p w14:paraId="0B42A62B"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Colaborarea cu </w:t>
            </w:r>
            <w:r>
              <w:rPr>
                <w:color w:val="222A35" w:themeColor="text2" w:themeShade="80"/>
                <w:sz w:val="28"/>
                <w:szCs w:val="28"/>
              </w:rPr>
              <w:t>organizații internaționale precum UNHCR, UNFPA, UNICEF și OIM.</w:t>
            </w:r>
          </w:p>
          <w:p w14:paraId="16ED76FF"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Cadrul legal național privind protecția copiilor prevede că cadrul normativ național se aplică față de toți copiii aflați în situație de risc fără nicio discriminare. Republica Moldova a ratifi</w:t>
            </w:r>
            <w:r>
              <w:rPr>
                <w:color w:val="222A35" w:themeColor="text2" w:themeShade="80"/>
                <w:sz w:val="28"/>
                <w:szCs w:val="28"/>
              </w:rPr>
              <w:t>cat Convenția Organizației Națiunilor Unite cu privire la Drepturile Copilului (CNUDC) este în vigoare în Republica Moldova din 25 februarie 1993.</w:t>
            </w:r>
          </w:p>
        </w:tc>
        <w:tc>
          <w:tcPr>
            <w:tcW w:w="2500" w:type="pct"/>
            <w:tcBorders>
              <w:top w:val="single" w:sz="4" w:space="0" w:color="auto"/>
              <w:left w:val="single" w:sz="4" w:space="0" w:color="auto"/>
              <w:bottom w:val="single" w:sz="4" w:space="0" w:color="auto"/>
              <w:right w:val="single" w:sz="4" w:space="0" w:color="auto"/>
            </w:tcBorders>
          </w:tcPr>
          <w:p w14:paraId="2EFAD10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Capacitatea limitată a infrastructurii existente pentru a satisface cerințele specifice ale grupurilor vulner</w:t>
            </w:r>
            <w:r>
              <w:rPr>
                <w:color w:val="222A35" w:themeColor="text2" w:themeShade="80"/>
                <w:sz w:val="28"/>
                <w:szCs w:val="28"/>
              </w:rPr>
              <w:t>abile.</w:t>
            </w:r>
          </w:p>
          <w:p w14:paraId="6731E2D1"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Accesibilitate și promovare insuficientă a informațiilor adaptate pentru refugiați despre serviciile de suport pentru femei, copii și bărbați.</w:t>
            </w:r>
          </w:p>
          <w:p w14:paraId="7FD74DA1"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Accesibilitate și promovare insuficientă a informațiilor adaptate pentru refugiați despre serviciile de su</w:t>
            </w:r>
            <w:r>
              <w:rPr>
                <w:color w:val="222A35" w:themeColor="text2" w:themeShade="80"/>
                <w:sz w:val="28"/>
                <w:szCs w:val="28"/>
              </w:rPr>
              <w:t xml:space="preserve">port pentru femei, copii și bărbați. </w:t>
            </w:r>
          </w:p>
          <w:p w14:paraId="01CA144D"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Barierele lingvistice care apar periodic în procesul de examinare a cazurilor copiilor.</w:t>
            </w:r>
          </w:p>
        </w:tc>
      </w:tr>
      <w:tr w:rsidR="0075115C" w14:paraId="36CBB522"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BE7D98"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E4F65A"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5839FADC"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FF0BC6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Accesarea de fonduri internaționale pentru extinderea serviciilor destinate victimelor VBG, copiilor afl</w:t>
            </w:r>
            <w:r>
              <w:rPr>
                <w:color w:val="222A35" w:themeColor="text2" w:themeShade="80"/>
                <w:sz w:val="28"/>
                <w:szCs w:val="28"/>
              </w:rPr>
              <w:t xml:space="preserve">ați în </w:t>
            </w:r>
            <w:r>
              <w:rPr>
                <w:color w:val="222A35" w:themeColor="text2" w:themeShade="80"/>
                <w:sz w:val="28"/>
                <w:szCs w:val="28"/>
              </w:rPr>
              <w:lastRenderedPageBreak/>
              <w:t>situație de risc și copiilor separați de părinți.</w:t>
            </w:r>
          </w:p>
          <w:p w14:paraId="1178C092"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Creșterea colaborării intersectoriale pentru atenuarea riscurilor.</w:t>
            </w:r>
          </w:p>
        </w:tc>
        <w:tc>
          <w:tcPr>
            <w:tcW w:w="2500" w:type="pct"/>
            <w:tcBorders>
              <w:top w:val="single" w:sz="4" w:space="0" w:color="auto"/>
              <w:left w:val="single" w:sz="4" w:space="0" w:color="auto"/>
              <w:bottom w:val="single" w:sz="4" w:space="0" w:color="auto"/>
              <w:right w:val="single" w:sz="4" w:space="0" w:color="auto"/>
            </w:tcBorders>
          </w:tcPr>
          <w:p w14:paraId="60804BE5"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lastRenderedPageBreak/>
              <w:t>Escaladarea vulnerabilităților în lipsa unui sprijin constant pentru refugiați.</w:t>
            </w:r>
          </w:p>
          <w:p w14:paraId="34EC8C80"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lastRenderedPageBreak/>
              <w:t xml:space="preserve">Abuz față de drepturile prevăzute de legislație pentru copii din partea copiilor străini care intră în conflict cu legea. </w:t>
            </w:r>
          </w:p>
          <w:p w14:paraId="71D6CB16"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Nu este reglementat expres mecanismul de ieșire a copiilor străini neînsoțiți de pe teritoriul Republicii Moldova.</w:t>
            </w:r>
          </w:p>
        </w:tc>
      </w:tr>
    </w:tbl>
    <w:p w14:paraId="4359AB1B" w14:textId="77777777" w:rsidR="0075115C" w:rsidRDefault="0075115C">
      <w:pPr>
        <w:pStyle w:val="Frspaiere1"/>
      </w:pPr>
    </w:p>
    <w:p w14:paraId="6205F4D6" w14:textId="77777777" w:rsidR="0075115C" w:rsidRDefault="00623B17">
      <w:pPr>
        <w:pStyle w:val="2"/>
      </w:pPr>
      <w:bookmarkStart w:id="13" w:name="_Toc193725336"/>
      <w:r>
        <w:t>Integrarea econo</w:t>
      </w:r>
      <w:r>
        <w:t>mică a străinilor</w:t>
      </w:r>
      <w:bookmarkEnd w:id="13"/>
    </w:p>
    <w:p w14:paraId="198EA144"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Într-un context marcat de provocările migrației și integrarea refugiaților, mecanismele de acces pe piața muncii, barierele administrative și culturale, și eficacitatea măsurilor de sprijin pentru antreprenorialul străin condiționează suc</w:t>
      </w:r>
      <w:r>
        <w:rPr>
          <w:color w:val="222A35" w:themeColor="text2" w:themeShade="80"/>
          <w:sz w:val="28"/>
          <w:szCs w:val="28"/>
        </w:rPr>
        <w:t>cesul integrării economice a străinilor. Contextul actual subliniază importanța valorificării resurselor umane și a potențialului antreprenorial al străinilor și persoanelor strămutate, pentru a contribui la dinamica economică locală și la creșterea compet</w:t>
      </w:r>
      <w:r>
        <w:rPr>
          <w:color w:val="222A35" w:themeColor="text2" w:themeShade="80"/>
          <w:sz w:val="28"/>
          <w:szCs w:val="28"/>
        </w:rPr>
        <w:t>itivității economice naționale.</w:t>
      </w:r>
    </w:p>
    <w:p w14:paraId="0FCD7A48"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Republica Moldova a făcut pași importanți pentru a permite accesul străinilor pe piața muncii, prin armonizarea legislației naționale cu reglementările internaționale, inclusiv prin implementarea unor facilități pentru obțin</w:t>
      </w:r>
      <w:r>
        <w:rPr>
          <w:color w:val="222A35" w:themeColor="text2" w:themeShade="80"/>
          <w:sz w:val="28"/>
          <w:szCs w:val="28"/>
        </w:rPr>
        <w:t>erea permiselor de muncă. Aderarea la procesul de integrare europeană a impulsionat îmbunătățirea cadrului normativ, creând premise pentru integrarea economică a străinilor.</w:t>
      </w:r>
    </w:p>
    <w:p w14:paraId="58D8E80F"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Mulți străini care ajung în Republica Moldova, inclusiv refugiații, întâmpină difi</w:t>
      </w:r>
      <w:r>
        <w:rPr>
          <w:color w:val="222A35" w:themeColor="text2" w:themeShade="80"/>
          <w:sz w:val="28"/>
          <w:szCs w:val="28"/>
        </w:rPr>
        <w:t>cultăți în accesarea locurilor de muncă. Pe de o parte, există lipsa unui mecanism de recunoaștere automată a calificărilor obținute în alte țări, ceea ce limitează accesul acestora la oportunitățile de angajare adecvate calificării. Pe de altă parte, sect</w:t>
      </w:r>
      <w:r>
        <w:rPr>
          <w:color w:val="222A35" w:themeColor="text2" w:themeShade="80"/>
          <w:sz w:val="28"/>
          <w:szCs w:val="28"/>
        </w:rPr>
        <w:t xml:space="preserve">orul privat național este deschis spre integrarea forței de muncă străine, în special în sectoare precum construcțiile, agricultură, IT, ș.a. </w:t>
      </w:r>
    </w:p>
    <w:p w14:paraId="144B615E"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Deși mulți străini au experiență în afaceri și intenționează să deschidă propriile afaceri, obstacolele legislati</w:t>
      </w:r>
      <w:r>
        <w:rPr>
          <w:color w:val="222A35" w:themeColor="text2" w:themeShade="80"/>
          <w:sz w:val="28"/>
          <w:szCs w:val="28"/>
        </w:rPr>
        <w:t>ve și administrative reprezintă o barieră semnificativă. Accesul limitat la resurse financiare, dificultatea obținerii creditelor și accesul la programe de mentorat sunt alte provocări. Totodată, lipsa unei campanii de informare privind oportunitățile și s</w:t>
      </w:r>
      <w:r>
        <w:rPr>
          <w:color w:val="222A35" w:themeColor="text2" w:themeShade="80"/>
          <w:sz w:val="28"/>
          <w:szCs w:val="28"/>
        </w:rPr>
        <w:t>prijinul antreprenorial disponibile pentru străini împiedică o mai bună valorificare a potențialului lor economic.</w:t>
      </w:r>
    </w:p>
    <w:p w14:paraId="2AE3056D"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Organizațiile internaționale și guvernamentale au implementat programe de instruire și integrare pe piața muncii destinate refugiaților și mi</w:t>
      </w:r>
      <w:r>
        <w:rPr>
          <w:color w:val="222A35" w:themeColor="text2" w:themeShade="80"/>
          <w:sz w:val="28"/>
          <w:szCs w:val="28"/>
        </w:rPr>
        <w:t>granților, însă acestea nu au o acoperire suficientă pentru a răspunde necesităților tuturor grupurilor de străini. Accesul limitat la cursuri de limbă română și consilierea profesională sunt alte lacune care reduc șansele de integrare economică a străinil</w:t>
      </w:r>
      <w:r>
        <w:rPr>
          <w:color w:val="222A35" w:themeColor="text2" w:themeShade="80"/>
          <w:sz w:val="28"/>
          <w:szCs w:val="28"/>
        </w:rPr>
        <w:t>or.</w:t>
      </w:r>
    </w:p>
    <w:p w14:paraId="6253FBDD"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 xml:space="preserve">Prin implementarea unor măsuri strategice și investiții în integrarea economică a străinilor, Republica Moldova poate valorifica competențele și experiențele acestora, stimulând astfel dezvoltarea economică locală și contribuind la creșterea nivelului </w:t>
      </w:r>
      <w:r>
        <w:rPr>
          <w:color w:val="222A35" w:themeColor="text2" w:themeShade="80"/>
          <w:sz w:val="28"/>
          <w:szCs w:val="28"/>
        </w:rPr>
        <w:t xml:space="preserve">de ocupare. Crearea unui mediu favorabil pentru accesul pe piața muncii și dezvoltarea </w:t>
      </w:r>
      <w:r>
        <w:rPr>
          <w:color w:val="222A35" w:themeColor="text2" w:themeShade="80"/>
          <w:sz w:val="28"/>
          <w:szCs w:val="28"/>
        </w:rPr>
        <w:lastRenderedPageBreak/>
        <w:t>antreprenorială a străinilor nu doar va îmbunătăți nivelul de trai al acestora, ci va avea și un impact pozitiv asupra economiei naționale.</w:t>
      </w:r>
    </w:p>
    <w:p w14:paraId="4AF2423F"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Analiza SWOT privind integrar</w:t>
      </w:r>
      <w:r>
        <w:rPr>
          <w:b/>
          <w:bCs/>
          <w:i/>
          <w:iCs/>
          <w:color w:val="222A35" w:themeColor="text2" w:themeShade="80"/>
          <w:sz w:val="28"/>
          <w:szCs w:val="28"/>
        </w:rPr>
        <w:t>ea economică a străinilor</w:t>
      </w:r>
    </w:p>
    <w:tbl>
      <w:tblPr>
        <w:tblStyle w:val="af2"/>
        <w:tblW w:w="5000" w:type="pct"/>
        <w:tblLook w:val="04A0" w:firstRow="1" w:lastRow="0" w:firstColumn="1" w:lastColumn="0" w:noHBand="0" w:noVBand="1"/>
      </w:tblPr>
      <w:tblGrid>
        <w:gridCol w:w="4813"/>
        <w:gridCol w:w="4814"/>
      </w:tblGrid>
      <w:tr w:rsidR="0075115C" w14:paraId="64C268A0"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E4597B"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49A16B"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4ED5525D"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134AB67"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Deschiderea mediului privat pentru angajarea străinilor.</w:t>
            </w:r>
          </w:p>
          <w:p w14:paraId="2CA049C3"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Sprijin din partea organizațiilor internaționale și partenerilor de dezvoltare.</w:t>
            </w:r>
          </w:p>
        </w:tc>
        <w:tc>
          <w:tcPr>
            <w:tcW w:w="2500" w:type="pct"/>
            <w:tcBorders>
              <w:top w:val="single" w:sz="4" w:space="0" w:color="auto"/>
              <w:left w:val="single" w:sz="4" w:space="0" w:color="auto"/>
              <w:bottom w:val="single" w:sz="4" w:space="0" w:color="auto"/>
              <w:right w:val="single" w:sz="4" w:space="0" w:color="auto"/>
            </w:tcBorders>
          </w:tcPr>
          <w:p w14:paraId="1C3A9249"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Acces limitat la finanțare și resurse pentru antreprenoriatul </w:t>
            </w:r>
            <w:r>
              <w:rPr>
                <w:color w:val="222A35" w:themeColor="text2" w:themeShade="80"/>
                <w:sz w:val="28"/>
                <w:szCs w:val="28"/>
              </w:rPr>
              <w:t>străinilor.</w:t>
            </w:r>
          </w:p>
          <w:p w14:paraId="0E0AC933"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Cunoaștere limitată a limbii române, ceea ce îngreunează comunicarea și accesul la informații.</w:t>
            </w:r>
          </w:p>
        </w:tc>
      </w:tr>
      <w:tr w:rsidR="0075115C" w14:paraId="707F57D3"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59366"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B4932E"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1761317C"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60592D44"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Creșterea cererii de forță de muncă în sectoare specifice.</w:t>
            </w:r>
          </w:p>
          <w:p w14:paraId="582A6E0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Integrarea antreprenorilor străini în ecosistemul de afaceri </w:t>
            </w:r>
            <w:r>
              <w:rPr>
                <w:color w:val="222A35" w:themeColor="text2" w:themeShade="80"/>
                <w:sz w:val="28"/>
                <w:szCs w:val="28"/>
              </w:rPr>
              <w:t>național.</w:t>
            </w:r>
          </w:p>
          <w:p w14:paraId="6ECC0B0F"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Valorificarea competențelor străinilor în domenii tehnologice și antreprenoriale.</w:t>
            </w:r>
          </w:p>
          <w:p w14:paraId="24D13CB5"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Implementarea inițiativelor de finanțare și mentorat pentru afacerile înființate de străini.</w:t>
            </w:r>
          </w:p>
        </w:tc>
        <w:tc>
          <w:tcPr>
            <w:tcW w:w="2500" w:type="pct"/>
            <w:tcBorders>
              <w:top w:val="single" w:sz="4" w:space="0" w:color="auto"/>
              <w:left w:val="single" w:sz="4" w:space="0" w:color="auto"/>
              <w:bottom w:val="single" w:sz="4" w:space="0" w:color="auto"/>
              <w:right w:val="single" w:sz="4" w:space="0" w:color="auto"/>
            </w:tcBorders>
          </w:tcPr>
          <w:p w14:paraId="0A12A1C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Resurse limitate pentru programele de integrare economică</w:t>
            </w:r>
          </w:p>
          <w:p w14:paraId="07D527B6"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Riscul de mar</w:t>
            </w:r>
            <w:r>
              <w:rPr>
                <w:color w:val="222A35" w:themeColor="text2" w:themeShade="80"/>
                <w:sz w:val="28"/>
                <w:szCs w:val="28"/>
              </w:rPr>
              <w:t>ginalizare economică și excluziune socială din cauza barierelor lingvistice</w:t>
            </w:r>
          </w:p>
        </w:tc>
      </w:tr>
    </w:tbl>
    <w:p w14:paraId="06B416A6" w14:textId="77777777" w:rsidR="0075115C" w:rsidRDefault="00623B17">
      <w:pPr>
        <w:pStyle w:val="2"/>
      </w:pPr>
      <w:bookmarkStart w:id="14" w:name="_Toc193725337"/>
      <w:r>
        <w:t>Integrarea străinilor în câmpul muncii</w:t>
      </w:r>
      <w:bookmarkEnd w:id="14"/>
    </w:p>
    <w:p w14:paraId="45D5A569" w14:textId="77777777" w:rsidR="0075115C" w:rsidRDefault="00623B17">
      <w:pPr>
        <w:shd w:val="clear" w:color="auto" w:fill="FFFFFF"/>
        <w:spacing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Rolul de bază în integrarea străinilor pe piața muncii îl are Agenția Națională pentru Ocuparea Forței de Muncă (ANOFM). Obiectivul principa</w:t>
      </w:r>
      <w:r>
        <w:rPr>
          <w:rFonts w:eastAsia="Times New Roman" w:cs="Times New Roman"/>
          <w:color w:val="000000"/>
          <w:sz w:val="28"/>
          <w:szCs w:val="28"/>
        </w:rPr>
        <w:t>l al ANOFM este de a facilita corelarea șomerilor și persoanelor aflate în căutarea unui loc de muncă cu locurile de muncă vacante din întreprinderi. În conformitate cu principiile Convenției Organizației Internaționale a Muncii privind Serviciul pentru Oc</w:t>
      </w:r>
      <w:r>
        <w:rPr>
          <w:rFonts w:eastAsia="Times New Roman" w:cs="Times New Roman"/>
          <w:color w:val="000000"/>
          <w:sz w:val="28"/>
          <w:szCs w:val="28"/>
        </w:rPr>
        <w:t>uparea Forței de Muncă (C88), 1948, ratificată de Republica Moldova în 1996, aceasta oferă informații privind piața muncii, consiliere pentru ocuparea forței de muncă, ghidare în carieră și gestionează măsuri active și pasive ale pieței muncii.</w:t>
      </w:r>
    </w:p>
    <w:p w14:paraId="30379572" w14:textId="77777777" w:rsidR="0075115C" w:rsidRDefault="00623B17">
      <w:pPr>
        <w:shd w:val="clear" w:color="auto" w:fill="FFFFFF"/>
        <w:spacing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Portofoliul</w:t>
      </w:r>
      <w:r>
        <w:rPr>
          <w:rFonts w:eastAsia="Times New Roman" w:cs="Times New Roman"/>
          <w:color w:val="000000"/>
          <w:sz w:val="28"/>
          <w:szCs w:val="28"/>
        </w:rPr>
        <w:t xml:space="preserve"> serviciilor de ocupare a forței de muncă include: (i) furnizarea de informații privind piața muncii; (ii) ghidarea în carieră; (iii) intermedierea muncii (corelarea dintre persoanele aflate în căutarea unui loc de muncă, inclusiv străine, și întreprinderi</w:t>
      </w:r>
      <w:r>
        <w:rPr>
          <w:rFonts w:eastAsia="Times New Roman" w:cs="Times New Roman"/>
          <w:color w:val="000000"/>
          <w:sz w:val="28"/>
          <w:szCs w:val="28"/>
        </w:rPr>
        <w:t>le care oferă locuri de muncă vacante). Străinii aflați pe teritoriul Republicii Molodva au drept la aceste servicii, în cazul în care s-au înregistrat la ANOFM cu statut de persoana aflat în căutarea unui loc de muncă sau cu statut de șomer, în condițiile</w:t>
      </w:r>
      <w:r>
        <w:rPr>
          <w:rFonts w:eastAsia="Times New Roman" w:cs="Times New Roman"/>
          <w:color w:val="000000"/>
          <w:sz w:val="28"/>
          <w:szCs w:val="28"/>
        </w:rPr>
        <w:t xml:space="preserve"> Legii nr. 274/2010 privind integrarea străinilor.</w:t>
      </w:r>
    </w:p>
    <w:p w14:paraId="5F6D0A42" w14:textId="77777777" w:rsidR="0075115C" w:rsidRDefault="00623B17">
      <w:pPr>
        <w:shd w:val="clear" w:color="auto" w:fill="FFFFFF"/>
        <w:spacing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În perioada actuală, anual de serviciile ANOFM beneficiază peste 300 cetățeni străini, inclusiv beneficiari de protecția temporară, iar prin implementarea mecanismului de corelare numărul beneficiarilor va</w:t>
      </w:r>
      <w:r>
        <w:rPr>
          <w:rFonts w:eastAsia="Times New Roman" w:cs="Times New Roman"/>
          <w:color w:val="000000"/>
          <w:sz w:val="28"/>
          <w:szCs w:val="28"/>
        </w:rPr>
        <w:t xml:space="preserve"> crește semnificativ.</w:t>
      </w:r>
    </w:p>
    <w:p w14:paraId="752F69A1"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Analiză SWOT privind integrarea străinilor în câmpul muncii</w:t>
      </w:r>
    </w:p>
    <w:tbl>
      <w:tblPr>
        <w:tblStyle w:val="af2"/>
        <w:tblW w:w="5000" w:type="pct"/>
        <w:tblLook w:val="04A0" w:firstRow="1" w:lastRow="0" w:firstColumn="1" w:lastColumn="0" w:noHBand="0" w:noVBand="1"/>
      </w:tblPr>
      <w:tblGrid>
        <w:gridCol w:w="4813"/>
        <w:gridCol w:w="4814"/>
      </w:tblGrid>
      <w:tr w:rsidR="0075115C" w14:paraId="18484D1E"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F435A8"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BB44B9"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28504863"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28C33E8F"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lastRenderedPageBreak/>
              <w:t>Legislația națională, asigură drepturile străinilor de a accesa serviciile de ocupare a forței de muncă oferite de ANOFM.</w:t>
            </w:r>
          </w:p>
        </w:tc>
        <w:tc>
          <w:tcPr>
            <w:tcW w:w="2500" w:type="pct"/>
            <w:tcBorders>
              <w:top w:val="single" w:sz="4" w:space="0" w:color="auto"/>
              <w:left w:val="single" w:sz="4" w:space="0" w:color="auto"/>
              <w:bottom w:val="single" w:sz="4" w:space="0" w:color="auto"/>
              <w:right w:val="single" w:sz="4" w:space="0" w:color="auto"/>
            </w:tcBorders>
          </w:tcPr>
          <w:p w14:paraId="6543B270"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Diferențele de limbă pot </w:t>
            </w:r>
            <w:r>
              <w:rPr>
                <w:color w:val="222A35" w:themeColor="text2" w:themeShade="80"/>
                <w:sz w:val="28"/>
                <w:szCs w:val="28"/>
              </w:rPr>
              <w:t>împiedica comunicarea eficientă și accesul străinilor la oportunități de angajare.</w:t>
            </w:r>
          </w:p>
          <w:p w14:paraId="71215F42"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Lipsa unei colaborări pragmatice dintre ANOFM și IGM privind schimbul de informații despre profilul străinilor și necesitățile pieței muncii</w:t>
            </w:r>
          </w:p>
        </w:tc>
      </w:tr>
      <w:tr w:rsidR="0075115C" w14:paraId="57C06C29"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F5B68A"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6884EE"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73838972"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C024899"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Colaborarea cu întreprinderile private poate facilita plasarea străinilor în locuri de muncă și dezvoltarea de programe de stagii și formare profesională.</w:t>
            </w:r>
          </w:p>
          <w:p w14:paraId="4EA7D80B"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Unele nișe pe piața muncii sunt subacoperite și necesită atragerea forțe de muncă.</w:t>
            </w:r>
          </w:p>
        </w:tc>
        <w:tc>
          <w:tcPr>
            <w:tcW w:w="2500" w:type="pct"/>
            <w:tcBorders>
              <w:top w:val="single" w:sz="4" w:space="0" w:color="auto"/>
              <w:left w:val="single" w:sz="4" w:space="0" w:color="auto"/>
              <w:bottom w:val="single" w:sz="4" w:space="0" w:color="auto"/>
              <w:right w:val="single" w:sz="4" w:space="0" w:color="auto"/>
            </w:tcBorders>
          </w:tcPr>
          <w:p w14:paraId="1817FC42"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Fluxul instabil al</w:t>
            </w:r>
            <w:r>
              <w:rPr>
                <w:color w:val="222A35" w:themeColor="text2" w:themeShade="80"/>
                <w:sz w:val="28"/>
                <w:szCs w:val="28"/>
              </w:rPr>
              <w:t xml:space="preserve"> refugiaților, care nu rămân pe termen lung, poate face dificilă implementarea și monitorizarea eficientă a programelor.</w:t>
            </w:r>
          </w:p>
          <w:p w14:paraId="6B3536C8"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Un aflux mare și necontrolat de imigranți poate suprasolicita capacitatea pieței interne.</w:t>
            </w:r>
          </w:p>
        </w:tc>
      </w:tr>
    </w:tbl>
    <w:p w14:paraId="183CBEBF" w14:textId="77777777" w:rsidR="0075115C" w:rsidRDefault="0075115C">
      <w:pPr>
        <w:pStyle w:val="Frspaiere1"/>
      </w:pPr>
    </w:p>
    <w:p w14:paraId="6D6E6141" w14:textId="77777777" w:rsidR="0075115C" w:rsidRDefault="00623B17">
      <w:pPr>
        <w:pStyle w:val="2"/>
      </w:pPr>
      <w:bookmarkStart w:id="15" w:name="_Toc193725338"/>
      <w:r>
        <w:t>Accesul străinilor la servicii medicale</w:t>
      </w:r>
      <w:bookmarkStart w:id="16" w:name="_Hlk181751005"/>
      <w:bookmarkEnd w:id="15"/>
    </w:p>
    <w:p w14:paraId="3E95D979" w14:textId="77777777" w:rsidR="0075115C" w:rsidRDefault="00623B17">
      <w:pPr>
        <w:pStyle w:val="af3"/>
        <w:spacing w:before="0" w:beforeAutospacing="0" w:after="0" w:afterAutospacing="0"/>
        <w:ind w:firstLine="720"/>
        <w:jc w:val="both"/>
        <w:rPr>
          <w:color w:val="222A35" w:themeColor="text2" w:themeShade="80"/>
          <w:sz w:val="28"/>
          <w:szCs w:val="28"/>
        </w:rPr>
      </w:pPr>
      <w:r>
        <w:rPr>
          <w:color w:val="222A35" w:themeColor="text2" w:themeShade="80"/>
          <w:sz w:val="28"/>
          <w:szCs w:val="28"/>
        </w:rPr>
        <w:t>Rep</w:t>
      </w:r>
      <w:r>
        <w:rPr>
          <w:color w:val="222A35" w:themeColor="text2" w:themeShade="80"/>
          <w:sz w:val="28"/>
          <w:szCs w:val="28"/>
        </w:rPr>
        <w:t xml:space="preserve">ublica Moldova a înregistrat o creștere semnificativă a solicitărilor de servicii medicale din partea cetățenilor străini, în urma conflictului din Ucraina, declanșat în 2022. Afluxul masiv de refugiați a generat o presiune semnificativă asupra sistemului </w:t>
      </w:r>
      <w:r>
        <w:rPr>
          <w:color w:val="222A35" w:themeColor="text2" w:themeShade="80"/>
          <w:sz w:val="28"/>
          <w:szCs w:val="28"/>
        </w:rPr>
        <w:t>național de sănătate, evidențiind limitările existente în ceea ce privește resursele și infrastructura. Sistemul de sănătate al Republicii Moldova a fost provocat de gestionarea unei crize umanitare, în condițiile unor constrângeri demografice și economice</w:t>
      </w:r>
      <w:r>
        <w:rPr>
          <w:color w:val="222A35" w:themeColor="text2" w:themeShade="80"/>
          <w:sz w:val="28"/>
          <w:szCs w:val="28"/>
        </w:rPr>
        <w:t xml:space="preserve"> existente, evidențiind necesitatea consolidării capacităților pentru a răspunde eficient unor situații similare în viitor.</w:t>
      </w:r>
    </w:p>
    <w:p w14:paraId="15C4CF4D" w14:textId="77777777" w:rsidR="0075115C" w:rsidRDefault="00623B17">
      <w:pPr>
        <w:pStyle w:val="af3"/>
        <w:spacing w:before="0" w:beforeAutospacing="0" w:after="0" w:afterAutospacing="0"/>
        <w:ind w:firstLine="720"/>
        <w:jc w:val="both"/>
        <w:rPr>
          <w:color w:val="222A35" w:themeColor="text2" w:themeShade="80"/>
          <w:sz w:val="28"/>
          <w:szCs w:val="28"/>
        </w:rPr>
      </w:pPr>
      <w:r>
        <w:rPr>
          <w:color w:val="222A35" w:themeColor="text2" w:themeShade="80"/>
          <w:sz w:val="28"/>
          <w:szCs w:val="28"/>
        </w:rPr>
        <w:t>Această situație a scos în evidență aspecte care necesită îmbunătățiri în ceea ce privește accesul imigranților internaționali la se</w:t>
      </w:r>
      <w:r>
        <w:rPr>
          <w:color w:val="222A35" w:themeColor="text2" w:themeShade="80"/>
          <w:sz w:val="28"/>
          <w:szCs w:val="28"/>
        </w:rPr>
        <w:t>rvicii medicale în Republica Moldova, inclusiv ajustări ale cadrului normativ pentru a răspunde nevoilor acestora. Unele provocări se referă la imposibilitatea străinilor de achitare a primei de asigurare obligatorie , precum și de lipsa fondurilor financi</w:t>
      </w:r>
      <w:r>
        <w:rPr>
          <w:color w:val="222A35" w:themeColor="text2" w:themeShade="80"/>
          <w:sz w:val="28"/>
          <w:szCs w:val="28"/>
        </w:rPr>
        <w:t xml:space="preserve">are alocate pentru acoperirea costurilor furnizării serviciilor medicale pentru străini în Republica Moldova. </w:t>
      </w:r>
      <w:bookmarkEnd w:id="16"/>
    </w:p>
    <w:p w14:paraId="3A51765E" w14:textId="77777777" w:rsidR="0075115C" w:rsidRDefault="00623B17">
      <w:pPr>
        <w:pStyle w:val="af3"/>
        <w:spacing w:before="0" w:beforeAutospacing="0" w:after="0" w:afterAutospacing="0"/>
        <w:ind w:firstLine="720"/>
        <w:jc w:val="both"/>
        <w:rPr>
          <w:color w:val="222A35" w:themeColor="text2" w:themeShade="80"/>
          <w:sz w:val="28"/>
          <w:szCs w:val="28"/>
        </w:rPr>
      </w:pPr>
      <w:r>
        <w:rPr>
          <w:color w:val="222A35" w:themeColor="text2" w:themeShade="80"/>
          <w:sz w:val="28"/>
          <w:szCs w:val="28"/>
        </w:rPr>
        <w:t>Profilul cetăților străini, în special al persoanelor strămutate din Ucraina aflate în Moldova, este reprezentată preponderent de femei și copii.</w:t>
      </w:r>
      <w:r>
        <w:rPr>
          <w:color w:val="222A35" w:themeColor="text2" w:themeShade="80"/>
          <w:sz w:val="28"/>
          <w:szCs w:val="28"/>
        </w:rPr>
        <w:t xml:space="preserve"> </w:t>
      </w:r>
      <w:r>
        <w:rPr>
          <w:sz w:val="28"/>
          <w:szCs w:val="28"/>
        </w:rPr>
        <w:t xml:space="preserve">Aceștia constituie grupuri vulnerabile, iar prezența lor subliniază importanța unui sistem de sănătate solid și receptiv, capabil să răspundă nevoilor specifice ale acestor categorii. </w:t>
      </w:r>
      <w:r>
        <w:rPr>
          <w:color w:val="222A35" w:themeColor="text2" w:themeShade="80"/>
          <w:sz w:val="28"/>
          <w:szCs w:val="28"/>
        </w:rPr>
        <w:t>Conform rezultatelor unui sondaj</w:t>
      </w:r>
      <w:r>
        <w:rPr>
          <w:rStyle w:val="af7"/>
          <w:color w:val="222A35" w:themeColor="text2" w:themeShade="80"/>
          <w:sz w:val="28"/>
          <w:szCs w:val="28"/>
        </w:rPr>
        <w:footnoteReference w:id="24"/>
      </w:r>
      <w:r>
        <w:rPr>
          <w:color w:val="222A35" w:themeColor="text2" w:themeShade="80"/>
          <w:sz w:val="28"/>
          <w:szCs w:val="28"/>
        </w:rPr>
        <w:t xml:space="preserve"> realizat în perioada 2023-2024, cu su</w:t>
      </w:r>
      <w:r>
        <w:rPr>
          <w:color w:val="222A35" w:themeColor="text2" w:themeShade="80"/>
          <w:sz w:val="28"/>
          <w:szCs w:val="28"/>
        </w:rPr>
        <w:t>port UNHCR, 35% din gospodăriile refugiaților raportează ca nevoi prioritare serviciile de sănătate și 28% - medicamente, fiind în același timp înregistrat un decalaj de 4 și respectiv 2 p.p. în defavoarea mediului rural.</w:t>
      </w:r>
    </w:p>
    <w:p w14:paraId="6236D33B"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lastRenderedPageBreak/>
        <w:t xml:space="preserve">În ceea ce privește asigurarea medicală a străinilor, acesta variază semnificativ în funcție de statutul lor de ședere și de capacitatea financiară. Deși legislația permite ca anumite categorii de străini, precum cei cu reședință temporară, să fie incluși </w:t>
      </w:r>
      <w:r>
        <w:rPr>
          <w:color w:val="222A35" w:themeColor="text2" w:themeShade="80"/>
          <w:sz w:val="28"/>
          <w:szCs w:val="28"/>
        </w:rPr>
        <w:t xml:space="preserve">în sistemul de asigurări medicale obligatorii prin plata unei sume forfetare, doar cca. 25% din cetățenii străini beneficiază de acest statut. </w:t>
      </w:r>
      <w:r>
        <w:rPr>
          <w:sz w:val="28"/>
          <w:szCs w:val="28"/>
        </w:rPr>
        <w:t>Carențele de informare privind cadrul legal și abordarea superficială a relevanței asigurării medicale de către c</w:t>
      </w:r>
      <w:r>
        <w:rPr>
          <w:sz w:val="28"/>
          <w:szCs w:val="28"/>
        </w:rPr>
        <w:t>etățenii străinii sunt elemente esențiale care generează această dificultate.</w:t>
      </w:r>
    </w:p>
    <w:p w14:paraId="6C526B87" w14:textId="77777777" w:rsidR="0075115C" w:rsidRDefault="0075115C">
      <w:pPr>
        <w:pStyle w:val="af3"/>
        <w:spacing w:before="0" w:beforeAutospacing="0" w:after="0" w:afterAutospacing="0"/>
        <w:ind w:firstLine="720"/>
        <w:contextualSpacing/>
        <w:jc w:val="both"/>
        <w:rPr>
          <w:color w:val="222A35" w:themeColor="text2" w:themeShade="80"/>
          <w:sz w:val="28"/>
          <w:szCs w:val="28"/>
        </w:rPr>
      </w:pPr>
    </w:p>
    <w:p w14:paraId="30F405DE" w14:textId="77777777" w:rsidR="0075115C" w:rsidRDefault="0075115C">
      <w:pPr>
        <w:pStyle w:val="af3"/>
        <w:spacing w:before="0" w:beforeAutospacing="0" w:after="0" w:afterAutospacing="0"/>
        <w:ind w:firstLine="720"/>
        <w:contextualSpacing/>
        <w:jc w:val="both"/>
        <w:rPr>
          <w:color w:val="222A35" w:themeColor="text2" w:themeShade="80"/>
          <w:sz w:val="28"/>
          <w:szCs w:val="28"/>
        </w:rPr>
      </w:pPr>
    </w:p>
    <w:p w14:paraId="1C91D7D0" w14:textId="77777777" w:rsidR="0075115C" w:rsidRDefault="0075115C">
      <w:pPr>
        <w:pStyle w:val="af3"/>
        <w:spacing w:before="0" w:beforeAutospacing="0" w:after="0" w:afterAutospacing="0"/>
        <w:ind w:firstLine="720"/>
        <w:contextualSpacing/>
        <w:jc w:val="both"/>
        <w:rPr>
          <w:color w:val="222A35" w:themeColor="text2" w:themeShade="80"/>
          <w:sz w:val="28"/>
          <w:szCs w:val="28"/>
        </w:rPr>
      </w:pPr>
    </w:p>
    <w:p w14:paraId="221108F3" w14:textId="77777777" w:rsidR="0075115C" w:rsidRDefault="00623B17">
      <w:pPr>
        <w:pStyle w:val="af3"/>
        <w:spacing w:before="0" w:beforeAutospacing="0" w:after="0" w:afterAutospacing="0"/>
        <w:ind w:firstLine="720"/>
        <w:contextualSpacing/>
        <w:jc w:val="both"/>
        <w:rPr>
          <w:i/>
          <w:iCs/>
          <w:color w:val="222A35" w:themeColor="text2" w:themeShade="80"/>
        </w:rPr>
      </w:pPr>
      <w:r>
        <w:rPr>
          <w:b/>
          <w:bCs/>
          <w:i/>
          <w:iCs/>
          <w:color w:val="222A35" w:themeColor="text2" w:themeShade="80"/>
        </w:rPr>
        <w:t>Diagrama nr. 3.</w:t>
      </w:r>
      <w:r>
        <w:rPr>
          <w:i/>
          <w:iCs/>
          <w:color w:val="222A35" w:themeColor="text2" w:themeShade="80"/>
        </w:rPr>
        <w:t xml:space="preserve"> Ponderea gospodăriilor administrate de refugiații din Ucraina în funcție de motivele pentru care nu au asigurare de sănătate (dintre gospodăriile în care nu toți membrii eligibili au asigurare de sănătate), pe tip de așezare* %</w:t>
      </w:r>
    </w:p>
    <w:p w14:paraId="02912993" w14:textId="77777777" w:rsidR="0075115C" w:rsidRDefault="00623B17">
      <w:pPr>
        <w:pStyle w:val="af3"/>
        <w:spacing w:before="0" w:beforeAutospacing="0" w:after="0" w:afterAutospacing="0"/>
        <w:contextualSpacing/>
        <w:jc w:val="both"/>
        <w:rPr>
          <w:color w:val="222A35" w:themeColor="text2" w:themeShade="80"/>
          <w:sz w:val="28"/>
          <w:szCs w:val="28"/>
        </w:rPr>
      </w:pPr>
      <w:r>
        <w:rPr>
          <w:noProof/>
          <w:color w:val="222A35" w:themeColor="text2" w:themeShade="80"/>
          <w:sz w:val="28"/>
          <w:szCs w:val="28"/>
          <w:lang w:eastAsia="ru-RU"/>
        </w:rPr>
        <w:drawing>
          <wp:inline distT="0" distB="0" distL="0" distR="0" wp14:anchorId="74C08CB8" wp14:editId="19E35B91">
            <wp:extent cx="5814604" cy="3200400"/>
            <wp:effectExtent l="0" t="0" r="0" b="0"/>
            <wp:docPr id="5"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F490F8" w14:textId="77777777" w:rsidR="0075115C" w:rsidRDefault="00623B17">
      <w:pPr>
        <w:pStyle w:val="af3"/>
        <w:spacing w:before="0" w:beforeAutospacing="0" w:after="0" w:afterAutospacing="0"/>
        <w:ind w:firstLine="720"/>
        <w:contextualSpacing/>
        <w:jc w:val="both"/>
        <w:rPr>
          <w:i/>
          <w:iCs/>
          <w:color w:val="222A35" w:themeColor="text2" w:themeShade="80"/>
        </w:rPr>
      </w:pPr>
      <w:r>
        <w:rPr>
          <w:i/>
          <w:iCs/>
          <w:color w:val="222A35" w:themeColor="text2" w:themeShade="80"/>
        </w:rPr>
        <w:t>Sursa: Sondaj de Perspect</w:t>
      </w:r>
      <w:r>
        <w:rPr>
          <w:i/>
          <w:iCs/>
          <w:color w:val="222A35" w:themeColor="text2" w:themeShade="80"/>
        </w:rPr>
        <w:t>ive Socio-economice, UNHCR, 2024</w:t>
      </w:r>
      <w:r>
        <w:rPr>
          <w:rStyle w:val="af7"/>
          <w:i/>
          <w:iCs/>
          <w:color w:val="222A35" w:themeColor="text2" w:themeShade="80"/>
        </w:rPr>
        <w:footnoteReference w:id="25"/>
      </w:r>
    </w:p>
    <w:p w14:paraId="626A4626" w14:textId="77777777" w:rsidR="0075115C" w:rsidRDefault="0075115C">
      <w:pPr>
        <w:pStyle w:val="af3"/>
        <w:spacing w:before="0" w:beforeAutospacing="0" w:after="0" w:afterAutospacing="0"/>
        <w:ind w:firstLine="720"/>
        <w:contextualSpacing/>
        <w:jc w:val="both"/>
        <w:rPr>
          <w:i/>
          <w:iCs/>
          <w:color w:val="222A35" w:themeColor="text2" w:themeShade="80"/>
        </w:rPr>
      </w:pPr>
    </w:p>
    <w:p w14:paraId="2211F84C" w14:textId="77777777" w:rsidR="0075115C" w:rsidRDefault="00623B17">
      <w:pPr>
        <w:pStyle w:val="af3"/>
        <w:spacing w:before="0" w:beforeAutospacing="0" w:after="0" w:afterAutospacing="0"/>
        <w:ind w:firstLine="720"/>
        <w:contextualSpacing/>
        <w:jc w:val="both"/>
        <w:rPr>
          <w:i/>
          <w:iCs/>
          <w:color w:val="222A35" w:themeColor="text2" w:themeShade="80"/>
          <w:sz w:val="28"/>
          <w:szCs w:val="28"/>
        </w:rPr>
      </w:pPr>
      <w:r>
        <w:rPr>
          <w:color w:val="222A35" w:themeColor="text2" w:themeShade="80"/>
          <w:sz w:val="28"/>
          <w:szCs w:val="28"/>
        </w:rPr>
        <w:t xml:space="preserve">Refugiații cu statut de protecție temporară beneficiază de acces gratuit la unele servicii medicale de bază, însă persoanele fără acest statut se confruntă adesea cu bariere financiare în accesarea îngrijirilor necesare, </w:t>
      </w:r>
      <w:r>
        <w:rPr>
          <w:color w:val="222A35" w:themeColor="text2" w:themeShade="80"/>
          <w:sz w:val="28"/>
          <w:szCs w:val="28"/>
        </w:rPr>
        <w:t xml:space="preserve">fiind nevoite să achite din resurse proprii pentru consultații, tratamente și medicamente. </w:t>
      </w:r>
      <w:r>
        <w:rPr>
          <w:i/>
          <w:iCs/>
          <w:color w:val="222A35" w:themeColor="text2" w:themeShade="80"/>
          <w:sz w:val="28"/>
          <w:szCs w:val="28"/>
        </w:rPr>
        <w:t>În ansamblu, accesul străinilor la sistemul asigurării obligatorii de asistență medicală în Republica Moldova este marcat de lacune în informare, constrângeri financ</w:t>
      </w:r>
      <w:r>
        <w:rPr>
          <w:i/>
          <w:iCs/>
          <w:color w:val="222A35" w:themeColor="text2" w:themeShade="80"/>
          <w:sz w:val="28"/>
          <w:szCs w:val="28"/>
        </w:rPr>
        <w:t>iare și ambiguități legislative, afectând în special persoanele ce aparțin grupurilor vulnerabile.</w:t>
      </w:r>
    </w:p>
    <w:p w14:paraId="266F42F1"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acest sens, Republica Moldova oferă servicii de sănătate pentru străini, oferind acces la îngrijiri medicale primare și de urgență pentru refugiații cu st</w:t>
      </w:r>
      <w:r>
        <w:rPr>
          <w:color w:val="222A35" w:themeColor="text2" w:themeShade="80"/>
          <w:sz w:val="28"/>
          <w:szCs w:val="28"/>
        </w:rPr>
        <w:t>atut de protecție temporară. Aceștia beneficiază, de acces gratuit la consultații generale și tratamente pentru afecțiuni de sănătate de bază. Pentru străinii fără protecție temporară, accesul este limitat în principal la servicii de urgență, iar consultaț</w:t>
      </w:r>
      <w:r>
        <w:rPr>
          <w:color w:val="222A35" w:themeColor="text2" w:themeShade="80"/>
          <w:sz w:val="28"/>
          <w:szCs w:val="28"/>
        </w:rPr>
        <w:t xml:space="preserve">iile de specialitate și </w:t>
      </w:r>
      <w:r>
        <w:rPr>
          <w:color w:val="222A35" w:themeColor="text2" w:themeShade="80"/>
          <w:sz w:val="28"/>
          <w:szCs w:val="28"/>
        </w:rPr>
        <w:lastRenderedPageBreak/>
        <w:t>tratamentele necesită acoperire financiară suplimentară. Totodată, conform răspunsurilor oferite în sondajul realizat de UNHCR, sus-menționat, 86% din persoanele refugiate din Ucraina care au avut nevoie de îngrijiri medicale au reu</w:t>
      </w:r>
      <w:r>
        <w:rPr>
          <w:color w:val="222A35" w:themeColor="text2" w:themeShade="80"/>
          <w:sz w:val="28"/>
          <w:szCs w:val="28"/>
        </w:rPr>
        <w:t>șit să obțină aceste servicii, cu decalaj de cca. 9% între tipurile de așezări: 94% în zonele rurale și 85% în zonele urbane.</w:t>
      </w:r>
    </w:p>
    <w:p w14:paraId="1567EE65"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cazul sprijinului pentru sănătatea mintală și suportul psihosocial , sunt disponibile servicii de consiliere psihologică, activ</w:t>
      </w:r>
      <w:r>
        <w:rPr>
          <w:color w:val="222A35" w:themeColor="text2" w:themeShade="80"/>
          <w:sz w:val="28"/>
          <w:szCs w:val="28"/>
        </w:rPr>
        <w:t>ități recreative, suport spiritual, management psihiatric și terapie de grup sau individuală. În mod specific, deși serviciile de sănătate mintală sunt accesibile, ele rămân limitate, însă în mod limitat, iar suportul informal oferit din partea comunității</w:t>
      </w:r>
      <w:r>
        <w:rPr>
          <w:color w:val="222A35" w:themeColor="text2" w:themeShade="80"/>
          <w:sz w:val="28"/>
          <w:szCs w:val="28"/>
        </w:rPr>
        <w:t xml:space="preserve"> sau a familiei este adesea o componentă esențială pentru cei care se confruntă cu dificultăți psihologice. </w:t>
      </w:r>
    </w:p>
    <w:p w14:paraId="4F31602C"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Republica Moldova se mai oferă și acces la servicii de imunizare, tratamente pentru boli cronice și, în cazuri rare, sprijin pentru sănătatea re</w:t>
      </w:r>
      <w:r>
        <w:rPr>
          <w:color w:val="222A35" w:themeColor="text2" w:themeShade="80"/>
          <w:sz w:val="28"/>
          <w:szCs w:val="28"/>
        </w:rPr>
        <w:t>producerii. , însă accesul variază în funcție de statutul legal al străinilor și de capacitatea financiară disponibile, reflectând particularitățile cadrului actual de reglementare și organizare financiară a fiecărui străin.</w:t>
      </w:r>
    </w:p>
    <w:p w14:paraId="34435CC4" w14:textId="77777777" w:rsidR="0075115C" w:rsidRDefault="0075115C">
      <w:pPr>
        <w:pStyle w:val="af3"/>
        <w:spacing w:before="0" w:beforeAutospacing="0" w:after="0" w:afterAutospacing="0"/>
        <w:ind w:firstLine="720"/>
        <w:contextualSpacing/>
        <w:jc w:val="both"/>
        <w:rPr>
          <w:color w:val="222A35" w:themeColor="text2" w:themeShade="80"/>
          <w:sz w:val="28"/>
          <w:szCs w:val="28"/>
        </w:rPr>
      </w:pPr>
    </w:p>
    <w:p w14:paraId="174A8A72"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Analiză SWOT privind accesul s</w:t>
      </w:r>
      <w:r>
        <w:rPr>
          <w:b/>
          <w:bCs/>
          <w:i/>
          <w:iCs/>
          <w:color w:val="222A35" w:themeColor="text2" w:themeShade="80"/>
          <w:sz w:val="28"/>
          <w:szCs w:val="28"/>
        </w:rPr>
        <w:t>trăinilor la servicii de sănătate în Republica Moldova</w:t>
      </w:r>
    </w:p>
    <w:tbl>
      <w:tblPr>
        <w:tblStyle w:val="af2"/>
        <w:tblW w:w="5000" w:type="pct"/>
        <w:tblLook w:val="04A0" w:firstRow="1" w:lastRow="0" w:firstColumn="1" w:lastColumn="0" w:noHBand="0" w:noVBand="1"/>
      </w:tblPr>
      <w:tblGrid>
        <w:gridCol w:w="4813"/>
        <w:gridCol w:w="4814"/>
      </w:tblGrid>
      <w:tr w:rsidR="0075115C" w14:paraId="14D0D4D6"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ADF695"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D96A54"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32874A01"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2A81D1B0"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Acces gratuit la servicii de urgență pentru diverse categorii de cetățeni străini.</w:t>
            </w:r>
          </w:p>
          <w:p w14:paraId="51560C67" w14:textId="77777777" w:rsidR="0075115C" w:rsidRDefault="00623B17">
            <w:pPr>
              <w:pStyle w:val="af3"/>
              <w:spacing w:before="0" w:beforeAutospacing="0" w:after="0" w:afterAutospacing="0"/>
              <w:contextualSpacing/>
              <w:rPr>
                <w:sz w:val="28"/>
                <w:szCs w:val="28"/>
              </w:rPr>
            </w:pPr>
            <w:r>
              <w:rPr>
                <w:sz w:val="28"/>
                <w:szCs w:val="28"/>
              </w:rPr>
              <w:t xml:space="preserve">Integrarea străinilor cu statut legal în sistemul de asigurări obligatorii de asistență </w:t>
            </w:r>
            <w:r>
              <w:rPr>
                <w:sz w:val="28"/>
                <w:szCs w:val="28"/>
              </w:rPr>
              <w:t>medicală. Sănătate.</w:t>
            </w:r>
          </w:p>
          <w:p w14:paraId="6D269F7C"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Experiență autorităților naționale dobândită urmare gestionării crizelor umanitare.</w:t>
            </w:r>
          </w:p>
        </w:tc>
        <w:tc>
          <w:tcPr>
            <w:tcW w:w="2500" w:type="pct"/>
            <w:tcBorders>
              <w:top w:val="single" w:sz="4" w:space="0" w:color="auto"/>
              <w:left w:val="single" w:sz="4" w:space="0" w:color="auto"/>
              <w:bottom w:val="single" w:sz="4" w:space="0" w:color="auto"/>
              <w:right w:val="single" w:sz="4" w:space="0" w:color="auto"/>
            </w:tcBorders>
          </w:tcPr>
          <w:p w14:paraId="7DC1509A"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Bariere financiare – costurile serviciilor și medicamentelor nu sunt accesibile pentru toate categoriile de străini.</w:t>
            </w:r>
          </w:p>
          <w:p w14:paraId="7C3E2E2F"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Lacune legislative care limitează a</w:t>
            </w:r>
            <w:r>
              <w:rPr>
                <w:color w:val="222A35" w:themeColor="text2" w:themeShade="80"/>
                <w:sz w:val="28"/>
                <w:szCs w:val="28"/>
              </w:rPr>
              <w:t xml:space="preserve">ccesul migranților fără documente la servicii de sănătate esențiale. </w:t>
            </w:r>
          </w:p>
          <w:p w14:paraId="787EC63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Bariere lingvistice și informarea redusă limitează accesul străinilor la servicii.</w:t>
            </w:r>
          </w:p>
        </w:tc>
      </w:tr>
      <w:tr w:rsidR="0075115C" w14:paraId="1AFDEB1D"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EE55A"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217122"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3DE3A977"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A316F22"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Extinderea colaborării cu ONG-uri pentru a sprijini grupurile vulnerabile.</w:t>
            </w:r>
          </w:p>
          <w:p w14:paraId="75813CA5"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Po</w:t>
            </w:r>
            <w:r>
              <w:rPr>
                <w:color w:val="222A35" w:themeColor="text2" w:themeShade="80"/>
                <w:sz w:val="28"/>
                <w:szCs w:val="28"/>
              </w:rPr>
              <w:t>sibilitatea de a dezvolta resurse online și materiale informative în mai multe limbi.</w:t>
            </w:r>
          </w:p>
          <w:p w14:paraId="7A008936"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Sprijin internațional pentru dezvoltarea unui sistem de asigurări inclusiv.</w:t>
            </w:r>
          </w:p>
        </w:tc>
        <w:tc>
          <w:tcPr>
            <w:tcW w:w="2500" w:type="pct"/>
            <w:tcBorders>
              <w:top w:val="single" w:sz="4" w:space="0" w:color="auto"/>
              <w:left w:val="single" w:sz="4" w:space="0" w:color="auto"/>
              <w:bottom w:val="single" w:sz="4" w:space="0" w:color="auto"/>
              <w:right w:val="single" w:sz="4" w:space="0" w:color="auto"/>
            </w:tcBorders>
          </w:tcPr>
          <w:p w14:paraId="019CE5D1"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Finanțare insuficientă care limitează accesul la servicii pentru refugiați.</w:t>
            </w:r>
          </w:p>
          <w:p w14:paraId="7B292683"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Supraaglomerarea </w:t>
            </w:r>
            <w:r>
              <w:rPr>
                <w:color w:val="222A35" w:themeColor="text2" w:themeShade="80"/>
                <w:sz w:val="28"/>
                <w:szCs w:val="28"/>
              </w:rPr>
              <w:t>sistemului medical în contextul afluxului de refugiați.</w:t>
            </w:r>
          </w:p>
          <w:p w14:paraId="74B77A81" w14:textId="77777777" w:rsidR="0075115C" w:rsidRDefault="00623B17">
            <w:pPr>
              <w:pStyle w:val="af3"/>
              <w:spacing w:before="0" w:beforeAutospacing="0" w:after="0" w:afterAutospacing="0"/>
              <w:contextualSpacing/>
              <w:rPr>
                <w:b/>
                <w:bCs/>
                <w:color w:val="222A35" w:themeColor="text2" w:themeShade="80"/>
                <w:sz w:val="28"/>
                <w:szCs w:val="28"/>
              </w:rPr>
            </w:pPr>
            <w:r>
              <w:rPr>
                <w:color w:val="222A35" w:themeColor="text2" w:themeShade="80"/>
                <w:sz w:val="28"/>
                <w:szCs w:val="28"/>
              </w:rPr>
              <w:t>Amplificarea tensiunilor sociale din cauza percepției inechităților în accesul la servicii.</w:t>
            </w:r>
          </w:p>
        </w:tc>
      </w:tr>
    </w:tbl>
    <w:p w14:paraId="61E904C8" w14:textId="77777777" w:rsidR="0075115C" w:rsidRDefault="0075115C">
      <w:pPr>
        <w:pStyle w:val="Frspaiere1"/>
      </w:pPr>
    </w:p>
    <w:p w14:paraId="43696298" w14:textId="77777777" w:rsidR="0075115C" w:rsidRDefault="00623B17">
      <w:pPr>
        <w:pStyle w:val="2"/>
      </w:pPr>
      <w:bookmarkStart w:id="17" w:name="_Toc193725339"/>
      <w:r>
        <w:lastRenderedPageBreak/>
        <w:t>Accesul străinilor la servicii educaționale și integrarea în sistemul de învățămân</w:t>
      </w:r>
      <w:bookmarkEnd w:id="17"/>
    </w:p>
    <w:p w14:paraId="3CF83750"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Conform Indexului de Po</w:t>
      </w:r>
      <w:r>
        <w:rPr>
          <w:color w:val="222A35" w:themeColor="text2" w:themeShade="80"/>
          <w:sz w:val="28"/>
          <w:szCs w:val="28"/>
        </w:rPr>
        <w:t>litici de Integrare a Migranților (MIPEX)</w:t>
      </w:r>
      <w:r>
        <w:rPr>
          <w:color w:val="222A35" w:themeColor="text2" w:themeShade="80"/>
          <w:sz w:val="28"/>
          <w:szCs w:val="28"/>
        </w:rPr>
        <w:footnoteReference w:id="26"/>
      </w:r>
      <w:r>
        <w:rPr>
          <w:color w:val="222A35" w:themeColor="text2" w:themeShade="80"/>
          <w:sz w:val="28"/>
          <w:szCs w:val="28"/>
        </w:rPr>
        <w:t xml:space="preserve"> din 2020, Moldova a obținut un scor de 19 din 100 în domeniul educației, ceea ce indică politici nefavorabile pentru integrarea elevilor imigranți în sistemul educațional. Deși pentru anul 2024 nu există încă date</w:t>
      </w:r>
      <w:r>
        <w:rPr>
          <w:color w:val="222A35" w:themeColor="text2" w:themeShade="80"/>
          <w:sz w:val="28"/>
          <w:szCs w:val="28"/>
        </w:rPr>
        <w:t xml:space="preserve"> actualizate pentru a prezenta evoluția, Republica Moldova a înregistrat progrese semnificative în acest sens.</w:t>
      </w:r>
    </w:p>
    <w:p w14:paraId="196EC697"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Scorul scăzut al Moldovei în incluziunea educațională a copiilor străini sugerează că există obstacole semnificative pentru elevii imigranți în a</w:t>
      </w:r>
      <w:r>
        <w:rPr>
          <w:color w:val="222A35" w:themeColor="text2" w:themeShade="80"/>
          <w:sz w:val="28"/>
          <w:szCs w:val="28"/>
        </w:rPr>
        <w:t>ccesarea și participarea la sistemul educațional. Pentru a îmbunătăți integrarea acestora, ar fi necesare politici mai cuprinzătoare și măsuri specifice care să abordeze nevoile lor educaționale.</w:t>
      </w:r>
    </w:p>
    <w:p w14:paraId="49C5501E" w14:textId="77777777" w:rsidR="0075115C" w:rsidRDefault="00623B17">
      <w:pPr>
        <w:pStyle w:val="af3"/>
        <w:spacing w:before="0" w:beforeAutospacing="0" w:after="0" w:afterAutospacing="0"/>
        <w:ind w:firstLine="720"/>
        <w:contextualSpacing/>
        <w:jc w:val="both"/>
        <w:rPr>
          <w:sz w:val="28"/>
          <w:szCs w:val="28"/>
        </w:rPr>
      </w:pPr>
      <w:r>
        <w:rPr>
          <w:color w:val="222A35" w:themeColor="text2" w:themeShade="80"/>
          <w:sz w:val="28"/>
          <w:szCs w:val="28"/>
        </w:rPr>
        <w:t>Republica Moldova a aderat la Procesul Bologna în 2005, alin</w:t>
      </w:r>
      <w:r>
        <w:rPr>
          <w:color w:val="222A35" w:themeColor="text2" w:themeShade="80"/>
          <w:sz w:val="28"/>
          <w:szCs w:val="28"/>
        </w:rPr>
        <w:t>iind astfel sistemul său de învățământ superior la standardele europene. Această aderare a facilitat recunoașterea internațională a diplomelor și a sporit atractivitatea instituțiilor de învățământ pentru studenții străini. Cadrul normativ pentru integrare</w:t>
      </w:r>
      <w:r>
        <w:rPr>
          <w:color w:val="222A35" w:themeColor="text2" w:themeShade="80"/>
          <w:sz w:val="28"/>
          <w:szCs w:val="28"/>
        </w:rPr>
        <w:t>a străinilor în sectorul educațional vizează: Codul Educației 152/2014</w:t>
      </w:r>
      <w:r>
        <w:rPr>
          <w:rStyle w:val="af7"/>
          <w:color w:val="222A35" w:themeColor="text2" w:themeShade="80"/>
          <w:sz w:val="28"/>
          <w:szCs w:val="28"/>
        </w:rPr>
        <w:footnoteReference w:id="27"/>
      </w:r>
      <w:r>
        <w:rPr>
          <w:color w:val="222A35" w:themeColor="text2" w:themeShade="80"/>
          <w:sz w:val="28"/>
          <w:szCs w:val="28"/>
        </w:rPr>
        <w:t>, care stipulează că admiterea la studii a străinilor se realizează în condițiile aplicate pentru cetățenii Republicii Moldova, dar este condiționată de recunoașterea și echivalarea pre</w:t>
      </w:r>
      <w:r>
        <w:rPr>
          <w:color w:val="222A35" w:themeColor="text2" w:themeShade="80"/>
          <w:sz w:val="28"/>
          <w:szCs w:val="28"/>
        </w:rPr>
        <w:t xml:space="preserve">alabilă a actelor de studii prezentate de candidați. De asemenea, instruirea străinilor se efectuează în limba română sau, la solicitarea candidaților, într-o limbă de circulație internațională, în funcție de posibilitățile instituțiilor </w:t>
      </w:r>
      <w:r>
        <w:rPr>
          <w:sz w:val="28"/>
          <w:szCs w:val="28"/>
        </w:rPr>
        <w:t>de învățământ și î</w:t>
      </w:r>
      <w:r>
        <w:rPr>
          <w:sz w:val="28"/>
          <w:szCs w:val="28"/>
        </w:rPr>
        <w:t>n limita mijloacelor bugetare alocate în acest scop. Totodată, Legea nr. 274/20211 privind integrarea străinilor în Republica Moldova prevede că străinii care și-au legalizat șederea pe teritoriul Republicii Moldova au acces la educație.</w:t>
      </w:r>
    </w:p>
    <w:p w14:paraId="319F70C2"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prezent, Minist</w:t>
      </w:r>
      <w:r>
        <w:rPr>
          <w:color w:val="222A35" w:themeColor="text2" w:themeShade="80"/>
          <w:sz w:val="28"/>
          <w:szCs w:val="28"/>
        </w:rPr>
        <w:t xml:space="preserve">erul Educației și Cercetării depune eforturi considerabile de a elimina oricare bariere legale și administrative care ar putea împiedica accesul la educație al copiilor ucraineni sau al altor copii sosiți din țările afectate de război. În anul 2024, peste </w:t>
      </w:r>
      <w:r>
        <w:rPr>
          <w:color w:val="222A35" w:themeColor="text2" w:themeShade="80"/>
          <w:sz w:val="28"/>
          <w:szCs w:val="28"/>
        </w:rPr>
        <w:t xml:space="preserve">2 000 de copii refugiați ucraineni au fost înscriși în școlile și grădinițele din Moldova. </w:t>
      </w:r>
    </w:p>
    <w:p w14:paraId="4CB57E7E"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Cetățenii străini care au solicitat statutul de protecție temporară în Republica Moldova pot înregistra copiii în instituțiile de învățământ preșcolar și general. F</w:t>
      </w:r>
      <w:r>
        <w:rPr>
          <w:color w:val="222A35" w:themeColor="text2" w:themeShade="80"/>
          <w:sz w:val="28"/>
          <w:szCs w:val="28"/>
        </w:rPr>
        <w:t>iecare cerere se analizează individual.</w:t>
      </w:r>
    </w:p>
    <w:p w14:paraId="69C29491" w14:textId="77777777" w:rsidR="0075115C" w:rsidRDefault="00623B17">
      <w:pPr>
        <w:pStyle w:val="af3"/>
        <w:spacing w:before="0" w:beforeAutospacing="0" w:after="0" w:afterAutospacing="0"/>
        <w:ind w:firstLine="720"/>
        <w:contextualSpacing/>
        <w:jc w:val="both"/>
        <w:rPr>
          <w:sz w:val="28"/>
          <w:szCs w:val="28"/>
        </w:rPr>
      </w:pPr>
      <w:r>
        <w:rPr>
          <w:color w:val="222A35" w:themeColor="text2" w:themeShade="80"/>
          <w:sz w:val="28"/>
          <w:szCs w:val="28"/>
        </w:rPr>
        <w:t xml:space="preserve">Totodată, copiii cetățenilor ucraineni au posibilitatea de a studia prin intermediul lecțiilor online organizate de instituțiile de învățământ pe care le-au frecventat în </w:t>
      </w:r>
      <w:r>
        <w:rPr>
          <w:sz w:val="28"/>
          <w:szCs w:val="28"/>
        </w:rPr>
        <w:t>Ucraina, au acces la platformele și resursele</w:t>
      </w:r>
      <w:r>
        <w:rPr>
          <w:sz w:val="28"/>
          <w:szCs w:val="28"/>
        </w:rPr>
        <w:t xml:space="preserve"> educaționale create de Ministerul Educației și Cercetării (MEC), în cadrul instituțiilor de învățământ.</w:t>
      </w:r>
    </w:p>
    <w:p w14:paraId="68CA74FC" w14:textId="77777777" w:rsidR="0075115C" w:rsidRDefault="00623B17">
      <w:pPr>
        <w:pStyle w:val="af3"/>
        <w:spacing w:before="0" w:beforeAutospacing="0" w:after="0" w:afterAutospacing="0"/>
        <w:ind w:firstLine="720"/>
        <w:contextualSpacing/>
        <w:jc w:val="both"/>
        <w:rPr>
          <w:sz w:val="28"/>
          <w:szCs w:val="28"/>
        </w:rPr>
      </w:pPr>
      <w:r>
        <w:rPr>
          <w:sz w:val="28"/>
          <w:szCs w:val="28"/>
        </w:rPr>
        <w:t>Pe site-ul MEC a fost creat directoriul cu genericul ,,În susținerea copiilor și tinerilor din Ucraina”</w:t>
      </w:r>
      <w:r>
        <w:rPr>
          <w:sz w:val="28"/>
          <w:szCs w:val="28"/>
          <w:vertAlign w:val="superscript"/>
        </w:rPr>
        <w:footnoteReference w:id="28"/>
      </w:r>
      <w:r>
        <w:rPr>
          <w:sz w:val="28"/>
          <w:szCs w:val="28"/>
        </w:rPr>
        <w:t xml:space="preserve"> care include și următoarele compartimente: Act</w:t>
      </w:r>
      <w:r>
        <w:rPr>
          <w:sz w:val="28"/>
          <w:szCs w:val="28"/>
        </w:rPr>
        <w:t xml:space="preserve">e normative și Regulatorii, Acces la educație, Resurse utile recomandate, Date de contact, Alte informații utile, iar în directoriul Media sunt plasate Instrucțiunile pentru studenții </w:t>
      </w:r>
      <w:r>
        <w:rPr>
          <w:sz w:val="28"/>
          <w:szCs w:val="28"/>
        </w:rPr>
        <w:lastRenderedPageBreak/>
        <w:t>refugiați din Ucraina pentru continuarea studiilor în Republica Moldova</w:t>
      </w:r>
      <w:r>
        <w:rPr>
          <w:sz w:val="28"/>
          <w:szCs w:val="28"/>
          <w:vertAlign w:val="superscript"/>
        </w:rPr>
        <w:footnoteReference w:id="29"/>
      </w:r>
      <w:r>
        <w:rPr>
          <w:sz w:val="28"/>
          <w:szCs w:val="28"/>
        </w:rPr>
        <w:t>.Lista instituțiilor de învățământ general, identificate pentru încadrarea copiilor din familiile refugiate din Ucraina este plasată pe site-ul MEC. Înscrierea în alte școli decât cele incluse în listă va depinde în principal de locurile disponibile în șco</w:t>
      </w:r>
      <w:r>
        <w:rPr>
          <w:sz w:val="28"/>
          <w:szCs w:val="28"/>
        </w:rPr>
        <w:t>ala la care se depune cererea.</w:t>
      </w:r>
    </w:p>
    <w:p w14:paraId="39F6E07B"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sz w:val="28"/>
          <w:szCs w:val="28"/>
        </w:rPr>
        <w:t xml:space="preserve">Pentru anul </w:t>
      </w:r>
      <w:r>
        <w:rPr>
          <w:color w:val="222A35" w:themeColor="text2" w:themeShade="80"/>
          <w:sz w:val="28"/>
          <w:szCs w:val="28"/>
        </w:rPr>
        <w:t>de studii 2023-2024, au fost puse la dispoziție 106 locuri gratuite pentru studenții străini, 76 pentru ciclul de licență și 30 pentru ciclul de masterat, cu prioritate pentru studenții ucraineni, la toate univers</w:t>
      </w:r>
      <w:r>
        <w:rPr>
          <w:color w:val="222A35" w:themeColor="text2" w:themeShade="80"/>
          <w:sz w:val="28"/>
          <w:szCs w:val="28"/>
        </w:rPr>
        <w:t>itățile de stat din întreaga țară. Universitățile private nu oferă burse. Cu toate acestea, dacă studenții au nevoie de asistență financiară, situația lor este analizată individual. În acest sens, studenții au fost îndemnați să depună o cerere către rector</w:t>
      </w:r>
      <w:r>
        <w:rPr>
          <w:color w:val="222A35" w:themeColor="text2" w:themeShade="80"/>
          <w:sz w:val="28"/>
          <w:szCs w:val="28"/>
        </w:rPr>
        <w:t>ul universității, explicând situația lor. Fiecare caz s-a analizat individual, în dependență de situația socială și rezultatele școlare.</w:t>
      </w:r>
    </w:p>
    <w:p w14:paraId="4F0EAEF7"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Totodată, Ministerul Educației și Cercetării a lansat în anul 2024 Programul național de studiere a Limbii Române, la c</w:t>
      </w:r>
      <w:r>
        <w:rPr>
          <w:color w:val="222A35" w:themeColor="text2" w:themeShade="80"/>
          <w:sz w:val="28"/>
          <w:szCs w:val="28"/>
        </w:rPr>
        <w:t xml:space="preserve">are se pot înregistra toți cei care vor să învețe limba română, inclusiv refugiații din Ucraina. Cursurile sunt gratuite, durează un an și sunt disponibile în toate regiunile Moldovei. Pentru a fi înregistrați în program, trebuie depusă o cerere în format </w:t>
      </w:r>
      <w:r>
        <w:rPr>
          <w:color w:val="222A35" w:themeColor="text2" w:themeShade="80"/>
          <w:sz w:val="28"/>
          <w:szCs w:val="28"/>
        </w:rPr>
        <w:t>electronic. Acesta este oferit în trei universități din Chișinău: Universitatea de Stat din Bălți, Universitatea de Stat din Moldova din Chișinău și Universitatea de Stat din Comrat.</w:t>
      </w:r>
    </w:p>
    <w:p w14:paraId="015B233C"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Probleme privind integrarea sectorială a străinilor include numărul mic d</w:t>
      </w:r>
      <w:r>
        <w:rPr>
          <w:color w:val="222A35" w:themeColor="text2" w:themeShade="80"/>
          <w:sz w:val="28"/>
          <w:szCs w:val="28"/>
        </w:rPr>
        <w:t>e instituții de învățământ general cu studierea în limba ucraineană. Totodată, în anul următor de studii, la gimnaziul „Taras Șevcenko” din Chișinău vor fi deschise mai multe clase cu predare în limbile ucraineană și română. Acest lucru va oferi posibilita</w:t>
      </w:r>
      <w:r>
        <w:rPr>
          <w:color w:val="222A35" w:themeColor="text2" w:themeShade="80"/>
          <w:sz w:val="28"/>
          <w:szCs w:val="28"/>
        </w:rPr>
        <w:t>te copiilor refugiaților ucraineni, dar și al etnicilor ucraineni din țara noastră, să-și continue studiile în limba maternă și să se integreze mai ușor în sistemul educațional din Republica Moldova.</w:t>
      </w:r>
    </w:p>
    <w:p w14:paraId="20635EAF"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Clasele vor fi deschise atât la ciclul primar (I și IV),</w:t>
      </w:r>
      <w:r>
        <w:rPr>
          <w:color w:val="222A35" w:themeColor="text2" w:themeShade="80"/>
          <w:sz w:val="28"/>
          <w:szCs w:val="28"/>
        </w:rPr>
        <w:t xml:space="preserve"> cât și la cel gimnazial (V). Elevii vor studia în limbile ucraineană și română (cu respectarea curriculumului național), iar profesorii vor fi selectați din rândul refugiaților și al cadrelor didactice din țara noastră, cunoscători de limba ucraineană. De</w:t>
      </w:r>
      <w:r>
        <w:rPr>
          <w:color w:val="222A35" w:themeColor="text2" w:themeShade="80"/>
          <w:sz w:val="28"/>
          <w:szCs w:val="28"/>
        </w:rPr>
        <w:t xml:space="preserve"> asemenea, vor fi organizate cursuri de instruire pentru profesori și activități culturale pentru elevi, cu scopul de a îmbunătăți competențele lingvistice. În prezent, MEC poartă discuții cu parteneri internaționali în vederea obținerii unui suport financ</w:t>
      </w:r>
      <w:r>
        <w:rPr>
          <w:color w:val="222A35" w:themeColor="text2" w:themeShade="80"/>
          <w:sz w:val="28"/>
          <w:szCs w:val="28"/>
        </w:rPr>
        <w:t xml:space="preserve">iar pentru renovarea și dotarea spațiilor de studii și sălilor sportive, precum și pentru traducerea unor manualelor în limba ucraineană. În școlile și grădinițele din Republica Moldova sunt încadrați peste 2300 de copii din Ucraina. </w:t>
      </w:r>
    </w:p>
    <w:p w14:paraId="1F3427A9"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În ceea ce privește n</w:t>
      </w:r>
      <w:r>
        <w:rPr>
          <w:color w:val="222A35" w:themeColor="text2" w:themeShade="80"/>
          <w:sz w:val="28"/>
          <w:szCs w:val="28"/>
        </w:rPr>
        <w:t>ecesitatea încadrării profesorilor din Ucraina în instituțiile de învățământ din Moldova, profesorii ucraineni au acces, conform legislației, de a solicita angajarea în câmpul muncii în instituțiile de învățământ general, școli profesionale, colegii și uni</w:t>
      </w:r>
      <w:r>
        <w:rPr>
          <w:color w:val="222A35" w:themeColor="text2" w:themeShade="80"/>
          <w:sz w:val="28"/>
          <w:szCs w:val="28"/>
        </w:rPr>
        <w:t>versități. Totodată, în Republica Moldova există un program de studii superioare de licență pentru formarea cadrelor didactice de limba ucraineană în cadrul Universității de Stat „Alecu Russo” din Bălți.</w:t>
      </w:r>
    </w:p>
    <w:p w14:paraId="2EE23355"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lastRenderedPageBreak/>
        <w:t>Realizări majore și bune practici privind dezvoltare</w:t>
      </w:r>
      <w:r>
        <w:rPr>
          <w:b/>
          <w:bCs/>
          <w:i/>
          <w:iCs/>
          <w:color w:val="222A35" w:themeColor="text2" w:themeShade="80"/>
          <w:sz w:val="28"/>
          <w:szCs w:val="28"/>
        </w:rPr>
        <w:t>a și implementarea politicilor:</w:t>
      </w:r>
    </w:p>
    <w:p w14:paraId="36D8172A"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 xml:space="preserve">Au fost acordate acțiuni de suport refugiaților de la începutul războiului: cazarea refugiaților, încadrarea copiilor din Ucraina în instituțiile de învățământ din Republica Moldova și deschiderea spațiilor pentru învățământ online, organizarea examenelor </w:t>
      </w:r>
      <w:r>
        <w:rPr>
          <w:color w:val="222A35" w:themeColor="text2" w:themeShade="80"/>
          <w:sz w:val="28"/>
          <w:szCs w:val="28"/>
        </w:rPr>
        <w:t xml:space="preserve">de absolvire și admitere pentru elevii ucraineni, acordarea suportului psiho-emoțional copiilor și părinților refugiați etc. </w:t>
      </w:r>
    </w:p>
    <w:p w14:paraId="1AFD68D6"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Elevii ucraineni refugiați în Republica Moldova, care fac studiile online, au susținut și în anul curent Testul Național Ucrainean</w:t>
      </w:r>
      <w:r>
        <w:rPr>
          <w:color w:val="222A35" w:themeColor="text2" w:themeShade="80"/>
          <w:sz w:val="28"/>
          <w:szCs w:val="28"/>
        </w:rPr>
        <w:t>. Acesta include subiecte ce țin de disciplinele: Limba ucraineană, Istoria Ucrainei, Matematica și un obiect la alegere. Pentru a facilita acest exercițiu important, la solicitarea Ministerului Educației și Cercetării, Universitatea Tehnică a Moldovei a p</w:t>
      </w:r>
      <w:r>
        <w:rPr>
          <w:color w:val="222A35" w:themeColor="text2" w:themeShade="80"/>
          <w:sz w:val="28"/>
          <w:szCs w:val="28"/>
        </w:rPr>
        <w:t>us la dispoziție patru săli echipate cu câte 48 de calculatoare.</w:t>
      </w:r>
    </w:p>
    <w:p w14:paraId="06AB88F3"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Sesiunile de examene au loc în perioada 1-6 iunie 2024. Anul acesta, 198 de elevi ucraineni s-au înregistrat pentru a participa la Examenul Național Ucrainean. Printre aceștia se numără și el</w:t>
      </w:r>
      <w:r>
        <w:rPr>
          <w:color w:val="222A35" w:themeColor="text2" w:themeShade="80"/>
          <w:sz w:val="28"/>
          <w:szCs w:val="28"/>
        </w:rPr>
        <w:t xml:space="preserve">evi ucraineni din România și Bulgaria, care au dorit să susțină examenele la Chișinău. </w:t>
      </w:r>
    </w:p>
    <w:p w14:paraId="7DB19662"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În acest an, vor fi editate 10 000 manuale în limba română de nivelul A1 și A2 pentru studenții înscriși la Programul național de studiere a limbii române, inclusiv ref</w:t>
      </w:r>
      <w:r>
        <w:rPr>
          <w:color w:val="222A35" w:themeColor="text2" w:themeShade="80"/>
          <w:sz w:val="28"/>
          <w:szCs w:val="28"/>
        </w:rPr>
        <w:t>ugiații ucraineni, în așa fel încât aceștia să aibă și manuale fizice, nu doar digitale. În același timp, vor fi desfășurate instruiri în limba română pentru refugiații ucraineni. De asemenea, vor fi susținute mai multe acțiuni ce țin de încadrarea copiilo</w:t>
      </w:r>
      <w:r>
        <w:rPr>
          <w:color w:val="222A35" w:themeColor="text2" w:themeShade="80"/>
          <w:sz w:val="28"/>
          <w:szCs w:val="28"/>
        </w:rPr>
        <w:t>r refugiați din Ucraina în procesul educațional din Republica Moldova. Toate aceste activități vor fi realizate cu suportul partenerilor cehi de la Organizația ,,People in Need”.</w:t>
      </w:r>
    </w:p>
    <w:p w14:paraId="20E33214"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MEC a elaborat conceptul educației multilingve, care va contribui la facilita</w:t>
      </w:r>
      <w:r>
        <w:rPr>
          <w:color w:val="222A35" w:themeColor="text2" w:themeShade="80"/>
          <w:sz w:val="28"/>
          <w:szCs w:val="28"/>
        </w:rPr>
        <w:t>rea accesului echitabil la educație de calitate prin programe de educație multilingvă bazate pe limba maternă în instituțiile de învățământ preșcolar, primar și gimnazial.</w:t>
      </w:r>
    </w:p>
    <w:p w14:paraId="4704E223"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Au fost lansate laboratoarele EDUTech în toată țara, cu suportul partenerilor și don</w:t>
      </w:r>
      <w:r>
        <w:rPr>
          <w:color w:val="222A35" w:themeColor="text2" w:themeShade="80"/>
          <w:sz w:val="28"/>
          <w:szCs w:val="28"/>
        </w:rPr>
        <w:t>atorilor, precum și cu aportul profesorilor dedicați și directorilor de școli care au contribuit la înființarea a peste 80 de laboratoare EDUTech în Moldova. Exemplu, la Liceul Teoretic „Mihail Lomonosov” din orașul Orhei a fost înființat un laborator EDUT</w:t>
      </w:r>
      <w:r>
        <w:rPr>
          <w:color w:val="222A35" w:themeColor="text2" w:themeShade="80"/>
          <w:sz w:val="28"/>
          <w:szCs w:val="28"/>
        </w:rPr>
        <w:t>ech și de care vor beneficia peste 200 de elevi, dintre care 20 de copii din Ucraina.</w:t>
      </w:r>
    </w:p>
    <w:p w14:paraId="21642D63"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t>Cu suportul partenerilor au fost create rețelele de laboratoare, care sunt o soluție pentru învățarea la distanță pentru copiii din Ucraina, dar și școlilor care și-au de</w:t>
      </w:r>
      <w:r>
        <w:rPr>
          <w:color w:val="222A35" w:themeColor="text2" w:themeShade="80"/>
          <w:sz w:val="28"/>
          <w:szCs w:val="28"/>
        </w:rPr>
        <w:t>schis ușile și au primit acești copii ca pe ai lor, devenind o familie în această perioadă de timp. La laboratoarele EDUTech, copiii ucraineni se conectează la platformele de învățare online ale Ministerului ucrainean al Educației, în timpul orelor de școa</w:t>
      </w:r>
      <w:r>
        <w:rPr>
          <w:color w:val="222A35" w:themeColor="text2" w:themeShade="80"/>
          <w:sz w:val="28"/>
          <w:szCs w:val="28"/>
        </w:rPr>
        <w:t>lă, sub supravegherea și monitorizarea profesorilor ucraineni sau moldoveni, într-un mediu de învățare sigur și structurat, alături de colegii lor moldoveni, iar acest lucru, facilitează eventuala lor înscriere în învățământul formal.</w:t>
      </w:r>
    </w:p>
    <w:p w14:paraId="1B2DEC2F" w14:textId="77777777" w:rsidR="0075115C" w:rsidRDefault="00623B17">
      <w:pPr>
        <w:pStyle w:val="af3"/>
        <w:numPr>
          <w:ilvl w:val="0"/>
          <w:numId w:val="4"/>
        </w:numPr>
        <w:spacing w:before="0" w:beforeAutospacing="0" w:after="0" w:afterAutospacing="0"/>
        <w:ind w:left="720"/>
        <w:contextualSpacing/>
        <w:jc w:val="both"/>
        <w:rPr>
          <w:color w:val="222A35" w:themeColor="text2" w:themeShade="80"/>
          <w:sz w:val="28"/>
          <w:szCs w:val="28"/>
        </w:rPr>
      </w:pPr>
      <w:r>
        <w:rPr>
          <w:color w:val="222A35" w:themeColor="text2" w:themeShade="80"/>
          <w:sz w:val="28"/>
          <w:szCs w:val="28"/>
        </w:rPr>
        <w:lastRenderedPageBreak/>
        <w:t>MEC depune eforturi c</w:t>
      </w:r>
      <w:r>
        <w:rPr>
          <w:color w:val="222A35" w:themeColor="text2" w:themeShade="80"/>
          <w:sz w:val="28"/>
          <w:szCs w:val="28"/>
        </w:rPr>
        <w:t>onsiderabile de a elimina oricare bariere legale și administrative care ar putea împiedica accesul la educație al copiilor ucraineni sau al altor copii sosiți din țările afectate de război. Au fost acordate acțiuni de suport refugiaților de la începutul ră</w:t>
      </w:r>
      <w:r>
        <w:rPr>
          <w:color w:val="222A35" w:themeColor="text2" w:themeShade="80"/>
          <w:sz w:val="28"/>
          <w:szCs w:val="28"/>
        </w:rPr>
        <w:t>zboiului: cazarea refugiaților, încadrarea copiilor din Ucraina în instituțiile de învățământ din Republica Moldova și deschiderea spațiilor pentru învățământ online, organizarea examenelor de absolvire și admitere pentru elevii ucraineni, acordarea suport</w:t>
      </w:r>
      <w:r>
        <w:rPr>
          <w:color w:val="222A35" w:themeColor="text2" w:themeShade="80"/>
          <w:sz w:val="28"/>
          <w:szCs w:val="28"/>
        </w:rPr>
        <w:t>ului psiho-emoțional copiilor și părinților refugiați etc.</w:t>
      </w:r>
    </w:p>
    <w:p w14:paraId="4BCA89E9"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Analiză SWOT privind accesul străinilor la servicii educaționale și integrarea în sistemul de învățământ</w:t>
      </w:r>
    </w:p>
    <w:tbl>
      <w:tblPr>
        <w:tblStyle w:val="af2"/>
        <w:tblW w:w="5000" w:type="pct"/>
        <w:tblLook w:val="04A0" w:firstRow="1" w:lastRow="0" w:firstColumn="1" w:lastColumn="0" w:noHBand="0" w:noVBand="1"/>
      </w:tblPr>
      <w:tblGrid>
        <w:gridCol w:w="4813"/>
        <w:gridCol w:w="4814"/>
      </w:tblGrid>
      <w:tr w:rsidR="0075115C" w14:paraId="433301EC"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198A62"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DEAA2A"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17D9ABEE"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6DD8D75"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Legislația națională permite accesul străinilor cu permis de șede</w:t>
            </w:r>
            <w:r>
              <w:rPr>
                <w:color w:val="222A35" w:themeColor="text2" w:themeShade="80"/>
                <w:sz w:val="28"/>
                <w:szCs w:val="28"/>
              </w:rPr>
              <w:t>re la educație în condiții similare cu cetățenii moldoveni.</w:t>
            </w:r>
          </w:p>
          <w:p w14:paraId="4C88895C"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Asigură recunoașterea internațională a diplomelor și facilitează mobilitatea academică.</w:t>
            </w:r>
          </w:p>
          <w:p w14:paraId="2D0A6FAE"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Integrarea copiilor/elevilor/studenților ucraineni în instituțiile de învățământ asigurată</w:t>
            </w:r>
          </w:p>
          <w:p w14:paraId="046B3736"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 xml:space="preserve">Taxele de </w:t>
            </w:r>
            <w:r>
              <w:rPr>
                <w:color w:val="222A35" w:themeColor="text2" w:themeShade="80"/>
                <w:sz w:val="28"/>
                <w:szCs w:val="28"/>
              </w:rPr>
              <w:t>școlarizare și studii sunt competitive în comparație cu alte țări europene.</w:t>
            </w:r>
          </w:p>
        </w:tc>
        <w:tc>
          <w:tcPr>
            <w:tcW w:w="2500" w:type="pct"/>
            <w:tcBorders>
              <w:top w:val="single" w:sz="4" w:space="0" w:color="auto"/>
              <w:left w:val="single" w:sz="4" w:space="0" w:color="auto"/>
              <w:bottom w:val="single" w:sz="4" w:space="0" w:color="auto"/>
              <w:right w:val="single" w:sz="4" w:space="0" w:color="auto"/>
            </w:tcBorders>
          </w:tcPr>
          <w:p w14:paraId="2031D3A8"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Insuficiența programelor intensive de învățare a limbii române pentru străini.</w:t>
            </w:r>
          </w:p>
          <w:p w14:paraId="3291A0FC"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Unele instituții nu dispun de facilități adecvate pentru studenții internaționali.</w:t>
            </w:r>
          </w:p>
        </w:tc>
      </w:tr>
      <w:tr w:rsidR="0075115C" w14:paraId="2587474B"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58EC6"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2F615"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w:t>
            </w:r>
            <w:r>
              <w:rPr>
                <w:rFonts w:cs="Times New Roman"/>
                <w:b/>
                <w:bCs/>
                <w:color w:val="222A35" w:themeColor="text2" w:themeShade="80"/>
                <w:sz w:val="28"/>
                <w:szCs w:val="28"/>
              </w:rPr>
              <w:t>ințări</w:t>
            </w:r>
          </w:p>
        </w:tc>
      </w:tr>
      <w:tr w:rsidR="0075115C" w14:paraId="4DA440CB"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51C6BC8C"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Tendința globală de mobilitate academică poate fi valorificată.</w:t>
            </w:r>
          </w:p>
          <w:p w14:paraId="503C1875"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Flexibilitatea programelor pentru a răspunde nevoilor străinilor, inclusiv ale copiilor, poate spori accesibilitatea.</w:t>
            </w:r>
          </w:p>
        </w:tc>
        <w:tc>
          <w:tcPr>
            <w:tcW w:w="2500" w:type="pct"/>
            <w:tcBorders>
              <w:top w:val="single" w:sz="4" w:space="0" w:color="auto"/>
              <w:left w:val="single" w:sz="4" w:space="0" w:color="auto"/>
              <w:bottom w:val="single" w:sz="4" w:space="0" w:color="auto"/>
              <w:right w:val="single" w:sz="4" w:space="0" w:color="auto"/>
            </w:tcBorders>
          </w:tcPr>
          <w:p w14:paraId="2C8312ED"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Fluxul instabil al refugiaților, care nu rămân pe termen lung, </w:t>
            </w:r>
            <w:r>
              <w:rPr>
                <w:color w:val="222A35" w:themeColor="text2" w:themeShade="80"/>
                <w:sz w:val="28"/>
                <w:szCs w:val="28"/>
              </w:rPr>
              <w:t>poate face dificilă implementarea și monitorizarea eficientă a programelor.</w:t>
            </w:r>
          </w:p>
          <w:p w14:paraId="3B79E072"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Refuzul persoanelor străine de a furniza date personale poate îngreuna accesul acestora la serviciile oferite și atragerea de fonduri suplimentare.</w:t>
            </w:r>
          </w:p>
        </w:tc>
      </w:tr>
    </w:tbl>
    <w:p w14:paraId="31567B3F" w14:textId="77777777" w:rsidR="0075115C" w:rsidRDefault="00623B17">
      <w:pPr>
        <w:pStyle w:val="2"/>
      </w:pPr>
      <w:bookmarkStart w:id="18" w:name="_Toc193725340"/>
      <w:r>
        <w:t xml:space="preserve">Integrarea socio-culturală a </w:t>
      </w:r>
      <w:r>
        <w:t>străinilor</w:t>
      </w:r>
      <w:bookmarkEnd w:id="18"/>
    </w:p>
    <w:p w14:paraId="5DC2EF02"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Moldova a realizat progrese în adoptarea unor politici de integrare culturală, totuși sunt încă provocări în acest domeniu. Integrarea culturală a străinilor necesită o abordare multisectorială, care să includă măsuri de promovare a diversității</w:t>
      </w:r>
      <w:r>
        <w:rPr>
          <w:rFonts w:eastAsia="Times New Roman" w:cs="Times New Roman"/>
          <w:color w:val="222A35" w:themeColor="text2" w:themeShade="80"/>
          <w:sz w:val="28"/>
          <w:szCs w:val="28"/>
          <w:lang w:eastAsia="zh-CN"/>
        </w:rPr>
        <w:t xml:space="preserve"> și de facilitare a accesului la activități culturale, educație în limba română și alte resurse menite să sprijine acomodarea în comunitățile locale.</w:t>
      </w:r>
    </w:p>
    <w:p w14:paraId="1A5818BD"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Integrarea culturală este facilitată printr-o serie de programe și inițiative naționale care vizează promo</w:t>
      </w:r>
      <w:r>
        <w:rPr>
          <w:rFonts w:eastAsia="Times New Roman" w:cs="Times New Roman"/>
          <w:color w:val="222A35" w:themeColor="text2" w:themeShade="80"/>
          <w:sz w:val="28"/>
          <w:szCs w:val="28"/>
          <w:lang w:eastAsia="zh-CN"/>
        </w:rPr>
        <w:t xml:space="preserve">varea dialogului intercultural și participarea străinilor la </w:t>
      </w:r>
      <w:r>
        <w:rPr>
          <w:rFonts w:eastAsia="Times New Roman" w:cs="Times New Roman"/>
          <w:color w:val="222A35" w:themeColor="text2" w:themeShade="80"/>
          <w:sz w:val="28"/>
          <w:szCs w:val="28"/>
          <w:lang w:eastAsia="zh-CN"/>
        </w:rPr>
        <w:lastRenderedPageBreak/>
        <w:t xml:space="preserve">viața comunității. Accesul la educație în limba română este un pas important, dar nu este suficient pentru o integrare deplină. </w:t>
      </w:r>
    </w:p>
    <w:p w14:paraId="40B9CB8C"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De asemenea, accesul străinilor la evenimente culturale este în ge</w:t>
      </w:r>
      <w:r>
        <w:rPr>
          <w:rFonts w:eastAsia="Times New Roman" w:cs="Times New Roman"/>
          <w:color w:val="222A35" w:themeColor="text2" w:themeShade="80"/>
          <w:sz w:val="28"/>
          <w:szCs w:val="28"/>
          <w:lang w:eastAsia="zh-CN"/>
        </w:rPr>
        <w:t>neral deschis, însă în lipsa unor programe dedicate și a informațiilor accesibile, implicarea acestora rămâne limitată. Există un număr relativ mic de inițiative menite să includă străinii în evenimente culturale și de sensibilizare interculturală, majorit</w:t>
      </w:r>
      <w:r>
        <w:rPr>
          <w:rFonts w:eastAsia="Times New Roman" w:cs="Times New Roman"/>
          <w:color w:val="222A35" w:themeColor="text2" w:themeShade="80"/>
          <w:sz w:val="28"/>
          <w:szCs w:val="28"/>
          <w:lang w:eastAsia="zh-CN"/>
        </w:rPr>
        <w:t>atea fiind derulate de organizații non-guvernamentale și susținute parțial de stat. Totodată, bibliotecile și muzeele au început să implementeze programe dedicate străinilor, deși resursele financiare și logistice sunt insuficiente pentru a acoperi nevoile</w:t>
      </w:r>
      <w:r>
        <w:rPr>
          <w:rFonts w:eastAsia="Times New Roman" w:cs="Times New Roman"/>
          <w:color w:val="222A35" w:themeColor="text2" w:themeShade="80"/>
          <w:sz w:val="28"/>
          <w:szCs w:val="28"/>
          <w:lang w:eastAsia="zh-CN"/>
        </w:rPr>
        <w:t xml:space="preserve"> existente.</w:t>
      </w:r>
    </w:p>
    <w:p w14:paraId="32C29F3D"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Un alt aspect esențial este crearea unor spații sigure și deschise de întâlnire între comunitatea locală și străini, cum sunt cluburile de lectură sau evenimentele dedicate diversității. Totuși, provocările financiare și logistice limitează imp</w:t>
      </w:r>
      <w:r>
        <w:rPr>
          <w:rFonts w:eastAsia="Times New Roman" w:cs="Times New Roman"/>
          <w:color w:val="222A35" w:themeColor="text2" w:themeShade="80"/>
          <w:sz w:val="28"/>
          <w:szCs w:val="28"/>
          <w:lang w:eastAsia="zh-CN"/>
        </w:rPr>
        <w:t>lementarea pe scară largă a acestor inițiative, afectând astfel calitatea și continuitatea programelor.</w:t>
      </w:r>
    </w:p>
    <w:p w14:paraId="6F63B7C8"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Lipsa unor programe ample de promovare a culturii străinilor limitează posibilitatea moldovenilor de a cunoaște și înțelege diversitatea culturală, iar </w:t>
      </w:r>
      <w:r>
        <w:rPr>
          <w:rFonts w:eastAsia="Times New Roman" w:cs="Times New Roman"/>
          <w:color w:val="222A35" w:themeColor="text2" w:themeShade="80"/>
          <w:sz w:val="28"/>
          <w:szCs w:val="28"/>
          <w:lang w:eastAsia="zh-CN"/>
        </w:rPr>
        <w:t>străinii se simt astfel marginalizați. Majoritatea refugiaților au trecut prin experiențe traumatizante care afectează modul în care se pot integra. Totodată, personalul instituțiilor culturale nu are experiență în a lucra cu persoane afectate de traume ps</w:t>
      </w:r>
      <w:r>
        <w:rPr>
          <w:rFonts w:eastAsia="Times New Roman" w:cs="Times New Roman"/>
          <w:color w:val="222A35" w:themeColor="text2" w:themeShade="80"/>
          <w:sz w:val="28"/>
          <w:szCs w:val="28"/>
          <w:lang w:eastAsia="zh-CN"/>
        </w:rPr>
        <w:t>ihologice, ceea ce poate împiedica realizarea unor legături solide. Pe de altă parte, străinii nu au întotdeauna informații clare și accesibile privind serviciile și activitățile culturale disponibile. Lipsa unui canal centralizat de informare contribuie l</w:t>
      </w:r>
      <w:r>
        <w:rPr>
          <w:rFonts w:eastAsia="Times New Roman" w:cs="Times New Roman"/>
          <w:color w:val="222A35" w:themeColor="text2" w:themeShade="80"/>
          <w:sz w:val="28"/>
          <w:szCs w:val="28"/>
          <w:lang w:eastAsia="zh-CN"/>
        </w:rPr>
        <w:t xml:space="preserve">a o participare redusă. </w:t>
      </w:r>
    </w:p>
    <w:p w14:paraId="5F8E5E94"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Integrarea culturală a străinilor în Moldova necesită eforturi sustenabile și resurse adecvate pentru a facilita o tranziție armonioasă către societatea moldovenească. Deși există inițiative și programe benefice, sunt necesare îmbu</w:t>
      </w:r>
      <w:r>
        <w:rPr>
          <w:rFonts w:eastAsia="Times New Roman" w:cs="Times New Roman"/>
          <w:color w:val="222A35" w:themeColor="text2" w:themeShade="80"/>
          <w:sz w:val="28"/>
          <w:szCs w:val="28"/>
          <w:lang w:eastAsia="zh-CN"/>
        </w:rPr>
        <w:t>nătățiri semnificative în domenii precum accesul la limba română, promovarea diversității și instruirea specialiștilor pentru a asigura o integrare completă și de durată. Totodată, este esențială susținerea unor măsuri eficiente de integrare culturală pent</w:t>
      </w:r>
      <w:r>
        <w:rPr>
          <w:rFonts w:eastAsia="Times New Roman" w:cs="Times New Roman"/>
          <w:color w:val="222A35" w:themeColor="text2" w:themeShade="80"/>
          <w:sz w:val="28"/>
          <w:szCs w:val="28"/>
          <w:lang w:eastAsia="zh-CN"/>
        </w:rPr>
        <w:t>ru a transforma diversitatea într-un avantaj pentru societatea moldovenească.</w:t>
      </w:r>
    </w:p>
    <w:p w14:paraId="73CF3565" w14:textId="77777777" w:rsidR="0075115C" w:rsidRDefault="0075115C">
      <w:pPr>
        <w:spacing w:after="0" w:line="240" w:lineRule="auto"/>
        <w:ind w:firstLine="720"/>
        <w:contextualSpacing/>
        <w:jc w:val="both"/>
        <w:rPr>
          <w:rFonts w:eastAsia="Times New Roman" w:cs="Times New Roman"/>
          <w:color w:val="222A35" w:themeColor="text2" w:themeShade="80"/>
          <w:sz w:val="28"/>
          <w:szCs w:val="28"/>
          <w:lang w:eastAsia="zh-CN"/>
        </w:rPr>
      </w:pPr>
    </w:p>
    <w:p w14:paraId="6F405787"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Analiză SWOT privind integrarea socio-culturală a străinilor</w:t>
      </w:r>
    </w:p>
    <w:tbl>
      <w:tblPr>
        <w:tblStyle w:val="af2"/>
        <w:tblW w:w="5000" w:type="pct"/>
        <w:tblLook w:val="04A0" w:firstRow="1" w:lastRow="0" w:firstColumn="1" w:lastColumn="0" w:noHBand="0" w:noVBand="1"/>
      </w:tblPr>
      <w:tblGrid>
        <w:gridCol w:w="4813"/>
        <w:gridCol w:w="4814"/>
      </w:tblGrid>
      <w:tr w:rsidR="0075115C" w14:paraId="1E991945"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ACF5B"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A18C89"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4E9A814F"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726B3A10"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 xml:space="preserve">Cadru legal clar definit pentru acordarea drreptului de participare la sesiunile </w:t>
            </w:r>
            <w:r>
              <w:rPr>
                <w:color w:val="222A35" w:themeColor="text2" w:themeShade="80"/>
                <w:sz w:val="28"/>
                <w:szCs w:val="28"/>
              </w:rPr>
              <w:t>socioculturale.</w:t>
            </w:r>
          </w:p>
          <w:p w14:paraId="169F7B64"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 xml:space="preserve">Străinii pot participa la activități culturale și evenimente publice organizate de stat sau de ONG-uri, ceea ce facilitează înțelegerea și apropierea de cultura locală. </w:t>
            </w:r>
          </w:p>
          <w:p w14:paraId="7F4D5D4D"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Inițiative locale și suport din partea partenerilor internaționali</w:t>
            </w:r>
          </w:p>
        </w:tc>
        <w:tc>
          <w:tcPr>
            <w:tcW w:w="2500" w:type="pct"/>
            <w:tcBorders>
              <w:top w:val="single" w:sz="4" w:space="0" w:color="auto"/>
              <w:left w:val="single" w:sz="4" w:space="0" w:color="auto"/>
              <w:bottom w:val="single" w:sz="4" w:space="0" w:color="auto"/>
              <w:right w:val="single" w:sz="4" w:space="0" w:color="auto"/>
            </w:tcBorders>
          </w:tcPr>
          <w:p w14:paraId="56015918"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Lip</w:t>
            </w:r>
            <w:r>
              <w:rPr>
                <w:rFonts w:eastAsia="Times New Roman" w:cs="Times New Roman"/>
                <w:color w:val="222A35" w:themeColor="text2" w:themeShade="80"/>
                <w:sz w:val="28"/>
                <w:szCs w:val="28"/>
                <w:lang w:eastAsia="zh-CN"/>
              </w:rPr>
              <w:t>sa de fonduri și de personal instruit în domeniul integrării culturale îngreunează implementarea unor programe consistente și de lungă durată.</w:t>
            </w:r>
          </w:p>
          <w:p w14:paraId="0CC3CCF5"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Absența unui program structurat și continuu care să includă activități dedicate promovării diversității și incluz</w:t>
            </w:r>
            <w:r>
              <w:rPr>
                <w:color w:val="222A35" w:themeColor="text2" w:themeShade="80"/>
                <w:sz w:val="28"/>
                <w:szCs w:val="28"/>
              </w:rPr>
              <w:t>iunii culturale.</w:t>
            </w:r>
          </w:p>
        </w:tc>
      </w:tr>
      <w:tr w:rsidR="0075115C" w14:paraId="50115603"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F9748"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3B67FF"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31638ECE"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441D89A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lastRenderedPageBreak/>
              <w:t xml:space="preserve">Posibilitatea de a obține suport financiar și logistic din partea organizațiilor internaționale pentru programele de integrare culturală. </w:t>
            </w:r>
          </w:p>
          <w:p w14:paraId="3C36C055"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Deschiderea tot mai mare a moldovenilor față de diversitatea culturală </w:t>
            </w:r>
            <w:r>
              <w:rPr>
                <w:color w:val="222A35" w:themeColor="text2" w:themeShade="80"/>
                <w:sz w:val="28"/>
                <w:szCs w:val="28"/>
              </w:rPr>
              <w:t>poate stimula integrarea străinilor în comunități.</w:t>
            </w:r>
          </w:p>
        </w:tc>
        <w:tc>
          <w:tcPr>
            <w:tcW w:w="2500" w:type="pct"/>
            <w:tcBorders>
              <w:top w:val="single" w:sz="4" w:space="0" w:color="auto"/>
              <w:left w:val="single" w:sz="4" w:space="0" w:color="auto"/>
              <w:bottom w:val="single" w:sz="4" w:space="0" w:color="auto"/>
              <w:right w:val="single" w:sz="4" w:space="0" w:color="auto"/>
            </w:tcBorders>
          </w:tcPr>
          <w:p w14:paraId="1B7D4F9A"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Lacunele în politicile de integrare pot duce la segregarea străinilor în comunități izolate, îngreunând participarea acestora la viața socială și culturală.</w:t>
            </w:r>
            <w:bookmarkEnd w:id="11"/>
          </w:p>
        </w:tc>
      </w:tr>
    </w:tbl>
    <w:p w14:paraId="536A2FBB" w14:textId="77777777" w:rsidR="0075115C" w:rsidRDefault="0075115C">
      <w:pPr>
        <w:pStyle w:val="Frspaiere1"/>
      </w:pPr>
    </w:p>
    <w:p w14:paraId="2BB5E9EF" w14:textId="77777777" w:rsidR="0075115C" w:rsidRDefault="00623B17">
      <w:pPr>
        <w:pStyle w:val="2"/>
      </w:pPr>
      <w:bookmarkStart w:id="19" w:name="_Toc193725341"/>
      <w:r>
        <w:t>Accesul străinilor la locuințe adecvate și spr</w:t>
      </w:r>
      <w:r>
        <w:t>ijin în găsirea unui loc de locuit</w:t>
      </w:r>
      <w:bookmarkEnd w:id="19"/>
    </w:p>
    <w:p w14:paraId="7CDC36DC"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 xml:space="preserve"> Pentru persoanele strămutate, accesul la locuințe adecvate este o componentă critică a integrării și a stabilității. Afluxul spontan de refugiați în anul 2022 a impus Moldovei identificarea rapidă a unor măsuri pentru a </w:t>
      </w:r>
      <w:r>
        <w:rPr>
          <w:color w:val="222A35" w:themeColor="text2" w:themeShade="80"/>
          <w:sz w:val="28"/>
          <w:szCs w:val="28"/>
        </w:rPr>
        <w:t>oferi cazare temporară, însă capacitatea de a acoperi cererea rămâne limitată. În condiții de criză și situație de urgență, țara a adoptat rapid măsuri pentru a asigura cazarea refugiaților, majoritatea fiind adăpostiți în centre de plasament temporare sau</w:t>
      </w:r>
      <w:r>
        <w:rPr>
          <w:color w:val="222A35" w:themeColor="text2" w:themeShade="80"/>
          <w:sz w:val="28"/>
          <w:szCs w:val="28"/>
        </w:rPr>
        <w:t xml:space="preserve"> în locuințe puse la dispoziție de către autoritățile locale, persoane fizice și organizațiile internaționale. Ministerul Infrastructurii și Dezvoltării Regionale a stat la baza încheierii Acordului-cadru de împrumut între Republica Moldova și Banca de Dez</w:t>
      </w:r>
      <w:r>
        <w:rPr>
          <w:color w:val="222A35" w:themeColor="text2" w:themeShade="80"/>
          <w:sz w:val="28"/>
          <w:szCs w:val="28"/>
        </w:rPr>
        <w:t>voltare a Consiliului Europei pentru proiectul Locuințe publice III, și Acordului de Grant între Republica Moldova și Banca de Dezvoltare a Consiliului Europei.</w:t>
      </w:r>
    </w:p>
    <w:p w14:paraId="2731893D" w14:textId="77777777" w:rsidR="0075115C" w:rsidRDefault="00623B17">
      <w:pPr>
        <w:pStyle w:val="af3"/>
        <w:spacing w:before="0" w:beforeAutospacing="0" w:after="0" w:afterAutospacing="0"/>
        <w:ind w:firstLine="720"/>
        <w:contextualSpacing/>
        <w:jc w:val="both"/>
        <w:rPr>
          <w:color w:val="222A35" w:themeColor="text2" w:themeShade="80"/>
          <w:sz w:val="28"/>
          <w:szCs w:val="28"/>
        </w:rPr>
      </w:pPr>
      <w:r>
        <w:rPr>
          <w:color w:val="222A35" w:themeColor="text2" w:themeShade="80"/>
          <w:sz w:val="28"/>
          <w:szCs w:val="28"/>
        </w:rPr>
        <w:t>Statul oferă locuințe sociale persoanelor cu venituri mici conform condițiilor de eligibilitate</w:t>
      </w:r>
      <w:r>
        <w:rPr>
          <w:color w:val="222A35" w:themeColor="text2" w:themeShade="80"/>
          <w:sz w:val="28"/>
          <w:szCs w:val="28"/>
        </w:rPr>
        <w:t xml:space="preserve"> specificate în Legea nr. 75/2015 privind locuințele, care nu limitează oportunitățile de acces la locuințe sociale, și alte tipuri de locuințe temporare pentru persoanele vulnerabile. Totuși, în situația când resursele și infrastructura existente nu pot r</w:t>
      </w:r>
      <w:r>
        <w:rPr>
          <w:color w:val="222A35" w:themeColor="text2" w:themeShade="80"/>
          <w:sz w:val="28"/>
          <w:szCs w:val="28"/>
        </w:rPr>
        <w:t>ăspunde în mod eficient și integral nevoilor grupurilor vulnerabile, mecanismul de accesare se constată a fi unul inechitabil în special în raport cu străinii.</w:t>
      </w:r>
    </w:p>
    <w:p w14:paraId="326AB19E" w14:textId="77777777" w:rsidR="0075115C" w:rsidRDefault="0075115C">
      <w:pPr>
        <w:pStyle w:val="af3"/>
        <w:spacing w:before="0" w:beforeAutospacing="0" w:after="0" w:afterAutospacing="0"/>
        <w:ind w:firstLine="720"/>
        <w:contextualSpacing/>
        <w:jc w:val="both"/>
        <w:rPr>
          <w:b/>
          <w:bCs/>
          <w:i/>
          <w:iCs/>
          <w:color w:val="222A35" w:themeColor="text2" w:themeShade="80"/>
          <w:sz w:val="28"/>
          <w:szCs w:val="28"/>
        </w:rPr>
      </w:pPr>
    </w:p>
    <w:p w14:paraId="422CC6AD"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t xml:space="preserve">Analiză SWOT privind accesul străinilor la locuințe adecvate și sprijin în găsirea unui loc de </w:t>
      </w:r>
      <w:r>
        <w:rPr>
          <w:b/>
          <w:bCs/>
          <w:i/>
          <w:iCs/>
          <w:color w:val="222A35" w:themeColor="text2" w:themeShade="80"/>
          <w:sz w:val="28"/>
          <w:szCs w:val="28"/>
        </w:rPr>
        <w:t>locuit</w:t>
      </w:r>
    </w:p>
    <w:tbl>
      <w:tblPr>
        <w:tblStyle w:val="af2"/>
        <w:tblW w:w="5000" w:type="pct"/>
        <w:tblLook w:val="04A0" w:firstRow="1" w:lastRow="0" w:firstColumn="1" w:lastColumn="0" w:noHBand="0" w:noVBand="1"/>
      </w:tblPr>
      <w:tblGrid>
        <w:gridCol w:w="4813"/>
        <w:gridCol w:w="4814"/>
      </w:tblGrid>
      <w:tr w:rsidR="0075115C" w14:paraId="1C2F5418"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CEB13D"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725B8E"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Puncte slabe</w:t>
            </w:r>
          </w:p>
        </w:tc>
      </w:tr>
      <w:tr w:rsidR="0075115C" w14:paraId="587714C0"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5EB9D9C9"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Existența cadrului legal pentru cazarea temporară.</w:t>
            </w:r>
          </w:p>
        </w:tc>
        <w:tc>
          <w:tcPr>
            <w:tcW w:w="2500" w:type="pct"/>
            <w:tcBorders>
              <w:top w:val="single" w:sz="4" w:space="0" w:color="auto"/>
              <w:left w:val="single" w:sz="4" w:space="0" w:color="auto"/>
              <w:bottom w:val="single" w:sz="4" w:space="0" w:color="auto"/>
              <w:right w:val="single" w:sz="4" w:space="0" w:color="auto"/>
            </w:tcBorders>
          </w:tcPr>
          <w:p w14:paraId="1AE4CF49"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Capacitatea limitată a locuințelor sociale și temporare pentru a acoperi necesarul de cazare al refugiaților și al străinilor.</w:t>
            </w:r>
          </w:p>
          <w:p w14:paraId="56F0E023"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Lipsa unui sistem de sprijin dedicat </w:t>
            </w:r>
            <w:r>
              <w:rPr>
                <w:color w:val="222A35" w:themeColor="text2" w:themeShade="80"/>
                <w:sz w:val="28"/>
                <w:szCs w:val="28"/>
              </w:rPr>
              <w:t>străinilor în găsirea unei locuințe pe termen lung.</w:t>
            </w:r>
          </w:p>
          <w:p w14:paraId="71D37687"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Bariere financiare și procedurale care restricționează accesul la locuințe pentru străini.</w:t>
            </w:r>
          </w:p>
        </w:tc>
      </w:tr>
      <w:tr w:rsidR="0075115C" w14:paraId="078A8FB5"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3DF64"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7DF0C4" w14:textId="77777777" w:rsidR="0075115C" w:rsidRDefault="00623B17">
            <w:pPr>
              <w:contextualSpacing/>
              <w:rPr>
                <w:rFonts w:cs="Times New Roman"/>
                <w:b/>
                <w:bCs/>
                <w:color w:val="222A35" w:themeColor="text2" w:themeShade="80"/>
                <w:sz w:val="28"/>
                <w:szCs w:val="28"/>
              </w:rPr>
            </w:pPr>
            <w:r>
              <w:rPr>
                <w:rFonts w:cs="Times New Roman"/>
                <w:b/>
                <w:bCs/>
                <w:color w:val="222A35" w:themeColor="text2" w:themeShade="80"/>
                <w:sz w:val="28"/>
                <w:szCs w:val="28"/>
              </w:rPr>
              <w:t>Amenințări</w:t>
            </w:r>
          </w:p>
        </w:tc>
      </w:tr>
      <w:tr w:rsidR="0075115C" w14:paraId="3DE27CC9"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69B7DA02"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lastRenderedPageBreak/>
              <w:t>Sprijinul organizațiilor internaționale pentru finanțarea locuințelor temporare.</w:t>
            </w:r>
          </w:p>
          <w:p w14:paraId="4D3374F7"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Posibilitatea atragerii de fonduri europene și internaționale pentru dezvoltarea infrastructurii de locuințe.</w:t>
            </w:r>
          </w:p>
          <w:p w14:paraId="4A1AF355" w14:textId="77777777" w:rsidR="0075115C" w:rsidRDefault="00623B17">
            <w:pPr>
              <w:pStyle w:val="af3"/>
              <w:spacing w:before="0" w:beforeAutospacing="0" w:after="0" w:afterAutospacing="0"/>
              <w:contextualSpacing/>
              <w:jc w:val="both"/>
              <w:rPr>
                <w:color w:val="222A35" w:themeColor="text2" w:themeShade="80"/>
                <w:sz w:val="28"/>
                <w:szCs w:val="28"/>
              </w:rPr>
            </w:pPr>
            <w:r>
              <w:rPr>
                <w:color w:val="222A35" w:themeColor="text2" w:themeShade="80"/>
                <w:sz w:val="28"/>
                <w:szCs w:val="28"/>
              </w:rPr>
              <w:t>Posibilități de dezvoltarea parteneriatului public-private.</w:t>
            </w:r>
          </w:p>
        </w:tc>
        <w:tc>
          <w:tcPr>
            <w:tcW w:w="2500" w:type="pct"/>
            <w:tcBorders>
              <w:top w:val="single" w:sz="4" w:space="0" w:color="auto"/>
              <w:left w:val="single" w:sz="4" w:space="0" w:color="auto"/>
              <w:bottom w:val="single" w:sz="4" w:space="0" w:color="auto"/>
              <w:right w:val="single" w:sz="4" w:space="0" w:color="auto"/>
            </w:tcBorders>
          </w:tcPr>
          <w:p w14:paraId="06F5E849"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Suprasolicitarea sistemului de locuințe sociale din cauza numărului mare de refugiați.</w:t>
            </w:r>
          </w:p>
          <w:p w14:paraId="22DCFB48"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Creșterea costurilor de întreținere și administrare a locuințelor sociale și temporare.</w:t>
            </w:r>
          </w:p>
          <w:p w14:paraId="12A0CCEE" w14:textId="77777777" w:rsidR="0075115C" w:rsidRDefault="00623B17">
            <w:pPr>
              <w:pStyle w:val="af3"/>
              <w:spacing w:before="0" w:beforeAutospacing="0" w:after="0" w:afterAutospacing="0"/>
              <w:contextualSpacing/>
              <w:rPr>
                <w:color w:val="222A35" w:themeColor="text2" w:themeShade="80"/>
                <w:sz w:val="28"/>
                <w:szCs w:val="28"/>
              </w:rPr>
            </w:pPr>
            <w:r>
              <w:rPr>
                <w:color w:val="222A35" w:themeColor="text2" w:themeShade="80"/>
                <w:sz w:val="28"/>
                <w:szCs w:val="28"/>
              </w:rPr>
              <w:t xml:space="preserve">Riscul de marginalizare și creșterea nivelului de sărăcie pentru străinii fără acces la locuințe adecvate. </w:t>
            </w:r>
          </w:p>
        </w:tc>
      </w:tr>
    </w:tbl>
    <w:p w14:paraId="34D9F8F2" w14:textId="77777777" w:rsidR="0075115C" w:rsidRDefault="00623B17">
      <w:pPr>
        <w:pStyle w:val="2"/>
      </w:pPr>
      <w:bookmarkStart w:id="20" w:name="_Toc193725342"/>
      <w:r>
        <w:t>Promovarea incluziunii străinilor în comunitățile locale</w:t>
      </w:r>
      <w:bookmarkEnd w:id="20"/>
    </w:p>
    <w:p w14:paraId="29303229" w14:textId="77777777" w:rsidR="0075115C" w:rsidRDefault="00623B17">
      <w:pPr>
        <w:ind w:firstLine="720"/>
        <w:jc w:val="both"/>
        <w:rPr>
          <w:rFonts w:cs="Times New Roman"/>
          <w:sz w:val="28"/>
          <w:szCs w:val="28"/>
        </w:rPr>
      </w:pPr>
      <w:r>
        <w:rPr>
          <w:rFonts w:cs="Times New Roman"/>
          <w:sz w:val="28"/>
          <w:szCs w:val="28"/>
        </w:rPr>
        <w:t>A</w:t>
      </w:r>
      <w:r>
        <w:rPr>
          <w:rFonts w:cs="Times New Roman"/>
          <w:sz w:val="28"/>
          <w:szCs w:val="28"/>
        </w:rPr>
        <w:t>dministrațiile locale se confruntă cu un peisaj de dezvoltare multifațetat, marcat de tendințe demografice dinamice, modele economice în schimbare și așteptări sociale în evoluție. Municipalitățile - de la marile centre urbane la centrele regionale mai mic</w:t>
      </w:r>
      <w:r>
        <w:rPr>
          <w:rFonts w:cs="Times New Roman"/>
          <w:sz w:val="28"/>
          <w:szCs w:val="28"/>
        </w:rPr>
        <w:t>i - trebuie să facă față presiunilor exercitate de schimbările rapide ale populației, inclusiv migrația crescută și afluxul de refugiați, alături de provocările legate de diversificarea economică, constrângerile de infrastructură și cererile tot mai mari d</w:t>
      </w:r>
      <w:r>
        <w:rPr>
          <w:rFonts w:cs="Times New Roman"/>
          <w:sz w:val="28"/>
          <w:szCs w:val="28"/>
        </w:rPr>
        <w:t>e servicii publice de calitate.</w:t>
      </w:r>
    </w:p>
    <w:p w14:paraId="390104FE" w14:textId="77777777" w:rsidR="0075115C" w:rsidRDefault="00623B17">
      <w:pPr>
        <w:ind w:firstLine="720"/>
        <w:jc w:val="both"/>
        <w:rPr>
          <w:rFonts w:cs="Times New Roman"/>
          <w:sz w:val="28"/>
          <w:szCs w:val="28"/>
        </w:rPr>
      </w:pPr>
      <w:r>
        <w:rPr>
          <w:rFonts w:cs="Times New Roman"/>
          <w:sz w:val="28"/>
          <w:szCs w:val="28"/>
        </w:rPr>
        <w:t>Pe măsură ce comunitățile se confruntă cu o combinație de rezidenți stabili pe termen lung, o populație îmbătrânită și nou-veniți din zonele de conflict, măsurile de protecție socială adaptate și planificarea urbană adaptivă</w:t>
      </w:r>
      <w:r>
        <w:rPr>
          <w:rFonts w:cs="Times New Roman"/>
          <w:sz w:val="28"/>
          <w:szCs w:val="28"/>
        </w:rPr>
        <w:t xml:space="preserve"> devin esențiale. În timp ce orașele mari beneficiază adesea de economii diversificate și de o infrastructură solidă, municipalitățile mai mici se confruntă frecvent cu limitări ale resurselor și cu provocări pe piața muncii, ceea ce face ca accesul echita</w:t>
      </w:r>
      <w:r>
        <w:rPr>
          <w:rFonts w:cs="Times New Roman"/>
          <w:sz w:val="28"/>
          <w:szCs w:val="28"/>
        </w:rPr>
        <w:t xml:space="preserve">bil la servicii să fie esențial. Primirea refugiaților intensifică și mai mult aceste presiuni prin creșterea rapidă a cererii de locuințe, educație, asistență medicală și servicii administrative. </w:t>
      </w:r>
    </w:p>
    <w:p w14:paraId="772963A7" w14:textId="77777777" w:rsidR="0075115C" w:rsidRDefault="00623B17">
      <w:pPr>
        <w:ind w:firstLine="720"/>
        <w:jc w:val="both"/>
        <w:rPr>
          <w:rFonts w:cs="Times New Roman"/>
          <w:sz w:val="28"/>
          <w:szCs w:val="28"/>
        </w:rPr>
      </w:pPr>
      <w:r>
        <w:rPr>
          <w:rFonts w:cs="Times New Roman"/>
          <w:sz w:val="28"/>
          <w:szCs w:val="28"/>
        </w:rPr>
        <w:t>Numărul limitat de locuințe la prețuri accesibile poate du</w:t>
      </w:r>
      <w:r>
        <w:rPr>
          <w:rFonts w:cs="Times New Roman"/>
          <w:sz w:val="28"/>
          <w:szCs w:val="28"/>
        </w:rPr>
        <w:t>ce la supraaglomerarea spațiilor temporare de cazare, în timp ce școlile și unitățile de asistență medicală trebuie să se adapteze rapid pentru a veni în întâmpinarea celor care au nevoie de sprijin lingvistic, formare profesională și îngrijiri sensibile d</w:t>
      </w:r>
      <w:r>
        <w:rPr>
          <w:rFonts w:cs="Times New Roman"/>
          <w:sz w:val="28"/>
          <w:szCs w:val="28"/>
        </w:rPr>
        <w:t xml:space="preserve">in punct de vedere cultural. În același timp, promovarea coeziunii sociale și simplificarea proceselor administrative sunt vitale pentru integrarea diverselor comunități. </w:t>
      </w:r>
    </w:p>
    <w:p w14:paraId="09E106A4" w14:textId="77777777" w:rsidR="0075115C" w:rsidRDefault="00623B17">
      <w:pPr>
        <w:ind w:firstLine="720"/>
        <w:jc w:val="both"/>
        <w:rPr>
          <w:rFonts w:cs="Times New Roman"/>
          <w:sz w:val="28"/>
          <w:szCs w:val="28"/>
        </w:rPr>
      </w:pPr>
      <w:r>
        <w:rPr>
          <w:rFonts w:cs="Times New Roman"/>
          <w:sz w:val="28"/>
          <w:szCs w:val="28"/>
        </w:rPr>
        <w:t xml:space="preserve">Administrațiile locale trebuie să elaboreze o strategie integrată și durabilă care </w:t>
      </w:r>
      <w:r>
        <w:rPr>
          <w:rFonts w:cs="Times New Roman"/>
          <w:sz w:val="28"/>
          <w:szCs w:val="28"/>
        </w:rPr>
        <w:t>să răspundă nevoilor umanitare imediate și să promoveze dezvoltarea incluzivă pe termen lung. Această abordare ar trebui să valorifice surse de finanțare diversificate și implicarea largă a părților interesate, în conformitate cu programul național, comple</w:t>
      </w:r>
      <w:r>
        <w:rPr>
          <w:rFonts w:cs="Times New Roman"/>
          <w:sz w:val="28"/>
          <w:szCs w:val="28"/>
        </w:rPr>
        <w:t>tând eforturile autorităților locale în sectoare-cheie precum locuințele, integrarea economică, educația, asistența medicală, coeziunea socială și eficiența administrativă.</w:t>
      </w:r>
    </w:p>
    <w:p w14:paraId="18C8768E" w14:textId="77777777" w:rsidR="0075115C" w:rsidRDefault="00623B17">
      <w:pPr>
        <w:pStyle w:val="af3"/>
        <w:spacing w:before="0" w:beforeAutospacing="0" w:after="0" w:afterAutospacing="0"/>
        <w:ind w:firstLine="720"/>
        <w:contextualSpacing/>
        <w:jc w:val="both"/>
        <w:rPr>
          <w:b/>
          <w:bCs/>
          <w:i/>
          <w:iCs/>
          <w:color w:val="222A35" w:themeColor="text2" w:themeShade="80"/>
          <w:sz w:val="28"/>
          <w:szCs w:val="28"/>
        </w:rPr>
      </w:pPr>
      <w:r>
        <w:rPr>
          <w:b/>
          <w:bCs/>
          <w:i/>
          <w:iCs/>
          <w:color w:val="222A35" w:themeColor="text2" w:themeShade="80"/>
          <w:sz w:val="28"/>
          <w:szCs w:val="28"/>
        </w:rPr>
        <w:lastRenderedPageBreak/>
        <w:t xml:space="preserve">Analiză SWOT privind </w:t>
      </w:r>
      <w:r>
        <w:rPr>
          <w:b/>
          <w:i/>
          <w:sz w:val="28"/>
          <w:szCs w:val="28"/>
        </w:rPr>
        <w:t>incluziunea străinilor în comunitățile locale</w:t>
      </w:r>
    </w:p>
    <w:tbl>
      <w:tblPr>
        <w:tblStyle w:val="af2"/>
        <w:tblW w:w="5000" w:type="pct"/>
        <w:tblLook w:val="04A0" w:firstRow="1" w:lastRow="0" w:firstColumn="1" w:lastColumn="0" w:noHBand="0" w:noVBand="1"/>
      </w:tblPr>
      <w:tblGrid>
        <w:gridCol w:w="4813"/>
        <w:gridCol w:w="4814"/>
      </w:tblGrid>
      <w:tr w:rsidR="0075115C" w14:paraId="520AB8EE"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78E92B" w14:textId="77777777" w:rsidR="0075115C" w:rsidRDefault="00623B17">
            <w:pPr>
              <w:rPr>
                <w:b/>
                <w:sz w:val="28"/>
                <w:szCs w:val="28"/>
              </w:rPr>
            </w:pPr>
            <w:r>
              <w:rPr>
                <w:b/>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610AF" w14:textId="77777777" w:rsidR="0075115C" w:rsidRDefault="00623B17">
            <w:pPr>
              <w:rPr>
                <w:b/>
                <w:sz w:val="28"/>
                <w:szCs w:val="28"/>
              </w:rPr>
            </w:pPr>
            <w:r>
              <w:rPr>
                <w:b/>
                <w:sz w:val="28"/>
                <w:szCs w:val="28"/>
              </w:rPr>
              <w:t>Puncte slabe</w:t>
            </w:r>
          </w:p>
        </w:tc>
      </w:tr>
      <w:tr w:rsidR="0075115C" w14:paraId="2ABF5B23"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0655484" w14:textId="77777777" w:rsidR="0075115C" w:rsidRDefault="00623B17">
            <w:pPr>
              <w:rPr>
                <w:sz w:val="28"/>
                <w:szCs w:val="28"/>
              </w:rPr>
            </w:pPr>
            <w:r>
              <w:rPr>
                <w:sz w:val="28"/>
                <w:szCs w:val="28"/>
              </w:rPr>
              <w:t>Structurile administrative și cadrele juridice stabilite ghidează elaborarea de politici integrate.</w:t>
            </w:r>
          </w:p>
          <w:p w14:paraId="4A67EC19" w14:textId="77777777" w:rsidR="0075115C" w:rsidRDefault="00623B17">
            <w:pPr>
              <w:rPr>
                <w:sz w:val="28"/>
                <w:szCs w:val="28"/>
              </w:rPr>
            </w:pPr>
            <w:r>
              <w:rPr>
                <w:sz w:val="28"/>
                <w:szCs w:val="28"/>
              </w:rPr>
              <w:t>Centrele urbane și centrele regionale sprijină mai multe sectoare (de exemplu, comerț, agricultură, IT, producție, turism).</w:t>
            </w:r>
          </w:p>
          <w:p w14:paraId="0FD95201" w14:textId="77777777" w:rsidR="0075115C" w:rsidRDefault="00623B17">
            <w:pPr>
              <w:rPr>
                <w:sz w:val="28"/>
                <w:szCs w:val="28"/>
              </w:rPr>
            </w:pPr>
            <w:r>
              <w:rPr>
                <w:sz w:val="28"/>
                <w:szCs w:val="28"/>
              </w:rPr>
              <w:t xml:space="preserve">Oportunități de a </w:t>
            </w:r>
            <w:r>
              <w:rPr>
                <w:sz w:val="28"/>
                <w:szCs w:val="28"/>
              </w:rPr>
              <w:t>obține finanțare națională, UE și de la donatori, precum și parteneriate public-privat.</w:t>
            </w:r>
          </w:p>
          <w:p w14:paraId="1F2BA6D7" w14:textId="77777777" w:rsidR="0075115C" w:rsidRDefault="00623B17">
            <w:pPr>
              <w:rPr>
                <w:sz w:val="28"/>
                <w:szCs w:val="28"/>
              </w:rPr>
            </w:pPr>
            <w:r>
              <w:rPr>
                <w:sz w:val="28"/>
                <w:szCs w:val="28"/>
              </w:rPr>
              <w:t>Experiența dovedită cu agențiile internaționale (ONU, BERD, Banca Mondială) oferă atât expertiză, cât și resurse.</w:t>
            </w:r>
          </w:p>
          <w:p w14:paraId="68AC3B9A" w14:textId="77777777" w:rsidR="0075115C" w:rsidRDefault="00623B17">
            <w:pPr>
              <w:rPr>
                <w:sz w:val="28"/>
                <w:szCs w:val="28"/>
              </w:rPr>
            </w:pPr>
            <w:r>
              <w:rPr>
                <w:sz w:val="28"/>
                <w:szCs w:val="28"/>
              </w:rPr>
              <w:t>Societatea civilă activă și rețelele de ONG-uri spriji</w:t>
            </w:r>
            <w:r>
              <w:rPr>
                <w:sz w:val="28"/>
                <w:szCs w:val="28"/>
              </w:rPr>
              <w:t>nă inițiativele comunitare și integrarea refugiaților.</w:t>
            </w:r>
          </w:p>
          <w:p w14:paraId="3277774F" w14:textId="77777777" w:rsidR="0075115C" w:rsidRDefault="00623B17">
            <w:pPr>
              <w:rPr>
                <w:sz w:val="28"/>
                <w:szCs w:val="28"/>
              </w:rPr>
            </w:pPr>
            <w:r>
              <w:rPr>
                <w:sz w:val="28"/>
                <w:szCs w:val="28"/>
              </w:rPr>
              <w:t>Evenimentele locale și programele culturale consolidează identitatea și coeziunea comunității.</w:t>
            </w:r>
          </w:p>
          <w:p w14:paraId="2C28EEE9" w14:textId="77777777" w:rsidR="0075115C" w:rsidRDefault="0075115C">
            <w:pPr>
              <w:rPr>
                <w:sz w:val="28"/>
                <w:szCs w:val="28"/>
              </w:rPr>
            </w:pPr>
          </w:p>
        </w:tc>
        <w:tc>
          <w:tcPr>
            <w:tcW w:w="2500" w:type="pct"/>
            <w:tcBorders>
              <w:top w:val="single" w:sz="4" w:space="0" w:color="auto"/>
              <w:left w:val="single" w:sz="4" w:space="0" w:color="auto"/>
              <w:bottom w:val="single" w:sz="4" w:space="0" w:color="auto"/>
              <w:right w:val="single" w:sz="4" w:space="0" w:color="auto"/>
            </w:tcBorders>
          </w:tcPr>
          <w:p w14:paraId="396238FC" w14:textId="77777777" w:rsidR="0075115C" w:rsidRDefault="00623B17">
            <w:pPr>
              <w:rPr>
                <w:sz w:val="28"/>
                <w:szCs w:val="28"/>
              </w:rPr>
            </w:pPr>
            <w:r>
              <w:rPr>
                <w:sz w:val="28"/>
                <w:szCs w:val="28"/>
              </w:rPr>
              <w:t>Infrastructura publică învechită sau suprasolicitată (locuințe, transport, apă, salubritate) se confruntă</w:t>
            </w:r>
            <w:r>
              <w:rPr>
                <w:sz w:val="28"/>
                <w:szCs w:val="28"/>
              </w:rPr>
              <w:t xml:space="preserve"> cu schimbările rapide ale populației.</w:t>
            </w:r>
          </w:p>
          <w:p w14:paraId="0830FB4F" w14:textId="77777777" w:rsidR="0075115C" w:rsidRDefault="00623B17">
            <w:pPr>
              <w:rPr>
                <w:sz w:val="28"/>
                <w:szCs w:val="28"/>
              </w:rPr>
            </w:pPr>
            <w:r>
              <w:rPr>
                <w:sz w:val="28"/>
                <w:szCs w:val="28"/>
              </w:rPr>
              <w:t>Municipalitățile mai mici se confruntă cu bugete limitate și lipsă de resurse;</w:t>
            </w:r>
          </w:p>
          <w:p w14:paraId="5A25BE6B" w14:textId="77777777" w:rsidR="0075115C" w:rsidRDefault="00623B17">
            <w:pPr>
              <w:rPr>
                <w:sz w:val="28"/>
                <w:szCs w:val="28"/>
              </w:rPr>
            </w:pPr>
            <w:r>
              <w:rPr>
                <w:sz w:val="28"/>
                <w:szCs w:val="28"/>
              </w:rPr>
              <w:t>Procesele fragmentate și lente împiedică furnizarea la timp a serviciilor și integrarea datelor.</w:t>
            </w:r>
          </w:p>
          <w:p w14:paraId="7506FBF7" w14:textId="77777777" w:rsidR="0075115C" w:rsidRDefault="00623B17">
            <w:pPr>
              <w:rPr>
                <w:sz w:val="28"/>
                <w:szCs w:val="28"/>
              </w:rPr>
            </w:pPr>
            <w:r>
              <w:rPr>
                <w:sz w:val="28"/>
                <w:szCs w:val="28"/>
              </w:rPr>
              <w:t>Diferențele lingvistice și culturale și l</w:t>
            </w:r>
            <w:r>
              <w:rPr>
                <w:sz w:val="28"/>
                <w:szCs w:val="28"/>
              </w:rPr>
              <w:t>acune în ceea ce privește serviciile de sprijin specializate (de exemplu, cursuri de limbi străine, asistență medicală în funcție de traume) pentru grupurile vulnerabile.</w:t>
            </w:r>
          </w:p>
          <w:p w14:paraId="27FD1E8E" w14:textId="77777777" w:rsidR="0075115C" w:rsidRDefault="0075115C">
            <w:pPr>
              <w:rPr>
                <w:sz w:val="28"/>
                <w:szCs w:val="28"/>
              </w:rPr>
            </w:pPr>
          </w:p>
          <w:p w14:paraId="3489EFC0" w14:textId="77777777" w:rsidR="0075115C" w:rsidRDefault="0075115C">
            <w:pPr>
              <w:rPr>
                <w:sz w:val="28"/>
                <w:szCs w:val="28"/>
              </w:rPr>
            </w:pPr>
          </w:p>
        </w:tc>
      </w:tr>
      <w:tr w:rsidR="0075115C" w14:paraId="3B976116"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182503" w14:textId="77777777" w:rsidR="0075115C" w:rsidRDefault="00623B17">
            <w:pPr>
              <w:rPr>
                <w:b/>
                <w:sz w:val="28"/>
                <w:szCs w:val="28"/>
              </w:rPr>
            </w:pPr>
            <w:r>
              <w:rPr>
                <w:b/>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5088A7" w14:textId="77777777" w:rsidR="0075115C" w:rsidRDefault="00623B17">
            <w:pPr>
              <w:rPr>
                <w:b/>
                <w:sz w:val="28"/>
                <w:szCs w:val="28"/>
              </w:rPr>
            </w:pPr>
            <w:r>
              <w:rPr>
                <w:b/>
                <w:sz w:val="28"/>
                <w:szCs w:val="28"/>
              </w:rPr>
              <w:t>Amenințări</w:t>
            </w:r>
          </w:p>
        </w:tc>
      </w:tr>
      <w:tr w:rsidR="0075115C" w14:paraId="14780448"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9744A7B" w14:textId="77777777" w:rsidR="0075115C" w:rsidRDefault="00623B17">
            <w:pPr>
              <w:rPr>
                <w:sz w:val="28"/>
                <w:szCs w:val="28"/>
              </w:rPr>
            </w:pPr>
            <w:r>
              <w:rPr>
                <w:sz w:val="28"/>
                <w:szCs w:val="28"/>
              </w:rPr>
              <w:t xml:space="preserve">Implementarea de platforme digitale pentru gestionarea </w:t>
            </w:r>
            <w:r>
              <w:rPr>
                <w:sz w:val="28"/>
                <w:szCs w:val="28"/>
              </w:rPr>
              <w:t>datelor, portaluri unice de servicii și monitorizare în timp real;</w:t>
            </w:r>
          </w:p>
          <w:p w14:paraId="3D5A2115" w14:textId="77777777" w:rsidR="0075115C" w:rsidRDefault="00623B17">
            <w:pPr>
              <w:rPr>
                <w:sz w:val="28"/>
                <w:szCs w:val="28"/>
              </w:rPr>
            </w:pPr>
            <w:r>
              <w:rPr>
                <w:sz w:val="28"/>
                <w:szCs w:val="28"/>
              </w:rPr>
              <w:t>Accesul la fondurile UE, la programele donatorilor internaționali și la mecanismele naționale pentru a sprijini infrastructura și serviciile sociale.</w:t>
            </w:r>
          </w:p>
          <w:p w14:paraId="45B3F8A6" w14:textId="77777777" w:rsidR="0075115C" w:rsidRDefault="00623B17">
            <w:pPr>
              <w:rPr>
                <w:sz w:val="28"/>
                <w:szCs w:val="28"/>
              </w:rPr>
            </w:pPr>
            <w:r>
              <w:rPr>
                <w:sz w:val="28"/>
                <w:szCs w:val="28"/>
              </w:rPr>
              <w:t>Integrarea sustenabilității și a infras</w:t>
            </w:r>
            <w:r>
              <w:rPr>
                <w:sz w:val="28"/>
                <w:szCs w:val="28"/>
              </w:rPr>
              <w:t xml:space="preserve">tructurii ecologice în proiectele de reînnoire urbană pentru a stimula viabilitatea și competitivitatea pe termen lung. </w:t>
            </w:r>
          </w:p>
          <w:p w14:paraId="2456BFDD" w14:textId="77777777" w:rsidR="0075115C" w:rsidRDefault="00623B17">
            <w:pPr>
              <w:rPr>
                <w:sz w:val="28"/>
                <w:szCs w:val="28"/>
              </w:rPr>
            </w:pPr>
            <w:r>
              <w:rPr>
                <w:sz w:val="28"/>
                <w:szCs w:val="28"/>
              </w:rPr>
              <w:t>Parteneriate public-privat prin colaborarea cu sectorul privat pentru a dezvolta soluții pentru locuințe la prețuri accesibile, formare</w:t>
            </w:r>
            <w:r>
              <w:rPr>
                <w:sz w:val="28"/>
                <w:szCs w:val="28"/>
              </w:rPr>
              <w:t xml:space="preserve"> profesională și dezvoltare economică locală.</w:t>
            </w:r>
          </w:p>
        </w:tc>
        <w:tc>
          <w:tcPr>
            <w:tcW w:w="2500" w:type="pct"/>
            <w:tcBorders>
              <w:top w:val="single" w:sz="4" w:space="0" w:color="auto"/>
              <w:left w:val="single" w:sz="4" w:space="0" w:color="auto"/>
              <w:bottom w:val="single" w:sz="4" w:space="0" w:color="auto"/>
              <w:right w:val="single" w:sz="4" w:space="0" w:color="auto"/>
            </w:tcBorders>
          </w:tcPr>
          <w:p w14:paraId="2F0B46AC" w14:textId="77777777" w:rsidR="0075115C" w:rsidRDefault="00623B17">
            <w:pPr>
              <w:rPr>
                <w:sz w:val="28"/>
                <w:szCs w:val="28"/>
              </w:rPr>
            </w:pPr>
            <w:r>
              <w:rPr>
                <w:sz w:val="28"/>
                <w:szCs w:val="28"/>
              </w:rPr>
              <w:t>Fluctuațiile economice și presiunile fiscale neașteptate pot limita bugetele locale și pot întrerupe proiectele.</w:t>
            </w:r>
          </w:p>
          <w:p w14:paraId="5EA2EF9A" w14:textId="77777777" w:rsidR="0075115C" w:rsidRDefault="00623B17">
            <w:pPr>
              <w:rPr>
                <w:sz w:val="28"/>
                <w:szCs w:val="28"/>
              </w:rPr>
            </w:pPr>
            <w:r>
              <w:rPr>
                <w:sz w:val="28"/>
                <w:szCs w:val="28"/>
              </w:rPr>
              <w:t>Dependența excesivă de finanțarea externă prezintă riscuri în cazul în care prioritățile donatori</w:t>
            </w:r>
            <w:r>
              <w:rPr>
                <w:sz w:val="28"/>
                <w:szCs w:val="28"/>
              </w:rPr>
              <w:t>lor se schimbă,</w:t>
            </w:r>
          </w:p>
          <w:p w14:paraId="2BCECCD9" w14:textId="77777777" w:rsidR="0075115C" w:rsidRDefault="00623B17">
            <w:pPr>
              <w:rPr>
                <w:sz w:val="28"/>
                <w:szCs w:val="28"/>
              </w:rPr>
            </w:pPr>
            <w:r>
              <w:rPr>
                <w:sz w:val="28"/>
                <w:szCs w:val="28"/>
              </w:rPr>
              <w:t>Scăderea populației în unele zone poate agrava problemele de pe piața muncii și reduce veniturile fiscale,</w:t>
            </w:r>
          </w:p>
          <w:p w14:paraId="37957BDF" w14:textId="77777777" w:rsidR="0075115C" w:rsidRDefault="00623B17">
            <w:pPr>
              <w:rPr>
                <w:sz w:val="28"/>
                <w:szCs w:val="28"/>
              </w:rPr>
            </w:pPr>
            <w:r>
              <w:rPr>
                <w:sz w:val="28"/>
                <w:szCs w:val="28"/>
              </w:rPr>
              <w:t>Schimbările climatice, crizele energetice și instabilitatea regională pot pune la încercare infrastructura publică și finanțele munic</w:t>
            </w:r>
            <w:r>
              <w:rPr>
                <w:sz w:val="28"/>
                <w:szCs w:val="28"/>
              </w:rPr>
              <w:t>ipale.</w:t>
            </w:r>
          </w:p>
          <w:p w14:paraId="7CBDE815" w14:textId="77777777" w:rsidR="0075115C" w:rsidRDefault="0075115C">
            <w:pPr>
              <w:rPr>
                <w:sz w:val="28"/>
                <w:szCs w:val="28"/>
              </w:rPr>
            </w:pPr>
          </w:p>
          <w:p w14:paraId="1C7D782C" w14:textId="77777777" w:rsidR="0075115C" w:rsidRDefault="0075115C">
            <w:pPr>
              <w:rPr>
                <w:sz w:val="28"/>
                <w:szCs w:val="28"/>
              </w:rPr>
            </w:pPr>
          </w:p>
        </w:tc>
      </w:tr>
    </w:tbl>
    <w:p w14:paraId="5B48FEE5" w14:textId="77777777" w:rsidR="0075115C" w:rsidRDefault="0075115C">
      <w:pPr>
        <w:ind w:firstLine="720"/>
        <w:jc w:val="both"/>
        <w:rPr>
          <w:rFonts w:cs="Times New Roman"/>
          <w:sz w:val="28"/>
          <w:szCs w:val="28"/>
        </w:rPr>
      </w:pPr>
    </w:p>
    <w:p w14:paraId="1A676EA3" w14:textId="77777777" w:rsidR="0075115C" w:rsidRDefault="00623B17">
      <w:pPr>
        <w:pStyle w:val="1"/>
      </w:pPr>
      <w:bookmarkStart w:id="21" w:name="_Toc193725343"/>
      <w:r>
        <w:lastRenderedPageBreak/>
        <w:t>Obiectivele</w:t>
      </w:r>
      <w:bookmarkEnd w:id="21"/>
    </w:p>
    <w:p w14:paraId="0D0C15B8"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Prin Programul Național privind Integrarea Etapizată a Străinilor în Republica Moldova pentru perioada 2025-2027, Guvernului Republicii Moldova își asumă angajamentul ferm de a stimula și îmbunătăți modul de integrare al străinilor în societate. </w:t>
      </w:r>
    </w:p>
    <w:p w14:paraId="23A9F7A8"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b/>
          <w:bCs/>
          <w:color w:val="222A35" w:themeColor="text2" w:themeShade="80"/>
          <w:sz w:val="28"/>
          <w:szCs w:val="28"/>
          <w:lang w:eastAsia="zh-CN"/>
        </w:rPr>
        <w:t>Viziune:</w:t>
      </w:r>
      <w:r>
        <w:rPr>
          <w:rFonts w:eastAsia="Times New Roman" w:cs="Times New Roman"/>
          <w:color w:val="222A35" w:themeColor="text2" w:themeShade="80"/>
          <w:sz w:val="28"/>
          <w:szCs w:val="28"/>
          <w:lang w:eastAsia="zh-CN"/>
        </w:rPr>
        <w:t xml:space="preserve"> </w:t>
      </w:r>
      <w:r>
        <w:rPr>
          <w:rFonts w:eastAsia="Times New Roman" w:cs="Times New Roman"/>
          <w:b/>
          <w:bCs/>
          <w:i/>
          <w:iCs/>
          <w:color w:val="222A35" w:themeColor="text2" w:themeShade="80"/>
          <w:sz w:val="28"/>
          <w:szCs w:val="28"/>
          <w:lang w:eastAsia="zh-CN"/>
        </w:rPr>
        <w:t>Creăm o societate în care străinii să se poată integra în mod deplin și să contribuie la dezvoltarea economică și socială a țării.</w:t>
      </w:r>
    </w:p>
    <w:p w14:paraId="4A8EAA44" w14:textId="77777777" w:rsidR="0075115C" w:rsidRDefault="00623B17">
      <w:pPr>
        <w:spacing w:after="0" w:line="240" w:lineRule="auto"/>
        <w:ind w:firstLine="720"/>
        <w:contextualSpacing/>
        <w:jc w:val="both"/>
        <w:rPr>
          <w:rFonts w:eastAsia="Times New Roman" w:cs="Times New Roman"/>
          <w:b/>
          <w:bCs/>
          <w:i/>
          <w:iCs/>
          <w:color w:val="222A35" w:themeColor="text2" w:themeShade="80"/>
          <w:sz w:val="28"/>
          <w:szCs w:val="28"/>
          <w:lang w:eastAsia="zh-CN"/>
        </w:rPr>
      </w:pPr>
      <w:r>
        <w:rPr>
          <w:rFonts w:eastAsia="Times New Roman" w:cs="Times New Roman"/>
          <w:b/>
          <w:bCs/>
          <w:color w:val="222A35" w:themeColor="text2" w:themeShade="80"/>
          <w:sz w:val="28"/>
          <w:szCs w:val="28"/>
          <w:lang w:eastAsia="zh-CN"/>
        </w:rPr>
        <w:t>Misiune:</w:t>
      </w:r>
      <w:r>
        <w:rPr>
          <w:rFonts w:eastAsia="Times New Roman" w:cs="Times New Roman"/>
          <w:b/>
          <w:bCs/>
          <w:i/>
          <w:iCs/>
          <w:color w:val="222A35" w:themeColor="text2" w:themeShade="80"/>
          <w:sz w:val="28"/>
          <w:szCs w:val="28"/>
          <w:lang w:eastAsia="zh-CN"/>
        </w:rPr>
        <w:t xml:space="preserve"> Contribuim la crearea unei societăți incluzive și tolerante, în care toți străinii, indiferent de originea lor, să aibă aceleași drepturi și oportunități.</w:t>
      </w:r>
    </w:p>
    <w:p w14:paraId="5E26E26B" w14:textId="77777777" w:rsidR="0075115C" w:rsidRDefault="00623B17">
      <w:pPr>
        <w:spacing w:after="0" w:line="240" w:lineRule="auto"/>
        <w:ind w:firstLine="720"/>
        <w:contextualSpacing/>
        <w:jc w:val="both"/>
        <w:rPr>
          <w:rFonts w:eastAsia="Times New Roman" w:cs="Times New Roman"/>
          <w:b/>
          <w:bCs/>
          <w:i/>
          <w:iCs/>
          <w:color w:val="222A35" w:themeColor="text2" w:themeShade="80"/>
          <w:sz w:val="28"/>
          <w:szCs w:val="28"/>
          <w:lang w:eastAsia="zh-CN"/>
        </w:rPr>
      </w:pPr>
      <w:r>
        <w:rPr>
          <w:rFonts w:eastAsia="Times New Roman" w:cs="Times New Roman"/>
          <w:b/>
          <w:bCs/>
          <w:color w:val="222A35" w:themeColor="text2" w:themeShade="80"/>
          <w:sz w:val="28"/>
          <w:szCs w:val="28"/>
          <w:lang w:eastAsia="zh-CN"/>
        </w:rPr>
        <w:t>Valori promovate.</w:t>
      </w:r>
      <w:r>
        <w:rPr>
          <w:rFonts w:eastAsia="Times New Roman" w:cs="Times New Roman"/>
          <w:b/>
          <w:bCs/>
          <w:i/>
          <w:iCs/>
          <w:color w:val="222A35" w:themeColor="text2" w:themeShade="80"/>
          <w:sz w:val="28"/>
          <w:szCs w:val="28"/>
          <w:lang w:eastAsia="zh-CN"/>
        </w:rPr>
        <w:t xml:space="preserve"> Diversitate, egalitate, incluziune, toleranță și respect.</w:t>
      </w:r>
    </w:p>
    <w:p w14:paraId="14C91C68" w14:textId="77777777" w:rsidR="0075115C" w:rsidRDefault="00623B17">
      <w:pPr>
        <w:spacing w:after="0" w:line="240" w:lineRule="auto"/>
        <w:ind w:firstLine="720"/>
        <w:contextualSpacing/>
        <w:jc w:val="both"/>
        <w:rPr>
          <w:rFonts w:eastAsia="Times New Roman" w:cs="Times New Roman"/>
          <w:b/>
          <w:bCs/>
          <w:i/>
          <w:iCs/>
          <w:color w:val="222A35" w:themeColor="text2" w:themeShade="80"/>
          <w:sz w:val="28"/>
          <w:szCs w:val="28"/>
          <w:lang w:eastAsia="zh-CN"/>
        </w:rPr>
      </w:pPr>
      <w:r>
        <w:rPr>
          <w:rFonts w:eastAsia="Times New Roman" w:cs="Times New Roman"/>
          <w:b/>
          <w:bCs/>
          <w:color w:val="222A35" w:themeColor="text2" w:themeShade="80"/>
          <w:sz w:val="28"/>
          <w:szCs w:val="28"/>
          <w:lang w:eastAsia="zh-CN"/>
        </w:rPr>
        <w:t>Scopul:</w:t>
      </w:r>
      <w:r>
        <w:rPr>
          <w:rFonts w:eastAsia="Times New Roman" w:cs="Times New Roman"/>
          <w:b/>
          <w:bCs/>
          <w:i/>
          <w:iCs/>
          <w:color w:val="222A35" w:themeColor="text2" w:themeShade="80"/>
          <w:sz w:val="28"/>
          <w:szCs w:val="28"/>
          <w:lang w:eastAsia="zh-CN"/>
        </w:rPr>
        <w:t xml:space="preserve"> Consolidarea și </w:t>
      </w:r>
      <w:r>
        <w:rPr>
          <w:rFonts w:eastAsia="Times New Roman" w:cs="Times New Roman"/>
          <w:b/>
          <w:bCs/>
          <w:i/>
          <w:iCs/>
          <w:color w:val="222A35" w:themeColor="text2" w:themeShade="80"/>
          <w:sz w:val="28"/>
          <w:szCs w:val="28"/>
          <w:lang w:eastAsia="zh-CN"/>
        </w:rPr>
        <w:t>implementarea mecanismului de integrare etapizată a străinilor.</w:t>
      </w:r>
    </w:p>
    <w:p w14:paraId="02538D17" w14:textId="77777777" w:rsidR="0075115C" w:rsidRDefault="00623B17">
      <w:pPr>
        <w:spacing w:after="0" w:line="240" w:lineRule="auto"/>
        <w:ind w:firstLine="720"/>
        <w:contextualSpacing/>
        <w:jc w:val="both"/>
        <w:rPr>
          <w:rFonts w:eastAsia="Times New Roman" w:cs="Times New Roman"/>
          <w:b/>
          <w:bCs/>
          <w:i/>
          <w:iCs/>
          <w:color w:val="222A35" w:themeColor="text2" w:themeShade="80"/>
          <w:sz w:val="28"/>
          <w:szCs w:val="28"/>
          <w:lang w:eastAsia="zh-CN"/>
        </w:rPr>
      </w:pPr>
      <w:r>
        <w:rPr>
          <w:rFonts w:eastAsia="Times New Roman" w:cs="Times New Roman"/>
          <w:b/>
          <w:bCs/>
          <w:color w:val="222A35" w:themeColor="text2" w:themeShade="80"/>
          <w:sz w:val="28"/>
          <w:szCs w:val="28"/>
          <w:lang w:eastAsia="zh-CN"/>
        </w:rPr>
        <w:t>Obiectiv general.:</w:t>
      </w:r>
      <w:r>
        <w:rPr>
          <w:rFonts w:eastAsia="Times New Roman" w:cs="Times New Roman"/>
          <w:b/>
          <w:bCs/>
          <w:i/>
          <w:iCs/>
          <w:color w:val="222A35" w:themeColor="text2" w:themeShade="80"/>
          <w:sz w:val="28"/>
          <w:szCs w:val="28"/>
          <w:lang w:eastAsia="zh-CN"/>
        </w:rPr>
        <w:t xml:space="preserve"> Facilitarea integrării sinergice a străinilor și persoanelor strămutate în societate, asigurând un nivel decent de trai pentru fiecare și contribuind la dezvoltarea economic</w:t>
      </w:r>
      <w:r>
        <w:rPr>
          <w:rFonts w:eastAsia="Times New Roman" w:cs="Times New Roman"/>
          <w:b/>
          <w:bCs/>
          <w:i/>
          <w:iCs/>
          <w:color w:val="222A35" w:themeColor="text2" w:themeShade="80"/>
          <w:sz w:val="28"/>
          <w:szCs w:val="28"/>
          <w:lang w:eastAsia="zh-CN"/>
        </w:rPr>
        <w:t>ă și socială a țării.</w:t>
      </w:r>
    </w:p>
    <w:p w14:paraId="5A584D86" w14:textId="77777777" w:rsidR="0075115C" w:rsidRDefault="00623B17">
      <w:pPr>
        <w:pStyle w:val="ae"/>
        <w:spacing w:after="0" w:line="240" w:lineRule="auto"/>
        <w:jc w:val="both"/>
        <w:rPr>
          <w:rFonts w:eastAsia="Times New Roman" w:cs="Times New Roman"/>
          <w:b/>
          <w:bCs/>
          <w:color w:val="222A35" w:themeColor="text2" w:themeShade="80"/>
          <w:sz w:val="28"/>
          <w:szCs w:val="28"/>
          <w:lang w:eastAsia="zh-CN"/>
        </w:rPr>
      </w:pPr>
      <w:r>
        <w:rPr>
          <w:rFonts w:eastAsia="Times New Roman" w:cs="Times New Roman"/>
          <w:b/>
          <w:bCs/>
          <w:color w:val="222A35" w:themeColor="text2" w:themeShade="80"/>
          <w:sz w:val="28"/>
          <w:szCs w:val="28"/>
          <w:lang w:eastAsia="zh-CN"/>
        </w:rPr>
        <w:t>Obiective specifice:</w:t>
      </w:r>
    </w:p>
    <w:p w14:paraId="08A2E0EE"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cs="Times New Roman"/>
          <w:color w:val="222A35" w:themeColor="text2" w:themeShade="80"/>
          <w:sz w:val="28"/>
          <w:szCs w:val="28"/>
        </w:rPr>
        <w:t>Revizuirea și definirea unor mecanisme incluzive de integrare a străinilor eficiente, durabile și sustenabile, și punerea acestora în aplicare, până la sfârșitul anului 2025.</w:t>
      </w:r>
    </w:p>
    <w:p w14:paraId="6B9BCD5F"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sz w:val="28"/>
          <w:szCs w:val="28"/>
        </w:rPr>
        <w:t>Creșterea accesului la măsuri de asist</w:t>
      </w:r>
      <w:r>
        <w:rPr>
          <w:rFonts w:eastAsia="Times New Roman" w:cs="Times New Roman"/>
          <w:color w:val="222A35"/>
          <w:sz w:val="28"/>
          <w:szCs w:val="28"/>
        </w:rPr>
        <w:t xml:space="preserve">ență socială pentru străini aflați în situație de dificultate și îmbunătățirea nivelului de incluziune socială a acestora, </w:t>
      </w:r>
      <w:r>
        <w:rPr>
          <w:rFonts w:eastAsia="Times New Roman" w:cs="Times New Roman"/>
          <w:color w:val="222A35" w:themeColor="text2" w:themeShade="80"/>
          <w:sz w:val="28"/>
          <w:szCs w:val="28"/>
          <w:lang w:eastAsia="zh-CN"/>
        </w:rPr>
        <w:t>cu accent pe nevoile specifice ale femeilor și fetelor.</w:t>
      </w:r>
    </w:p>
    <w:p w14:paraId="53229738"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Stimularea dezvoltării economice prin valorificarea potențialului străinilor </w:t>
      </w:r>
      <w:r>
        <w:rPr>
          <w:rFonts w:eastAsia="Times New Roman" w:cs="Times New Roman"/>
          <w:color w:val="222A35" w:themeColor="text2" w:themeShade="80"/>
          <w:sz w:val="28"/>
          <w:szCs w:val="28"/>
          <w:lang w:eastAsia="zh-CN"/>
        </w:rPr>
        <w:t>și integrarea acestora pe piața muncii, inclusiv a persoanelor strămutate în Republica Moldova.</w:t>
      </w:r>
    </w:p>
    <w:p w14:paraId="711013C9"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Asigurarea accesului la servicii de sănătate esențiale pentru 90% dintre străini aflați pe teritoriul Republicii Moldova cu statut legal până la sfârșitul anulu</w:t>
      </w:r>
      <w:r>
        <w:rPr>
          <w:rFonts w:eastAsia="Times New Roman" w:cs="Times New Roman"/>
          <w:color w:val="222A35" w:themeColor="text2" w:themeShade="80"/>
          <w:sz w:val="28"/>
          <w:szCs w:val="28"/>
          <w:lang w:eastAsia="zh-CN"/>
        </w:rPr>
        <w:t>i 2027, prin instituirea unor mecanisme durabile și sustenabile.</w:t>
      </w:r>
    </w:p>
    <w:p w14:paraId="10D3FB10"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Creșterea accesului și ratei de integrare a străinilor în sistemul educațional național cu 20% până în 2027, prin programe de sprijin și adaptare.</w:t>
      </w:r>
    </w:p>
    <w:p w14:paraId="2F533DCD"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Creșterea participării culturale a străinilo</w:t>
      </w:r>
      <w:r>
        <w:rPr>
          <w:rFonts w:eastAsia="Times New Roman" w:cs="Times New Roman"/>
          <w:color w:val="222A35" w:themeColor="text2" w:themeShade="80"/>
          <w:sz w:val="28"/>
          <w:szCs w:val="28"/>
          <w:lang w:eastAsia="zh-CN"/>
        </w:rPr>
        <w:t xml:space="preserve">r în activități publice, prin programe de diversitate și incluziune culturală. </w:t>
      </w:r>
    </w:p>
    <w:p w14:paraId="2776A2A9" w14:textId="77777777" w:rsidR="0075115C" w:rsidRDefault="00623B17">
      <w:pPr>
        <w:pStyle w:val="ae"/>
        <w:numPr>
          <w:ilvl w:val="0"/>
          <w:numId w:val="5"/>
        </w:numPr>
        <w:spacing w:after="0" w:line="240" w:lineRule="auto"/>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Sporirea capacității de acoperire a necesităților persoanelor strămutate, privind dreptul la o locuință decentă.</w:t>
      </w:r>
    </w:p>
    <w:p w14:paraId="0D4B0849" w14:textId="77777777" w:rsidR="0075115C" w:rsidRDefault="0075115C">
      <w:pPr>
        <w:pStyle w:val="ae"/>
        <w:spacing w:after="0" w:line="240" w:lineRule="auto"/>
        <w:jc w:val="both"/>
        <w:rPr>
          <w:rFonts w:eastAsia="Times New Roman" w:cs="Times New Roman"/>
          <w:color w:val="222A35" w:themeColor="text2" w:themeShade="80"/>
          <w:sz w:val="28"/>
          <w:szCs w:val="28"/>
          <w:lang w:eastAsia="zh-CN"/>
        </w:rPr>
      </w:pPr>
    </w:p>
    <w:p w14:paraId="128998A9" w14:textId="77777777" w:rsidR="0075115C" w:rsidRDefault="00623B17">
      <w:pPr>
        <w:pStyle w:val="1"/>
      </w:pPr>
      <w:bookmarkStart w:id="22" w:name="_Toc193725344"/>
      <w:r>
        <w:t>Impact</w:t>
      </w:r>
      <w:bookmarkEnd w:id="22"/>
      <w:r>
        <w:t xml:space="preserve"> </w:t>
      </w:r>
    </w:p>
    <w:p w14:paraId="43B25174"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Noul cadru de politici publice din prezentul program v</w:t>
      </w:r>
      <w:r>
        <w:rPr>
          <w:rFonts w:eastAsia="Times New Roman" w:cs="Times New Roman"/>
          <w:color w:val="222A35" w:themeColor="text2" w:themeShade="80"/>
          <w:sz w:val="28"/>
          <w:szCs w:val="28"/>
          <w:lang w:eastAsia="zh-CN"/>
        </w:rPr>
        <w:t>izează integrarea eficientă și sustenabilă a străinilor, inclusiv a persoanelor strămutate, pentru a asigura coeziunea socială și dezvoltarea economică. Aceste măsuri includ acces îmbunătățit la servicii de sănătate, educație, asistență socială și piața mu</w:t>
      </w:r>
      <w:r>
        <w:rPr>
          <w:rFonts w:eastAsia="Times New Roman" w:cs="Times New Roman"/>
          <w:color w:val="222A35" w:themeColor="text2" w:themeShade="80"/>
          <w:sz w:val="28"/>
          <w:szCs w:val="28"/>
          <w:lang w:eastAsia="zh-CN"/>
        </w:rPr>
        <w:t xml:space="preserve">ncii, contribuind astfel la o integrare mai </w:t>
      </w:r>
      <w:r>
        <w:rPr>
          <w:rFonts w:eastAsia="Times New Roman" w:cs="Times New Roman"/>
          <w:color w:val="222A35" w:themeColor="text2" w:themeShade="80"/>
          <w:sz w:val="28"/>
          <w:szCs w:val="28"/>
          <w:lang w:eastAsia="zh-CN"/>
        </w:rPr>
        <w:lastRenderedPageBreak/>
        <w:t>rapidă și eficientă a acestora Prin aceste inițiative, Moldova își propune să devină un mediu sigur de incluziune și diversitate. Impacturile anticipate de bază, vizează:</w:t>
      </w:r>
    </w:p>
    <w:p w14:paraId="2AEBA29D"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Impact social - Creșterea incluziunii și </w:t>
      </w:r>
      <w:r>
        <w:rPr>
          <w:rFonts w:eastAsia="Times New Roman" w:cs="Times New Roman"/>
          <w:color w:val="222A35" w:themeColor="text2" w:themeShade="80"/>
          <w:sz w:val="28"/>
          <w:szCs w:val="28"/>
          <w:lang w:eastAsia="zh-CN"/>
        </w:rPr>
        <w:t>reducerea vulnerabilităților prin măsuri de sprijin educațional, protecție socială și participare comunitară.</w:t>
      </w:r>
    </w:p>
    <w:p w14:paraId="2CCA21DA"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Impact economic - Stimularea dezvoltării economice prin valorificarea competențelor profesionale ale străinilor și facilitarea investițiilor acest</w:t>
      </w:r>
      <w:r>
        <w:rPr>
          <w:rFonts w:eastAsia="Times New Roman" w:cs="Times New Roman"/>
          <w:color w:val="222A35" w:themeColor="text2" w:themeShade="80"/>
          <w:sz w:val="28"/>
          <w:szCs w:val="28"/>
          <w:lang w:eastAsia="zh-CN"/>
        </w:rPr>
        <w:t>ora.</w:t>
      </w:r>
    </w:p>
    <w:p w14:paraId="6181603D"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Impact administrativ - Optimizarea mecanismelor instituționale pentru gestionarea integrării și sporirea capacității structurilor guvernamentale.</w:t>
      </w:r>
    </w:p>
    <w:p w14:paraId="3B55FF45"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Impact de gen - Asigurarea egalității de șanse prin acces echitabil la servicii și protecția grupurilor </w:t>
      </w:r>
      <w:r>
        <w:rPr>
          <w:rFonts w:eastAsia="Times New Roman" w:cs="Times New Roman"/>
          <w:color w:val="222A35" w:themeColor="text2" w:themeShade="80"/>
          <w:sz w:val="28"/>
          <w:szCs w:val="28"/>
          <w:lang w:eastAsia="zh-CN"/>
        </w:rPr>
        <w:t>vulnerabile, inclusiv femeile și copiii.</w:t>
      </w:r>
    </w:p>
    <w:p w14:paraId="6D2EBE40"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p>
    <w:p w14:paraId="35458254"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r>
        <w:rPr>
          <w:rFonts w:eastAsia="Times New Roman" w:cs="Times New Roman"/>
          <w:b/>
          <w:i/>
          <w:color w:val="000000"/>
          <w:sz w:val="28"/>
          <w:szCs w:val="28"/>
          <w:highlight w:val="white"/>
        </w:rPr>
        <w:t>Tabelul nr. 3. Indicatorii de monitorizare și evaluare a impactului Programului</w:t>
      </w:r>
    </w:p>
    <w:p w14:paraId="46A5ABB4"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p>
    <w:tbl>
      <w:tblPr>
        <w:tblStyle w:val="af2"/>
        <w:tblW w:w="0" w:type="auto"/>
        <w:tblLook w:val="04A0" w:firstRow="1" w:lastRow="0" w:firstColumn="1" w:lastColumn="0" w:noHBand="0" w:noVBand="1"/>
      </w:tblPr>
      <w:tblGrid>
        <w:gridCol w:w="2692"/>
        <w:gridCol w:w="2178"/>
        <w:gridCol w:w="1866"/>
        <w:gridCol w:w="1350"/>
        <w:gridCol w:w="1541"/>
      </w:tblGrid>
      <w:tr w:rsidR="0075115C" w14:paraId="175B2BF9" w14:textId="77777777">
        <w:tc>
          <w:tcPr>
            <w:tcW w:w="0" w:type="auto"/>
            <w:shd w:val="clear" w:color="auto" w:fill="BDD6EE" w:themeFill="accent1" w:themeFillTint="66"/>
          </w:tcPr>
          <w:p w14:paraId="5CB8F467" w14:textId="77777777" w:rsidR="0075115C" w:rsidRDefault="00623B17">
            <w:pPr>
              <w:rPr>
                <w:rFonts w:eastAsia="Times New Roman" w:cs="Times New Roman"/>
                <w:b/>
                <w:bCs/>
                <w:sz w:val="28"/>
                <w:szCs w:val="28"/>
                <w:lang w:eastAsia="ro-RO"/>
              </w:rPr>
            </w:pPr>
            <w:r>
              <w:rPr>
                <w:rFonts w:eastAsia="Times New Roman" w:cs="Times New Roman"/>
                <w:b/>
                <w:bCs/>
                <w:sz w:val="28"/>
                <w:szCs w:val="28"/>
                <w:lang w:eastAsia="ro-RO"/>
              </w:rPr>
              <w:t>Obiectivul general</w:t>
            </w:r>
          </w:p>
        </w:tc>
        <w:tc>
          <w:tcPr>
            <w:tcW w:w="0" w:type="auto"/>
            <w:shd w:val="clear" w:color="auto" w:fill="BDD6EE" w:themeFill="accent1" w:themeFillTint="66"/>
          </w:tcPr>
          <w:p w14:paraId="3E84EF5B" w14:textId="77777777" w:rsidR="0075115C" w:rsidRDefault="00623B17">
            <w:pPr>
              <w:rPr>
                <w:rFonts w:eastAsia="Times New Roman" w:cs="Times New Roman"/>
                <w:b/>
                <w:bCs/>
                <w:sz w:val="28"/>
                <w:szCs w:val="28"/>
                <w:lang w:eastAsia="ro-RO"/>
              </w:rPr>
            </w:pPr>
            <w:r>
              <w:rPr>
                <w:rFonts w:eastAsia="Times New Roman" w:cs="Times New Roman"/>
                <w:b/>
                <w:bCs/>
                <w:sz w:val="28"/>
                <w:szCs w:val="28"/>
                <w:lang w:eastAsia="ro-RO"/>
              </w:rPr>
              <w:t>Indicatorul</w:t>
            </w:r>
          </w:p>
        </w:tc>
        <w:tc>
          <w:tcPr>
            <w:tcW w:w="0" w:type="auto"/>
            <w:shd w:val="clear" w:color="auto" w:fill="BDD6EE" w:themeFill="accent1" w:themeFillTint="66"/>
          </w:tcPr>
          <w:p w14:paraId="0CDF4B08" w14:textId="77777777" w:rsidR="0075115C" w:rsidRDefault="00623B17">
            <w:pPr>
              <w:rPr>
                <w:rFonts w:eastAsia="Times New Roman" w:cs="Times New Roman"/>
                <w:b/>
                <w:bCs/>
                <w:sz w:val="28"/>
                <w:szCs w:val="28"/>
                <w:lang w:eastAsia="ro-RO"/>
              </w:rPr>
            </w:pPr>
            <w:r>
              <w:rPr>
                <w:rFonts w:eastAsia="Times New Roman" w:cs="Times New Roman"/>
                <w:b/>
                <w:bCs/>
                <w:sz w:val="28"/>
                <w:szCs w:val="28"/>
                <w:lang w:eastAsia="ro-RO"/>
              </w:rPr>
              <w:t>Sursa</w:t>
            </w:r>
          </w:p>
        </w:tc>
        <w:tc>
          <w:tcPr>
            <w:tcW w:w="0" w:type="auto"/>
            <w:shd w:val="clear" w:color="auto" w:fill="BDD6EE" w:themeFill="accent1" w:themeFillTint="66"/>
          </w:tcPr>
          <w:p w14:paraId="6D4E24A1" w14:textId="77777777" w:rsidR="0075115C" w:rsidRDefault="00623B17">
            <w:pPr>
              <w:rPr>
                <w:rFonts w:cs="Times New Roman"/>
                <w:b/>
                <w:bCs/>
                <w:sz w:val="28"/>
                <w:szCs w:val="28"/>
              </w:rPr>
            </w:pPr>
            <w:r>
              <w:rPr>
                <w:rFonts w:cs="Times New Roman"/>
                <w:b/>
                <w:bCs/>
                <w:sz w:val="28"/>
                <w:szCs w:val="28"/>
              </w:rPr>
              <w:t>Valoarea</w:t>
            </w:r>
          </w:p>
          <w:p w14:paraId="69E03390" w14:textId="77777777" w:rsidR="0075115C" w:rsidRDefault="00623B17">
            <w:pPr>
              <w:rPr>
                <w:rFonts w:cs="Times New Roman"/>
                <w:b/>
                <w:bCs/>
                <w:sz w:val="28"/>
                <w:szCs w:val="28"/>
              </w:rPr>
            </w:pPr>
            <w:r>
              <w:rPr>
                <w:rFonts w:cs="Times New Roman"/>
                <w:b/>
                <w:bCs/>
                <w:sz w:val="28"/>
                <w:szCs w:val="28"/>
              </w:rPr>
              <w:t>de</w:t>
            </w:r>
          </w:p>
          <w:p w14:paraId="59271DE9" w14:textId="77777777" w:rsidR="0075115C" w:rsidRDefault="00623B17">
            <w:pPr>
              <w:rPr>
                <w:rFonts w:cs="Times New Roman"/>
                <w:b/>
                <w:bCs/>
                <w:sz w:val="28"/>
                <w:szCs w:val="28"/>
              </w:rPr>
            </w:pPr>
            <w:r>
              <w:rPr>
                <w:rFonts w:cs="Times New Roman"/>
                <w:b/>
                <w:bCs/>
                <w:sz w:val="28"/>
                <w:szCs w:val="28"/>
              </w:rPr>
              <w:t>referință, anul</w:t>
            </w:r>
          </w:p>
          <w:p w14:paraId="4CB3647C" w14:textId="77777777" w:rsidR="0075115C" w:rsidRDefault="0075115C">
            <w:pPr>
              <w:rPr>
                <w:rFonts w:eastAsia="Times New Roman" w:cs="Times New Roman"/>
                <w:sz w:val="28"/>
                <w:szCs w:val="28"/>
                <w:lang w:eastAsia="ro-RO"/>
              </w:rPr>
            </w:pPr>
          </w:p>
        </w:tc>
        <w:tc>
          <w:tcPr>
            <w:tcW w:w="0" w:type="auto"/>
            <w:shd w:val="clear" w:color="auto" w:fill="BDD6EE" w:themeFill="accent1" w:themeFillTint="66"/>
          </w:tcPr>
          <w:p w14:paraId="1922D805" w14:textId="77777777" w:rsidR="0075115C" w:rsidRDefault="00623B17">
            <w:pPr>
              <w:rPr>
                <w:rFonts w:cs="Times New Roman"/>
                <w:b/>
                <w:bCs/>
                <w:sz w:val="28"/>
                <w:szCs w:val="28"/>
              </w:rPr>
            </w:pPr>
            <w:r>
              <w:rPr>
                <w:rFonts w:cs="Times New Roman"/>
                <w:b/>
                <w:bCs/>
                <w:sz w:val="28"/>
                <w:szCs w:val="28"/>
              </w:rPr>
              <w:t>Ț</w:t>
            </w:r>
            <w:r>
              <w:rPr>
                <w:rFonts w:cs="Times New Roman"/>
                <w:b/>
                <w:bCs/>
                <w:sz w:val="28"/>
                <w:szCs w:val="28"/>
              </w:rPr>
              <w:t>inta ce</w:t>
            </w:r>
          </w:p>
          <w:p w14:paraId="68C5EBAA" w14:textId="77777777" w:rsidR="0075115C" w:rsidRDefault="00623B17">
            <w:pPr>
              <w:rPr>
                <w:rFonts w:cs="Times New Roman"/>
                <w:b/>
                <w:bCs/>
                <w:sz w:val="28"/>
                <w:szCs w:val="28"/>
              </w:rPr>
            </w:pPr>
            <w:r>
              <w:rPr>
                <w:rFonts w:cs="Times New Roman"/>
                <w:b/>
                <w:bCs/>
                <w:sz w:val="28"/>
                <w:szCs w:val="28"/>
              </w:rPr>
              <w:t>urmează</w:t>
            </w:r>
          </w:p>
          <w:p w14:paraId="0BEECD46" w14:textId="77777777" w:rsidR="0075115C" w:rsidRDefault="00623B17">
            <w:pPr>
              <w:rPr>
                <w:rFonts w:cs="Times New Roman"/>
                <w:b/>
                <w:bCs/>
                <w:sz w:val="28"/>
                <w:szCs w:val="28"/>
              </w:rPr>
            </w:pPr>
            <w:r>
              <w:rPr>
                <w:rFonts w:cs="Times New Roman"/>
                <w:b/>
                <w:bCs/>
                <w:sz w:val="28"/>
                <w:szCs w:val="28"/>
              </w:rPr>
              <w:t>a fi</w:t>
            </w:r>
          </w:p>
          <w:p w14:paraId="6345BB36" w14:textId="77777777" w:rsidR="0075115C" w:rsidRDefault="00623B17">
            <w:pPr>
              <w:rPr>
                <w:rFonts w:cs="Times New Roman"/>
                <w:b/>
                <w:bCs/>
                <w:sz w:val="28"/>
                <w:szCs w:val="28"/>
              </w:rPr>
            </w:pPr>
            <w:r>
              <w:rPr>
                <w:rFonts w:cs="Times New Roman"/>
                <w:b/>
                <w:bCs/>
                <w:sz w:val="28"/>
                <w:szCs w:val="28"/>
              </w:rPr>
              <w:t>atinsă în</w:t>
            </w:r>
          </w:p>
          <w:p w14:paraId="052BFD15" w14:textId="77777777" w:rsidR="0075115C" w:rsidRDefault="00623B17">
            <w:pPr>
              <w:rPr>
                <w:rFonts w:cs="Times New Roman"/>
                <w:b/>
                <w:bCs/>
                <w:sz w:val="28"/>
                <w:szCs w:val="28"/>
              </w:rPr>
            </w:pPr>
            <w:r>
              <w:rPr>
                <w:rFonts w:cs="Times New Roman"/>
                <w:b/>
                <w:bCs/>
                <w:sz w:val="28"/>
                <w:szCs w:val="28"/>
              </w:rPr>
              <w:t>anul</w:t>
            </w:r>
          </w:p>
          <w:p w14:paraId="0398C8C7" w14:textId="77777777" w:rsidR="0075115C" w:rsidRDefault="00623B17">
            <w:pPr>
              <w:rPr>
                <w:rFonts w:eastAsia="Times New Roman" w:cs="Times New Roman"/>
                <w:sz w:val="28"/>
                <w:szCs w:val="28"/>
                <w:lang w:eastAsia="ro-RO"/>
              </w:rPr>
            </w:pPr>
            <w:r>
              <w:rPr>
                <w:rFonts w:cs="Times New Roman"/>
                <w:b/>
                <w:bCs/>
                <w:sz w:val="28"/>
                <w:szCs w:val="28"/>
              </w:rPr>
              <w:t>2027</w:t>
            </w:r>
          </w:p>
        </w:tc>
      </w:tr>
      <w:tr w:rsidR="0075115C" w14:paraId="08C83A2D" w14:textId="77777777">
        <w:tc>
          <w:tcPr>
            <w:tcW w:w="0" w:type="auto"/>
            <w:vMerge w:val="restart"/>
          </w:tcPr>
          <w:p w14:paraId="1FB2B358" w14:textId="77777777" w:rsidR="0075115C" w:rsidRDefault="00623B17">
            <w:pPr>
              <w:pStyle w:val="ae"/>
              <w:numPr>
                <w:ilvl w:val="0"/>
                <w:numId w:val="10"/>
              </w:numPr>
              <w:ind w:left="318"/>
              <w:contextualSpacing w:val="0"/>
              <w:rPr>
                <w:rFonts w:eastAsia="Times New Roman" w:cs="Times New Roman"/>
                <w:sz w:val="28"/>
                <w:szCs w:val="28"/>
                <w:lang w:eastAsia="ro-RO"/>
              </w:rPr>
            </w:pPr>
            <w:r>
              <w:rPr>
                <w:rFonts w:cs="Times New Roman"/>
                <w:sz w:val="28"/>
                <w:szCs w:val="28"/>
              </w:rPr>
              <w:t xml:space="preserve">Revizuirea și definirea </w:t>
            </w:r>
            <w:r>
              <w:rPr>
                <w:rFonts w:cs="Times New Roman"/>
                <w:sz w:val="28"/>
                <w:szCs w:val="28"/>
              </w:rPr>
              <w:t>unor mecanisme incluzive de integrare a străinilor eficiente, durabile și sustenabile, și punerea acestora în aplicare, până la sfârșitul anului 2025</w:t>
            </w:r>
          </w:p>
        </w:tc>
        <w:tc>
          <w:tcPr>
            <w:tcW w:w="0" w:type="auto"/>
          </w:tcPr>
          <w:p w14:paraId="2597002D" w14:textId="77777777" w:rsidR="0075115C" w:rsidRDefault="00623B17">
            <w:pPr>
              <w:rPr>
                <w:rFonts w:eastAsia="Times New Roman" w:cs="Times New Roman"/>
                <w:sz w:val="28"/>
                <w:szCs w:val="28"/>
                <w:lang w:eastAsia="ro-RO"/>
              </w:rPr>
            </w:pPr>
            <w:r>
              <w:rPr>
                <w:rFonts w:cs="Times New Roman"/>
                <w:sz w:val="28"/>
                <w:szCs w:val="28"/>
              </w:rPr>
              <w:t xml:space="preserve">Facilitarea accesului solicitanților la sistemul de integrare </w:t>
            </w:r>
          </w:p>
        </w:tc>
        <w:tc>
          <w:tcPr>
            <w:tcW w:w="0" w:type="auto"/>
          </w:tcPr>
          <w:p w14:paraId="2CEE8395" w14:textId="77777777" w:rsidR="0075115C" w:rsidRDefault="00623B17">
            <w:pPr>
              <w:rPr>
                <w:rFonts w:eastAsia="Times New Roman" w:cs="Times New Roman"/>
                <w:sz w:val="28"/>
                <w:szCs w:val="28"/>
                <w:lang w:eastAsia="ro-RO"/>
              </w:rPr>
            </w:pPr>
            <w:r>
              <w:rPr>
                <w:rFonts w:cs="Times New Roman"/>
                <w:sz w:val="28"/>
                <w:szCs w:val="28"/>
              </w:rPr>
              <w:t>Ministerul Afacerilor Interne</w:t>
            </w:r>
          </w:p>
        </w:tc>
        <w:tc>
          <w:tcPr>
            <w:tcW w:w="0" w:type="auto"/>
          </w:tcPr>
          <w:p w14:paraId="553ABEAC" w14:textId="77777777" w:rsidR="0075115C" w:rsidRDefault="00623B17">
            <w:pPr>
              <w:rPr>
                <w:rFonts w:eastAsia="Times New Roman" w:cs="Times New Roman"/>
                <w:sz w:val="28"/>
                <w:szCs w:val="28"/>
                <w:lang w:eastAsia="ro-RO"/>
              </w:rPr>
            </w:pPr>
            <w:r>
              <w:rPr>
                <w:rFonts w:eastAsia="Times New Roman" w:cs="Times New Roman"/>
                <w:sz w:val="28"/>
                <w:szCs w:val="28"/>
                <w:lang w:eastAsia="ro-RO"/>
              </w:rPr>
              <w:t>20%</w:t>
            </w:r>
          </w:p>
          <w:p w14:paraId="49B1BAA1" w14:textId="77777777" w:rsidR="0075115C" w:rsidRDefault="00623B17">
            <w:pPr>
              <w:rPr>
                <w:rFonts w:eastAsia="Times New Roman" w:cs="Times New Roman"/>
                <w:sz w:val="28"/>
                <w:szCs w:val="28"/>
                <w:lang w:eastAsia="ro-RO"/>
              </w:rPr>
            </w:pPr>
            <w:r>
              <w:rPr>
                <w:rFonts w:cs="Times New Roman"/>
                <w:sz w:val="28"/>
                <w:szCs w:val="28"/>
              </w:rPr>
              <w:t>(2024)</w:t>
            </w:r>
          </w:p>
        </w:tc>
        <w:tc>
          <w:tcPr>
            <w:tcW w:w="0" w:type="auto"/>
          </w:tcPr>
          <w:p w14:paraId="42518CC7" w14:textId="77777777" w:rsidR="0075115C" w:rsidRDefault="00623B17">
            <w:pPr>
              <w:rPr>
                <w:rFonts w:eastAsia="Times New Roman" w:cs="Times New Roman"/>
                <w:sz w:val="28"/>
                <w:szCs w:val="28"/>
                <w:lang w:eastAsia="ro-RO"/>
              </w:rPr>
            </w:pPr>
            <w:r>
              <w:rPr>
                <w:rFonts w:eastAsia="Times New Roman" w:cs="Times New Roman"/>
                <w:sz w:val="28"/>
                <w:szCs w:val="28"/>
                <w:lang w:eastAsia="ro-RO"/>
              </w:rPr>
              <w:t>35%</w:t>
            </w:r>
          </w:p>
          <w:p w14:paraId="4D928369" w14:textId="77777777" w:rsidR="0075115C" w:rsidRDefault="00623B17">
            <w:pPr>
              <w:rPr>
                <w:rFonts w:eastAsia="Times New Roman" w:cs="Times New Roman"/>
                <w:sz w:val="28"/>
                <w:szCs w:val="28"/>
                <w:lang w:eastAsia="ro-RO"/>
              </w:rPr>
            </w:pPr>
            <w:r>
              <w:rPr>
                <w:sz w:val="28"/>
                <w:szCs w:val="28"/>
              </w:rPr>
              <w:t>(dezagregat pe sexe)</w:t>
            </w:r>
          </w:p>
        </w:tc>
      </w:tr>
      <w:tr w:rsidR="0075115C" w14:paraId="4D04848B" w14:textId="77777777">
        <w:tc>
          <w:tcPr>
            <w:tcW w:w="0" w:type="auto"/>
            <w:vMerge/>
          </w:tcPr>
          <w:p w14:paraId="046C7A76" w14:textId="77777777" w:rsidR="0075115C" w:rsidRDefault="0075115C">
            <w:pPr>
              <w:ind w:left="318"/>
              <w:rPr>
                <w:rFonts w:cs="Times New Roman"/>
                <w:sz w:val="28"/>
                <w:szCs w:val="28"/>
              </w:rPr>
            </w:pPr>
          </w:p>
        </w:tc>
        <w:tc>
          <w:tcPr>
            <w:tcW w:w="0" w:type="auto"/>
          </w:tcPr>
          <w:p w14:paraId="50A2B77D" w14:textId="77777777" w:rsidR="0075115C" w:rsidRDefault="00623B17">
            <w:pPr>
              <w:rPr>
                <w:rFonts w:cs="Times New Roman"/>
                <w:sz w:val="28"/>
                <w:szCs w:val="28"/>
              </w:rPr>
            </w:pPr>
            <w:r>
              <w:rPr>
                <w:rFonts w:cs="Times New Roman"/>
                <w:sz w:val="28"/>
                <w:szCs w:val="28"/>
              </w:rPr>
              <w:t xml:space="preserve">Mecanism de integrare eficientizat </w:t>
            </w:r>
            <w:r>
              <w:rPr>
                <w:sz w:val="28"/>
                <w:szCs w:val="28"/>
              </w:rPr>
              <w:t>ș</w:t>
            </w:r>
            <w:r>
              <w:rPr>
                <w:sz w:val="28"/>
                <w:szCs w:val="28"/>
              </w:rPr>
              <w:t>i sensibil la gen</w:t>
            </w:r>
          </w:p>
        </w:tc>
        <w:tc>
          <w:tcPr>
            <w:tcW w:w="0" w:type="auto"/>
          </w:tcPr>
          <w:p w14:paraId="0D662036" w14:textId="77777777" w:rsidR="0075115C" w:rsidRDefault="00623B17">
            <w:pPr>
              <w:rPr>
                <w:rFonts w:cs="Times New Roman"/>
                <w:sz w:val="28"/>
                <w:szCs w:val="28"/>
              </w:rPr>
            </w:pPr>
            <w:r>
              <w:rPr>
                <w:rFonts w:cs="Times New Roman"/>
                <w:sz w:val="28"/>
                <w:szCs w:val="28"/>
              </w:rPr>
              <w:t>Ministerul Afacerilor Interne</w:t>
            </w:r>
          </w:p>
        </w:tc>
        <w:tc>
          <w:tcPr>
            <w:tcW w:w="0" w:type="auto"/>
          </w:tcPr>
          <w:p w14:paraId="21EE7D61" w14:textId="77777777" w:rsidR="0075115C" w:rsidRDefault="00623B17">
            <w:pPr>
              <w:rPr>
                <w:rFonts w:cs="Times New Roman"/>
                <w:sz w:val="28"/>
                <w:szCs w:val="28"/>
              </w:rPr>
            </w:pPr>
            <w:r>
              <w:rPr>
                <w:rFonts w:cs="Times New Roman"/>
                <w:sz w:val="28"/>
                <w:szCs w:val="28"/>
              </w:rPr>
              <w:t>0</w:t>
            </w:r>
          </w:p>
          <w:p w14:paraId="554CA9D6" w14:textId="77777777" w:rsidR="0075115C" w:rsidRDefault="00623B17">
            <w:pPr>
              <w:rPr>
                <w:rFonts w:eastAsia="Times New Roman" w:cs="Times New Roman"/>
                <w:sz w:val="28"/>
                <w:szCs w:val="28"/>
                <w:lang w:eastAsia="ro-RO"/>
              </w:rPr>
            </w:pPr>
            <w:r>
              <w:rPr>
                <w:rFonts w:cs="Times New Roman"/>
                <w:sz w:val="28"/>
                <w:szCs w:val="28"/>
              </w:rPr>
              <w:t>(2024)</w:t>
            </w:r>
          </w:p>
        </w:tc>
        <w:tc>
          <w:tcPr>
            <w:tcW w:w="0" w:type="auto"/>
          </w:tcPr>
          <w:p w14:paraId="791C4809" w14:textId="77777777" w:rsidR="0075115C" w:rsidRDefault="00623B17">
            <w:pPr>
              <w:rPr>
                <w:rFonts w:eastAsia="Times New Roman" w:cs="Times New Roman"/>
                <w:sz w:val="28"/>
                <w:szCs w:val="28"/>
                <w:lang w:eastAsia="ro-RO"/>
              </w:rPr>
            </w:pPr>
            <w:r>
              <w:rPr>
                <w:rFonts w:cs="Times New Roman"/>
                <w:sz w:val="28"/>
                <w:szCs w:val="28"/>
              </w:rPr>
              <w:t>1</w:t>
            </w:r>
          </w:p>
        </w:tc>
      </w:tr>
      <w:tr w:rsidR="0075115C" w14:paraId="3245D52E" w14:textId="77777777">
        <w:tc>
          <w:tcPr>
            <w:tcW w:w="0" w:type="auto"/>
            <w:vMerge/>
          </w:tcPr>
          <w:p w14:paraId="415DAB54" w14:textId="77777777" w:rsidR="0075115C" w:rsidRDefault="0075115C">
            <w:pPr>
              <w:ind w:left="318"/>
              <w:rPr>
                <w:rFonts w:cs="Times New Roman"/>
                <w:sz w:val="28"/>
                <w:szCs w:val="28"/>
              </w:rPr>
            </w:pPr>
          </w:p>
        </w:tc>
        <w:tc>
          <w:tcPr>
            <w:tcW w:w="0" w:type="auto"/>
          </w:tcPr>
          <w:p w14:paraId="41827F65" w14:textId="77777777" w:rsidR="0075115C" w:rsidRDefault="00623B17">
            <w:pPr>
              <w:rPr>
                <w:rFonts w:cs="Times New Roman"/>
                <w:sz w:val="28"/>
                <w:szCs w:val="28"/>
              </w:rPr>
            </w:pPr>
            <w:r>
              <w:rPr>
                <w:rFonts w:cs="Times New Roman"/>
                <w:sz w:val="28"/>
                <w:szCs w:val="28"/>
                <w:shd w:val="clear" w:color="auto" w:fill="FFFFFF"/>
              </w:rPr>
              <w:t>Ponderea datelor privind străinii colectate și dezagregate (inclusiv sex, vârstă, mediul de reședință). Profilarea străinilor</w:t>
            </w:r>
          </w:p>
        </w:tc>
        <w:tc>
          <w:tcPr>
            <w:tcW w:w="0" w:type="auto"/>
          </w:tcPr>
          <w:p w14:paraId="465E2347" w14:textId="77777777" w:rsidR="0075115C" w:rsidRDefault="00623B17">
            <w:pPr>
              <w:rPr>
                <w:rFonts w:cs="Times New Roman"/>
                <w:sz w:val="28"/>
                <w:szCs w:val="28"/>
              </w:rPr>
            </w:pPr>
            <w:r>
              <w:rPr>
                <w:rFonts w:cs="Times New Roman"/>
                <w:sz w:val="28"/>
                <w:szCs w:val="28"/>
              </w:rPr>
              <w:t>Inspectoratul General pentru Migrație</w:t>
            </w:r>
          </w:p>
        </w:tc>
        <w:tc>
          <w:tcPr>
            <w:tcW w:w="0" w:type="auto"/>
          </w:tcPr>
          <w:p w14:paraId="247C2F9D" w14:textId="77777777" w:rsidR="0075115C" w:rsidRDefault="00623B17">
            <w:pPr>
              <w:rPr>
                <w:rFonts w:cs="Times New Roman"/>
                <w:sz w:val="28"/>
                <w:szCs w:val="28"/>
              </w:rPr>
            </w:pPr>
            <w:r>
              <w:rPr>
                <w:rFonts w:cs="Times New Roman"/>
                <w:sz w:val="28"/>
                <w:szCs w:val="28"/>
              </w:rPr>
              <w:t xml:space="preserve">0 </w:t>
            </w:r>
          </w:p>
          <w:p w14:paraId="4B3B6530" w14:textId="77777777" w:rsidR="0075115C" w:rsidRDefault="00623B17">
            <w:pPr>
              <w:rPr>
                <w:rFonts w:eastAsia="Times New Roman" w:cs="Times New Roman"/>
                <w:sz w:val="28"/>
                <w:szCs w:val="28"/>
                <w:lang w:eastAsia="ro-RO"/>
              </w:rPr>
            </w:pPr>
            <w:r>
              <w:rPr>
                <w:rFonts w:cs="Times New Roman"/>
                <w:sz w:val="28"/>
                <w:szCs w:val="28"/>
              </w:rPr>
              <w:t>(2024)</w:t>
            </w:r>
          </w:p>
        </w:tc>
        <w:tc>
          <w:tcPr>
            <w:tcW w:w="0" w:type="auto"/>
          </w:tcPr>
          <w:p w14:paraId="40A5C365" w14:textId="77777777" w:rsidR="0075115C" w:rsidRDefault="00623B17">
            <w:pPr>
              <w:rPr>
                <w:rFonts w:eastAsia="Times New Roman" w:cs="Times New Roman"/>
                <w:sz w:val="28"/>
                <w:szCs w:val="28"/>
                <w:lang w:eastAsia="ro-RO"/>
              </w:rPr>
            </w:pPr>
            <w:r>
              <w:rPr>
                <w:rFonts w:cs="Times New Roman"/>
                <w:sz w:val="28"/>
                <w:szCs w:val="28"/>
              </w:rPr>
              <w:t>100</w:t>
            </w:r>
          </w:p>
        </w:tc>
      </w:tr>
      <w:tr w:rsidR="0075115C" w14:paraId="054A5BE0" w14:textId="77777777">
        <w:tc>
          <w:tcPr>
            <w:tcW w:w="0" w:type="auto"/>
            <w:vMerge/>
          </w:tcPr>
          <w:p w14:paraId="3C10173C" w14:textId="77777777" w:rsidR="0075115C" w:rsidRDefault="0075115C">
            <w:pPr>
              <w:ind w:left="318"/>
              <w:rPr>
                <w:rFonts w:cs="Times New Roman"/>
                <w:sz w:val="28"/>
                <w:szCs w:val="28"/>
              </w:rPr>
            </w:pPr>
          </w:p>
        </w:tc>
        <w:tc>
          <w:tcPr>
            <w:tcW w:w="0" w:type="auto"/>
          </w:tcPr>
          <w:p w14:paraId="50582440" w14:textId="77777777" w:rsidR="0075115C" w:rsidRDefault="00623B17">
            <w:pPr>
              <w:rPr>
                <w:rFonts w:cs="Times New Roman"/>
                <w:sz w:val="28"/>
                <w:szCs w:val="28"/>
              </w:rPr>
            </w:pPr>
            <w:r>
              <w:rPr>
                <w:rFonts w:cs="Times New Roman"/>
                <w:sz w:val="28"/>
                <w:szCs w:val="28"/>
                <w:shd w:val="clear" w:color="auto" w:fill="FFFFFF"/>
              </w:rPr>
              <w:t>Capacitatea IGM de a răspunde cererilor persoanelor străine</w:t>
            </w:r>
          </w:p>
        </w:tc>
        <w:tc>
          <w:tcPr>
            <w:tcW w:w="0" w:type="auto"/>
          </w:tcPr>
          <w:p w14:paraId="607381B7" w14:textId="77777777" w:rsidR="0075115C" w:rsidRDefault="00623B17">
            <w:pPr>
              <w:rPr>
                <w:rFonts w:cs="Times New Roman"/>
                <w:sz w:val="28"/>
                <w:szCs w:val="28"/>
              </w:rPr>
            </w:pPr>
            <w:r>
              <w:rPr>
                <w:rFonts w:cs="Times New Roman"/>
                <w:sz w:val="28"/>
                <w:szCs w:val="28"/>
              </w:rPr>
              <w:t>Inspectoratul General pentru Migrație</w:t>
            </w:r>
          </w:p>
        </w:tc>
        <w:tc>
          <w:tcPr>
            <w:tcW w:w="0" w:type="auto"/>
          </w:tcPr>
          <w:p w14:paraId="4A443AD9" w14:textId="77777777" w:rsidR="0075115C" w:rsidRDefault="00623B17">
            <w:pPr>
              <w:rPr>
                <w:rFonts w:cs="Times New Roman"/>
                <w:sz w:val="28"/>
                <w:szCs w:val="28"/>
                <w:lang w:val="en-US"/>
              </w:rPr>
            </w:pPr>
            <w:r>
              <w:rPr>
                <w:rFonts w:cs="Times New Roman"/>
                <w:sz w:val="28"/>
                <w:szCs w:val="28"/>
              </w:rPr>
              <w:t>35</w:t>
            </w:r>
            <w:r>
              <w:rPr>
                <w:rFonts w:cs="Times New Roman"/>
                <w:sz w:val="28"/>
                <w:szCs w:val="28"/>
                <w:lang w:val="en-US"/>
              </w:rPr>
              <w:t>%</w:t>
            </w:r>
          </w:p>
          <w:p w14:paraId="369269DA" w14:textId="77777777" w:rsidR="0075115C" w:rsidRDefault="00623B17">
            <w:pPr>
              <w:rPr>
                <w:rFonts w:eastAsia="Times New Roman" w:cs="Times New Roman"/>
                <w:sz w:val="28"/>
                <w:szCs w:val="28"/>
                <w:lang w:val="en-US" w:eastAsia="ro-RO"/>
              </w:rPr>
            </w:pPr>
            <w:r>
              <w:rPr>
                <w:rFonts w:cs="Times New Roman"/>
                <w:sz w:val="28"/>
                <w:szCs w:val="28"/>
              </w:rPr>
              <w:t>(2024)</w:t>
            </w:r>
          </w:p>
        </w:tc>
        <w:tc>
          <w:tcPr>
            <w:tcW w:w="0" w:type="auto"/>
          </w:tcPr>
          <w:p w14:paraId="29F3B3ED" w14:textId="77777777" w:rsidR="0075115C" w:rsidRDefault="00623B17">
            <w:pPr>
              <w:rPr>
                <w:rFonts w:eastAsia="Times New Roman" w:cs="Times New Roman"/>
                <w:sz w:val="28"/>
                <w:szCs w:val="28"/>
                <w:lang w:eastAsia="ro-RO"/>
              </w:rPr>
            </w:pPr>
            <w:r>
              <w:rPr>
                <w:rFonts w:cs="Times New Roman"/>
                <w:sz w:val="28"/>
                <w:szCs w:val="28"/>
              </w:rPr>
              <w:t>100%</w:t>
            </w:r>
          </w:p>
        </w:tc>
      </w:tr>
      <w:tr w:rsidR="0075115C" w14:paraId="08549D2F" w14:textId="77777777">
        <w:tc>
          <w:tcPr>
            <w:tcW w:w="0" w:type="auto"/>
            <w:vMerge/>
          </w:tcPr>
          <w:p w14:paraId="10B34C83" w14:textId="77777777" w:rsidR="0075115C" w:rsidRDefault="0075115C">
            <w:pPr>
              <w:ind w:left="318"/>
              <w:rPr>
                <w:rFonts w:cs="Times New Roman"/>
                <w:sz w:val="28"/>
                <w:szCs w:val="28"/>
              </w:rPr>
            </w:pPr>
          </w:p>
        </w:tc>
        <w:tc>
          <w:tcPr>
            <w:tcW w:w="0" w:type="auto"/>
          </w:tcPr>
          <w:p w14:paraId="498AF08A" w14:textId="77777777" w:rsidR="0075115C" w:rsidRDefault="00623B17">
            <w:pPr>
              <w:rPr>
                <w:rFonts w:cs="Times New Roman"/>
                <w:sz w:val="28"/>
                <w:szCs w:val="28"/>
              </w:rPr>
            </w:pPr>
            <w:r>
              <w:rPr>
                <w:rFonts w:cs="Times New Roman"/>
                <w:sz w:val="28"/>
                <w:szCs w:val="28"/>
              </w:rPr>
              <w:t xml:space="preserve">Ponderea persoanelor documentate în proporție de 100% din numărul persoanelor admise </w:t>
            </w:r>
            <w:r>
              <w:rPr>
                <w:rFonts w:cs="Times New Roman"/>
                <w:sz w:val="28"/>
                <w:szCs w:val="28"/>
              </w:rPr>
              <w:t>în scop umanitar</w:t>
            </w:r>
          </w:p>
        </w:tc>
        <w:tc>
          <w:tcPr>
            <w:tcW w:w="0" w:type="auto"/>
          </w:tcPr>
          <w:p w14:paraId="723ACBC0" w14:textId="77777777" w:rsidR="0075115C" w:rsidRDefault="00623B17">
            <w:pPr>
              <w:rPr>
                <w:rFonts w:cs="Times New Roman"/>
                <w:sz w:val="28"/>
                <w:szCs w:val="28"/>
              </w:rPr>
            </w:pPr>
            <w:r>
              <w:rPr>
                <w:rFonts w:cs="Times New Roman"/>
                <w:sz w:val="28"/>
                <w:szCs w:val="28"/>
              </w:rPr>
              <w:t>Inspectoratul General pentru Migrație</w:t>
            </w:r>
          </w:p>
        </w:tc>
        <w:tc>
          <w:tcPr>
            <w:tcW w:w="0" w:type="auto"/>
          </w:tcPr>
          <w:p w14:paraId="54A77AFC" w14:textId="77777777" w:rsidR="0075115C" w:rsidRDefault="00623B17">
            <w:pPr>
              <w:rPr>
                <w:rFonts w:cs="Times New Roman"/>
                <w:sz w:val="28"/>
                <w:szCs w:val="28"/>
              </w:rPr>
            </w:pPr>
            <w:r>
              <w:rPr>
                <w:rFonts w:cs="Times New Roman"/>
                <w:sz w:val="28"/>
                <w:szCs w:val="28"/>
              </w:rPr>
              <w:t>0%</w:t>
            </w:r>
          </w:p>
          <w:p w14:paraId="382607AA" w14:textId="77777777" w:rsidR="0075115C" w:rsidRDefault="00623B17">
            <w:pPr>
              <w:rPr>
                <w:rFonts w:eastAsia="Times New Roman" w:cs="Times New Roman"/>
                <w:sz w:val="28"/>
                <w:szCs w:val="28"/>
                <w:lang w:eastAsia="ro-RO"/>
              </w:rPr>
            </w:pPr>
            <w:r>
              <w:rPr>
                <w:rFonts w:cs="Times New Roman"/>
                <w:sz w:val="28"/>
                <w:szCs w:val="28"/>
              </w:rPr>
              <w:t>(2024)</w:t>
            </w:r>
          </w:p>
        </w:tc>
        <w:tc>
          <w:tcPr>
            <w:tcW w:w="0" w:type="auto"/>
          </w:tcPr>
          <w:p w14:paraId="2600D0BD" w14:textId="77777777" w:rsidR="0075115C" w:rsidRDefault="00623B17">
            <w:pPr>
              <w:rPr>
                <w:rFonts w:eastAsia="Times New Roman" w:cs="Times New Roman"/>
                <w:sz w:val="28"/>
                <w:szCs w:val="28"/>
                <w:lang w:eastAsia="ro-RO"/>
              </w:rPr>
            </w:pPr>
            <w:r>
              <w:rPr>
                <w:rFonts w:cs="Times New Roman"/>
                <w:sz w:val="28"/>
                <w:szCs w:val="28"/>
              </w:rPr>
              <w:t>100%</w:t>
            </w:r>
          </w:p>
        </w:tc>
      </w:tr>
      <w:tr w:rsidR="0075115C" w14:paraId="5F76E10D" w14:textId="77777777">
        <w:tc>
          <w:tcPr>
            <w:tcW w:w="0" w:type="auto"/>
            <w:vMerge/>
          </w:tcPr>
          <w:p w14:paraId="311EC23B" w14:textId="77777777" w:rsidR="0075115C" w:rsidRDefault="0075115C">
            <w:pPr>
              <w:ind w:left="318"/>
              <w:rPr>
                <w:rFonts w:cs="Times New Roman"/>
                <w:sz w:val="28"/>
                <w:szCs w:val="28"/>
              </w:rPr>
            </w:pPr>
          </w:p>
        </w:tc>
        <w:tc>
          <w:tcPr>
            <w:tcW w:w="0" w:type="auto"/>
          </w:tcPr>
          <w:p w14:paraId="040E2715" w14:textId="77777777" w:rsidR="0075115C" w:rsidRDefault="00623B17">
            <w:pPr>
              <w:rPr>
                <w:rFonts w:cs="Times New Roman"/>
                <w:sz w:val="28"/>
                <w:szCs w:val="28"/>
              </w:rPr>
            </w:pPr>
            <w:r>
              <w:rPr>
                <w:rFonts w:cs="Times New Roman"/>
                <w:sz w:val="28"/>
                <w:szCs w:val="28"/>
              </w:rPr>
              <w:t xml:space="preserve">Ponderea </w:t>
            </w:r>
            <w:r>
              <w:rPr>
                <w:rFonts w:cs="Times New Roman"/>
                <w:bCs/>
                <w:sz w:val="28"/>
                <w:szCs w:val="28"/>
              </w:rPr>
              <w:t>beneficiarilor satisfăcuți de serviciile prestate de IGM</w:t>
            </w:r>
          </w:p>
        </w:tc>
        <w:tc>
          <w:tcPr>
            <w:tcW w:w="0" w:type="auto"/>
          </w:tcPr>
          <w:p w14:paraId="2DFDF558" w14:textId="77777777" w:rsidR="0075115C" w:rsidRDefault="00623B17">
            <w:pPr>
              <w:rPr>
                <w:rFonts w:cs="Times New Roman"/>
                <w:sz w:val="28"/>
                <w:szCs w:val="28"/>
              </w:rPr>
            </w:pPr>
            <w:r>
              <w:rPr>
                <w:rFonts w:cs="Times New Roman"/>
                <w:sz w:val="28"/>
                <w:szCs w:val="28"/>
              </w:rPr>
              <w:t>Inspectoratul General pentru Migrație (sondaj de opinie)</w:t>
            </w:r>
          </w:p>
        </w:tc>
        <w:tc>
          <w:tcPr>
            <w:tcW w:w="0" w:type="auto"/>
          </w:tcPr>
          <w:p w14:paraId="02BA0AF6" w14:textId="77777777" w:rsidR="0075115C" w:rsidRDefault="00623B17">
            <w:pPr>
              <w:rPr>
                <w:rFonts w:cs="Times New Roman"/>
                <w:sz w:val="28"/>
                <w:szCs w:val="28"/>
              </w:rPr>
            </w:pPr>
            <w:r>
              <w:rPr>
                <w:rFonts w:cs="Times New Roman"/>
                <w:sz w:val="28"/>
                <w:szCs w:val="28"/>
              </w:rPr>
              <w:t>80%</w:t>
            </w:r>
          </w:p>
          <w:p w14:paraId="3643389D" w14:textId="77777777" w:rsidR="0075115C" w:rsidRDefault="00623B17">
            <w:pPr>
              <w:rPr>
                <w:rFonts w:cs="Times New Roman"/>
                <w:sz w:val="28"/>
                <w:szCs w:val="28"/>
              </w:rPr>
            </w:pPr>
            <w:r>
              <w:rPr>
                <w:rFonts w:cs="Times New Roman"/>
                <w:sz w:val="28"/>
                <w:szCs w:val="28"/>
              </w:rPr>
              <w:t>(2024)</w:t>
            </w:r>
          </w:p>
        </w:tc>
        <w:tc>
          <w:tcPr>
            <w:tcW w:w="0" w:type="auto"/>
          </w:tcPr>
          <w:p w14:paraId="4BDFB02F" w14:textId="77777777" w:rsidR="0075115C" w:rsidRDefault="00623B17">
            <w:pPr>
              <w:rPr>
                <w:rFonts w:cs="Times New Roman"/>
                <w:sz w:val="28"/>
                <w:szCs w:val="28"/>
              </w:rPr>
            </w:pPr>
            <w:r>
              <w:rPr>
                <w:rFonts w:cs="Times New Roman"/>
                <w:sz w:val="28"/>
                <w:szCs w:val="28"/>
              </w:rPr>
              <w:t xml:space="preserve">95% </w:t>
            </w:r>
          </w:p>
        </w:tc>
      </w:tr>
      <w:tr w:rsidR="0075115C" w14:paraId="4FF01F83" w14:textId="77777777">
        <w:tc>
          <w:tcPr>
            <w:tcW w:w="0" w:type="auto"/>
            <w:vMerge/>
          </w:tcPr>
          <w:p w14:paraId="6EA491BA" w14:textId="77777777" w:rsidR="0075115C" w:rsidRDefault="0075115C">
            <w:pPr>
              <w:ind w:left="318"/>
              <w:rPr>
                <w:rFonts w:cs="Times New Roman"/>
                <w:sz w:val="28"/>
                <w:szCs w:val="28"/>
              </w:rPr>
            </w:pPr>
          </w:p>
        </w:tc>
        <w:tc>
          <w:tcPr>
            <w:tcW w:w="0" w:type="auto"/>
          </w:tcPr>
          <w:p w14:paraId="3A777CE3" w14:textId="77777777" w:rsidR="0075115C" w:rsidRDefault="00623B17">
            <w:pPr>
              <w:rPr>
                <w:rFonts w:cs="Times New Roman"/>
                <w:sz w:val="28"/>
                <w:szCs w:val="28"/>
              </w:rPr>
            </w:pPr>
            <w:r>
              <w:rPr>
                <w:rFonts w:cs="Times New Roman"/>
                <w:sz w:val="28"/>
                <w:szCs w:val="28"/>
              </w:rPr>
              <w:t xml:space="preserve">Ponderea străinilor integrați la nivel </w:t>
            </w:r>
            <w:r>
              <w:rPr>
                <w:rFonts w:cs="Times New Roman"/>
                <w:sz w:val="28"/>
                <w:szCs w:val="28"/>
              </w:rPr>
              <w:t>local</w:t>
            </w:r>
          </w:p>
        </w:tc>
        <w:tc>
          <w:tcPr>
            <w:tcW w:w="0" w:type="auto"/>
          </w:tcPr>
          <w:p w14:paraId="14FEF519" w14:textId="77777777" w:rsidR="0075115C" w:rsidRDefault="00623B17">
            <w:pPr>
              <w:rPr>
                <w:rFonts w:cs="Times New Roman"/>
                <w:sz w:val="28"/>
                <w:szCs w:val="28"/>
              </w:rPr>
            </w:pPr>
            <w:r>
              <w:rPr>
                <w:rFonts w:cs="Times New Roman"/>
                <w:sz w:val="28"/>
                <w:szCs w:val="28"/>
              </w:rPr>
              <w:t>Autoritățile publice locale</w:t>
            </w:r>
          </w:p>
        </w:tc>
        <w:tc>
          <w:tcPr>
            <w:tcW w:w="0" w:type="auto"/>
          </w:tcPr>
          <w:p w14:paraId="140D7163" w14:textId="77777777" w:rsidR="0075115C" w:rsidRDefault="00623B17">
            <w:pPr>
              <w:rPr>
                <w:rFonts w:cs="Times New Roman"/>
                <w:sz w:val="28"/>
                <w:szCs w:val="28"/>
              </w:rPr>
            </w:pPr>
            <w:r>
              <w:rPr>
                <w:rFonts w:cs="Times New Roman"/>
                <w:sz w:val="28"/>
                <w:szCs w:val="28"/>
              </w:rPr>
              <w:t>10% (2024)</w:t>
            </w:r>
          </w:p>
        </w:tc>
        <w:tc>
          <w:tcPr>
            <w:tcW w:w="0" w:type="auto"/>
          </w:tcPr>
          <w:p w14:paraId="62C3AA5F" w14:textId="77777777" w:rsidR="0075115C" w:rsidRDefault="00623B17">
            <w:pPr>
              <w:rPr>
                <w:rFonts w:cs="Times New Roman"/>
                <w:sz w:val="28"/>
                <w:szCs w:val="28"/>
              </w:rPr>
            </w:pPr>
            <w:r>
              <w:rPr>
                <w:rFonts w:cs="Times New Roman"/>
                <w:sz w:val="28"/>
                <w:szCs w:val="28"/>
              </w:rPr>
              <w:t>Majorare cu 30%</w:t>
            </w:r>
          </w:p>
          <w:p w14:paraId="076BDC53" w14:textId="77777777" w:rsidR="0075115C" w:rsidRDefault="0075115C">
            <w:pPr>
              <w:rPr>
                <w:rFonts w:cs="Times New Roman"/>
                <w:sz w:val="28"/>
                <w:szCs w:val="28"/>
              </w:rPr>
            </w:pPr>
          </w:p>
        </w:tc>
      </w:tr>
      <w:tr w:rsidR="0075115C" w14:paraId="2F4DE314" w14:textId="77777777">
        <w:tc>
          <w:tcPr>
            <w:tcW w:w="0" w:type="auto"/>
            <w:vMerge w:val="restart"/>
          </w:tcPr>
          <w:p w14:paraId="49F5C9BE" w14:textId="77777777" w:rsidR="0075115C" w:rsidRDefault="00623B17">
            <w:pPr>
              <w:pStyle w:val="ae"/>
              <w:numPr>
                <w:ilvl w:val="0"/>
                <w:numId w:val="10"/>
              </w:numPr>
              <w:rPr>
                <w:rFonts w:eastAsia="Times New Roman" w:cs="Times New Roman"/>
                <w:color w:val="222A35" w:themeColor="text2" w:themeShade="80"/>
                <w:sz w:val="28"/>
                <w:szCs w:val="28"/>
                <w:lang w:eastAsia="zh-CN"/>
              </w:rPr>
            </w:pPr>
            <w:r>
              <w:rPr>
                <w:rFonts w:eastAsia="Times New Roman" w:cs="Times New Roman"/>
                <w:color w:val="222A35"/>
                <w:sz w:val="28"/>
                <w:szCs w:val="28"/>
              </w:rPr>
              <w:t xml:space="preserve">Creșterea accesului la măsuri de asistență socială pentru străini aflați în situație de dificultate și îmbunătățirea nivelului de incluziune socială a acestora, </w:t>
            </w:r>
            <w:r>
              <w:rPr>
                <w:rFonts w:eastAsia="Times New Roman" w:cs="Times New Roman"/>
                <w:color w:val="222A35" w:themeColor="text2" w:themeShade="80"/>
                <w:sz w:val="28"/>
                <w:szCs w:val="28"/>
                <w:lang w:eastAsia="zh-CN"/>
              </w:rPr>
              <w:t xml:space="preserve">cu accent pe nevoile specifice </w:t>
            </w:r>
            <w:r>
              <w:rPr>
                <w:rFonts w:eastAsia="Times New Roman" w:cs="Times New Roman"/>
                <w:color w:val="222A35" w:themeColor="text2" w:themeShade="80"/>
                <w:sz w:val="28"/>
                <w:szCs w:val="28"/>
                <w:lang w:eastAsia="zh-CN"/>
              </w:rPr>
              <w:t>ale femeilor și fetelor.</w:t>
            </w:r>
          </w:p>
          <w:p w14:paraId="7549601A" w14:textId="77777777" w:rsidR="0075115C" w:rsidRDefault="0075115C">
            <w:pPr>
              <w:rPr>
                <w:rFonts w:cs="Times New Roman"/>
                <w:sz w:val="28"/>
                <w:szCs w:val="28"/>
              </w:rPr>
            </w:pPr>
          </w:p>
        </w:tc>
        <w:tc>
          <w:tcPr>
            <w:tcW w:w="0" w:type="auto"/>
          </w:tcPr>
          <w:p w14:paraId="1AF8BCBC" w14:textId="77777777" w:rsidR="0075115C" w:rsidRDefault="00623B17">
            <w:pPr>
              <w:rPr>
                <w:rFonts w:cs="Times New Roman"/>
                <w:sz w:val="28"/>
                <w:szCs w:val="28"/>
              </w:rPr>
            </w:pPr>
            <w:r>
              <w:rPr>
                <w:rFonts w:cs="Times New Roman"/>
                <w:sz w:val="28"/>
                <w:szCs w:val="28"/>
              </w:rPr>
              <w:t>Rata de participare a refugiaților la programe de integrare și incluziune socială</w:t>
            </w:r>
          </w:p>
        </w:tc>
        <w:tc>
          <w:tcPr>
            <w:tcW w:w="0" w:type="auto"/>
          </w:tcPr>
          <w:p w14:paraId="536D325E" w14:textId="77777777" w:rsidR="0075115C" w:rsidRDefault="00623B17">
            <w:pPr>
              <w:rPr>
                <w:rFonts w:cs="Times New Roman"/>
                <w:sz w:val="28"/>
                <w:szCs w:val="28"/>
              </w:rPr>
            </w:pPr>
            <w:r>
              <w:rPr>
                <w:rFonts w:cs="Times New Roman"/>
                <w:sz w:val="28"/>
                <w:szCs w:val="28"/>
              </w:rPr>
              <w:t>Inspectoratul General pentru Migrație; Ministerul Muncii și Protecție Sociale; Ministerul Culturii</w:t>
            </w:r>
          </w:p>
        </w:tc>
        <w:tc>
          <w:tcPr>
            <w:tcW w:w="0" w:type="auto"/>
          </w:tcPr>
          <w:p w14:paraId="1F321139" w14:textId="77777777" w:rsidR="0075115C" w:rsidRDefault="00623B17">
            <w:pPr>
              <w:rPr>
                <w:rFonts w:cs="Times New Roman"/>
                <w:sz w:val="28"/>
                <w:szCs w:val="28"/>
              </w:rPr>
            </w:pPr>
            <w:r>
              <w:rPr>
                <w:rFonts w:cs="Times New Roman"/>
                <w:sz w:val="28"/>
                <w:szCs w:val="28"/>
              </w:rPr>
              <w:t>50%</w:t>
            </w:r>
          </w:p>
          <w:p w14:paraId="5ECB7FB6" w14:textId="77777777" w:rsidR="0075115C" w:rsidRDefault="00623B17">
            <w:pPr>
              <w:rPr>
                <w:rFonts w:cs="Times New Roman"/>
                <w:sz w:val="28"/>
                <w:szCs w:val="28"/>
              </w:rPr>
            </w:pPr>
            <w:r>
              <w:rPr>
                <w:rFonts w:cs="Times New Roman"/>
                <w:sz w:val="28"/>
                <w:szCs w:val="28"/>
              </w:rPr>
              <w:t>(2024)</w:t>
            </w:r>
          </w:p>
        </w:tc>
        <w:tc>
          <w:tcPr>
            <w:tcW w:w="0" w:type="auto"/>
          </w:tcPr>
          <w:p w14:paraId="3FEF5850" w14:textId="77777777" w:rsidR="0075115C" w:rsidRDefault="00623B17">
            <w:pPr>
              <w:rPr>
                <w:rFonts w:cs="Times New Roman"/>
                <w:sz w:val="28"/>
                <w:szCs w:val="28"/>
              </w:rPr>
            </w:pPr>
            <w:r>
              <w:rPr>
                <w:rFonts w:cs="Times New Roman"/>
                <w:sz w:val="28"/>
                <w:szCs w:val="28"/>
              </w:rPr>
              <w:t>75%</w:t>
            </w:r>
          </w:p>
          <w:p w14:paraId="5C1BBDD1" w14:textId="77777777" w:rsidR="0075115C" w:rsidRDefault="00623B17">
            <w:pPr>
              <w:rPr>
                <w:rFonts w:cs="Times New Roman"/>
                <w:sz w:val="28"/>
                <w:szCs w:val="28"/>
              </w:rPr>
            </w:pPr>
            <w:r>
              <w:rPr>
                <w:sz w:val="28"/>
                <w:szCs w:val="28"/>
              </w:rPr>
              <w:t>(dezagregat pe sexe)</w:t>
            </w:r>
          </w:p>
        </w:tc>
      </w:tr>
      <w:tr w:rsidR="0075115C" w14:paraId="159B6CE4" w14:textId="77777777">
        <w:tc>
          <w:tcPr>
            <w:tcW w:w="0" w:type="auto"/>
            <w:vMerge/>
          </w:tcPr>
          <w:p w14:paraId="5A0D3C2C" w14:textId="77777777" w:rsidR="0075115C" w:rsidRDefault="0075115C">
            <w:pPr>
              <w:ind w:left="318"/>
              <w:rPr>
                <w:rFonts w:cs="Times New Roman"/>
                <w:sz w:val="28"/>
                <w:szCs w:val="28"/>
              </w:rPr>
            </w:pPr>
          </w:p>
        </w:tc>
        <w:tc>
          <w:tcPr>
            <w:tcW w:w="0" w:type="auto"/>
          </w:tcPr>
          <w:p w14:paraId="48CA4FE2" w14:textId="77777777" w:rsidR="0075115C" w:rsidRDefault="00623B17">
            <w:pPr>
              <w:rPr>
                <w:rFonts w:cs="Times New Roman"/>
                <w:sz w:val="28"/>
                <w:szCs w:val="28"/>
              </w:rPr>
            </w:pPr>
            <w:r>
              <w:rPr>
                <w:rFonts w:cs="Times New Roman"/>
                <w:sz w:val="28"/>
                <w:szCs w:val="28"/>
              </w:rPr>
              <w:t xml:space="preserve">Numărul de </w:t>
            </w:r>
            <w:r>
              <w:rPr>
                <w:rFonts w:cs="Times New Roman"/>
                <w:sz w:val="28"/>
                <w:szCs w:val="28"/>
              </w:rPr>
              <w:t>copii din grupuri vulnerabile beneficiare de măsuri de protecție</w:t>
            </w:r>
          </w:p>
        </w:tc>
        <w:tc>
          <w:tcPr>
            <w:tcW w:w="0" w:type="auto"/>
          </w:tcPr>
          <w:p w14:paraId="14675A29" w14:textId="77777777" w:rsidR="0075115C" w:rsidRDefault="00623B17">
            <w:pPr>
              <w:rPr>
                <w:rFonts w:cs="Times New Roman"/>
                <w:sz w:val="28"/>
                <w:szCs w:val="28"/>
              </w:rPr>
            </w:pPr>
            <w:r>
              <w:rPr>
                <w:rFonts w:cs="Times New Roman"/>
                <w:sz w:val="28"/>
                <w:szCs w:val="28"/>
              </w:rPr>
              <w:t>Inspectoratul General pentru Migrație; Ministerul Muncii și Protecție Sociale</w:t>
            </w:r>
          </w:p>
        </w:tc>
        <w:tc>
          <w:tcPr>
            <w:tcW w:w="0" w:type="auto"/>
          </w:tcPr>
          <w:p w14:paraId="5BFA8E31" w14:textId="77777777" w:rsidR="0075115C" w:rsidRDefault="00623B17">
            <w:pPr>
              <w:rPr>
                <w:rFonts w:cs="Times New Roman"/>
                <w:sz w:val="28"/>
                <w:szCs w:val="28"/>
              </w:rPr>
            </w:pPr>
            <w:r>
              <w:rPr>
                <w:rFonts w:cs="Times New Roman"/>
                <w:sz w:val="28"/>
                <w:szCs w:val="28"/>
              </w:rPr>
              <w:t>-</w:t>
            </w:r>
          </w:p>
        </w:tc>
        <w:tc>
          <w:tcPr>
            <w:tcW w:w="0" w:type="auto"/>
          </w:tcPr>
          <w:p w14:paraId="362DC997" w14:textId="77777777" w:rsidR="0075115C" w:rsidRDefault="00623B17">
            <w:pPr>
              <w:rPr>
                <w:rFonts w:cs="Times New Roman"/>
                <w:sz w:val="28"/>
                <w:szCs w:val="28"/>
              </w:rPr>
            </w:pPr>
            <w:r>
              <w:rPr>
                <w:rFonts w:cs="Times New Roman"/>
                <w:sz w:val="28"/>
                <w:szCs w:val="28"/>
              </w:rPr>
              <w:t>Majorare cu 30%</w:t>
            </w:r>
          </w:p>
        </w:tc>
      </w:tr>
      <w:tr w:rsidR="0075115C" w14:paraId="5EBB094F" w14:textId="77777777">
        <w:tc>
          <w:tcPr>
            <w:tcW w:w="0" w:type="auto"/>
            <w:vMerge/>
          </w:tcPr>
          <w:p w14:paraId="06AD21CD" w14:textId="77777777" w:rsidR="0075115C" w:rsidRDefault="0075115C">
            <w:pPr>
              <w:ind w:left="318"/>
              <w:rPr>
                <w:rFonts w:cs="Times New Roman"/>
                <w:sz w:val="28"/>
                <w:szCs w:val="28"/>
              </w:rPr>
            </w:pPr>
          </w:p>
        </w:tc>
        <w:tc>
          <w:tcPr>
            <w:tcW w:w="0" w:type="auto"/>
          </w:tcPr>
          <w:p w14:paraId="3AF66713" w14:textId="77777777" w:rsidR="0075115C" w:rsidRDefault="00623B17">
            <w:pPr>
              <w:rPr>
                <w:rFonts w:cs="Times New Roman"/>
                <w:sz w:val="28"/>
                <w:szCs w:val="28"/>
              </w:rPr>
            </w:pPr>
            <w:r>
              <w:rPr>
                <w:rFonts w:cs="Times New Roman"/>
                <w:sz w:val="28"/>
                <w:szCs w:val="28"/>
              </w:rPr>
              <w:t>Rata de solu</w:t>
            </w:r>
            <w:r>
              <w:rPr>
                <w:rFonts w:cs="Times New Roman"/>
                <w:sz w:val="28"/>
                <w:szCs w:val="28"/>
                <w:lang w:val="ro-RO"/>
              </w:rPr>
              <w:t>ț</w:t>
            </w:r>
            <w:r>
              <w:rPr>
                <w:rFonts w:cs="Times New Roman"/>
                <w:sz w:val="28"/>
                <w:szCs w:val="28"/>
              </w:rPr>
              <w:t xml:space="preserve">ionare a cazurilor de abuzuri și exploatare a copiilor străini și refugiați din </w:t>
            </w:r>
            <w:r>
              <w:rPr>
                <w:rFonts w:cs="Times New Roman"/>
                <w:sz w:val="28"/>
                <w:szCs w:val="28"/>
              </w:rPr>
              <w:lastRenderedPageBreak/>
              <w:t>numărul total raportate</w:t>
            </w:r>
          </w:p>
        </w:tc>
        <w:tc>
          <w:tcPr>
            <w:tcW w:w="0" w:type="auto"/>
          </w:tcPr>
          <w:p w14:paraId="19DD272F" w14:textId="77777777" w:rsidR="0075115C" w:rsidRDefault="00623B17">
            <w:pPr>
              <w:rPr>
                <w:rFonts w:cs="Times New Roman"/>
                <w:sz w:val="28"/>
                <w:szCs w:val="28"/>
              </w:rPr>
            </w:pPr>
            <w:r>
              <w:rPr>
                <w:rFonts w:cs="Times New Roman"/>
                <w:sz w:val="28"/>
                <w:szCs w:val="28"/>
              </w:rPr>
              <w:lastRenderedPageBreak/>
              <w:t xml:space="preserve">Agenția Națională de Prevenire și Combatere a Violenței împotriva Femeilor și a </w:t>
            </w:r>
            <w:r>
              <w:rPr>
                <w:rFonts w:cs="Times New Roman"/>
                <w:sz w:val="28"/>
                <w:szCs w:val="28"/>
              </w:rPr>
              <w:lastRenderedPageBreak/>
              <w:t>Violenței în Familie</w:t>
            </w:r>
          </w:p>
        </w:tc>
        <w:tc>
          <w:tcPr>
            <w:tcW w:w="0" w:type="auto"/>
          </w:tcPr>
          <w:p w14:paraId="54350366" w14:textId="77777777" w:rsidR="0075115C" w:rsidRDefault="00623B17">
            <w:pPr>
              <w:rPr>
                <w:rFonts w:cs="Times New Roman"/>
                <w:sz w:val="28"/>
                <w:szCs w:val="28"/>
              </w:rPr>
            </w:pPr>
            <w:r>
              <w:rPr>
                <w:rFonts w:cs="Times New Roman"/>
                <w:sz w:val="28"/>
                <w:szCs w:val="28"/>
              </w:rPr>
              <w:lastRenderedPageBreak/>
              <w:t>-</w:t>
            </w:r>
          </w:p>
        </w:tc>
        <w:tc>
          <w:tcPr>
            <w:tcW w:w="0" w:type="auto"/>
          </w:tcPr>
          <w:p w14:paraId="10D04B48" w14:textId="77777777" w:rsidR="0075115C" w:rsidRDefault="00623B17">
            <w:pPr>
              <w:rPr>
                <w:rFonts w:cs="Times New Roman"/>
                <w:sz w:val="28"/>
                <w:szCs w:val="28"/>
              </w:rPr>
            </w:pPr>
            <w:r>
              <w:rPr>
                <w:rFonts w:cs="Times New Roman"/>
                <w:sz w:val="28"/>
                <w:szCs w:val="28"/>
              </w:rPr>
              <w:t>Majorare cu 30%</w:t>
            </w:r>
          </w:p>
          <w:p w14:paraId="21E4B9DD" w14:textId="77777777" w:rsidR="0075115C" w:rsidRDefault="00623B17">
            <w:pPr>
              <w:rPr>
                <w:rFonts w:cs="Times New Roman"/>
                <w:sz w:val="28"/>
                <w:szCs w:val="28"/>
              </w:rPr>
            </w:pPr>
            <w:r>
              <w:rPr>
                <w:sz w:val="28"/>
                <w:szCs w:val="28"/>
              </w:rPr>
              <w:t>(dezagregat pe vîrstă și sexe)</w:t>
            </w:r>
          </w:p>
        </w:tc>
      </w:tr>
      <w:tr w:rsidR="0075115C" w14:paraId="21A8866A" w14:textId="77777777">
        <w:tc>
          <w:tcPr>
            <w:tcW w:w="0" w:type="auto"/>
            <w:vMerge/>
          </w:tcPr>
          <w:p w14:paraId="4860F41D" w14:textId="77777777" w:rsidR="0075115C" w:rsidRDefault="0075115C">
            <w:pPr>
              <w:ind w:left="318"/>
              <w:rPr>
                <w:rFonts w:cs="Times New Roman"/>
                <w:sz w:val="28"/>
                <w:szCs w:val="28"/>
              </w:rPr>
            </w:pPr>
          </w:p>
        </w:tc>
        <w:tc>
          <w:tcPr>
            <w:tcW w:w="0" w:type="auto"/>
          </w:tcPr>
          <w:p w14:paraId="4A81E343" w14:textId="77777777" w:rsidR="0075115C" w:rsidRDefault="00623B17">
            <w:pPr>
              <w:rPr>
                <w:rFonts w:cs="Times New Roman"/>
                <w:sz w:val="28"/>
                <w:szCs w:val="28"/>
              </w:rPr>
            </w:pPr>
            <w:r>
              <w:rPr>
                <w:rFonts w:cs="Times New Roman"/>
                <w:sz w:val="28"/>
                <w:szCs w:val="28"/>
              </w:rPr>
              <w:t>Numărul de victime de VBG care au accesat servicii de sprijin</w:t>
            </w:r>
          </w:p>
        </w:tc>
        <w:tc>
          <w:tcPr>
            <w:tcW w:w="0" w:type="auto"/>
          </w:tcPr>
          <w:p w14:paraId="73F85C4D" w14:textId="77777777" w:rsidR="0075115C" w:rsidRDefault="00623B17">
            <w:pPr>
              <w:rPr>
                <w:rFonts w:cs="Times New Roman"/>
                <w:sz w:val="28"/>
                <w:szCs w:val="28"/>
              </w:rPr>
            </w:pPr>
            <w:r>
              <w:rPr>
                <w:rFonts w:cs="Times New Roman"/>
                <w:sz w:val="28"/>
                <w:szCs w:val="28"/>
              </w:rPr>
              <w:t xml:space="preserve">Agenția Națională </w:t>
            </w:r>
            <w:r>
              <w:rPr>
                <w:rFonts w:cs="Times New Roman"/>
                <w:sz w:val="28"/>
                <w:szCs w:val="28"/>
              </w:rPr>
              <w:t>de Prevenire și Combatere a Violenței împotriva Femeilor și a Violenței în Familie</w:t>
            </w:r>
          </w:p>
        </w:tc>
        <w:tc>
          <w:tcPr>
            <w:tcW w:w="0" w:type="auto"/>
          </w:tcPr>
          <w:p w14:paraId="19F9E372" w14:textId="77777777" w:rsidR="0075115C" w:rsidRDefault="00623B17">
            <w:pPr>
              <w:rPr>
                <w:rFonts w:cs="Times New Roman"/>
                <w:sz w:val="28"/>
                <w:szCs w:val="28"/>
              </w:rPr>
            </w:pPr>
            <w:r>
              <w:rPr>
                <w:rFonts w:cs="Times New Roman"/>
                <w:sz w:val="28"/>
                <w:szCs w:val="28"/>
              </w:rPr>
              <w:t>-</w:t>
            </w:r>
          </w:p>
        </w:tc>
        <w:tc>
          <w:tcPr>
            <w:tcW w:w="0" w:type="auto"/>
          </w:tcPr>
          <w:p w14:paraId="22974E6E" w14:textId="77777777" w:rsidR="0075115C" w:rsidRDefault="00623B17">
            <w:pPr>
              <w:rPr>
                <w:rFonts w:cs="Times New Roman"/>
                <w:sz w:val="28"/>
                <w:szCs w:val="28"/>
              </w:rPr>
            </w:pPr>
            <w:r>
              <w:rPr>
                <w:rFonts w:cs="Times New Roman"/>
                <w:sz w:val="28"/>
                <w:szCs w:val="28"/>
              </w:rPr>
              <w:t>-</w:t>
            </w:r>
          </w:p>
        </w:tc>
      </w:tr>
      <w:tr w:rsidR="0075115C" w14:paraId="34F0D231" w14:textId="77777777">
        <w:tc>
          <w:tcPr>
            <w:tcW w:w="0" w:type="auto"/>
            <w:vMerge w:val="restart"/>
          </w:tcPr>
          <w:p w14:paraId="593949AD" w14:textId="77777777" w:rsidR="0075115C" w:rsidRDefault="00623B17">
            <w:pPr>
              <w:pStyle w:val="ae"/>
              <w:numPr>
                <w:ilvl w:val="0"/>
                <w:numId w:val="10"/>
              </w:numPr>
              <w:ind w:left="318"/>
              <w:contextualSpacing w:val="0"/>
              <w:rPr>
                <w:rFonts w:cs="Times New Roman"/>
                <w:sz w:val="28"/>
                <w:szCs w:val="28"/>
              </w:rPr>
            </w:pPr>
            <w:r>
              <w:rPr>
                <w:rFonts w:eastAsia="Times New Roman" w:cs="Times New Roman"/>
                <w:sz w:val="28"/>
                <w:szCs w:val="28"/>
                <w:lang w:eastAsia="zh-CN"/>
              </w:rPr>
              <w:t>Stimularea dezvoltării economice prin valorificarea potențialului străinilor, inclusiv a persoanelor strămutate în Republica Moldova</w:t>
            </w:r>
          </w:p>
        </w:tc>
        <w:tc>
          <w:tcPr>
            <w:tcW w:w="0" w:type="auto"/>
          </w:tcPr>
          <w:p w14:paraId="05CC6265" w14:textId="77777777" w:rsidR="0075115C" w:rsidRDefault="00623B17">
            <w:pPr>
              <w:rPr>
                <w:rFonts w:cs="Times New Roman"/>
                <w:sz w:val="28"/>
                <w:szCs w:val="28"/>
              </w:rPr>
            </w:pPr>
            <w:r>
              <w:rPr>
                <w:rFonts w:cs="Times New Roman"/>
                <w:sz w:val="28"/>
                <w:szCs w:val="28"/>
              </w:rPr>
              <w:t xml:space="preserve">Calitatea Reglementărilor </w:t>
            </w:r>
            <w:r>
              <w:rPr>
                <w:rFonts w:cs="Times New Roman"/>
                <w:sz w:val="28"/>
                <w:szCs w:val="28"/>
              </w:rPr>
              <w:t>(eficiența guvernanței)</w:t>
            </w:r>
          </w:p>
        </w:tc>
        <w:tc>
          <w:tcPr>
            <w:tcW w:w="0" w:type="auto"/>
          </w:tcPr>
          <w:p w14:paraId="0CE7696D" w14:textId="77777777" w:rsidR="0075115C" w:rsidRDefault="00623B17">
            <w:pPr>
              <w:rPr>
                <w:rFonts w:cs="Times New Roman"/>
                <w:sz w:val="28"/>
                <w:szCs w:val="28"/>
              </w:rPr>
            </w:pPr>
            <w:r>
              <w:rPr>
                <w:rFonts w:cs="Times New Roman"/>
                <w:sz w:val="28"/>
                <w:szCs w:val="28"/>
              </w:rPr>
              <w:t>Ministerul Dezvoltării Economice și Digitalizării</w:t>
            </w:r>
          </w:p>
        </w:tc>
        <w:tc>
          <w:tcPr>
            <w:tcW w:w="0" w:type="auto"/>
          </w:tcPr>
          <w:p w14:paraId="24C43EEF" w14:textId="77777777" w:rsidR="0075115C" w:rsidRDefault="00623B17">
            <w:pPr>
              <w:rPr>
                <w:rFonts w:cs="Times New Roman"/>
                <w:sz w:val="28"/>
                <w:szCs w:val="28"/>
              </w:rPr>
            </w:pPr>
            <w:r>
              <w:rPr>
                <w:rFonts w:cs="Times New Roman"/>
                <w:sz w:val="28"/>
                <w:szCs w:val="28"/>
              </w:rPr>
              <w:t>-</w:t>
            </w:r>
          </w:p>
        </w:tc>
        <w:tc>
          <w:tcPr>
            <w:tcW w:w="0" w:type="auto"/>
          </w:tcPr>
          <w:p w14:paraId="17AF237B" w14:textId="77777777" w:rsidR="0075115C" w:rsidRDefault="00623B17">
            <w:pPr>
              <w:rPr>
                <w:rFonts w:cs="Times New Roman"/>
                <w:sz w:val="28"/>
                <w:szCs w:val="28"/>
              </w:rPr>
            </w:pPr>
            <w:r>
              <w:rPr>
                <w:rFonts w:cs="Times New Roman"/>
                <w:sz w:val="28"/>
                <w:szCs w:val="28"/>
              </w:rPr>
              <w:t>+10% (2026)</w:t>
            </w:r>
          </w:p>
        </w:tc>
      </w:tr>
      <w:tr w:rsidR="0075115C" w14:paraId="13E32B41" w14:textId="77777777">
        <w:tc>
          <w:tcPr>
            <w:tcW w:w="0" w:type="auto"/>
            <w:vMerge/>
          </w:tcPr>
          <w:p w14:paraId="15BC7799" w14:textId="77777777" w:rsidR="0075115C" w:rsidRDefault="0075115C">
            <w:pPr>
              <w:ind w:left="318"/>
              <w:rPr>
                <w:rFonts w:cs="Times New Roman"/>
                <w:sz w:val="28"/>
                <w:szCs w:val="28"/>
              </w:rPr>
            </w:pPr>
          </w:p>
        </w:tc>
        <w:tc>
          <w:tcPr>
            <w:tcW w:w="0" w:type="auto"/>
          </w:tcPr>
          <w:p w14:paraId="7A44DB3B" w14:textId="77777777" w:rsidR="0075115C" w:rsidRDefault="00623B17">
            <w:pPr>
              <w:rPr>
                <w:rFonts w:cs="Times New Roman"/>
                <w:sz w:val="28"/>
                <w:szCs w:val="28"/>
              </w:rPr>
            </w:pPr>
            <w:r>
              <w:rPr>
                <w:rFonts w:cs="Times New Roman"/>
                <w:sz w:val="28"/>
                <w:szCs w:val="28"/>
              </w:rPr>
              <w:t>Numărul cetățenilor străini calificați, angajați în câmpul muncii</w:t>
            </w:r>
          </w:p>
        </w:tc>
        <w:tc>
          <w:tcPr>
            <w:tcW w:w="0" w:type="auto"/>
          </w:tcPr>
          <w:p w14:paraId="3E9B5E8B" w14:textId="77777777" w:rsidR="0075115C" w:rsidRDefault="00623B17">
            <w:pPr>
              <w:rPr>
                <w:rFonts w:cs="Times New Roman"/>
                <w:sz w:val="28"/>
                <w:szCs w:val="28"/>
              </w:rPr>
            </w:pPr>
            <w:r>
              <w:rPr>
                <w:rFonts w:cs="Times New Roman"/>
                <w:sz w:val="28"/>
                <w:szCs w:val="28"/>
              </w:rPr>
              <w:t>Ministerul Dezvoltării Economice și Digitalizării</w:t>
            </w:r>
          </w:p>
        </w:tc>
        <w:tc>
          <w:tcPr>
            <w:tcW w:w="0" w:type="auto"/>
          </w:tcPr>
          <w:p w14:paraId="6986DAED" w14:textId="77777777" w:rsidR="0075115C" w:rsidRDefault="00623B17">
            <w:pPr>
              <w:rPr>
                <w:rFonts w:cs="Times New Roman"/>
                <w:sz w:val="28"/>
                <w:szCs w:val="28"/>
              </w:rPr>
            </w:pPr>
            <w:r>
              <w:rPr>
                <w:rFonts w:cs="Times New Roman"/>
                <w:sz w:val="28"/>
                <w:szCs w:val="28"/>
              </w:rPr>
              <w:t>-</w:t>
            </w:r>
          </w:p>
          <w:p w14:paraId="7589AD88" w14:textId="77777777" w:rsidR="0075115C" w:rsidRDefault="00623B17">
            <w:pPr>
              <w:rPr>
                <w:rFonts w:cs="Times New Roman"/>
                <w:sz w:val="28"/>
                <w:szCs w:val="28"/>
              </w:rPr>
            </w:pPr>
            <w:r>
              <w:rPr>
                <w:rFonts w:cs="Times New Roman"/>
                <w:sz w:val="28"/>
                <w:szCs w:val="28"/>
              </w:rPr>
              <w:t>(2024)</w:t>
            </w:r>
          </w:p>
        </w:tc>
        <w:tc>
          <w:tcPr>
            <w:tcW w:w="0" w:type="auto"/>
          </w:tcPr>
          <w:p w14:paraId="3DD328C7" w14:textId="77777777" w:rsidR="0075115C" w:rsidRDefault="00623B17">
            <w:pPr>
              <w:rPr>
                <w:rFonts w:cs="Times New Roman"/>
                <w:sz w:val="28"/>
                <w:szCs w:val="28"/>
              </w:rPr>
            </w:pPr>
            <w:r>
              <w:rPr>
                <w:rFonts w:cs="Times New Roman"/>
                <w:sz w:val="28"/>
                <w:szCs w:val="28"/>
              </w:rPr>
              <w:t>-</w:t>
            </w:r>
          </w:p>
          <w:p w14:paraId="68D02332" w14:textId="77777777" w:rsidR="0075115C" w:rsidRDefault="00623B17">
            <w:pPr>
              <w:rPr>
                <w:rFonts w:cs="Times New Roman"/>
                <w:sz w:val="28"/>
                <w:szCs w:val="28"/>
              </w:rPr>
            </w:pPr>
            <w:r>
              <w:rPr>
                <w:rFonts w:cs="Times New Roman"/>
                <w:sz w:val="28"/>
                <w:szCs w:val="28"/>
              </w:rPr>
              <w:t>(dezagregat pe sexe)</w:t>
            </w:r>
          </w:p>
        </w:tc>
      </w:tr>
      <w:tr w:rsidR="0075115C" w14:paraId="29EDDFE0" w14:textId="77777777">
        <w:tc>
          <w:tcPr>
            <w:tcW w:w="0" w:type="auto"/>
            <w:vMerge/>
          </w:tcPr>
          <w:p w14:paraId="0CFF1A48" w14:textId="77777777" w:rsidR="0075115C" w:rsidRDefault="0075115C">
            <w:pPr>
              <w:ind w:left="318"/>
              <w:rPr>
                <w:rFonts w:cs="Times New Roman"/>
                <w:sz w:val="28"/>
                <w:szCs w:val="28"/>
              </w:rPr>
            </w:pPr>
          </w:p>
        </w:tc>
        <w:tc>
          <w:tcPr>
            <w:tcW w:w="0" w:type="auto"/>
          </w:tcPr>
          <w:p w14:paraId="31A00271" w14:textId="77777777" w:rsidR="0075115C" w:rsidRDefault="00623B17">
            <w:pPr>
              <w:rPr>
                <w:rFonts w:cs="Times New Roman"/>
                <w:sz w:val="28"/>
                <w:szCs w:val="28"/>
              </w:rPr>
            </w:pPr>
            <w:r>
              <w:rPr>
                <w:rFonts w:cs="Times New Roman"/>
                <w:sz w:val="28"/>
                <w:szCs w:val="28"/>
              </w:rPr>
              <w:t xml:space="preserve">Volumul </w:t>
            </w:r>
            <w:r>
              <w:rPr>
                <w:rFonts w:cs="Times New Roman"/>
                <w:sz w:val="28"/>
                <w:szCs w:val="28"/>
              </w:rPr>
              <w:t>investițiilor străinilor, inclusiv persoanelor strămutate (rata de majorare)</w:t>
            </w:r>
          </w:p>
        </w:tc>
        <w:tc>
          <w:tcPr>
            <w:tcW w:w="0" w:type="auto"/>
          </w:tcPr>
          <w:p w14:paraId="628A6B10" w14:textId="77777777" w:rsidR="0075115C" w:rsidRDefault="00623B17">
            <w:pPr>
              <w:rPr>
                <w:rFonts w:cs="Times New Roman"/>
                <w:sz w:val="28"/>
                <w:szCs w:val="28"/>
              </w:rPr>
            </w:pPr>
            <w:r>
              <w:rPr>
                <w:rFonts w:cs="Times New Roman"/>
                <w:sz w:val="28"/>
                <w:szCs w:val="28"/>
              </w:rPr>
              <w:t>Ministerul Dezvoltării Economice și Digitalizării</w:t>
            </w:r>
          </w:p>
        </w:tc>
        <w:tc>
          <w:tcPr>
            <w:tcW w:w="0" w:type="auto"/>
          </w:tcPr>
          <w:p w14:paraId="733A1F9F" w14:textId="77777777" w:rsidR="0075115C" w:rsidRDefault="00623B17">
            <w:pPr>
              <w:rPr>
                <w:rFonts w:cs="Times New Roman"/>
                <w:sz w:val="28"/>
                <w:szCs w:val="28"/>
              </w:rPr>
            </w:pPr>
            <w:r>
              <w:rPr>
                <w:rFonts w:cs="Times New Roman"/>
                <w:sz w:val="28"/>
                <w:szCs w:val="28"/>
              </w:rPr>
              <w:t>-</w:t>
            </w:r>
          </w:p>
          <w:p w14:paraId="17DC1CA9" w14:textId="77777777" w:rsidR="0075115C" w:rsidRDefault="00623B17">
            <w:pPr>
              <w:rPr>
                <w:rFonts w:cs="Times New Roman"/>
                <w:sz w:val="28"/>
                <w:szCs w:val="28"/>
              </w:rPr>
            </w:pPr>
            <w:r>
              <w:rPr>
                <w:rFonts w:cs="Times New Roman"/>
                <w:sz w:val="28"/>
                <w:szCs w:val="28"/>
              </w:rPr>
              <w:t>(2024)</w:t>
            </w:r>
          </w:p>
        </w:tc>
        <w:tc>
          <w:tcPr>
            <w:tcW w:w="0" w:type="auto"/>
          </w:tcPr>
          <w:p w14:paraId="724449A5" w14:textId="77777777" w:rsidR="0075115C" w:rsidRDefault="00623B17">
            <w:pPr>
              <w:rPr>
                <w:rFonts w:cs="Times New Roman"/>
                <w:sz w:val="28"/>
                <w:szCs w:val="28"/>
              </w:rPr>
            </w:pPr>
            <w:r>
              <w:rPr>
                <w:rFonts w:cs="Times New Roman"/>
                <w:sz w:val="28"/>
                <w:szCs w:val="28"/>
              </w:rPr>
              <w:t>Creștere cu 5 % anual</w:t>
            </w:r>
          </w:p>
          <w:p w14:paraId="40CA3F5E" w14:textId="77777777" w:rsidR="0075115C" w:rsidRDefault="0075115C">
            <w:pPr>
              <w:rPr>
                <w:rFonts w:cs="Times New Roman"/>
                <w:sz w:val="28"/>
                <w:szCs w:val="28"/>
              </w:rPr>
            </w:pPr>
          </w:p>
        </w:tc>
      </w:tr>
      <w:tr w:rsidR="0075115C" w14:paraId="6ADF2D63" w14:textId="77777777">
        <w:tc>
          <w:tcPr>
            <w:tcW w:w="0" w:type="auto"/>
            <w:vMerge w:val="restart"/>
          </w:tcPr>
          <w:p w14:paraId="25B26F57" w14:textId="77777777" w:rsidR="0075115C" w:rsidRDefault="00623B17">
            <w:pPr>
              <w:pStyle w:val="ae"/>
              <w:numPr>
                <w:ilvl w:val="0"/>
                <w:numId w:val="10"/>
              </w:numPr>
              <w:ind w:left="318"/>
              <w:contextualSpacing w:val="0"/>
              <w:rPr>
                <w:rFonts w:cs="Times New Roman"/>
                <w:sz w:val="28"/>
                <w:szCs w:val="28"/>
              </w:rPr>
            </w:pPr>
            <w:r>
              <w:rPr>
                <w:rFonts w:cs="Times New Roman"/>
                <w:sz w:val="28"/>
                <w:szCs w:val="28"/>
              </w:rPr>
              <w:t xml:space="preserve">Asigurarea accesului la servicii de sănătate esențiale pentru 90% dintre străini aflați pe </w:t>
            </w:r>
            <w:r>
              <w:rPr>
                <w:rFonts w:cs="Times New Roman"/>
                <w:sz w:val="28"/>
                <w:szCs w:val="28"/>
              </w:rPr>
              <w:t>teritoriul Republicii Moldova cu statut legal până la sfârșitul anului 2027, prin instituirea unor mecanisme durabile și sustenabile.</w:t>
            </w:r>
          </w:p>
        </w:tc>
        <w:tc>
          <w:tcPr>
            <w:tcW w:w="0" w:type="auto"/>
          </w:tcPr>
          <w:p w14:paraId="496623B6" w14:textId="77777777" w:rsidR="0075115C" w:rsidRDefault="00623B17">
            <w:pPr>
              <w:rPr>
                <w:rFonts w:cs="Times New Roman"/>
                <w:sz w:val="28"/>
                <w:szCs w:val="28"/>
              </w:rPr>
            </w:pPr>
            <w:r>
              <w:rPr>
                <w:rFonts w:cs="Times New Roman"/>
                <w:sz w:val="28"/>
                <w:szCs w:val="28"/>
              </w:rPr>
              <w:t>Ponderea străinilor cu statut legal care beneficiat de servicii de sănătate (din nr. de accesări de către străini)</w:t>
            </w:r>
          </w:p>
        </w:tc>
        <w:tc>
          <w:tcPr>
            <w:tcW w:w="0" w:type="auto"/>
          </w:tcPr>
          <w:p w14:paraId="6E74E56A" w14:textId="77777777" w:rsidR="0075115C" w:rsidRDefault="00623B17">
            <w:pPr>
              <w:rPr>
                <w:rFonts w:cs="Times New Roman"/>
                <w:sz w:val="28"/>
                <w:szCs w:val="28"/>
              </w:rPr>
            </w:pPr>
            <w:r>
              <w:rPr>
                <w:rFonts w:cs="Times New Roman"/>
                <w:sz w:val="28"/>
                <w:szCs w:val="28"/>
              </w:rPr>
              <w:t>Ministe</w:t>
            </w:r>
            <w:r>
              <w:rPr>
                <w:rFonts w:cs="Times New Roman"/>
                <w:sz w:val="28"/>
                <w:szCs w:val="28"/>
              </w:rPr>
              <w:t>rul Sănătății, Compania Națională de Asigurări în Medicină</w:t>
            </w:r>
          </w:p>
        </w:tc>
        <w:tc>
          <w:tcPr>
            <w:tcW w:w="0" w:type="auto"/>
          </w:tcPr>
          <w:p w14:paraId="15920DB8" w14:textId="77777777" w:rsidR="0075115C" w:rsidRDefault="00623B17">
            <w:pPr>
              <w:rPr>
                <w:rFonts w:cs="Times New Roman"/>
                <w:sz w:val="28"/>
                <w:szCs w:val="28"/>
              </w:rPr>
            </w:pPr>
            <w:r>
              <w:rPr>
                <w:rFonts w:cs="Times New Roman"/>
                <w:sz w:val="28"/>
                <w:szCs w:val="28"/>
              </w:rPr>
              <w:t xml:space="preserve">- </w:t>
            </w:r>
          </w:p>
        </w:tc>
        <w:tc>
          <w:tcPr>
            <w:tcW w:w="0" w:type="auto"/>
          </w:tcPr>
          <w:p w14:paraId="1F250936" w14:textId="77777777" w:rsidR="0075115C" w:rsidRDefault="00623B17">
            <w:pPr>
              <w:rPr>
                <w:rFonts w:cs="Times New Roman"/>
                <w:sz w:val="28"/>
                <w:szCs w:val="28"/>
              </w:rPr>
            </w:pPr>
            <w:r>
              <w:rPr>
                <w:rFonts w:cs="Times New Roman"/>
                <w:sz w:val="28"/>
                <w:szCs w:val="28"/>
              </w:rPr>
              <w:t>-</w:t>
            </w:r>
          </w:p>
        </w:tc>
      </w:tr>
      <w:tr w:rsidR="0075115C" w14:paraId="459106F5" w14:textId="77777777">
        <w:tc>
          <w:tcPr>
            <w:tcW w:w="0" w:type="auto"/>
            <w:vMerge/>
          </w:tcPr>
          <w:p w14:paraId="0EDD27D4" w14:textId="77777777" w:rsidR="0075115C" w:rsidRDefault="0075115C">
            <w:pPr>
              <w:ind w:left="318"/>
              <w:rPr>
                <w:rFonts w:cs="Times New Roman"/>
                <w:sz w:val="28"/>
                <w:szCs w:val="28"/>
              </w:rPr>
            </w:pPr>
          </w:p>
        </w:tc>
        <w:tc>
          <w:tcPr>
            <w:tcW w:w="0" w:type="auto"/>
          </w:tcPr>
          <w:p w14:paraId="554DA30A" w14:textId="77777777" w:rsidR="0075115C" w:rsidRDefault="00623B17">
            <w:pPr>
              <w:rPr>
                <w:rFonts w:cs="Times New Roman"/>
                <w:sz w:val="28"/>
                <w:szCs w:val="28"/>
              </w:rPr>
            </w:pPr>
            <w:r>
              <w:rPr>
                <w:rFonts w:cs="Times New Roman"/>
                <w:sz w:val="28"/>
                <w:szCs w:val="28"/>
              </w:rPr>
              <w:t>Rata străinilor cu statut legal care și-au exprimat satisfacția față de accesul la serviciile de sănătate</w:t>
            </w:r>
          </w:p>
        </w:tc>
        <w:tc>
          <w:tcPr>
            <w:tcW w:w="0" w:type="auto"/>
          </w:tcPr>
          <w:p w14:paraId="1E74AB39" w14:textId="77777777" w:rsidR="0075115C" w:rsidRDefault="00623B17">
            <w:pPr>
              <w:rPr>
                <w:rFonts w:cs="Times New Roman"/>
                <w:sz w:val="28"/>
                <w:szCs w:val="28"/>
              </w:rPr>
            </w:pPr>
            <w:r>
              <w:rPr>
                <w:rFonts w:cs="Times New Roman"/>
                <w:sz w:val="28"/>
                <w:szCs w:val="28"/>
              </w:rPr>
              <w:t>Sondaje de satisfacție, ONG-uri</w:t>
            </w:r>
          </w:p>
        </w:tc>
        <w:tc>
          <w:tcPr>
            <w:tcW w:w="0" w:type="auto"/>
          </w:tcPr>
          <w:p w14:paraId="7CD97575" w14:textId="77777777" w:rsidR="0075115C" w:rsidRDefault="00623B17">
            <w:pPr>
              <w:rPr>
                <w:rFonts w:cs="Times New Roman"/>
                <w:sz w:val="28"/>
                <w:szCs w:val="28"/>
              </w:rPr>
            </w:pPr>
            <w:r>
              <w:rPr>
                <w:rFonts w:cs="Times New Roman"/>
                <w:sz w:val="28"/>
                <w:szCs w:val="28"/>
              </w:rPr>
              <w:t xml:space="preserve">- </w:t>
            </w:r>
          </w:p>
          <w:p w14:paraId="3D7BFBD8" w14:textId="77777777" w:rsidR="0075115C" w:rsidRDefault="00623B17">
            <w:pPr>
              <w:rPr>
                <w:rFonts w:cs="Times New Roman"/>
                <w:sz w:val="28"/>
                <w:szCs w:val="28"/>
              </w:rPr>
            </w:pPr>
            <w:r>
              <w:rPr>
                <w:rFonts w:cs="Times New Roman"/>
                <w:sz w:val="28"/>
                <w:szCs w:val="28"/>
              </w:rPr>
              <w:t>(2024)</w:t>
            </w:r>
          </w:p>
        </w:tc>
        <w:tc>
          <w:tcPr>
            <w:tcW w:w="0" w:type="auto"/>
          </w:tcPr>
          <w:p w14:paraId="58796E80" w14:textId="77777777" w:rsidR="0075115C" w:rsidRDefault="00623B17">
            <w:pPr>
              <w:rPr>
                <w:rFonts w:cs="Times New Roman"/>
                <w:sz w:val="28"/>
                <w:szCs w:val="28"/>
              </w:rPr>
            </w:pPr>
            <w:r>
              <w:rPr>
                <w:rFonts w:cs="Times New Roman"/>
                <w:sz w:val="28"/>
                <w:szCs w:val="28"/>
              </w:rPr>
              <w:t>Majorare cu 15 %</w:t>
            </w:r>
          </w:p>
        </w:tc>
      </w:tr>
      <w:tr w:rsidR="0075115C" w14:paraId="2328E1E7" w14:textId="77777777">
        <w:tc>
          <w:tcPr>
            <w:tcW w:w="0" w:type="auto"/>
            <w:vMerge/>
          </w:tcPr>
          <w:p w14:paraId="67C4B267" w14:textId="77777777" w:rsidR="0075115C" w:rsidRDefault="0075115C">
            <w:pPr>
              <w:ind w:left="318"/>
              <w:rPr>
                <w:rFonts w:cs="Times New Roman"/>
                <w:sz w:val="28"/>
                <w:szCs w:val="28"/>
              </w:rPr>
            </w:pPr>
          </w:p>
        </w:tc>
        <w:tc>
          <w:tcPr>
            <w:tcW w:w="0" w:type="auto"/>
          </w:tcPr>
          <w:p w14:paraId="7FFD0B9B" w14:textId="77777777" w:rsidR="0075115C" w:rsidRDefault="00623B17">
            <w:pPr>
              <w:rPr>
                <w:rFonts w:cs="Times New Roman"/>
                <w:sz w:val="28"/>
                <w:szCs w:val="28"/>
              </w:rPr>
            </w:pPr>
            <w:r>
              <w:rPr>
                <w:rFonts w:cs="Times New Roman"/>
                <w:sz w:val="28"/>
                <w:szCs w:val="28"/>
              </w:rPr>
              <w:t xml:space="preserve">Rata străinilor </w:t>
            </w:r>
            <w:r>
              <w:rPr>
                <w:rFonts w:cs="Times New Roman"/>
                <w:sz w:val="28"/>
                <w:szCs w:val="28"/>
              </w:rPr>
              <w:t xml:space="preserve">eligibili încadrați </w:t>
            </w:r>
            <w:r>
              <w:rPr>
                <w:rFonts w:cs="Times New Roman"/>
                <w:sz w:val="28"/>
                <w:szCs w:val="28"/>
              </w:rPr>
              <w:lastRenderedPageBreak/>
              <w:t>în sistemul de asigurări medicale obligatorii</w:t>
            </w:r>
          </w:p>
        </w:tc>
        <w:tc>
          <w:tcPr>
            <w:tcW w:w="0" w:type="auto"/>
          </w:tcPr>
          <w:p w14:paraId="29B3329F" w14:textId="77777777" w:rsidR="0075115C" w:rsidRDefault="00623B17">
            <w:pPr>
              <w:rPr>
                <w:rFonts w:cs="Times New Roman"/>
                <w:sz w:val="28"/>
                <w:szCs w:val="28"/>
              </w:rPr>
            </w:pPr>
            <w:r>
              <w:rPr>
                <w:rFonts w:cs="Times New Roman"/>
                <w:sz w:val="28"/>
                <w:szCs w:val="28"/>
              </w:rPr>
              <w:lastRenderedPageBreak/>
              <w:t xml:space="preserve">Compania Națională de </w:t>
            </w:r>
            <w:r>
              <w:rPr>
                <w:rFonts w:cs="Times New Roman"/>
                <w:sz w:val="28"/>
                <w:szCs w:val="28"/>
              </w:rPr>
              <w:lastRenderedPageBreak/>
              <w:t>Asigurări în Medicină</w:t>
            </w:r>
          </w:p>
        </w:tc>
        <w:tc>
          <w:tcPr>
            <w:tcW w:w="0" w:type="auto"/>
          </w:tcPr>
          <w:p w14:paraId="5AA9B43C" w14:textId="77777777" w:rsidR="0075115C" w:rsidRDefault="00623B17">
            <w:pPr>
              <w:rPr>
                <w:rFonts w:cs="Times New Roman"/>
                <w:sz w:val="28"/>
                <w:szCs w:val="28"/>
              </w:rPr>
            </w:pPr>
            <w:r>
              <w:rPr>
                <w:rFonts w:cs="Times New Roman"/>
                <w:sz w:val="28"/>
                <w:szCs w:val="28"/>
              </w:rPr>
              <w:lastRenderedPageBreak/>
              <w:t>25% (2024)</w:t>
            </w:r>
          </w:p>
        </w:tc>
        <w:tc>
          <w:tcPr>
            <w:tcW w:w="0" w:type="auto"/>
          </w:tcPr>
          <w:p w14:paraId="3B743DA9" w14:textId="77777777" w:rsidR="0075115C" w:rsidRDefault="00623B17">
            <w:pPr>
              <w:rPr>
                <w:rFonts w:cs="Times New Roman"/>
                <w:sz w:val="28"/>
                <w:szCs w:val="28"/>
              </w:rPr>
            </w:pPr>
            <w:r>
              <w:rPr>
                <w:rFonts w:cs="Times New Roman"/>
                <w:sz w:val="28"/>
                <w:szCs w:val="28"/>
              </w:rPr>
              <w:t>40 %</w:t>
            </w:r>
          </w:p>
          <w:p w14:paraId="756E4A64" w14:textId="77777777" w:rsidR="0075115C" w:rsidRDefault="00623B17">
            <w:pPr>
              <w:rPr>
                <w:rFonts w:cs="Times New Roman"/>
                <w:sz w:val="28"/>
                <w:szCs w:val="28"/>
              </w:rPr>
            </w:pPr>
            <w:r>
              <w:rPr>
                <w:rFonts w:cs="Times New Roman"/>
                <w:sz w:val="28"/>
                <w:szCs w:val="28"/>
              </w:rPr>
              <w:lastRenderedPageBreak/>
              <w:t>(dezagregat pe sexe)</w:t>
            </w:r>
          </w:p>
        </w:tc>
      </w:tr>
      <w:tr w:rsidR="0075115C" w14:paraId="7585AAE1" w14:textId="77777777">
        <w:tc>
          <w:tcPr>
            <w:tcW w:w="0" w:type="auto"/>
            <w:vMerge/>
          </w:tcPr>
          <w:p w14:paraId="726F3341" w14:textId="77777777" w:rsidR="0075115C" w:rsidRDefault="0075115C">
            <w:pPr>
              <w:ind w:left="318"/>
              <w:rPr>
                <w:rFonts w:cs="Times New Roman"/>
                <w:sz w:val="28"/>
                <w:szCs w:val="28"/>
              </w:rPr>
            </w:pPr>
          </w:p>
        </w:tc>
        <w:tc>
          <w:tcPr>
            <w:tcW w:w="0" w:type="auto"/>
          </w:tcPr>
          <w:p w14:paraId="2F0E4ABC" w14:textId="77777777" w:rsidR="0075115C" w:rsidRDefault="00623B17">
            <w:pPr>
              <w:rPr>
                <w:rFonts w:cs="Times New Roman"/>
                <w:sz w:val="28"/>
                <w:szCs w:val="28"/>
              </w:rPr>
            </w:pPr>
            <w:r>
              <w:rPr>
                <w:rFonts w:cs="Times New Roman"/>
                <w:sz w:val="28"/>
                <w:szCs w:val="28"/>
              </w:rPr>
              <w:t>Timpul mediu de acces la serviciile de sănătate pentru străini</w:t>
            </w:r>
          </w:p>
        </w:tc>
        <w:tc>
          <w:tcPr>
            <w:tcW w:w="0" w:type="auto"/>
          </w:tcPr>
          <w:p w14:paraId="5255ED88" w14:textId="77777777" w:rsidR="0075115C" w:rsidRDefault="00623B17">
            <w:pPr>
              <w:rPr>
                <w:rFonts w:cs="Times New Roman"/>
                <w:sz w:val="28"/>
                <w:szCs w:val="28"/>
              </w:rPr>
            </w:pPr>
            <w:r>
              <w:rPr>
                <w:rFonts w:cs="Times New Roman"/>
                <w:sz w:val="28"/>
                <w:szCs w:val="28"/>
              </w:rPr>
              <w:t>Ministerul Sănătății</w:t>
            </w:r>
          </w:p>
        </w:tc>
        <w:tc>
          <w:tcPr>
            <w:tcW w:w="0" w:type="auto"/>
          </w:tcPr>
          <w:p w14:paraId="45864F13" w14:textId="77777777" w:rsidR="0075115C" w:rsidRDefault="00623B17">
            <w:pPr>
              <w:rPr>
                <w:rFonts w:cs="Times New Roman"/>
                <w:sz w:val="28"/>
                <w:szCs w:val="28"/>
              </w:rPr>
            </w:pPr>
            <w:r>
              <w:rPr>
                <w:rFonts w:cs="Times New Roman"/>
                <w:sz w:val="28"/>
                <w:szCs w:val="28"/>
              </w:rPr>
              <w:t>-</w:t>
            </w:r>
          </w:p>
        </w:tc>
        <w:tc>
          <w:tcPr>
            <w:tcW w:w="0" w:type="auto"/>
          </w:tcPr>
          <w:p w14:paraId="4C946F7B" w14:textId="77777777" w:rsidR="0075115C" w:rsidRDefault="00623B17">
            <w:pPr>
              <w:rPr>
                <w:rFonts w:cs="Times New Roman"/>
                <w:sz w:val="28"/>
                <w:szCs w:val="28"/>
              </w:rPr>
            </w:pPr>
            <w:r>
              <w:rPr>
                <w:rFonts w:cs="Times New Roman"/>
                <w:sz w:val="28"/>
                <w:szCs w:val="28"/>
              </w:rPr>
              <w:t>Reducere cu 15 %</w:t>
            </w:r>
          </w:p>
        </w:tc>
      </w:tr>
      <w:tr w:rsidR="0075115C" w14:paraId="5B5973DF" w14:textId="77777777">
        <w:tc>
          <w:tcPr>
            <w:tcW w:w="0" w:type="auto"/>
            <w:vMerge w:val="restart"/>
          </w:tcPr>
          <w:p w14:paraId="23F97AD7" w14:textId="77777777" w:rsidR="0075115C" w:rsidRDefault="00623B17">
            <w:pPr>
              <w:pStyle w:val="ae"/>
              <w:numPr>
                <w:ilvl w:val="0"/>
                <w:numId w:val="10"/>
              </w:numPr>
              <w:ind w:left="318"/>
              <w:contextualSpacing w:val="0"/>
              <w:rPr>
                <w:rFonts w:cs="Times New Roman"/>
                <w:sz w:val="28"/>
                <w:szCs w:val="28"/>
              </w:rPr>
            </w:pPr>
            <w:r>
              <w:rPr>
                <w:rFonts w:cs="Times New Roman"/>
                <w:sz w:val="28"/>
                <w:szCs w:val="28"/>
              </w:rPr>
              <w:t>Cre</w:t>
            </w:r>
            <w:r>
              <w:rPr>
                <w:rFonts w:cs="Times New Roman"/>
                <w:sz w:val="28"/>
                <w:szCs w:val="28"/>
              </w:rPr>
              <w:t>ș</w:t>
            </w:r>
            <w:r>
              <w:rPr>
                <w:rFonts w:cs="Times New Roman"/>
                <w:sz w:val="28"/>
                <w:szCs w:val="28"/>
              </w:rPr>
              <w:t>terea accesului și ratei de integrare a străinilor în sistemul educațional național cu 20% până în 2027, prin programe de sprijin și adaptare.</w:t>
            </w:r>
          </w:p>
        </w:tc>
        <w:tc>
          <w:tcPr>
            <w:tcW w:w="0" w:type="auto"/>
          </w:tcPr>
          <w:p w14:paraId="34EA62BF" w14:textId="77777777" w:rsidR="0075115C" w:rsidRDefault="00623B17">
            <w:pPr>
              <w:rPr>
                <w:rFonts w:cs="Times New Roman"/>
                <w:sz w:val="28"/>
                <w:szCs w:val="28"/>
              </w:rPr>
            </w:pPr>
            <w:r>
              <w:rPr>
                <w:rFonts w:cs="Times New Roman"/>
                <w:sz w:val="28"/>
                <w:szCs w:val="28"/>
              </w:rPr>
              <w:t>Rata de înscriere a copiilor refugiați în instituții de învățământ</w:t>
            </w:r>
          </w:p>
        </w:tc>
        <w:tc>
          <w:tcPr>
            <w:tcW w:w="0" w:type="auto"/>
          </w:tcPr>
          <w:p w14:paraId="1EDB0EA8" w14:textId="77777777" w:rsidR="0075115C" w:rsidRDefault="00623B17">
            <w:pPr>
              <w:rPr>
                <w:rFonts w:cs="Times New Roman"/>
                <w:sz w:val="28"/>
                <w:szCs w:val="28"/>
              </w:rPr>
            </w:pPr>
            <w:r>
              <w:rPr>
                <w:rFonts w:cs="Times New Roman"/>
                <w:sz w:val="28"/>
                <w:szCs w:val="28"/>
              </w:rPr>
              <w:t>Ministerul Educației și Cercetării</w:t>
            </w:r>
          </w:p>
        </w:tc>
        <w:tc>
          <w:tcPr>
            <w:tcW w:w="0" w:type="auto"/>
          </w:tcPr>
          <w:p w14:paraId="54CE11A1" w14:textId="77777777" w:rsidR="0075115C" w:rsidRDefault="00623B17">
            <w:pPr>
              <w:rPr>
                <w:rFonts w:cs="Times New Roman"/>
                <w:sz w:val="28"/>
                <w:szCs w:val="28"/>
              </w:rPr>
            </w:pPr>
            <w:r>
              <w:rPr>
                <w:rFonts w:cs="Times New Roman"/>
                <w:sz w:val="28"/>
                <w:szCs w:val="28"/>
              </w:rPr>
              <w:t>65%</w:t>
            </w:r>
          </w:p>
          <w:p w14:paraId="00873C16" w14:textId="77777777" w:rsidR="0075115C" w:rsidRDefault="00623B17">
            <w:pPr>
              <w:rPr>
                <w:rFonts w:cs="Times New Roman"/>
                <w:sz w:val="28"/>
                <w:szCs w:val="28"/>
              </w:rPr>
            </w:pPr>
            <w:r>
              <w:rPr>
                <w:rFonts w:cs="Times New Roman"/>
                <w:sz w:val="28"/>
                <w:szCs w:val="28"/>
              </w:rPr>
              <w:t>(2024)</w:t>
            </w:r>
          </w:p>
        </w:tc>
        <w:tc>
          <w:tcPr>
            <w:tcW w:w="0" w:type="auto"/>
          </w:tcPr>
          <w:p w14:paraId="5F18CF5D" w14:textId="77777777" w:rsidR="0075115C" w:rsidRDefault="00623B17">
            <w:pPr>
              <w:rPr>
                <w:rFonts w:cs="Times New Roman"/>
                <w:sz w:val="28"/>
                <w:szCs w:val="28"/>
              </w:rPr>
            </w:pPr>
            <w:r>
              <w:rPr>
                <w:rFonts w:cs="Times New Roman"/>
                <w:sz w:val="28"/>
                <w:szCs w:val="28"/>
              </w:rPr>
              <w:t>85%</w:t>
            </w:r>
          </w:p>
          <w:p w14:paraId="55D8058A" w14:textId="77777777" w:rsidR="0075115C" w:rsidRDefault="00623B17">
            <w:pPr>
              <w:rPr>
                <w:rFonts w:cs="Times New Roman"/>
                <w:sz w:val="28"/>
                <w:szCs w:val="28"/>
              </w:rPr>
            </w:pPr>
            <w:r>
              <w:rPr>
                <w:rFonts w:cs="Times New Roman"/>
                <w:sz w:val="28"/>
                <w:szCs w:val="28"/>
              </w:rPr>
              <w:t>(dezagregat pe sexe)</w:t>
            </w:r>
          </w:p>
        </w:tc>
      </w:tr>
      <w:tr w:rsidR="0075115C" w14:paraId="0B34D03B" w14:textId="77777777">
        <w:tc>
          <w:tcPr>
            <w:tcW w:w="0" w:type="auto"/>
            <w:vMerge/>
          </w:tcPr>
          <w:p w14:paraId="11BF0BB4" w14:textId="77777777" w:rsidR="0075115C" w:rsidRDefault="0075115C">
            <w:pPr>
              <w:ind w:left="318"/>
              <w:rPr>
                <w:rFonts w:cs="Times New Roman"/>
                <w:sz w:val="28"/>
                <w:szCs w:val="28"/>
              </w:rPr>
            </w:pPr>
          </w:p>
        </w:tc>
        <w:tc>
          <w:tcPr>
            <w:tcW w:w="0" w:type="auto"/>
          </w:tcPr>
          <w:p w14:paraId="6930BC20" w14:textId="77777777" w:rsidR="0075115C" w:rsidRDefault="00623B17">
            <w:pPr>
              <w:rPr>
                <w:rFonts w:cs="Times New Roman"/>
                <w:sz w:val="28"/>
                <w:szCs w:val="28"/>
              </w:rPr>
            </w:pPr>
            <w:r>
              <w:rPr>
                <w:rFonts w:cs="Times New Roman"/>
                <w:sz w:val="28"/>
                <w:szCs w:val="28"/>
              </w:rPr>
              <w:t>Numărul de studenți străini în instituțiile de învățământ superior, mii</w:t>
            </w:r>
          </w:p>
        </w:tc>
        <w:tc>
          <w:tcPr>
            <w:tcW w:w="0" w:type="auto"/>
          </w:tcPr>
          <w:p w14:paraId="0DADF943" w14:textId="77777777" w:rsidR="0075115C" w:rsidRDefault="00623B17">
            <w:pPr>
              <w:rPr>
                <w:rFonts w:cs="Times New Roman"/>
                <w:sz w:val="28"/>
                <w:szCs w:val="28"/>
              </w:rPr>
            </w:pPr>
            <w:r>
              <w:rPr>
                <w:rFonts w:cs="Times New Roman"/>
                <w:sz w:val="28"/>
                <w:szCs w:val="28"/>
              </w:rPr>
              <w:t>BNS</w:t>
            </w:r>
          </w:p>
        </w:tc>
        <w:tc>
          <w:tcPr>
            <w:tcW w:w="0" w:type="auto"/>
          </w:tcPr>
          <w:p w14:paraId="66402673" w14:textId="77777777" w:rsidR="0075115C" w:rsidRDefault="00623B17">
            <w:pPr>
              <w:rPr>
                <w:rFonts w:cs="Times New Roman"/>
                <w:sz w:val="28"/>
                <w:szCs w:val="28"/>
              </w:rPr>
            </w:pPr>
            <w:r>
              <w:rPr>
                <w:rFonts w:cs="Times New Roman"/>
                <w:sz w:val="28"/>
                <w:szCs w:val="28"/>
              </w:rPr>
              <w:t>5217 (2024)</w:t>
            </w:r>
          </w:p>
        </w:tc>
        <w:tc>
          <w:tcPr>
            <w:tcW w:w="0" w:type="auto"/>
          </w:tcPr>
          <w:p w14:paraId="461002F0" w14:textId="77777777" w:rsidR="0075115C" w:rsidRDefault="00623B17">
            <w:pPr>
              <w:rPr>
                <w:rFonts w:cs="Times New Roman"/>
                <w:sz w:val="28"/>
                <w:szCs w:val="28"/>
              </w:rPr>
            </w:pPr>
            <w:r>
              <w:rPr>
                <w:rFonts w:cs="Times New Roman"/>
                <w:sz w:val="28"/>
                <w:szCs w:val="28"/>
              </w:rPr>
              <w:t>7000</w:t>
            </w:r>
          </w:p>
          <w:p w14:paraId="6F4D8002" w14:textId="77777777" w:rsidR="0075115C" w:rsidRDefault="00623B17">
            <w:pPr>
              <w:rPr>
                <w:rFonts w:cs="Times New Roman"/>
                <w:sz w:val="28"/>
                <w:szCs w:val="28"/>
              </w:rPr>
            </w:pPr>
            <w:r>
              <w:rPr>
                <w:rFonts w:cs="Times New Roman"/>
                <w:sz w:val="28"/>
                <w:szCs w:val="28"/>
              </w:rPr>
              <w:t>(dezagregat pe sexe)</w:t>
            </w:r>
          </w:p>
        </w:tc>
      </w:tr>
      <w:tr w:rsidR="0075115C" w14:paraId="0748E7B4" w14:textId="77777777">
        <w:tc>
          <w:tcPr>
            <w:tcW w:w="0" w:type="auto"/>
            <w:vMerge/>
          </w:tcPr>
          <w:p w14:paraId="04251285" w14:textId="77777777" w:rsidR="0075115C" w:rsidRDefault="0075115C">
            <w:pPr>
              <w:ind w:left="318"/>
              <w:rPr>
                <w:rFonts w:cs="Times New Roman"/>
                <w:sz w:val="28"/>
                <w:szCs w:val="28"/>
              </w:rPr>
            </w:pPr>
          </w:p>
        </w:tc>
        <w:tc>
          <w:tcPr>
            <w:tcW w:w="0" w:type="auto"/>
          </w:tcPr>
          <w:p w14:paraId="1D443CCE" w14:textId="77777777" w:rsidR="0075115C" w:rsidRDefault="00623B17">
            <w:pPr>
              <w:rPr>
                <w:rFonts w:cs="Times New Roman"/>
                <w:sz w:val="28"/>
                <w:szCs w:val="28"/>
              </w:rPr>
            </w:pPr>
            <w:r>
              <w:rPr>
                <w:rFonts w:cs="Times New Roman"/>
                <w:sz w:val="28"/>
                <w:szCs w:val="28"/>
              </w:rPr>
              <w:t>Numărul străinilor în programe de formare profesională și academică</w:t>
            </w:r>
          </w:p>
        </w:tc>
        <w:tc>
          <w:tcPr>
            <w:tcW w:w="0" w:type="auto"/>
          </w:tcPr>
          <w:p w14:paraId="5DDD5F0F" w14:textId="77777777" w:rsidR="0075115C" w:rsidRDefault="00623B17">
            <w:pPr>
              <w:rPr>
                <w:rFonts w:cs="Times New Roman"/>
                <w:sz w:val="28"/>
                <w:szCs w:val="28"/>
              </w:rPr>
            </w:pPr>
            <w:r>
              <w:rPr>
                <w:rFonts w:cs="Times New Roman"/>
                <w:sz w:val="28"/>
                <w:szCs w:val="28"/>
              </w:rPr>
              <w:t>Ministerul Educației și Cercetării</w:t>
            </w:r>
          </w:p>
        </w:tc>
        <w:tc>
          <w:tcPr>
            <w:tcW w:w="0" w:type="auto"/>
          </w:tcPr>
          <w:p w14:paraId="1094B372" w14:textId="77777777" w:rsidR="0075115C" w:rsidRDefault="00623B17">
            <w:pPr>
              <w:rPr>
                <w:rFonts w:cs="Times New Roman"/>
                <w:sz w:val="28"/>
                <w:szCs w:val="28"/>
              </w:rPr>
            </w:pPr>
            <w:r>
              <w:rPr>
                <w:rFonts w:cs="Times New Roman"/>
                <w:sz w:val="28"/>
                <w:szCs w:val="28"/>
              </w:rPr>
              <w:t xml:space="preserve">- </w:t>
            </w:r>
          </w:p>
          <w:p w14:paraId="33B4CC98" w14:textId="77777777" w:rsidR="0075115C" w:rsidRDefault="00623B17">
            <w:pPr>
              <w:rPr>
                <w:rFonts w:cs="Times New Roman"/>
                <w:sz w:val="28"/>
                <w:szCs w:val="28"/>
              </w:rPr>
            </w:pPr>
            <w:r>
              <w:rPr>
                <w:rFonts w:cs="Times New Roman"/>
                <w:sz w:val="28"/>
                <w:szCs w:val="28"/>
              </w:rPr>
              <w:t>(2024)</w:t>
            </w:r>
          </w:p>
        </w:tc>
        <w:tc>
          <w:tcPr>
            <w:tcW w:w="0" w:type="auto"/>
          </w:tcPr>
          <w:p w14:paraId="3A19B531" w14:textId="77777777" w:rsidR="0075115C" w:rsidRDefault="00623B17">
            <w:pPr>
              <w:rPr>
                <w:rFonts w:cs="Times New Roman"/>
                <w:sz w:val="28"/>
                <w:szCs w:val="28"/>
              </w:rPr>
            </w:pPr>
            <w:r>
              <w:rPr>
                <w:rFonts w:cs="Times New Roman"/>
                <w:sz w:val="28"/>
                <w:szCs w:val="28"/>
              </w:rPr>
              <w:t>20</w:t>
            </w:r>
          </w:p>
        </w:tc>
      </w:tr>
      <w:tr w:rsidR="0075115C" w14:paraId="3CDC1229" w14:textId="77777777">
        <w:tc>
          <w:tcPr>
            <w:tcW w:w="0" w:type="auto"/>
            <w:vMerge/>
          </w:tcPr>
          <w:p w14:paraId="12EDA222" w14:textId="77777777" w:rsidR="0075115C" w:rsidRDefault="0075115C">
            <w:pPr>
              <w:ind w:left="318"/>
              <w:rPr>
                <w:rFonts w:cs="Times New Roman"/>
                <w:sz w:val="28"/>
                <w:szCs w:val="28"/>
              </w:rPr>
            </w:pPr>
          </w:p>
        </w:tc>
        <w:tc>
          <w:tcPr>
            <w:tcW w:w="0" w:type="auto"/>
          </w:tcPr>
          <w:p w14:paraId="4171BF9A" w14:textId="77777777" w:rsidR="0075115C" w:rsidRDefault="00623B17">
            <w:pPr>
              <w:rPr>
                <w:rFonts w:cs="Times New Roman"/>
                <w:sz w:val="28"/>
                <w:szCs w:val="28"/>
              </w:rPr>
            </w:pPr>
            <w:r>
              <w:rPr>
                <w:rFonts w:cs="Times New Roman"/>
                <w:sz w:val="28"/>
                <w:szCs w:val="28"/>
              </w:rPr>
              <w:t xml:space="preserve">Numărul de diplome și calificări ale străinilor recunoscute </w:t>
            </w:r>
          </w:p>
        </w:tc>
        <w:tc>
          <w:tcPr>
            <w:tcW w:w="0" w:type="auto"/>
          </w:tcPr>
          <w:p w14:paraId="43D05B33" w14:textId="77777777" w:rsidR="0075115C" w:rsidRDefault="00623B17">
            <w:pPr>
              <w:rPr>
                <w:rFonts w:cs="Times New Roman"/>
                <w:sz w:val="28"/>
                <w:szCs w:val="28"/>
              </w:rPr>
            </w:pPr>
            <w:r>
              <w:rPr>
                <w:rFonts w:cs="Times New Roman"/>
                <w:sz w:val="28"/>
                <w:szCs w:val="28"/>
              </w:rPr>
              <w:t>Ministerul Educației și Cercetării</w:t>
            </w:r>
          </w:p>
        </w:tc>
        <w:tc>
          <w:tcPr>
            <w:tcW w:w="0" w:type="auto"/>
          </w:tcPr>
          <w:p w14:paraId="2B478EB7" w14:textId="77777777" w:rsidR="0075115C" w:rsidRDefault="00623B17">
            <w:pPr>
              <w:rPr>
                <w:rFonts w:cs="Times New Roman"/>
                <w:sz w:val="28"/>
                <w:szCs w:val="28"/>
              </w:rPr>
            </w:pPr>
            <w:r>
              <w:rPr>
                <w:rFonts w:cs="Times New Roman"/>
                <w:sz w:val="28"/>
                <w:szCs w:val="28"/>
              </w:rPr>
              <w:t xml:space="preserve">- </w:t>
            </w:r>
          </w:p>
          <w:p w14:paraId="733ADE7D" w14:textId="77777777" w:rsidR="0075115C" w:rsidRDefault="00623B17">
            <w:pPr>
              <w:rPr>
                <w:rFonts w:cs="Times New Roman"/>
                <w:sz w:val="28"/>
                <w:szCs w:val="28"/>
              </w:rPr>
            </w:pPr>
            <w:r>
              <w:rPr>
                <w:rFonts w:cs="Times New Roman"/>
                <w:sz w:val="28"/>
                <w:szCs w:val="28"/>
              </w:rPr>
              <w:t>(2024)</w:t>
            </w:r>
          </w:p>
        </w:tc>
        <w:tc>
          <w:tcPr>
            <w:tcW w:w="0" w:type="auto"/>
          </w:tcPr>
          <w:p w14:paraId="347663B6" w14:textId="77777777" w:rsidR="0075115C" w:rsidRDefault="00623B17">
            <w:pPr>
              <w:rPr>
                <w:rFonts w:cs="Times New Roman"/>
                <w:sz w:val="28"/>
                <w:szCs w:val="28"/>
              </w:rPr>
            </w:pPr>
            <w:r>
              <w:rPr>
                <w:rFonts w:cs="Times New Roman"/>
                <w:sz w:val="28"/>
                <w:szCs w:val="28"/>
              </w:rPr>
              <w:t>Cu 15 % mai mult</w:t>
            </w:r>
          </w:p>
        </w:tc>
      </w:tr>
      <w:tr w:rsidR="0075115C" w14:paraId="54114C49" w14:textId="77777777">
        <w:tc>
          <w:tcPr>
            <w:tcW w:w="0" w:type="auto"/>
            <w:vMerge/>
          </w:tcPr>
          <w:p w14:paraId="61B18EF3" w14:textId="77777777" w:rsidR="0075115C" w:rsidRDefault="0075115C">
            <w:pPr>
              <w:ind w:left="318"/>
              <w:rPr>
                <w:rFonts w:cs="Times New Roman"/>
                <w:sz w:val="28"/>
                <w:szCs w:val="28"/>
              </w:rPr>
            </w:pPr>
          </w:p>
        </w:tc>
        <w:tc>
          <w:tcPr>
            <w:tcW w:w="0" w:type="auto"/>
          </w:tcPr>
          <w:p w14:paraId="73C5FB3B" w14:textId="77777777" w:rsidR="0075115C" w:rsidRDefault="00623B17">
            <w:pPr>
              <w:rPr>
                <w:rFonts w:cs="Times New Roman"/>
                <w:sz w:val="28"/>
                <w:szCs w:val="28"/>
              </w:rPr>
            </w:pPr>
            <w:r>
              <w:rPr>
                <w:rFonts w:cs="Times New Roman"/>
                <w:sz w:val="28"/>
                <w:szCs w:val="28"/>
              </w:rPr>
              <w:t>Numărul copiilor refugiaților din Ucraina integrați în instituțiile de învățământ general</w:t>
            </w:r>
          </w:p>
        </w:tc>
        <w:tc>
          <w:tcPr>
            <w:tcW w:w="0" w:type="auto"/>
          </w:tcPr>
          <w:p w14:paraId="0D440969" w14:textId="77777777" w:rsidR="0075115C" w:rsidRDefault="00623B17">
            <w:pPr>
              <w:rPr>
                <w:rFonts w:cs="Times New Roman"/>
                <w:sz w:val="28"/>
                <w:szCs w:val="28"/>
              </w:rPr>
            </w:pPr>
            <w:r>
              <w:rPr>
                <w:rFonts w:cs="Times New Roman"/>
                <w:sz w:val="28"/>
                <w:szCs w:val="28"/>
              </w:rPr>
              <w:t>Ministerul Educației și Cercetării</w:t>
            </w:r>
          </w:p>
        </w:tc>
        <w:tc>
          <w:tcPr>
            <w:tcW w:w="0" w:type="auto"/>
          </w:tcPr>
          <w:p w14:paraId="0629C81B" w14:textId="77777777" w:rsidR="0075115C" w:rsidRDefault="00623B17">
            <w:pPr>
              <w:rPr>
                <w:rFonts w:cs="Times New Roman"/>
                <w:sz w:val="28"/>
                <w:szCs w:val="28"/>
              </w:rPr>
            </w:pPr>
            <w:r>
              <w:rPr>
                <w:rFonts w:cs="Times New Roman"/>
                <w:sz w:val="28"/>
                <w:szCs w:val="28"/>
              </w:rPr>
              <w:t>2000 (2023)</w:t>
            </w:r>
          </w:p>
        </w:tc>
        <w:tc>
          <w:tcPr>
            <w:tcW w:w="0" w:type="auto"/>
          </w:tcPr>
          <w:p w14:paraId="0BEE67D0" w14:textId="77777777" w:rsidR="0075115C" w:rsidRDefault="00623B17">
            <w:pPr>
              <w:rPr>
                <w:rFonts w:cs="Times New Roman"/>
                <w:sz w:val="28"/>
                <w:szCs w:val="28"/>
              </w:rPr>
            </w:pPr>
            <w:r>
              <w:rPr>
                <w:rFonts w:cs="Times New Roman"/>
                <w:sz w:val="28"/>
                <w:szCs w:val="28"/>
              </w:rPr>
              <w:t>2300 (2025)</w:t>
            </w:r>
          </w:p>
        </w:tc>
      </w:tr>
      <w:tr w:rsidR="0075115C" w14:paraId="06A33A54" w14:textId="77777777">
        <w:tc>
          <w:tcPr>
            <w:tcW w:w="0" w:type="auto"/>
            <w:vMerge w:val="restart"/>
          </w:tcPr>
          <w:p w14:paraId="36A86F6D" w14:textId="77777777" w:rsidR="0075115C" w:rsidRDefault="00623B17">
            <w:pPr>
              <w:pStyle w:val="ae"/>
              <w:numPr>
                <w:ilvl w:val="0"/>
                <w:numId w:val="10"/>
              </w:numPr>
              <w:ind w:left="318"/>
              <w:contextualSpacing w:val="0"/>
              <w:rPr>
                <w:rFonts w:cs="Times New Roman"/>
                <w:sz w:val="28"/>
                <w:szCs w:val="28"/>
              </w:rPr>
            </w:pPr>
            <w:r>
              <w:rPr>
                <w:rFonts w:cs="Times New Roman"/>
                <w:sz w:val="28"/>
                <w:szCs w:val="28"/>
              </w:rPr>
              <w:t xml:space="preserve">Creșterea participării culturale a străinilor în activități publice, prin programe de diversitate și </w:t>
            </w:r>
            <w:r>
              <w:rPr>
                <w:rFonts w:cs="Times New Roman"/>
                <w:sz w:val="28"/>
                <w:szCs w:val="28"/>
              </w:rPr>
              <w:lastRenderedPageBreak/>
              <w:t>incluziune culturală</w:t>
            </w:r>
          </w:p>
        </w:tc>
        <w:tc>
          <w:tcPr>
            <w:tcW w:w="0" w:type="auto"/>
          </w:tcPr>
          <w:p w14:paraId="76C77971" w14:textId="77777777" w:rsidR="0075115C" w:rsidRDefault="00623B17">
            <w:pPr>
              <w:rPr>
                <w:rFonts w:cs="Times New Roman"/>
                <w:sz w:val="28"/>
                <w:szCs w:val="28"/>
              </w:rPr>
            </w:pPr>
            <w:r>
              <w:rPr>
                <w:rFonts w:cs="Times New Roman"/>
                <w:sz w:val="28"/>
                <w:szCs w:val="28"/>
              </w:rPr>
              <w:lastRenderedPageBreak/>
              <w:t>Participarea străinilor la evenimente culturale și educative publice</w:t>
            </w:r>
          </w:p>
        </w:tc>
        <w:tc>
          <w:tcPr>
            <w:tcW w:w="0" w:type="auto"/>
          </w:tcPr>
          <w:p w14:paraId="5D8AE3E1" w14:textId="77777777" w:rsidR="0075115C" w:rsidRDefault="00623B17">
            <w:pPr>
              <w:rPr>
                <w:rFonts w:cs="Times New Roman"/>
                <w:sz w:val="28"/>
                <w:szCs w:val="28"/>
              </w:rPr>
            </w:pPr>
            <w:r>
              <w:rPr>
                <w:rFonts w:cs="Times New Roman"/>
                <w:sz w:val="28"/>
                <w:szCs w:val="28"/>
              </w:rPr>
              <w:t>Ministerul Culturii</w:t>
            </w:r>
          </w:p>
        </w:tc>
        <w:tc>
          <w:tcPr>
            <w:tcW w:w="0" w:type="auto"/>
          </w:tcPr>
          <w:p w14:paraId="34550415" w14:textId="77777777" w:rsidR="0075115C" w:rsidRDefault="00623B17">
            <w:pPr>
              <w:rPr>
                <w:rFonts w:cs="Times New Roman"/>
                <w:sz w:val="28"/>
                <w:szCs w:val="28"/>
              </w:rPr>
            </w:pPr>
            <w:r>
              <w:rPr>
                <w:rFonts w:cs="Times New Roman"/>
                <w:sz w:val="28"/>
                <w:szCs w:val="28"/>
              </w:rPr>
              <w:t xml:space="preserve">- </w:t>
            </w:r>
          </w:p>
          <w:p w14:paraId="3C8A6F33" w14:textId="77777777" w:rsidR="0075115C" w:rsidRDefault="00623B17">
            <w:pPr>
              <w:rPr>
                <w:rFonts w:cs="Times New Roman"/>
                <w:sz w:val="28"/>
                <w:szCs w:val="28"/>
              </w:rPr>
            </w:pPr>
            <w:r>
              <w:rPr>
                <w:rFonts w:cs="Times New Roman"/>
                <w:sz w:val="28"/>
                <w:szCs w:val="28"/>
              </w:rPr>
              <w:t>(2024)</w:t>
            </w:r>
          </w:p>
        </w:tc>
        <w:tc>
          <w:tcPr>
            <w:tcW w:w="0" w:type="auto"/>
          </w:tcPr>
          <w:p w14:paraId="25D8BBA4" w14:textId="77777777" w:rsidR="0075115C" w:rsidRDefault="00623B17">
            <w:pPr>
              <w:rPr>
                <w:rFonts w:cs="Times New Roman"/>
                <w:sz w:val="28"/>
                <w:szCs w:val="28"/>
              </w:rPr>
            </w:pPr>
            <w:r>
              <w:rPr>
                <w:rFonts w:cs="Times New Roman"/>
                <w:sz w:val="28"/>
                <w:szCs w:val="28"/>
              </w:rPr>
              <w:t xml:space="preserve">Majorare </w:t>
            </w:r>
            <w:r>
              <w:rPr>
                <w:rFonts w:cs="Times New Roman"/>
                <w:sz w:val="28"/>
                <w:szCs w:val="28"/>
              </w:rPr>
              <w:t>cu 10 %</w:t>
            </w:r>
          </w:p>
        </w:tc>
      </w:tr>
      <w:tr w:rsidR="0075115C" w14:paraId="3E7F6F2C" w14:textId="77777777">
        <w:tc>
          <w:tcPr>
            <w:tcW w:w="0" w:type="auto"/>
            <w:vMerge/>
          </w:tcPr>
          <w:p w14:paraId="3F016163" w14:textId="77777777" w:rsidR="0075115C" w:rsidRDefault="0075115C">
            <w:pPr>
              <w:ind w:left="318"/>
              <w:rPr>
                <w:rFonts w:cs="Times New Roman"/>
                <w:sz w:val="28"/>
                <w:szCs w:val="28"/>
              </w:rPr>
            </w:pPr>
          </w:p>
        </w:tc>
        <w:tc>
          <w:tcPr>
            <w:tcW w:w="0" w:type="auto"/>
          </w:tcPr>
          <w:p w14:paraId="3301E7A3" w14:textId="77777777" w:rsidR="0075115C" w:rsidRDefault="00623B17">
            <w:pPr>
              <w:rPr>
                <w:rFonts w:cs="Times New Roman"/>
                <w:sz w:val="28"/>
                <w:szCs w:val="28"/>
              </w:rPr>
            </w:pPr>
            <w:r>
              <w:rPr>
                <w:rFonts w:cs="Times New Roman"/>
                <w:sz w:val="28"/>
                <w:szCs w:val="28"/>
              </w:rPr>
              <w:t xml:space="preserve">Numărul de evenimente </w:t>
            </w:r>
            <w:r>
              <w:rPr>
                <w:rFonts w:cs="Times New Roman"/>
                <w:sz w:val="28"/>
                <w:szCs w:val="28"/>
              </w:rPr>
              <w:lastRenderedPageBreak/>
              <w:t>interculturale desfășurate anual, destinate promovării diversității culturale și incluziunii străinilor / Numărul de participanți</w:t>
            </w:r>
          </w:p>
        </w:tc>
        <w:tc>
          <w:tcPr>
            <w:tcW w:w="0" w:type="auto"/>
          </w:tcPr>
          <w:p w14:paraId="6B20156E" w14:textId="77777777" w:rsidR="0075115C" w:rsidRDefault="00623B17">
            <w:pPr>
              <w:rPr>
                <w:rFonts w:cs="Times New Roman"/>
                <w:sz w:val="28"/>
                <w:szCs w:val="28"/>
              </w:rPr>
            </w:pPr>
            <w:r>
              <w:rPr>
                <w:rFonts w:cs="Times New Roman"/>
                <w:sz w:val="28"/>
                <w:szCs w:val="28"/>
              </w:rPr>
              <w:lastRenderedPageBreak/>
              <w:t>Ministerul Culturii</w:t>
            </w:r>
          </w:p>
        </w:tc>
        <w:tc>
          <w:tcPr>
            <w:tcW w:w="0" w:type="auto"/>
          </w:tcPr>
          <w:p w14:paraId="48E30629" w14:textId="77777777" w:rsidR="0075115C" w:rsidRDefault="00623B17">
            <w:pPr>
              <w:rPr>
                <w:rFonts w:cs="Times New Roman"/>
                <w:sz w:val="28"/>
                <w:szCs w:val="28"/>
              </w:rPr>
            </w:pPr>
            <w:r>
              <w:rPr>
                <w:rFonts w:cs="Times New Roman"/>
                <w:sz w:val="28"/>
                <w:szCs w:val="28"/>
              </w:rPr>
              <w:t xml:space="preserve">- </w:t>
            </w:r>
          </w:p>
          <w:p w14:paraId="48702DA2" w14:textId="77777777" w:rsidR="0075115C" w:rsidRDefault="00623B17">
            <w:pPr>
              <w:rPr>
                <w:rFonts w:cs="Times New Roman"/>
                <w:sz w:val="28"/>
                <w:szCs w:val="28"/>
              </w:rPr>
            </w:pPr>
            <w:r>
              <w:rPr>
                <w:rFonts w:cs="Times New Roman"/>
                <w:sz w:val="28"/>
                <w:szCs w:val="28"/>
              </w:rPr>
              <w:t>(2024)</w:t>
            </w:r>
          </w:p>
        </w:tc>
        <w:tc>
          <w:tcPr>
            <w:tcW w:w="0" w:type="auto"/>
          </w:tcPr>
          <w:p w14:paraId="1293786B" w14:textId="77777777" w:rsidR="0075115C" w:rsidRDefault="00623B17">
            <w:pPr>
              <w:rPr>
                <w:rFonts w:cs="Times New Roman"/>
                <w:sz w:val="28"/>
                <w:szCs w:val="28"/>
              </w:rPr>
            </w:pPr>
            <w:r>
              <w:rPr>
                <w:rFonts w:cs="Times New Roman"/>
                <w:sz w:val="28"/>
                <w:szCs w:val="28"/>
              </w:rPr>
              <w:t>Majorare cu 10 %</w:t>
            </w:r>
          </w:p>
        </w:tc>
      </w:tr>
      <w:tr w:rsidR="0075115C" w14:paraId="57244405" w14:textId="77777777">
        <w:tc>
          <w:tcPr>
            <w:tcW w:w="0" w:type="auto"/>
            <w:vMerge w:val="restart"/>
          </w:tcPr>
          <w:p w14:paraId="39D8BDB5" w14:textId="77777777" w:rsidR="0075115C" w:rsidRDefault="00623B17">
            <w:pPr>
              <w:pStyle w:val="ae"/>
              <w:numPr>
                <w:ilvl w:val="0"/>
                <w:numId w:val="10"/>
              </w:numPr>
              <w:ind w:left="318"/>
              <w:contextualSpacing w:val="0"/>
              <w:rPr>
                <w:rFonts w:cs="Times New Roman"/>
                <w:sz w:val="28"/>
                <w:szCs w:val="28"/>
              </w:rPr>
            </w:pPr>
            <w:r>
              <w:rPr>
                <w:rFonts w:cs="Times New Roman"/>
                <w:sz w:val="28"/>
                <w:szCs w:val="28"/>
              </w:rPr>
              <w:lastRenderedPageBreak/>
              <w:t xml:space="preserve">Sporirea capacității de acoperire a </w:t>
            </w:r>
            <w:r>
              <w:rPr>
                <w:rFonts w:cs="Times New Roman"/>
                <w:sz w:val="28"/>
                <w:szCs w:val="28"/>
              </w:rPr>
              <w:t>necesităților persoanelor strămutate, privind dreptul la o locuință decentă.</w:t>
            </w:r>
          </w:p>
          <w:p w14:paraId="4AF2909C" w14:textId="77777777" w:rsidR="0075115C" w:rsidRDefault="0075115C">
            <w:pPr>
              <w:ind w:left="318"/>
              <w:rPr>
                <w:rFonts w:cs="Times New Roman"/>
                <w:sz w:val="28"/>
                <w:szCs w:val="28"/>
              </w:rPr>
            </w:pPr>
          </w:p>
        </w:tc>
        <w:tc>
          <w:tcPr>
            <w:tcW w:w="0" w:type="auto"/>
          </w:tcPr>
          <w:p w14:paraId="56A291EE" w14:textId="77777777" w:rsidR="0075115C" w:rsidRDefault="00623B17">
            <w:pPr>
              <w:rPr>
                <w:rFonts w:cs="Times New Roman"/>
                <w:sz w:val="28"/>
                <w:szCs w:val="28"/>
              </w:rPr>
            </w:pPr>
            <w:r>
              <w:rPr>
                <w:rFonts w:cs="Times New Roman"/>
                <w:sz w:val="28"/>
                <w:szCs w:val="28"/>
              </w:rPr>
              <w:t xml:space="preserve">Ponderea refugiaților ucraineni vulnerabili cu acces la servicii de adăpost (centre de plasament temporar) </w:t>
            </w:r>
          </w:p>
        </w:tc>
        <w:tc>
          <w:tcPr>
            <w:tcW w:w="0" w:type="auto"/>
          </w:tcPr>
          <w:p w14:paraId="35C52876" w14:textId="77777777" w:rsidR="0075115C" w:rsidRDefault="00623B17">
            <w:pPr>
              <w:rPr>
                <w:rFonts w:cs="Times New Roman"/>
                <w:sz w:val="28"/>
                <w:szCs w:val="28"/>
              </w:rPr>
            </w:pPr>
            <w:r>
              <w:rPr>
                <w:rFonts w:cs="Times New Roman"/>
                <w:sz w:val="28"/>
                <w:szCs w:val="28"/>
              </w:rPr>
              <w:t>Ministerul Muncii și Protecției Sociale</w:t>
            </w:r>
          </w:p>
        </w:tc>
        <w:tc>
          <w:tcPr>
            <w:tcW w:w="0" w:type="auto"/>
          </w:tcPr>
          <w:p w14:paraId="67ADF7E7" w14:textId="77777777" w:rsidR="0075115C" w:rsidRDefault="00623B17">
            <w:pPr>
              <w:rPr>
                <w:rFonts w:cs="Times New Roman"/>
                <w:sz w:val="28"/>
                <w:szCs w:val="28"/>
              </w:rPr>
            </w:pPr>
            <w:r>
              <w:rPr>
                <w:rFonts w:cs="Times New Roman"/>
                <w:sz w:val="28"/>
                <w:szCs w:val="28"/>
              </w:rPr>
              <w:t>25%</w:t>
            </w:r>
          </w:p>
          <w:p w14:paraId="180C4C3C" w14:textId="77777777" w:rsidR="0075115C" w:rsidRDefault="00623B17">
            <w:pPr>
              <w:rPr>
                <w:rFonts w:cs="Times New Roman"/>
                <w:sz w:val="28"/>
                <w:szCs w:val="28"/>
              </w:rPr>
            </w:pPr>
            <w:r>
              <w:rPr>
                <w:rFonts w:cs="Times New Roman"/>
                <w:sz w:val="28"/>
                <w:szCs w:val="28"/>
              </w:rPr>
              <w:t>(2024)</w:t>
            </w:r>
          </w:p>
        </w:tc>
        <w:tc>
          <w:tcPr>
            <w:tcW w:w="0" w:type="auto"/>
          </w:tcPr>
          <w:p w14:paraId="2AD5622E" w14:textId="77777777" w:rsidR="0075115C" w:rsidRDefault="00623B17">
            <w:pPr>
              <w:rPr>
                <w:rFonts w:cs="Times New Roman"/>
                <w:sz w:val="28"/>
                <w:szCs w:val="28"/>
              </w:rPr>
            </w:pPr>
            <w:r>
              <w:rPr>
                <w:rFonts w:cs="Times New Roman"/>
                <w:sz w:val="28"/>
                <w:szCs w:val="28"/>
              </w:rPr>
              <w:t>50%</w:t>
            </w:r>
          </w:p>
        </w:tc>
      </w:tr>
      <w:tr w:rsidR="0075115C" w14:paraId="3280C8B3" w14:textId="77777777">
        <w:tc>
          <w:tcPr>
            <w:tcW w:w="0" w:type="auto"/>
            <w:vMerge/>
          </w:tcPr>
          <w:p w14:paraId="25524E55" w14:textId="77777777" w:rsidR="0075115C" w:rsidRDefault="0075115C">
            <w:pPr>
              <w:ind w:left="318"/>
              <w:rPr>
                <w:rFonts w:cs="Times New Roman"/>
                <w:sz w:val="28"/>
                <w:szCs w:val="28"/>
              </w:rPr>
            </w:pPr>
          </w:p>
        </w:tc>
        <w:tc>
          <w:tcPr>
            <w:tcW w:w="0" w:type="auto"/>
          </w:tcPr>
          <w:p w14:paraId="6193D68A" w14:textId="77777777" w:rsidR="0075115C" w:rsidRDefault="00623B17">
            <w:pPr>
              <w:rPr>
                <w:rFonts w:cs="Times New Roman"/>
                <w:sz w:val="28"/>
                <w:szCs w:val="28"/>
              </w:rPr>
            </w:pPr>
            <w:r>
              <w:rPr>
                <w:rFonts w:cs="Times New Roman"/>
                <w:sz w:val="28"/>
                <w:szCs w:val="28"/>
              </w:rPr>
              <w:t>Nivelul de sa</w:t>
            </w:r>
            <w:r>
              <w:rPr>
                <w:rFonts w:cs="Times New Roman"/>
                <w:sz w:val="28"/>
                <w:szCs w:val="28"/>
              </w:rPr>
              <w:t>tisfacție al persoanelor strămutate față de condițiile de locuire</w:t>
            </w:r>
          </w:p>
        </w:tc>
        <w:tc>
          <w:tcPr>
            <w:tcW w:w="0" w:type="auto"/>
          </w:tcPr>
          <w:p w14:paraId="7F9A46CB" w14:textId="77777777" w:rsidR="0075115C" w:rsidRDefault="00623B17">
            <w:pPr>
              <w:rPr>
                <w:rFonts w:cs="Times New Roman"/>
                <w:sz w:val="28"/>
                <w:szCs w:val="28"/>
              </w:rPr>
            </w:pPr>
            <w:r>
              <w:rPr>
                <w:rFonts w:cs="Times New Roman"/>
                <w:sz w:val="28"/>
                <w:szCs w:val="28"/>
              </w:rPr>
              <w:t>Ministerul Infrastructurii și Dezvoltării Regionale; Ministerul Muncii și Protecției Sociale;</w:t>
            </w:r>
          </w:p>
          <w:p w14:paraId="5C9AD1B4" w14:textId="77777777" w:rsidR="0075115C" w:rsidRDefault="00623B17">
            <w:pPr>
              <w:rPr>
                <w:rFonts w:cs="Times New Roman"/>
                <w:sz w:val="28"/>
                <w:szCs w:val="28"/>
              </w:rPr>
            </w:pPr>
            <w:r>
              <w:rPr>
                <w:rFonts w:cs="Times New Roman"/>
                <w:sz w:val="28"/>
                <w:szCs w:val="28"/>
              </w:rPr>
              <w:t>ONG</w:t>
            </w:r>
          </w:p>
        </w:tc>
        <w:tc>
          <w:tcPr>
            <w:tcW w:w="0" w:type="auto"/>
          </w:tcPr>
          <w:p w14:paraId="3A6BDF40" w14:textId="77777777" w:rsidR="0075115C" w:rsidRDefault="00623B17">
            <w:pPr>
              <w:rPr>
                <w:rFonts w:cs="Times New Roman"/>
                <w:sz w:val="28"/>
                <w:szCs w:val="28"/>
              </w:rPr>
            </w:pPr>
            <w:r>
              <w:rPr>
                <w:rFonts w:cs="Times New Roman"/>
                <w:sz w:val="28"/>
                <w:szCs w:val="28"/>
              </w:rPr>
              <w:t>-</w:t>
            </w:r>
          </w:p>
          <w:p w14:paraId="57607390" w14:textId="77777777" w:rsidR="0075115C" w:rsidRDefault="00623B17">
            <w:pPr>
              <w:rPr>
                <w:rFonts w:cs="Times New Roman"/>
                <w:sz w:val="28"/>
                <w:szCs w:val="28"/>
              </w:rPr>
            </w:pPr>
            <w:r>
              <w:rPr>
                <w:rFonts w:cs="Times New Roman"/>
                <w:sz w:val="28"/>
                <w:szCs w:val="28"/>
              </w:rPr>
              <w:t>(2024)</w:t>
            </w:r>
          </w:p>
        </w:tc>
        <w:tc>
          <w:tcPr>
            <w:tcW w:w="0" w:type="auto"/>
          </w:tcPr>
          <w:p w14:paraId="2A3E48EF" w14:textId="77777777" w:rsidR="0075115C" w:rsidRDefault="00623B17">
            <w:pPr>
              <w:rPr>
                <w:rFonts w:cs="Times New Roman"/>
                <w:sz w:val="28"/>
                <w:szCs w:val="28"/>
              </w:rPr>
            </w:pPr>
            <w:r>
              <w:rPr>
                <w:rFonts w:cs="Times New Roman"/>
                <w:sz w:val="28"/>
                <w:szCs w:val="28"/>
              </w:rPr>
              <w:t>Cu 20 % mai mult</w:t>
            </w:r>
          </w:p>
        </w:tc>
      </w:tr>
      <w:tr w:rsidR="0075115C" w14:paraId="4F5F1494" w14:textId="77777777">
        <w:tc>
          <w:tcPr>
            <w:tcW w:w="0" w:type="auto"/>
            <w:vMerge/>
          </w:tcPr>
          <w:p w14:paraId="11A046A2" w14:textId="77777777" w:rsidR="0075115C" w:rsidRDefault="0075115C">
            <w:pPr>
              <w:ind w:left="318"/>
              <w:rPr>
                <w:rFonts w:cs="Times New Roman"/>
                <w:sz w:val="28"/>
                <w:szCs w:val="28"/>
              </w:rPr>
            </w:pPr>
          </w:p>
        </w:tc>
        <w:tc>
          <w:tcPr>
            <w:tcW w:w="0" w:type="auto"/>
          </w:tcPr>
          <w:p w14:paraId="4CC272E4" w14:textId="77777777" w:rsidR="0075115C" w:rsidRDefault="00623B17">
            <w:pPr>
              <w:rPr>
                <w:rFonts w:cs="Times New Roman"/>
                <w:sz w:val="28"/>
                <w:szCs w:val="28"/>
              </w:rPr>
            </w:pPr>
            <w:r>
              <w:rPr>
                <w:rFonts w:cs="Times New Roman"/>
                <w:sz w:val="28"/>
                <w:szCs w:val="28"/>
              </w:rPr>
              <w:t xml:space="preserve">Rata gospodăriilor administrate de cetățenii străini, </w:t>
            </w:r>
            <w:r>
              <w:rPr>
                <w:rFonts w:cs="Times New Roman"/>
                <w:sz w:val="28"/>
                <w:szCs w:val="28"/>
              </w:rPr>
              <w:t>strămutați, care raportează cel puțin o problemă de condiții de trai în locuința lor</w:t>
            </w:r>
          </w:p>
        </w:tc>
        <w:tc>
          <w:tcPr>
            <w:tcW w:w="0" w:type="auto"/>
          </w:tcPr>
          <w:p w14:paraId="5ABE7DF4" w14:textId="77777777" w:rsidR="0075115C" w:rsidRDefault="00623B17">
            <w:pPr>
              <w:rPr>
                <w:rFonts w:cs="Times New Roman"/>
                <w:sz w:val="28"/>
                <w:szCs w:val="28"/>
              </w:rPr>
            </w:pPr>
            <w:r>
              <w:rPr>
                <w:rFonts w:cs="Times New Roman"/>
                <w:sz w:val="28"/>
                <w:szCs w:val="28"/>
              </w:rPr>
              <w:t>Ministerul Infrastructurii și Dezvoltării Regionale; Ministerul Muncii și Protecției Sociale;</w:t>
            </w:r>
          </w:p>
          <w:p w14:paraId="58F2CD69" w14:textId="77777777" w:rsidR="0075115C" w:rsidRDefault="00623B17">
            <w:pPr>
              <w:rPr>
                <w:rFonts w:cs="Times New Roman"/>
                <w:sz w:val="28"/>
                <w:szCs w:val="28"/>
              </w:rPr>
            </w:pPr>
            <w:r>
              <w:rPr>
                <w:rFonts w:cs="Times New Roman"/>
                <w:sz w:val="28"/>
                <w:szCs w:val="28"/>
              </w:rPr>
              <w:t>ONG</w:t>
            </w:r>
          </w:p>
        </w:tc>
        <w:tc>
          <w:tcPr>
            <w:tcW w:w="0" w:type="auto"/>
          </w:tcPr>
          <w:p w14:paraId="75BF11D4" w14:textId="77777777" w:rsidR="0075115C" w:rsidRDefault="00623B17">
            <w:pPr>
              <w:rPr>
                <w:rFonts w:cs="Times New Roman"/>
                <w:sz w:val="28"/>
                <w:szCs w:val="28"/>
              </w:rPr>
            </w:pPr>
            <w:r>
              <w:rPr>
                <w:rFonts w:cs="Times New Roman"/>
                <w:sz w:val="28"/>
                <w:szCs w:val="28"/>
              </w:rPr>
              <w:t>17% (2024)</w:t>
            </w:r>
          </w:p>
        </w:tc>
        <w:tc>
          <w:tcPr>
            <w:tcW w:w="0" w:type="auto"/>
          </w:tcPr>
          <w:p w14:paraId="3E1BE64E" w14:textId="77777777" w:rsidR="0075115C" w:rsidRDefault="00623B17">
            <w:pPr>
              <w:rPr>
                <w:rFonts w:cs="Times New Roman"/>
                <w:sz w:val="28"/>
                <w:szCs w:val="28"/>
              </w:rPr>
            </w:pPr>
            <w:r>
              <w:rPr>
                <w:rFonts w:cs="Times New Roman"/>
                <w:sz w:val="28"/>
                <w:szCs w:val="28"/>
              </w:rPr>
              <w:t>10%</w:t>
            </w:r>
          </w:p>
        </w:tc>
      </w:tr>
    </w:tbl>
    <w:p w14:paraId="0DA54E3B" w14:textId="77777777" w:rsidR="0075115C" w:rsidRDefault="00623B17">
      <w:pPr>
        <w:pStyle w:val="1"/>
        <w:rPr>
          <w:highlight w:val="magenta"/>
        </w:rPr>
      </w:pPr>
      <w:bookmarkStart w:id="23" w:name="_Toc193725345"/>
      <w:r>
        <w:rPr>
          <w:highlight w:val="white"/>
        </w:rPr>
        <w:t>Costuri</w:t>
      </w:r>
      <w:bookmarkEnd w:id="23"/>
    </w:p>
    <w:p w14:paraId="19B6E675"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Pr>
          <w:rFonts w:eastAsia="Times New Roman" w:cs="Times New Roman"/>
          <w:color w:val="000000"/>
          <w:sz w:val="28"/>
          <w:szCs w:val="28"/>
        </w:rPr>
        <w:t>Documentul de politici implică un impact financia</w:t>
      </w:r>
      <w:r>
        <w:rPr>
          <w:rFonts w:eastAsia="Times New Roman" w:cs="Times New Roman"/>
          <w:color w:val="000000"/>
          <w:sz w:val="28"/>
          <w:szCs w:val="28"/>
        </w:rPr>
        <w:t xml:space="preserve">r semnificativ, care este justificat de necesitatea dezvoltării unui sistem de integrare eficient și sustenabil. Costurile sunt distribuite pentru acoperirea unor domenii esențiale precum accesul </w:t>
      </w:r>
      <w:r>
        <w:rPr>
          <w:rFonts w:eastAsia="Times New Roman" w:cs="Times New Roman"/>
          <w:color w:val="000000"/>
          <w:sz w:val="28"/>
          <w:szCs w:val="28"/>
        </w:rPr>
        <w:lastRenderedPageBreak/>
        <w:t>străinilor la educație, sănătate, locuințe și asistență soci</w:t>
      </w:r>
      <w:r>
        <w:rPr>
          <w:rFonts w:eastAsia="Times New Roman" w:cs="Times New Roman"/>
          <w:color w:val="000000"/>
          <w:sz w:val="28"/>
          <w:szCs w:val="28"/>
        </w:rPr>
        <w:t>ală, precum și pentru măsurile de sprijin economic și social.</w:t>
      </w:r>
    </w:p>
    <w:p w14:paraId="18B3D2C0"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Pr>
          <w:rFonts w:eastAsia="Times New Roman" w:cs="Times New Roman"/>
          <w:color w:val="000000"/>
          <w:sz w:val="28"/>
          <w:szCs w:val="28"/>
        </w:rPr>
        <w:t>O parte semnificativă a resurselor financiare va fi alocată pentru dezvoltarea infrastructurii și mecanismelor de integrare, inclusiv centre de sprijin, programe educaționale și servicii medical</w:t>
      </w:r>
      <w:r>
        <w:rPr>
          <w:rFonts w:eastAsia="Times New Roman" w:cs="Times New Roman"/>
          <w:color w:val="000000"/>
          <w:sz w:val="28"/>
          <w:szCs w:val="28"/>
        </w:rPr>
        <w:t>e adaptate nevoilor străinilor. Totodată, programul prevede costuri recurente necesare pentru operarea acestor servicii și pentru acoperirea necesităților curente ale beneficiarilor, în special pentru grupurile vulnerabile.</w:t>
      </w:r>
    </w:p>
    <w:p w14:paraId="45A8C4B9"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color w:val="000000"/>
          <w:sz w:val="28"/>
          <w:szCs w:val="28"/>
        </w:rPr>
      </w:pPr>
      <w:r>
        <w:rPr>
          <w:rFonts w:eastAsia="Times New Roman" w:cs="Times New Roman"/>
          <w:color w:val="000000"/>
          <w:sz w:val="28"/>
          <w:szCs w:val="28"/>
        </w:rPr>
        <w:t>Integrarea străinilor pe piața m</w:t>
      </w:r>
      <w:r>
        <w:rPr>
          <w:rFonts w:eastAsia="Times New Roman" w:cs="Times New Roman"/>
          <w:color w:val="000000"/>
          <w:sz w:val="28"/>
          <w:szCs w:val="28"/>
        </w:rPr>
        <w:t>uncii va contribui la creșterea economică, iar reducerea excluziunii sociale va diminua presiunile asupra sistemelor publice pe termen lung. De asemenea, fondurile alocate vor fi utilizate pentru instruirea personalului din sectorul public, ceea ce va creș</w:t>
      </w:r>
      <w:r>
        <w:rPr>
          <w:rFonts w:eastAsia="Times New Roman" w:cs="Times New Roman"/>
          <w:color w:val="000000"/>
          <w:sz w:val="28"/>
          <w:szCs w:val="28"/>
        </w:rPr>
        <w:t>te eficiența și calitatea serviciilor oferite.</w:t>
      </w:r>
    </w:p>
    <w:p w14:paraId="768FD727"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r>
        <w:rPr>
          <w:rFonts w:eastAsia="Times New Roman" w:cs="Times New Roman"/>
          <w:b/>
          <w:bCs/>
          <w:i/>
          <w:iCs/>
          <w:color w:val="000000"/>
          <w:sz w:val="28"/>
          <w:szCs w:val="28"/>
          <w:highlight w:val="white"/>
        </w:rPr>
        <w:t xml:space="preserve">Tabel nr. 4 </w:t>
      </w:r>
      <w:r>
        <w:rPr>
          <w:rFonts w:eastAsia="Times New Roman" w:cs="Times New Roman"/>
          <w:b/>
          <w:i/>
          <w:color w:val="000000"/>
          <w:sz w:val="28"/>
          <w:szCs w:val="28"/>
          <w:highlight w:val="white"/>
        </w:rPr>
        <w:t>Distribuirea costurilor estimate de implementarea a programului pe obiective și ani de implemetare</w:t>
      </w:r>
    </w:p>
    <w:p w14:paraId="073DED3B"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p>
    <w:tbl>
      <w:tblPr>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563"/>
        <w:gridCol w:w="1266"/>
        <w:gridCol w:w="1266"/>
        <w:gridCol w:w="1266"/>
        <w:gridCol w:w="1266"/>
      </w:tblGrid>
      <w:tr w:rsidR="0075115C" w14:paraId="36B8B2C4" w14:textId="77777777">
        <w:trPr>
          <w:trHeight w:val="240"/>
        </w:trPr>
        <w:tc>
          <w:tcPr>
            <w:tcW w:w="4563" w:type="dxa"/>
            <w:shd w:val="clear" w:color="auto" w:fill="BDD6EE" w:themeFill="accent1" w:themeFillTint="66"/>
          </w:tcPr>
          <w:p w14:paraId="6DC29FDC" w14:textId="77777777" w:rsidR="0075115C" w:rsidRDefault="00623B17">
            <w:pPr>
              <w:spacing w:after="0" w:line="240" w:lineRule="auto"/>
              <w:rPr>
                <w:rFonts w:cs="Times New Roman"/>
                <w:b/>
                <w:bCs/>
                <w:i/>
                <w:iCs/>
                <w:sz w:val="28"/>
                <w:szCs w:val="28"/>
              </w:rPr>
            </w:pPr>
            <w:r>
              <w:rPr>
                <w:rFonts w:cs="Times New Roman"/>
                <w:b/>
                <w:bCs/>
                <w:i/>
                <w:iCs/>
                <w:sz w:val="28"/>
                <w:szCs w:val="28"/>
              </w:rPr>
              <w:t>Obiectiv</w:t>
            </w:r>
          </w:p>
        </w:tc>
        <w:tc>
          <w:tcPr>
            <w:tcW w:w="1266" w:type="dxa"/>
            <w:shd w:val="clear" w:color="auto" w:fill="BDD6EE" w:themeFill="accent1" w:themeFillTint="66"/>
          </w:tcPr>
          <w:p w14:paraId="5E7BBA4C" w14:textId="77777777" w:rsidR="0075115C" w:rsidRDefault="00623B17">
            <w:pPr>
              <w:spacing w:after="0" w:line="240" w:lineRule="auto"/>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2025</w:t>
            </w:r>
          </w:p>
        </w:tc>
        <w:tc>
          <w:tcPr>
            <w:tcW w:w="1266" w:type="dxa"/>
            <w:shd w:val="clear" w:color="auto" w:fill="BDD6EE" w:themeFill="accent1" w:themeFillTint="66"/>
          </w:tcPr>
          <w:p w14:paraId="4BA6EDB8" w14:textId="77777777" w:rsidR="0075115C" w:rsidRDefault="00623B17">
            <w:pPr>
              <w:spacing w:after="0" w:line="240" w:lineRule="auto"/>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2026</w:t>
            </w:r>
          </w:p>
        </w:tc>
        <w:tc>
          <w:tcPr>
            <w:tcW w:w="1266" w:type="dxa"/>
            <w:shd w:val="clear" w:color="auto" w:fill="BDD6EE" w:themeFill="accent1" w:themeFillTint="66"/>
          </w:tcPr>
          <w:p w14:paraId="5DFA8C33" w14:textId="77777777" w:rsidR="0075115C" w:rsidRDefault="00623B17">
            <w:pPr>
              <w:spacing w:after="0" w:line="240" w:lineRule="auto"/>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2027</w:t>
            </w:r>
          </w:p>
        </w:tc>
        <w:tc>
          <w:tcPr>
            <w:tcW w:w="1266" w:type="dxa"/>
            <w:shd w:val="clear" w:color="auto" w:fill="BDD6EE" w:themeFill="accent1" w:themeFillTint="66"/>
          </w:tcPr>
          <w:p w14:paraId="6FE170FE" w14:textId="77777777" w:rsidR="0075115C" w:rsidRDefault="00623B17">
            <w:pPr>
              <w:spacing w:after="0" w:line="240" w:lineRule="auto"/>
              <w:rPr>
                <w:rFonts w:cs="Times New Roman"/>
                <w:b/>
                <w:bCs/>
                <w:i/>
                <w:iCs/>
                <w:sz w:val="28"/>
                <w:szCs w:val="28"/>
              </w:rPr>
            </w:pPr>
            <w:r>
              <w:rPr>
                <w:rFonts w:cs="Times New Roman"/>
                <w:b/>
                <w:bCs/>
                <w:i/>
                <w:iCs/>
                <w:sz w:val="28"/>
                <w:szCs w:val="28"/>
              </w:rPr>
              <w:t>Buget total estimat, mii lei</w:t>
            </w:r>
          </w:p>
        </w:tc>
      </w:tr>
      <w:tr w:rsidR="0075115C" w14:paraId="5BCD97E5" w14:textId="77777777">
        <w:trPr>
          <w:trHeight w:val="240"/>
        </w:trPr>
        <w:tc>
          <w:tcPr>
            <w:tcW w:w="4563" w:type="dxa"/>
            <w:shd w:val="clear" w:color="auto" w:fill="auto"/>
          </w:tcPr>
          <w:p w14:paraId="66AED1A8" w14:textId="77777777" w:rsidR="0075115C" w:rsidRDefault="00623B17">
            <w:pPr>
              <w:spacing w:after="0" w:line="240" w:lineRule="auto"/>
              <w:rPr>
                <w:rFonts w:cs="Times New Roman"/>
                <w:b/>
                <w:bCs/>
                <w:sz w:val="28"/>
                <w:szCs w:val="28"/>
              </w:rPr>
            </w:pPr>
            <w:r>
              <w:rPr>
                <w:rFonts w:cs="Times New Roman"/>
                <w:b/>
                <w:bCs/>
                <w:sz w:val="28"/>
                <w:szCs w:val="28"/>
              </w:rPr>
              <w:t>Obiectiv general: Facilitarea integrării sinergice a străinilor și persoanelor strămutate în societate, asigurând un nivel decent de trai pentru fiecare și contribuind la dezvoltarea economică și socială a țării</w:t>
            </w:r>
          </w:p>
        </w:tc>
        <w:tc>
          <w:tcPr>
            <w:tcW w:w="1266" w:type="dxa"/>
            <w:shd w:val="clear" w:color="auto" w:fill="auto"/>
          </w:tcPr>
          <w:p w14:paraId="5BAE0CAC" w14:textId="77777777" w:rsidR="0075115C" w:rsidRDefault="00623B17">
            <w:pPr>
              <w:spacing w:after="0" w:line="240" w:lineRule="auto"/>
              <w:rPr>
                <w:rFonts w:cs="Times New Roman"/>
                <w:b/>
                <w:bCs/>
                <w:sz w:val="28"/>
                <w:szCs w:val="28"/>
              </w:rPr>
            </w:pPr>
            <w:r>
              <w:rPr>
                <w:rFonts w:cs="Times New Roman"/>
                <w:b/>
                <w:bCs/>
                <w:sz w:val="28"/>
                <w:szCs w:val="28"/>
              </w:rPr>
              <w:t>961641,9</w:t>
            </w:r>
          </w:p>
        </w:tc>
        <w:tc>
          <w:tcPr>
            <w:tcW w:w="1266" w:type="dxa"/>
            <w:shd w:val="clear" w:color="auto" w:fill="auto"/>
          </w:tcPr>
          <w:p w14:paraId="3F28F8E1" w14:textId="77777777" w:rsidR="0075115C" w:rsidRDefault="00623B17">
            <w:pPr>
              <w:spacing w:after="0" w:line="240" w:lineRule="auto"/>
              <w:rPr>
                <w:rFonts w:cs="Times New Roman"/>
                <w:b/>
                <w:bCs/>
                <w:sz w:val="28"/>
                <w:szCs w:val="28"/>
              </w:rPr>
            </w:pPr>
            <w:r>
              <w:rPr>
                <w:rFonts w:cs="Times New Roman"/>
                <w:b/>
                <w:bCs/>
                <w:sz w:val="28"/>
                <w:szCs w:val="28"/>
              </w:rPr>
              <w:t>11482</w:t>
            </w:r>
            <w:r>
              <w:rPr>
                <w:rFonts w:cs="Times New Roman"/>
                <w:b/>
                <w:bCs/>
                <w:sz w:val="28"/>
                <w:szCs w:val="28"/>
              </w:rPr>
              <w:t>76</w:t>
            </w:r>
          </w:p>
        </w:tc>
        <w:tc>
          <w:tcPr>
            <w:tcW w:w="1266" w:type="dxa"/>
            <w:shd w:val="clear" w:color="auto" w:fill="auto"/>
          </w:tcPr>
          <w:p w14:paraId="21E093C6" w14:textId="77777777" w:rsidR="0075115C" w:rsidRDefault="00623B17">
            <w:pPr>
              <w:spacing w:after="0" w:line="240" w:lineRule="auto"/>
              <w:rPr>
                <w:rFonts w:cs="Times New Roman"/>
                <w:b/>
                <w:bCs/>
                <w:sz w:val="28"/>
                <w:szCs w:val="28"/>
              </w:rPr>
            </w:pPr>
            <w:r>
              <w:rPr>
                <w:rFonts w:cs="Times New Roman"/>
                <w:b/>
                <w:bCs/>
                <w:sz w:val="28"/>
                <w:szCs w:val="28"/>
              </w:rPr>
              <w:t>370478,1</w:t>
            </w:r>
          </w:p>
        </w:tc>
        <w:tc>
          <w:tcPr>
            <w:tcW w:w="1266" w:type="dxa"/>
            <w:shd w:val="clear" w:color="auto" w:fill="auto"/>
          </w:tcPr>
          <w:p w14:paraId="3F91EA12" w14:textId="77777777" w:rsidR="0075115C" w:rsidRDefault="00623B17">
            <w:pPr>
              <w:spacing w:after="0" w:line="240" w:lineRule="auto"/>
              <w:rPr>
                <w:rFonts w:cs="Times New Roman"/>
                <w:b/>
                <w:bCs/>
                <w:sz w:val="28"/>
                <w:szCs w:val="28"/>
              </w:rPr>
            </w:pPr>
            <w:r>
              <w:rPr>
                <w:rFonts w:cs="Times New Roman"/>
                <w:b/>
                <w:bCs/>
                <w:sz w:val="28"/>
                <w:szCs w:val="28"/>
              </w:rPr>
              <w:t>2480396</w:t>
            </w:r>
          </w:p>
        </w:tc>
      </w:tr>
      <w:tr w:rsidR="0075115C" w14:paraId="7BFCDF8B" w14:textId="77777777">
        <w:trPr>
          <w:trHeight w:val="240"/>
        </w:trPr>
        <w:tc>
          <w:tcPr>
            <w:tcW w:w="4563" w:type="dxa"/>
            <w:shd w:val="clear" w:color="auto" w:fill="auto"/>
          </w:tcPr>
          <w:p w14:paraId="7949007C" w14:textId="77777777" w:rsidR="0075115C" w:rsidRDefault="00623B17">
            <w:pPr>
              <w:spacing w:after="0" w:line="240" w:lineRule="auto"/>
              <w:rPr>
                <w:rFonts w:cs="Times New Roman"/>
                <w:sz w:val="28"/>
                <w:szCs w:val="28"/>
              </w:rPr>
            </w:pPr>
            <w:r>
              <w:rPr>
                <w:rFonts w:cs="Times New Roman"/>
                <w:sz w:val="28"/>
                <w:szCs w:val="28"/>
              </w:rPr>
              <w:t>Obiectivul nr. 1. Revizuirea și definirea unor mecanisme incluzive de integrare a străinilor eficiente, durabile și sustenabile, și punerea acestora în aplicare, până la sfârșitul anului 2025</w:t>
            </w:r>
          </w:p>
        </w:tc>
        <w:tc>
          <w:tcPr>
            <w:tcW w:w="1266" w:type="dxa"/>
            <w:shd w:val="clear" w:color="auto" w:fill="auto"/>
          </w:tcPr>
          <w:p w14:paraId="00A47C27" w14:textId="77777777" w:rsidR="0075115C" w:rsidRDefault="00623B17">
            <w:pPr>
              <w:spacing w:after="0" w:line="240" w:lineRule="auto"/>
              <w:rPr>
                <w:rFonts w:cs="Times New Roman"/>
                <w:sz w:val="28"/>
                <w:szCs w:val="28"/>
              </w:rPr>
            </w:pPr>
            <w:r>
              <w:rPr>
                <w:rFonts w:cs="Times New Roman"/>
                <w:sz w:val="28"/>
                <w:szCs w:val="28"/>
              </w:rPr>
              <w:t>92492,43</w:t>
            </w:r>
          </w:p>
        </w:tc>
        <w:tc>
          <w:tcPr>
            <w:tcW w:w="1266" w:type="dxa"/>
            <w:shd w:val="clear" w:color="auto" w:fill="auto"/>
          </w:tcPr>
          <w:p w14:paraId="413B953F" w14:textId="77777777" w:rsidR="0075115C" w:rsidRDefault="00623B17">
            <w:pPr>
              <w:spacing w:after="0" w:line="240" w:lineRule="auto"/>
              <w:rPr>
                <w:rFonts w:cs="Times New Roman"/>
                <w:sz w:val="28"/>
                <w:szCs w:val="28"/>
              </w:rPr>
            </w:pPr>
            <w:r>
              <w:rPr>
                <w:rFonts w:cs="Times New Roman"/>
                <w:sz w:val="28"/>
                <w:szCs w:val="28"/>
              </w:rPr>
              <w:t>258441,9</w:t>
            </w:r>
          </w:p>
        </w:tc>
        <w:tc>
          <w:tcPr>
            <w:tcW w:w="1266" w:type="dxa"/>
            <w:shd w:val="clear" w:color="auto" w:fill="auto"/>
          </w:tcPr>
          <w:p w14:paraId="25D96AC1" w14:textId="77777777" w:rsidR="0075115C" w:rsidRDefault="00623B17">
            <w:pPr>
              <w:spacing w:after="0" w:line="240" w:lineRule="auto"/>
              <w:rPr>
                <w:rFonts w:cs="Times New Roman"/>
                <w:sz w:val="28"/>
                <w:szCs w:val="28"/>
              </w:rPr>
            </w:pPr>
            <w:r>
              <w:rPr>
                <w:rFonts w:cs="Times New Roman"/>
                <w:sz w:val="28"/>
                <w:szCs w:val="28"/>
              </w:rPr>
              <w:t>257007,4</w:t>
            </w:r>
          </w:p>
        </w:tc>
        <w:tc>
          <w:tcPr>
            <w:tcW w:w="1266" w:type="dxa"/>
            <w:shd w:val="clear" w:color="auto" w:fill="auto"/>
          </w:tcPr>
          <w:p w14:paraId="20E13D64" w14:textId="77777777" w:rsidR="0075115C" w:rsidRDefault="00623B17">
            <w:pPr>
              <w:spacing w:after="0" w:line="240" w:lineRule="auto"/>
              <w:rPr>
                <w:rFonts w:cs="Times New Roman"/>
                <w:sz w:val="28"/>
                <w:szCs w:val="28"/>
              </w:rPr>
            </w:pPr>
            <w:r>
              <w:rPr>
                <w:rFonts w:cs="Times New Roman"/>
                <w:sz w:val="28"/>
                <w:szCs w:val="28"/>
              </w:rPr>
              <w:t>607941,8</w:t>
            </w:r>
          </w:p>
        </w:tc>
      </w:tr>
      <w:tr w:rsidR="0075115C" w14:paraId="47FD2244" w14:textId="77777777">
        <w:trPr>
          <w:trHeight w:val="240"/>
        </w:trPr>
        <w:tc>
          <w:tcPr>
            <w:tcW w:w="4563" w:type="dxa"/>
            <w:shd w:val="clear" w:color="auto" w:fill="auto"/>
          </w:tcPr>
          <w:p w14:paraId="2F18DCDF" w14:textId="77777777" w:rsidR="0075115C" w:rsidRDefault="00623B17">
            <w:pPr>
              <w:spacing w:after="0" w:line="240" w:lineRule="auto"/>
              <w:rPr>
                <w:rFonts w:cs="Times New Roman"/>
                <w:sz w:val="28"/>
                <w:szCs w:val="28"/>
              </w:rPr>
            </w:pPr>
            <w:r>
              <w:rPr>
                <w:rFonts w:cs="Times New Roman"/>
                <w:sz w:val="28"/>
                <w:szCs w:val="28"/>
              </w:rPr>
              <w:t>Obiectivul nr. 2. Creșterea accesului la măsuri de asistență socială pentru străini aflați în situație de dificultate și îmbunătățirea nivelului de incluziune socială a acestora, cu accent pe nevoile specifice ale femeilor și fetelor</w:t>
            </w:r>
          </w:p>
        </w:tc>
        <w:tc>
          <w:tcPr>
            <w:tcW w:w="1266" w:type="dxa"/>
            <w:shd w:val="clear" w:color="auto" w:fill="auto"/>
          </w:tcPr>
          <w:p w14:paraId="67DE16C6" w14:textId="77777777" w:rsidR="0075115C" w:rsidRDefault="00623B17">
            <w:pPr>
              <w:spacing w:after="0" w:line="240" w:lineRule="auto"/>
              <w:rPr>
                <w:rFonts w:cs="Times New Roman"/>
                <w:sz w:val="28"/>
                <w:szCs w:val="28"/>
              </w:rPr>
            </w:pPr>
            <w:r>
              <w:rPr>
                <w:rFonts w:cs="Times New Roman"/>
                <w:sz w:val="28"/>
                <w:szCs w:val="28"/>
              </w:rPr>
              <w:t>700522,3</w:t>
            </w:r>
          </w:p>
        </w:tc>
        <w:tc>
          <w:tcPr>
            <w:tcW w:w="1266" w:type="dxa"/>
            <w:shd w:val="clear" w:color="auto" w:fill="auto"/>
          </w:tcPr>
          <w:p w14:paraId="4E1C99DF" w14:textId="77777777" w:rsidR="0075115C" w:rsidRDefault="00623B17">
            <w:pPr>
              <w:spacing w:after="0" w:line="240" w:lineRule="auto"/>
              <w:rPr>
                <w:rFonts w:cs="Times New Roman"/>
                <w:sz w:val="28"/>
                <w:szCs w:val="28"/>
              </w:rPr>
            </w:pPr>
            <w:r>
              <w:rPr>
                <w:rFonts w:cs="Times New Roman"/>
                <w:sz w:val="28"/>
                <w:szCs w:val="28"/>
              </w:rPr>
              <w:t>690732,3</w:t>
            </w:r>
          </w:p>
        </w:tc>
        <w:tc>
          <w:tcPr>
            <w:tcW w:w="1266" w:type="dxa"/>
            <w:shd w:val="clear" w:color="auto" w:fill="auto"/>
          </w:tcPr>
          <w:p w14:paraId="3A47E816" w14:textId="77777777" w:rsidR="0075115C" w:rsidRDefault="00623B17">
            <w:pPr>
              <w:spacing w:after="0" w:line="240" w:lineRule="auto"/>
              <w:rPr>
                <w:rFonts w:cs="Times New Roman"/>
                <w:sz w:val="28"/>
                <w:szCs w:val="28"/>
              </w:rPr>
            </w:pPr>
            <w:r>
              <w:rPr>
                <w:rFonts w:cs="Times New Roman"/>
                <w:sz w:val="28"/>
                <w:szCs w:val="28"/>
              </w:rPr>
              <w:t>652,</w:t>
            </w:r>
            <w:r>
              <w:rPr>
                <w:rFonts w:cs="Times New Roman"/>
                <w:sz w:val="28"/>
                <w:szCs w:val="28"/>
              </w:rPr>
              <w:t>7667</w:t>
            </w:r>
          </w:p>
        </w:tc>
        <w:tc>
          <w:tcPr>
            <w:tcW w:w="1266" w:type="dxa"/>
            <w:shd w:val="clear" w:color="auto" w:fill="auto"/>
          </w:tcPr>
          <w:p w14:paraId="739F794B" w14:textId="77777777" w:rsidR="0075115C" w:rsidRDefault="00623B17">
            <w:pPr>
              <w:spacing w:after="0" w:line="240" w:lineRule="auto"/>
              <w:rPr>
                <w:rFonts w:cs="Times New Roman"/>
                <w:sz w:val="28"/>
                <w:szCs w:val="28"/>
              </w:rPr>
            </w:pPr>
            <w:r>
              <w:rPr>
                <w:rFonts w:cs="Times New Roman"/>
                <w:sz w:val="28"/>
                <w:szCs w:val="28"/>
              </w:rPr>
              <w:t>1391907</w:t>
            </w:r>
          </w:p>
        </w:tc>
      </w:tr>
      <w:tr w:rsidR="0075115C" w14:paraId="352D8706" w14:textId="77777777">
        <w:trPr>
          <w:trHeight w:val="240"/>
        </w:trPr>
        <w:tc>
          <w:tcPr>
            <w:tcW w:w="4563" w:type="dxa"/>
            <w:shd w:val="clear" w:color="auto" w:fill="auto"/>
          </w:tcPr>
          <w:p w14:paraId="55185375" w14:textId="77777777" w:rsidR="0075115C" w:rsidRDefault="00623B17">
            <w:pPr>
              <w:spacing w:after="0" w:line="240" w:lineRule="auto"/>
              <w:rPr>
                <w:rFonts w:cs="Times New Roman"/>
                <w:sz w:val="28"/>
                <w:szCs w:val="28"/>
              </w:rPr>
            </w:pPr>
            <w:r>
              <w:rPr>
                <w:rFonts w:cs="Times New Roman"/>
                <w:sz w:val="28"/>
                <w:szCs w:val="28"/>
              </w:rPr>
              <w:t xml:space="preserve">Obiectivul nr. 3. Stimularea dezvoltării economice prin valorificarea potențialului străinilor și integrarea acestora pe piața muncii, </w:t>
            </w:r>
            <w:r>
              <w:rPr>
                <w:rFonts w:cs="Times New Roman"/>
                <w:sz w:val="28"/>
                <w:szCs w:val="28"/>
              </w:rPr>
              <w:lastRenderedPageBreak/>
              <w:t>inclusiv a persoanelor strămutate în Republica Moldova</w:t>
            </w:r>
          </w:p>
        </w:tc>
        <w:tc>
          <w:tcPr>
            <w:tcW w:w="1266" w:type="dxa"/>
            <w:shd w:val="clear" w:color="auto" w:fill="auto"/>
          </w:tcPr>
          <w:p w14:paraId="214697A8" w14:textId="77777777" w:rsidR="0075115C" w:rsidRDefault="00623B17">
            <w:pPr>
              <w:spacing w:after="0" w:line="240" w:lineRule="auto"/>
              <w:rPr>
                <w:rFonts w:cs="Times New Roman"/>
                <w:sz w:val="28"/>
                <w:szCs w:val="28"/>
              </w:rPr>
            </w:pPr>
            <w:r>
              <w:rPr>
                <w:rFonts w:cs="Times New Roman"/>
                <w:sz w:val="28"/>
                <w:szCs w:val="28"/>
              </w:rPr>
              <w:lastRenderedPageBreak/>
              <w:t>51321,67</w:t>
            </w:r>
          </w:p>
        </w:tc>
        <w:tc>
          <w:tcPr>
            <w:tcW w:w="1266" w:type="dxa"/>
            <w:shd w:val="clear" w:color="auto" w:fill="auto"/>
          </w:tcPr>
          <w:p w14:paraId="2C34CDF1" w14:textId="77777777" w:rsidR="0075115C" w:rsidRDefault="00623B17">
            <w:pPr>
              <w:spacing w:after="0" w:line="240" w:lineRule="auto"/>
              <w:rPr>
                <w:rFonts w:cs="Times New Roman"/>
                <w:sz w:val="28"/>
                <w:szCs w:val="28"/>
              </w:rPr>
            </w:pPr>
            <w:r>
              <w:rPr>
                <w:rFonts w:cs="Times New Roman"/>
                <w:sz w:val="28"/>
                <w:szCs w:val="28"/>
              </w:rPr>
              <w:t>60321,67</w:t>
            </w:r>
          </w:p>
        </w:tc>
        <w:tc>
          <w:tcPr>
            <w:tcW w:w="1266" w:type="dxa"/>
            <w:shd w:val="clear" w:color="auto" w:fill="auto"/>
          </w:tcPr>
          <w:p w14:paraId="00CD5C17" w14:textId="77777777" w:rsidR="0075115C" w:rsidRDefault="00623B17">
            <w:pPr>
              <w:spacing w:after="0" w:line="240" w:lineRule="auto"/>
              <w:rPr>
                <w:rFonts w:cs="Times New Roman"/>
                <w:sz w:val="28"/>
                <w:szCs w:val="28"/>
              </w:rPr>
            </w:pPr>
            <w:r>
              <w:rPr>
                <w:rFonts w:cs="Times New Roman"/>
                <w:sz w:val="28"/>
                <w:szCs w:val="28"/>
              </w:rPr>
              <w:t>59871,67</w:t>
            </w:r>
          </w:p>
        </w:tc>
        <w:tc>
          <w:tcPr>
            <w:tcW w:w="1266" w:type="dxa"/>
            <w:shd w:val="clear" w:color="auto" w:fill="auto"/>
          </w:tcPr>
          <w:p w14:paraId="6152810C" w14:textId="77777777" w:rsidR="0075115C" w:rsidRDefault="00623B17">
            <w:pPr>
              <w:spacing w:after="0" w:line="240" w:lineRule="auto"/>
              <w:rPr>
                <w:rFonts w:cs="Times New Roman"/>
                <w:sz w:val="28"/>
                <w:szCs w:val="28"/>
              </w:rPr>
            </w:pPr>
            <w:r>
              <w:rPr>
                <w:rFonts w:cs="Times New Roman"/>
                <w:sz w:val="28"/>
                <w:szCs w:val="28"/>
              </w:rPr>
              <w:t>171515</w:t>
            </w:r>
          </w:p>
        </w:tc>
      </w:tr>
      <w:tr w:rsidR="0075115C" w14:paraId="6F9D8CF0" w14:textId="77777777">
        <w:trPr>
          <w:trHeight w:val="240"/>
        </w:trPr>
        <w:tc>
          <w:tcPr>
            <w:tcW w:w="4563" w:type="dxa"/>
            <w:shd w:val="clear" w:color="auto" w:fill="auto"/>
          </w:tcPr>
          <w:p w14:paraId="2EA1B212" w14:textId="77777777" w:rsidR="0075115C" w:rsidRDefault="00623B17">
            <w:pPr>
              <w:spacing w:after="0" w:line="240" w:lineRule="auto"/>
              <w:rPr>
                <w:rFonts w:cs="Times New Roman"/>
                <w:sz w:val="28"/>
                <w:szCs w:val="28"/>
              </w:rPr>
            </w:pPr>
            <w:r>
              <w:rPr>
                <w:rFonts w:cs="Times New Roman"/>
                <w:sz w:val="28"/>
                <w:szCs w:val="28"/>
              </w:rPr>
              <w:lastRenderedPageBreak/>
              <w:t>Obiectivul nr. 4.</w:t>
            </w:r>
            <w:r>
              <w:rPr>
                <w:rFonts w:cs="Times New Roman"/>
                <w:sz w:val="28"/>
                <w:szCs w:val="28"/>
              </w:rPr>
              <w:t xml:space="preserve"> Asigurarea accesului la servicii de sănătate esențiale pentru 90% dintre străini aflați pe teritoriul Republicii Moldova cu statut legal până la sfârșitul anului 2027, prin instituirea unor mecanisme durabile și sustenabile</w:t>
            </w:r>
          </w:p>
        </w:tc>
        <w:tc>
          <w:tcPr>
            <w:tcW w:w="1266" w:type="dxa"/>
            <w:shd w:val="clear" w:color="auto" w:fill="auto"/>
          </w:tcPr>
          <w:p w14:paraId="0C391B8F" w14:textId="77777777" w:rsidR="0075115C" w:rsidRDefault="00623B17">
            <w:pPr>
              <w:spacing w:after="0" w:line="240" w:lineRule="auto"/>
              <w:rPr>
                <w:rFonts w:cs="Times New Roman"/>
                <w:sz w:val="28"/>
                <w:szCs w:val="28"/>
              </w:rPr>
            </w:pPr>
            <w:r>
              <w:rPr>
                <w:rFonts w:cs="Times New Roman"/>
                <w:sz w:val="28"/>
                <w:szCs w:val="28"/>
              </w:rPr>
              <w:t>6648,3</w:t>
            </w:r>
          </w:p>
        </w:tc>
        <w:tc>
          <w:tcPr>
            <w:tcW w:w="1266" w:type="dxa"/>
            <w:shd w:val="clear" w:color="auto" w:fill="auto"/>
          </w:tcPr>
          <w:p w14:paraId="05E2E736" w14:textId="77777777" w:rsidR="0075115C" w:rsidRDefault="00623B17">
            <w:pPr>
              <w:spacing w:after="0" w:line="240" w:lineRule="auto"/>
              <w:rPr>
                <w:rFonts w:cs="Times New Roman"/>
                <w:sz w:val="28"/>
                <w:szCs w:val="28"/>
              </w:rPr>
            </w:pPr>
            <w:r>
              <w:rPr>
                <w:rFonts w:cs="Times New Roman"/>
                <w:sz w:val="28"/>
                <w:szCs w:val="28"/>
              </w:rPr>
              <w:t>35072,5</w:t>
            </w:r>
          </w:p>
        </w:tc>
        <w:tc>
          <w:tcPr>
            <w:tcW w:w="1266" w:type="dxa"/>
            <w:shd w:val="clear" w:color="auto" w:fill="auto"/>
          </w:tcPr>
          <w:p w14:paraId="6CCCC72D" w14:textId="77777777" w:rsidR="0075115C" w:rsidRDefault="00623B17">
            <w:pPr>
              <w:spacing w:after="0" w:line="240" w:lineRule="auto"/>
              <w:rPr>
                <w:rFonts w:cs="Times New Roman"/>
                <w:sz w:val="28"/>
                <w:szCs w:val="28"/>
              </w:rPr>
            </w:pPr>
            <w:r>
              <w:rPr>
                <w:rFonts w:cs="Times New Roman"/>
                <w:sz w:val="28"/>
                <w:szCs w:val="28"/>
              </w:rPr>
              <w:t>25039</w:t>
            </w:r>
          </w:p>
        </w:tc>
        <w:tc>
          <w:tcPr>
            <w:tcW w:w="1266" w:type="dxa"/>
            <w:shd w:val="clear" w:color="auto" w:fill="auto"/>
          </w:tcPr>
          <w:p w14:paraId="0701EAE8" w14:textId="77777777" w:rsidR="0075115C" w:rsidRDefault="00623B17">
            <w:pPr>
              <w:spacing w:after="0" w:line="240" w:lineRule="auto"/>
              <w:rPr>
                <w:rFonts w:cs="Times New Roman"/>
                <w:sz w:val="28"/>
                <w:szCs w:val="28"/>
              </w:rPr>
            </w:pPr>
            <w:r>
              <w:rPr>
                <w:rFonts w:cs="Times New Roman"/>
                <w:sz w:val="28"/>
                <w:szCs w:val="28"/>
              </w:rPr>
              <w:t>66759,8</w:t>
            </w:r>
          </w:p>
        </w:tc>
      </w:tr>
      <w:tr w:rsidR="0075115C" w14:paraId="00ED6279" w14:textId="77777777">
        <w:trPr>
          <w:trHeight w:val="240"/>
        </w:trPr>
        <w:tc>
          <w:tcPr>
            <w:tcW w:w="4563" w:type="dxa"/>
            <w:shd w:val="clear" w:color="auto" w:fill="auto"/>
          </w:tcPr>
          <w:p w14:paraId="0A34B80B" w14:textId="77777777" w:rsidR="0075115C" w:rsidRDefault="00623B17">
            <w:pPr>
              <w:spacing w:after="0" w:line="240" w:lineRule="auto"/>
              <w:rPr>
                <w:rFonts w:cs="Times New Roman"/>
                <w:sz w:val="28"/>
                <w:szCs w:val="28"/>
              </w:rPr>
            </w:pPr>
            <w:r>
              <w:rPr>
                <w:rFonts w:cs="Times New Roman"/>
                <w:sz w:val="28"/>
                <w:szCs w:val="28"/>
              </w:rPr>
              <w:t>O</w:t>
            </w:r>
            <w:r>
              <w:rPr>
                <w:rFonts w:cs="Times New Roman"/>
                <w:sz w:val="28"/>
                <w:szCs w:val="28"/>
              </w:rPr>
              <w:t>biectivul nr. 5. Creșterea accesului și ratei de integrare a străinilor în sistemul educațional național cu 20% până în 2027, prin programe de sprijin și adaptare</w:t>
            </w:r>
          </w:p>
        </w:tc>
        <w:tc>
          <w:tcPr>
            <w:tcW w:w="1266" w:type="dxa"/>
            <w:shd w:val="clear" w:color="auto" w:fill="auto"/>
          </w:tcPr>
          <w:p w14:paraId="2385445B" w14:textId="77777777" w:rsidR="0075115C" w:rsidRDefault="00623B17">
            <w:pPr>
              <w:spacing w:after="0" w:line="240" w:lineRule="auto"/>
              <w:rPr>
                <w:rFonts w:cs="Times New Roman"/>
                <w:sz w:val="28"/>
                <w:szCs w:val="28"/>
              </w:rPr>
            </w:pPr>
            <w:r>
              <w:rPr>
                <w:rFonts w:cs="Times New Roman"/>
                <w:sz w:val="28"/>
                <w:szCs w:val="28"/>
              </w:rPr>
              <w:t>90000</w:t>
            </w:r>
          </w:p>
        </w:tc>
        <w:tc>
          <w:tcPr>
            <w:tcW w:w="1266" w:type="dxa"/>
            <w:shd w:val="clear" w:color="auto" w:fill="auto"/>
          </w:tcPr>
          <w:p w14:paraId="4A9C200A" w14:textId="77777777" w:rsidR="0075115C" w:rsidRDefault="00623B17">
            <w:pPr>
              <w:spacing w:after="0" w:line="240" w:lineRule="auto"/>
              <w:rPr>
                <w:rFonts w:cs="Times New Roman"/>
                <w:sz w:val="28"/>
                <w:szCs w:val="28"/>
              </w:rPr>
            </w:pPr>
            <w:r>
              <w:rPr>
                <w:rFonts w:cs="Times New Roman"/>
                <w:sz w:val="28"/>
                <w:szCs w:val="28"/>
              </w:rPr>
              <w:t>83100</w:t>
            </w:r>
          </w:p>
        </w:tc>
        <w:tc>
          <w:tcPr>
            <w:tcW w:w="1266" w:type="dxa"/>
            <w:shd w:val="clear" w:color="auto" w:fill="auto"/>
          </w:tcPr>
          <w:p w14:paraId="6285F653" w14:textId="77777777" w:rsidR="0075115C" w:rsidRDefault="00623B17">
            <w:pPr>
              <w:spacing w:after="0" w:line="240" w:lineRule="auto"/>
              <w:rPr>
                <w:rFonts w:cs="Times New Roman"/>
                <w:sz w:val="28"/>
                <w:szCs w:val="28"/>
              </w:rPr>
            </w:pPr>
            <w:r>
              <w:rPr>
                <w:rFonts w:cs="Times New Roman"/>
                <w:sz w:val="28"/>
                <w:szCs w:val="28"/>
              </w:rPr>
              <w:t>25200</w:t>
            </w:r>
          </w:p>
        </w:tc>
        <w:tc>
          <w:tcPr>
            <w:tcW w:w="1266" w:type="dxa"/>
            <w:shd w:val="clear" w:color="auto" w:fill="auto"/>
          </w:tcPr>
          <w:p w14:paraId="4847AE0F" w14:textId="77777777" w:rsidR="0075115C" w:rsidRDefault="00623B17">
            <w:pPr>
              <w:spacing w:after="0" w:line="240" w:lineRule="auto"/>
              <w:rPr>
                <w:rFonts w:cs="Times New Roman"/>
                <w:sz w:val="28"/>
                <w:szCs w:val="28"/>
              </w:rPr>
            </w:pPr>
            <w:r>
              <w:rPr>
                <w:rFonts w:cs="Times New Roman"/>
                <w:sz w:val="28"/>
                <w:szCs w:val="28"/>
              </w:rPr>
              <w:t>198300</w:t>
            </w:r>
          </w:p>
        </w:tc>
      </w:tr>
      <w:tr w:rsidR="0075115C" w14:paraId="0BE19514" w14:textId="77777777">
        <w:trPr>
          <w:trHeight w:val="240"/>
        </w:trPr>
        <w:tc>
          <w:tcPr>
            <w:tcW w:w="4563" w:type="dxa"/>
            <w:shd w:val="clear" w:color="auto" w:fill="auto"/>
          </w:tcPr>
          <w:p w14:paraId="2DE77A73" w14:textId="77777777" w:rsidR="0075115C" w:rsidRDefault="00623B17">
            <w:pPr>
              <w:spacing w:after="0" w:line="240" w:lineRule="auto"/>
              <w:rPr>
                <w:rFonts w:cs="Times New Roman"/>
                <w:sz w:val="28"/>
                <w:szCs w:val="28"/>
              </w:rPr>
            </w:pPr>
            <w:r>
              <w:rPr>
                <w:rFonts w:cs="Times New Roman"/>
                <w:sz w:val="28"/>
                <w:szCs w:val="28"/>
              </w:rPr>
              <w:t xml:space="preserve">Obiectivul nr. 6. Creșterea participării culturale a străinilor în </w:t>
            </w:r>
            <w:r>
              <w:rPr>
                <w:rFonts w:cs="Times New Roman"/>
                <w:sz w:val="28"/>
                <w:szCs w:val="28"/>
              </w:rPr>
              <w:t>activități publice, promovarea incluziune culturale și valorificare potențialului diversității culturale</w:t>
            </w:r>
          </w:p>
        </w:tc>
        <w:tc>
          <w:tcPr>
            <w:tcW w:w="1266" w:type="dxa"/>
            <w:shd w:val="clear" w:color="auto" w:fill="auto"/>
          </w:tcPr>
          <w:p w14:paraId="245153FD" w14:textId="77777777" w:rsidR="0075115C" w:rsidRDefault="00623B17">
            <w:pPr>
              <w:spacing w:after="0" w:line="240" w:lineRule="auto"/>
              <w:rPr>
                <w:rFonts w:cs="Times New Roman"/>
                <w:sz w:val="28"/>
                <w:szCs w:val="28"/>
              </w:rPr>
            </w:pPr>
            <w:r>
              <w:rPr>
                <w:rFonts w:cs="Times New Roman"/>
                <w:sz w:val="28"/>
                <w:szCs w:val="28"/>
              </w:rPr>
              <w:t>3377,2</w:t>
            </w:r>
          </w:p>
        </w:tc>
        <w:tc>
          <w:tcPr>
            <w:tcW w:w="1266" w:type="dxa"/>
            <w:shd w:val="clear" w:color="auto" w:fill="auto"/>
          </w:tcPr>
          <w:p w14:paraId="5F0FD774" w14:textId="77777777" w:rsidR="0075115C" w:rsidRDefault="00623B17">
            <w:pPr>
              <w:spacing w:after="0" w:line="240" w:lineRule="auto"/>
              <w:rPr>
                <w:rFonts w:cs="Times New Roman"/>
                <w:sz w:val="28"/>
                <w:szCs w:val="28"/>
              </w:rPr>
            </w:pPr>
            <w:r>
              <w:rPr>
                <w:rFonts w:cs="Times New Roman"/>
                <w:sz w:val="28"/>
                <w:szCs w:val="28"/>
              </w:rPr>
              <w:t>3387,2</w:t>
            </w:r>
          </w:p>
        </w:tc>
        <w:tc>
          <w:tcPr>
            <w:tcW w:w="1266" w:type="dxa"/>
            <w:shd w:val="clear" w:color="auto" w:fill="auto"/>
          </w:tcPr>
          <w:p w14:paraId="7DC96AB8" w14:textId="77777777" w:rsidR="0075115C" w:rsidRDefault="00623B17">
            <w:pPr>
              <w:spacing w:after="0" w:line="240" w:lineRule="auto"/>
              <w:rPr>
                <w:rFonts w:cs="Times New Roman"/>
                <w:sz w:val="28"/>
                <w:szCs w:val="28"/>
              </w:rPr>
            </w:pPr>
            <w:r>
              <w:rPr>
                <w:rFonts w:cs="Times New Roman"/>
                <w:sz w:val="28"/>
                <w:szCs w:val="28"/>
              </w:rPr>
              <w:t>2637,2</w:t>
            </w:r>
          </w:p>
        </w:tc>
        <w:tc>
          <w:tcPr>
            <w:tcW w:w="1266" w:type="dxa"/>
            <w:shd w:val="clear" w:color="auto" w:fill="auto"/>
          </w:tcPr>
          <w:p w14:paraId="33101AD1" w14:textId="77777777" w:rsidR="0075115C" w:rsidRDefault="00623B17">
            <w:pPr>
              <w:spacing w:after="0" w:line="240" w:lineRule="auto"/>
              <w:rPr>
                <w:rFonts w:cs="Times New Roman"/>
                <w:sz w:val="28"/>
                <w:szCs w:val="28"/>
              </w:rPr>
            </w:pPr>
            <w:r>
              <w:rPr>
                <w:rFonts w:cs="Times New Roman"/>
                <w:sz w:val="28"/>
                <w:szCs w:val="28"/>
              </w:rPr>
              <w:t>9401,6</w:t>
            </w:r>
          </w:p>
        </w:tc>
      </w:tr>
      <w:tr w:rsidR="0075115C" w14:paraId="06779E79" w14:textId="77777777">
        <w:trPr>
          <w:trHeight w:val="240"/>
        </w:trPr>
        <w:tc>
          <w:tcPr>
            <w:tcW w:w="4563" w:type="dxa"/>
            <w:shd w:val="clear" w:color="auto" w:fill="auto"/>
          </w:tcPr>
          <w:p w14:paraId="6820C8E0" w14:textId="77777777" w:rsidR="0075115C" w:rsidRDefault="00623B17">
            <w:pPr>
              <w:spacing w:after="0" w:line="240" w:lineRule="auto"/>
              <w:rPr>
                <w:rFonts w:cs="Times New Roman"/>
                <w:sz w:val="28"/>
                <w:szCs w:val="28"/>
              </w:rPr>
            </w:pPr>
            <w:r>
              <w:rPr>
                <w:rFonts w:cs="Times New Roman"/>
                <w:sz w:val="28"/>
                <w:szCs w:val="28"/>
              </w:rPr>
              <w:t xml:space="preserve">Obiectivul nr. 7. Sporirea capacității de acoperire a necesităților persoanelor strămutate, privind dreptul la o locuință </w:t>
            </w:r>
            <w:r>
              <w:rPr>
                <w:rFonts w:cs="Times New Roman"/>
                <w:sz w:val="28"/>
                <w:szCs w:val="28"/>
              </w:rPr>
              <w:t>decentă</w:t>
            </w:r>
          </w:p>
        </w:tc>
        <w:tc>
          <w:tcPr>
            <w:tcW w:w="1266" w:type="dxa"/>
            <w:shd w:val="clear" w:color="auto" w:fill="auto"/>
          </w:tcPr>
          <w:p w14:paraId="4CC72472" w14:textId="77777777" w:rsidR="0075115C" w:rsidRDefault="00623B17">
            <w:pPr>
              <w:spacing w:after="0" w:line="240" w:lineRule="auto"/>
              <w:rPr>
                <w:rFonts w:cs="Times New Roman"/>
                <w:sz w:val="28"/>
                <w:szCs w:val="28"/>
              </w:rPr>
            </w:pPr>
            <w:r>
              <w:rPr>
                <w:rFonts w:cs="Times New Roman"/>
                <w:sz w:val="28"/>
                <w:szCs w:val="28"/>
              </w:rPr>
              <w:t>17280</w:t>
            </w:r>
          </w:p>
        </w:tc>
        <w:tc>
          <w:tcPr>
            <w:tcW w:w="1266" w:type="dxa"/>
            <w:shd w:val="clear" w:color="auto" w:fill="auto"/>
          </w:tcPr>
          <w:p w14:paraId="0ECE18E9" w14:textId="77777777" w:rsidR="0075115C" w:rsidRDefault="00623B17">
            <w:pPr>
              <w:spacing w:after="0" w:line="240" w:lineRule="auto"/>
              <w:rPr>
                <w:rFonts w:cs="Times New Roman"/>
                <w:sz w:val="28"/>
                <w:szCs w:val="28"/>
              </w:rPr>
            </w:pPr>
            <w:r>
              <w:rPr>
                <w:rFonts w:cs="Times New Roman"/>
                <w:sz w:val="28"/>
                <w:szCs w:val="28"/>
              </w:rPr>
              <w:t>17220</w:t>
            </w:r>
          </w:p>
        </w:tc>
        <w:tc>
          <w:tcPr>
            <w:tcW w:w="1266" w:type="dxa"/>
            <w:shd w:val="clear" w:color="auto" w:fill="auto"/>
          </w:tcPr>
          <w:p w14:paraId="139E60EA" w14:textId="77777777" w:rsidR="0075115C" w:rsidRDefault="00623B17">
            <w:pPr>
              <w:spacing w:after="0" w:line="240" w:lineRule="auto"/>
              <w:rPr>
                <w:rFonts w:cs="Times New Roman"/>
                <w:sz w:val="28"/>
                <w:szCs w:val="28"/>
              </w:rPr>
            </w:pPr>
            <w:r>
              <w:rPr>
                <w:rFonts w:cs="Times New Roman"/>
                <w:sz w:val="28"/>
                <w:szCs w:val="28"/>
              </w:rPr>
              <w:t>70</w:t>
            </w:r>
          </w:p>
        </w:tc>
        <w:tc>
          <w:tcPr>
            <w:tcW w:w="1266" w:type="dxa"/>
            <w:shd w:val="clear" w:color="auto" w:fill="auto"/>
          </w:tcPr>
          <w:p w14:paraId="3DF8A250" w14:textId="77777777" w:rsidR="0075115C" w:rsidRDefault="00623B17">
            <w:pPr>
              <w:spacing w:after="0" w:line="240" w:lineRule="auto"/>
              <w:rPr>
                <w:rFonts w:cs="Times New Roman"/>
                <w:sz w:val="28"/>
                <w:szCs w:val="28"/>
              </w:rPr>
            </w:pPr>
            <w:r>
              <w:rPr>
                <w:rFonts w:cs="Times New Roman"/>
                <w:sz w:val="28"/>
                <w:szCs w:val="28"/>
              </w:rPr>
              <w:t>34570</w:t>
            </w:r>
          </w:p>
        </w:tc>
      </w:tr>
    </w:tbl>
    <w:p w14:paraId="36073F68"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Pr>
          <w:rFonts w:eastAsia="Times New Roman" w:cs="Times New Roman"/>
          <w:color w:val="000000"/>
          <w:sz w:val="28"/>
          <w:szCs w:val="28"/>
        </w:rPr>
        <w:t xml:space="preserve">Autoritățile și instituțiile responsabile urmează să asigure includerea acțiunilor stabilite în Planul de acțiuni pentru implementarea Programului în Strategiile Sectoriale de Cheltueli cu scopul de a asigura alinierea </w:t>
      </w:r>
      <w:r>
        <w:rPr>
          <w:rFonts w:eastAsia="Times New Roman" w:cs="Times New Roman"/>
          <w:color w:val="000000"/>
          <w:sz w:val="28"/>
          <w:szCs w:val="28"/>
        </w:rPr>
        <w:t>integrală a Programului cu Cadrul Bugetar pe Trmen Mediu. Totodată, o parte consistentă din costuri va fi asigurată prin programele de sprijin internațional, inclusiv contribuțiile oferite de organizații precum Agenția ONU pentru Refugiați (UNHCR), Organiz</w:t>
      </w:r>
      <w:r>
        <w:rPr>
          <w:rFonts w:eastAsia="Times New Roman" w:cs="Times New Roman"/>
          <w:color w:val="000000"/>
          <w:sz w:val="28"/>
          <w:szCs w:val="28"/>
        </w:rPr>
        <w:t>ația Internațională pentru Migrație (OIM), Programul Alimentar Mondial al ONU (WFP), Fondul Internațional pentru Urgențe ale Copiilor al Națiunilor Unite (UNICEF) , World Vision Ukraine Crisis Respons, Fondurile UE și alte entități partenere, ceea ce va re</w:t>
      </w:r>
      <w:r>
        <w:rPr>
          <w:rFonts w:eastAsia="Times New Roman" w:cs="Times New Roman"/>
          <w:color w:val="000000"/>
          <w:sz w:val="28"/>
          <w:szCs w:val="28"/>
        </w:rPr>
        <w:t>duce povara asupra bugetului național. Acest model de finanțare partajată subliniază caracterul sustenabil al Programului și permite utilizarea optimă a resurselor disponibile.</w:t>
      </w:r>
    </w:p>
    <w:p w14:paraId="4F183C24"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p>
    <w:p w14:paraId="6FC8163B" w14:textId="77777777" w:rsidR="0075115C" w:rsidRDefault="00623B17">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r>
        <w:rPr>
          <w:rFonts w:eastAsia="Times New Roman" w:cs="Times New Roman"/>
          <w:b/>
          <w:bCs/>
          <w:i/>
          <w:iCs/>
          <w:color w:val="000000"/>
          <w:sz w:val="28"/>
          <w:szCs w:val="28"/>
          <w:highlight w:val="white"/>
        </w:rPr>
        <w:t xml:space="preserve">Tabel nr. 5 </w:t>
      </w:r>
      <w:r>
        <w:rPr>
          <w:rFonts w:eastAsia="Times New Roman" w:cs="Times New Roman"/>
          <w:b/>
          <w:i/>
          <w:color w:val="000000"/>
          <w:sz w:val="28"/>
          <w:szCs w:val="28"/>
          <w:highlight w:val="white"/>
        </w:rPr>
        <w:t>Distribuirea costurilor estimate de implementarea a programului pe</w:t>
      </w:r>
      <w:r>
        <w:rPr>
          <w:rFonts w:eastAsia="Times New Roman" w:cs="Times New Roman"/>
          <w:b/>
          <w:i/>
          <w:color w:val="000000"/>
          <w:sz w:val="28"/>
          <w:szCs w:val="28"/>
          <w:highlight w:val="white"/>
        </w:rPr>
        <w:t xml:space="preserve"> surse și ani de implemetare</w:t>
      </w:r>
    </w:p>
    <w:p w14:paraId="6A09B783"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p>
    <w:tbl>
      <w:tblPr>
        <w:tblStyle w:val="af2"/>
        <w:tblW w:w="0" w:type="auto"/>
        <w:tblLayout w:type="fixed"/>
        <w:tblLook w:val="04A0" w:firstRow="1" w:lastRow="0" w:firstColumn="1" w:lastColumn="0" w:noHBand="0" w:noVBand="1"/>
      </w:tblPr>
      <w:tblGrid>
        <w:gridCol w:w="1980"/>
        <w:gridCol w:w="1911"/>
        <w:gridCol w:w="1912"/>
        <w:gridCol w:w="1912"/>
        <w:gridCol w:w="1912"/>
      </w:tblGrid>
      <w:tr w:rsidR="0075115C" w14:paraId="67DCD9FA" w14:textId="77777777">
        <w:trPr>
          <w:trHeight w:val="288"/>
        </w:trPr>
        <w:tc>
          <w:tcPr>
            <w:tcW w:w="1980" w:type="dxa"/>
            <w:shd w:val="clear" w:color="auto" w:fill="BDD6EE" w:themeFill="accent1" w:themeFillTint="66"/>
            <w:noWrap/>
          </w:tcPr>
          <w:p w14:paraId="11D213F4"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i/>
                <w:iCs/>
                <w:sz w:val="28"/>
                <w:szCs w:val="28"/>
              </w:rPr>
            </w:pPr>
            <w:r>
              <w:rPr>
                <w:rFonts w:cs="Times New Roman"/>
                <w:b/>
                <w:bCs/>
                <w:i/>
                <w:iCs/>
                <w:sz w:val="28"/>
                <w:szCs w:val="28"/>
              </w:rPr>
              <w:t>Sursa de finanțare</w:t>
            </w:r>
          </w:p>
        </w:tc>
        <w:tc>
          <w:tcPr>
            <w:tcW w:w="1911" w:type="dxa"/>
            <w:shd w:val="clear" w:color="auto" w:fill="BDD6EE" w:themeFill="accent1" w:themeFillTint="66"/>
            <w:noWrap/>
          </w:tcPr>
          <w:p w14:paraId="435438AE"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2025</w:t>
            </w:r>
          </w:p>
        </w:tc>
        <w:tc>
          <w:tcPr>
            <w:tcW w:w="1912" w:type="dxa"/>
            <w:shd w:val="clear" w:color="auto" w:fill="BDD6EE" w:themeFill="accent1" w:themeFillTint="66"/>
            <w:noWrap/>
          </w:tcPr>
          <w:p w14:paraId="110F382A"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2026</w:t>
            </w:r>
          </w:p>
        </w:tc>
        <w:tc>
          <w:tcPr>
            <w:tcW w:w="1912" w:type="dxa"/>
            <w:shd w:val="clear" w:color="auto" w:fill="BDD6EE" w:themeFill="accent1" w:themeFillTint="66"/>
            <w:noWrap/>
          </w:tcPr>
          <w:p w14:paraId="0FEA6BA4"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i/>
                <w:iCs/>
                <w:sz w:val="28"/>
                <w:szCs w:val="28"/>
              </w:rPr>
            </w:pPr>
            <w:r>
              <w:rPr>
                <w:rFonts w:cs="Times New Roman"/>
                <w:b/>
                <w:bCs/>
                <w:i/>
                <w:iCs/>
                <w:sz w:val="28"/>
                <w:szCs w:val="28"/>
              </w:rPr>
              <w:t>Buget estimat, mii lei</w:t>
            </w:r>
            <w:r>
              <w:rPr>
                <w:rFonts w:cs="Times New Roman"/>
                <w:b/>
                <w:bCs/>
                <w:i/>
                <w:iCs/>
                <w:sz w:val="28"/>
                <w:szCs w:val="28"/>
              </w:rPr>
              <w:br/>
              <w:t>2027</w:t>
            </w:r>
          </w:p>
        </w:tc>
        <w:tc>
          <w:tcPr>
            <w:tcW w:w="1912" w:type="dxa"/>
            <w:shd w:val="clear" w:color="auto" w:fill="BDD6EE" w:themeFill="accent1" w:themeFillTint="66"/>
          </w:tcPr>
          <w:p w14:paraId="2F3037E3"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i/>
                <w:iCs/>
                <w:sz w:val="28"/>
                <w:szCs w:val="28"/>
              </w:rPr>
            </w:pPr>
            <w:r>
              <w:rPr>
                <w:rFonts w:cs="Times New Roman"/>
                <w:b/>
                <w:bCs/>
                <w:i/>
                <w:iCs/>
                <w:sz w:val="28"/>
                <w:szCs w:val="28"/>
              </w:rPr>
              <w:t>Total</w:t>
            </w:r>
          </w:p>
        </w:tc>
      </w:tr>
      <w:tr w:rsidR="0075115C" w14:paraId="107ACC26" w14:textId="77777777">
        <w:trPr>
          <w:trHeight w:val="288"/>
        </w:trPr>
        <w:tc>
          <w:tcPr>
            <w:tcW w:w="1980" w:type="dxa"/>
            <w:noWrap/>
          </w:tcPr>
          <w:p w14:paraId="1EA335D9"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Asistență externă</w:t>
            </w:r>
          </w:p>
        </w:tc>
        <w:tc>
          <w:tcPr>
            <w:tcW w:w="1911" w:type="dxa"/>
            <w:noWrap/>
          </w:tcPr>
          <w:p w14:paraId="76557A21"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724857,2</w:t>
            </w:r>
          </w:p>
        </w:tc>
        <w:tc>
          <w:tcPr>
            <w:tcW w:w="1912" w:type="dxa"/>
            <w:noWrap/>
          </w:tcPr>
          <w:p w14:paraId="483B3BF3"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708467,2</w:t>
            </w:r>
          </w:p>
        </w:tc>
        <w:tc>
          <w:tcPr>
            <w:tcW w:w="1912" w:type="dxa"/>
            <w:noWrap/>
          </w:tcPr>
          <w:p w14:paraId="2377ABC7"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1144,7</w:t>
            </w:r>
          </w:p>
        </w:tc>
        <w:tc>
          <w:tcPr>
            <w:tcW w:w="1912" w:type="dxa"/>
          </w:tcPr>
          <w:p w14:paraId="4105A43F"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1434469</w:t>
            </w:r>
          </w:p>
        </w:tc>
      </w:tr>
      <w:tr w:rsidR="0075115C" w14:paraId="4F51C21B" w14:textId="77777777">
        <w:trPr>
          <w:trHeight w:val="288"/>
        </w:trPr>
        <w:tc>
          <w:tcPr>
            <w:tcW w:w="1980" w:type="dxa"/>
            <w:noWrap/>
          </w:tcPr>
          <w:p w14:paraId="51F67750"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lastRenderedPageBreak/>
              <w:t>Buget de stat</w:t>
            </w:r>
          </w:p>
        </w:tc>
        <w:tc>
          <w:tcPr>
            <w:tcW w:w="1911" w:type="dxa"/>
            <w:noWrap/>
          </w:tcPr>
          <w:p w14:paraId="774C2A06"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117375,1</w:t>
            </w:r>
          </w:p>
        </w:tc>
        <w:tc>
          <w:tcPr>
            <w:tcW w:w="1912" w:type="dxa"/>
            <w:noWrap/>
          </w:tcPr>
          <w:p w14:paraId="3FF532F2"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116105,1</w:t>
            </w:r>
          </w:p>
        </w:tc>
        <w:tc>
          <w:tcPr>
            <w:tcW w:w="1912" w:type="dxa"/>
            <w:noWrap/>
          </w:tcPr>
          <w:p w14:paraId="3CB0570A"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56222,6</w:t>
            </w:r>
          </w:p>
        </w:tc>
        <w:tc>
          <w:tcPr>
            <w:tcW w:w="1912" w:type="dxa"/>
          </w:tcPr>
          <w:p w14:paraId="5407EE67"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289702,9</w:t>
            </w:r>
          </w:p>
        </w:tc>
      </w:tr>
      <w:tr w:rsidR="0075115C" w14:paraId="1095BB82" w14:textId="77777777">
        <w:trPr>
          <w:trHeight w:val="288"/>
        </w:trPr>
        <w:tc>
          <w:tcPr>
            <w:tcW w:w="1980" w:type="dxa"/>
            <w:noWrap/>
          </w:tcPr>
          <w:p w14:paraId="0E9053BD"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 xml:space="preserve">Cofinanțare: </w:t>
            </w:r>
            <w:r>
              <w:rPr>
                <w:rFonts w:cs="Times New Roman"/>
                <w:i/>
                <w:iCs/>
                <w:sz w:val="28"/>
                <w:szCs w:val="28"/>
              </w:rPr>
              <w:t>Buget de stat, asistență externă</w:t>
            </w:r>
          </w:p>
        </w:tc>
        <w:tc>
          <w:tcPr>
            <w:tcW w:w="1911" w:type="dxa"/>
            <w:noWrap/>
          </w:tcPr>
          <w:p w14:paraId="51E9298A"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21089,6</w:t>
            </w:r>
          </w:p>
        </w:tc>
        <w:tc>
          <w:tcPr>
            <w:tcW w:w="1912" w:type="dxa"/>
            <w:noWrap/>
          </w:tcPr>
          <w:p w14:paraId="78EB6F97"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15616,8</w:t>
            </w:r>
          </w:p>
        </w:tc>
        <w:tc>
          <w:tcPr>
            <w:tcW w:w="1912" w:type="dxa"/>
            <w:noWrap/>
          </w:tcPr>
          <w:p w14:paraId="7B24F999"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15024,3</w:t>
            </w:r>
          </w:p>
        </w:tc>
        <w:tc>
          <w:tcPr>
            <w:tcW w:w="1912" w:type="dxa"/>
          </w:tcPr>
          <w:p w14:paraId="54886BA0"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51730,8</w:t>
            </w:r>
          </w:p>
        </w:tc>
      </w:tr>
      <w:tr w:rsidR="0075115C" w14:paraId="096AC3FA" w14:textId="77777777">
        <w:trPr>
          <w:trHeight w:val="288"/>
        </w:trPr>
        <w:tc>
          <w:tcPr>
            <w:tcW w:w="1980" w:type="dxa"/>
            <w:noWrap/>
          </w:tcPr>
          <w:p w14:paraId="5B4730A8"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Buget neacoperit</w:t>
            </w:r>
          </w:p>
        </w:tc>
        <w:tc>
          <w:tcPr>
            <w:tcW w:w="1911" w:type="dxa"/>
            <w:noWrap/>
          </w:tcPr>
          <w:p w14:paraId="55229358"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98319,9</w:t>
            </w:r>
          </w:p>
        </w:tc>
        <w:tc>
          <w:tcPr>
            <w:tcW w:w="1912" w:type="dxa"/>
            <w:noWrap/>
          </w:tcPr>
          <w:p w14:paraId="2A7B698B"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308086,4</w:t>
            </w:r>
          </w:p>
        </w:tc>
        <w:tc>
          <w:tcPr>
            <w:tcW w:w="1912" w:type="dxa"/>
            <w:noWrap/>
          </w:tcPr>
          <w:p w14:paraId="5B8CB36A" w14:textId="77777777" w:rsidR="0075115C" w:rsidRDefault="00623B17">
            <w:pPr>
              <w:pBdr>
                <w:top w:val="none" w:sz="4" w:space="0" w:color="000000"/>
                <w:left w:val="none" w:sz="4" w:space="0" w:color="000000"/>
                <w:bottom w:val="none" w:sz="4" w:space="0" w:color="000000"/>
                <w:right w:val="none" w:sz="4" w:space="0" w:color="000000"/>
              </w:pBdr>
              <w:rPr>
                <w:rFonts w:cs="Times New Roman"/>
                <w:sz w:val="28"/>
                <w:szCs w:val="28"/>
              </w:rPr>
            </w:pPr>
            <w:r>
              <w:rPr>
                <w:rFonts w:cs="Times New Roman"/>
                <w:sz w:val="28"/>
                <w:szCs w:val="28"/>
              </w:rPr>
              <w:t>298086,4</w:t>
            </w:r>
          </w:p>
        </w:tc>
        <w:tc>
          <w:tcPr>
            <w:tcW w:w="1912" w:type="dxa"/>
          </w:tcPr>
          <w:p w14:paraId="3FCBD302"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704492,8</w:t>
            </w:r>
          </w:p>
        </w:tc>
      </w:tr>
      <w:tr w:rsidR="0075115C" w14:paraId="2C3BD7A3" w14:textId="77777777">
        <w:trPr>
          <w:trHeight w:val="288"/>
        </w:trPr>
        <w:tc>
          <w:tcPr>
            <w:tcW w:w="1980" w:type="dxa"/>
            <w:noWrap/>
          </w:tcPr>
          <w:p w14:paraId="5FED15E6"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Total</w:t>
            </w:r>
          </w:p>
        </w:tc>
        <w:tc>
          <w:tcPr>
            <w:tcW w:w="1911" w:type="dxa"/>
            <w:noWrap/>
          </w:tcPr>
          <w:p w14:paraId="256E0EB8"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961641,9</w:t>
            </w:r>
          </w:p>
        </w:tc>
        <w:tc>
          <w:tcPr>
            <w:tcW w:w="1912" w:type="dxa"/>
            <w:noWrap/>
          </w:tcPr>
          <w:p w14:paraId="0A376D7B"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1148275,6</w:t>
            </w:r>
          </w:p>
        </w:tc>
        <w:tc>
          <w:tcPr>
            <w:tcW w:w="1912" w:type="dxa"/>
            <w:noWrap/>
          </w:tcPr>
          <w:p w14:paraId="0B6FC9D9"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370478,1</w:t>
            </w:r>
          </w:p>
        </w:tc>
        <w:tc>
          <w:tcPr>
            <w:tcW w:w="1912" w:type="dxa"/>
          </w:tcPr>
          <w:p w14:paraId="5A9F4C38" w14:textId="77777777" w:rsidR="0075115C" w:rsidRDefault="00623B17">
            <w:pPr>
              <w:pBdr>
                <w:top w:val="none" w:sz="4" w:space="0" w:color="000000"/>
                <w:left w:val="none" w:sz="4" w:space="0" w:color="000000"/>
                <w:bottom w:val="none" w:sz="4" w:space="0" w:color="000000"/>
                <w:right w:val="none" w:sz="4" w:space="0" w:color="000000"/>
              </w:pBdr>
              <w:rPr>
                <w:rFonts w:cs="Times New Roman"/>
                <w:b/>
                <w:bCs/>
                <w:sz w:val="28"/>
                <w:szCs w:val="28"/>
              </w:rPr>
            </w:pPr>
            <w:r>
              <w:rPr>
                <w:rFonts w:cs="Times New Roman"/>
                <w:b/>
                <w:bCs/>
                <w:sz w:val="28"/>
                <w:szCs w:val="28"/>
              </w:rPr>
              <w:t>2480395,5</w:t>
            </w:r>
          </w:p>
        </w:tc>
      </w:tr>
    </w:tbl>
    <w:p w14:paraId="0ECC5325" w14:textId="77777777" w:rsidR="0075115C" w:rsidRDefault="0075115C">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color w:val="000000"/>
          <w:sz w:val="28"/>
          <w:szCs w:val="28"/>
          <w:highlight w:val="white"/>
        </w:rPr>
      </w:pPr>
    </w:p>
    <w:p w14:paraId="4F9E7E7E" w14:textId="77777777" w:rsidR="0075115C" w:rsidRDefault="00623B17">
      <w:pPr>
        <w:pStyle w:val="1"/>
      </w:pPr>
      <w:bookmarkStart w:id="24" w:name="_Toc193725346"/>
      <w:r>
        <w:t>Riscuri de implementare</w:t>
      </w:r>
      <w:bookmarkEnd w:id="24"/>
      <w:r>
        <w:t xml:space="preserve"> </w:t>
      </w:r>
    </w:p>
    <w:p w14:paraId="0E678FA1"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Implementarea Programului poate întâmpina o serie de riscuri care </w:t>
      </w:r>
      <w:r>
        <w:rPr>
          <w:rFonts w:eastAsia="Times New Roman" w:cs="Times New Roman"/>
          <w:color w:val="222A35" w:themeColor="text2" w:themeShade="80"/>
          <w:sz w:val="28"/>
          <w:szCs w:val="28"/>
          <w:lang w:eastAsia="zh-CN"/>
        </w:rPr>
        <w:t>pot afecta realizarea obiectivelor propuse, de la limitări financiare și capacități administrative reduse, la bariere culturale și economice. Printre riscurile majore, cu probabilitate înaltă și impact major se numără:</w:t>
      </w:r>
    </w:p>
    <w:tbl>
      <w:tblPr>
        <w:tblStyle w:val="af2"/>
        <w:tblW w:w="0" w:type="auto"/>
        <w:tblLook w:val="04A0" w:firstRow="1" w:lastRow="0" w:firstColumn="1" w:lastColumn="0" w:noHBand="0" w:noVBand="1"/>
      </w:tblPr>
      <w:tblGrid>
        <w:gridCol w:w="4829"/>
        <w:gridCol w:w="4798"/>
      </w:tblGrid>
      <w:tr w:rsidR="0075115C" w14:paraId="19989CE1" w14:textId="77777777">
        <w:tc>
          <w:tcPr>
            <w:tcW w:w="4926" w:type="dxa"/>
            <w:shd w:val="clear" w:color="auto" w:fill="DEEAF6" w:themeFill="accent1" w:themeFillTint="33"/>
          </w:tcPr>
          <w:p w14:paraId="35FDBD86" w14:textId="77777777" w:rsidR="0075115C" w:rsidRDefault="00623B17">
            <w:pPr>
              <w:contextualSpacing/>
              <w:jc w:val="both"/>
              <w:rPr>
                <w:rFonts w:eastAsia="Times New Roman" w:cs="Times New Roman"/>
                <w:b/>
                <w:bCs/>
                <w:color w:val="auto"/>
                <w:sz w:val="28"/>
                <w:szCs w:val="28"/>
                <w:lang w:eastAsia="zh-CN"/>
              </w:rPr>
            </w:pPr>
            <w:r>
              <w:rPr>
                <w:rFonts w:eastAsia="Times New Roman" w:cs="Times New Roman"/>
                <w:b/>
                <w:bCs/>
                <w:color w:val="auto"/>
                <w:sz w:val="28"/>
                <w:szCs w:val="28"/>
                <w:lang w:eastAsia="zh-CN"/>
              </w:rPr>
              <w:t>Risc*</w:t>
            </w:r>
          </w:p>
          <w:p w14:paraId="625C93B2" w14:textId="77777777" w:rsidR="0075115C" w:rsidRDefault="00623B17">
            <w:pPr>
              <w:contextualSpacing/>
              <w:jc w:val="both"/>
              <w:rPr>
                <w:rFonts w:eastAsia="Times New Roman" w:cs="Times New Roman"/>
                <w:i/>
                <w:iCs/>
                <w:color w:val="222A35" w:themeColor="text2" w:themeShade="80"/>
                <w:sz w:val="28"/>
                <w:szCs w:val="28"/>
                <w:lang w:eastAsia="zh-CN"/>
              </w:rPr>
            </w:pPr>
            <w:r>
              <w:rPr>
                <w:rFonts w:eastAsia="Times New Roman" w:cs="Times New Roman"/>
                <w:i/>
                <w:iCs/>
                <w:color w:val="222A35" w:themeColor="text2" w:themeShade="80"/>
                <w:sz w:val="28"/>
                <w:szCs w:val="28"/>
                <w:lang w:eastAsia="zh-CN"/>
              </w:rPr>
              <w:t xml:space="preserve">Sunt prezentate doar riscurile </w:t>
            </w:r>
            <w:r>
              <w:rPr>
                <w:rFonts w:eastAsia="Times New Roman" w:cs="Times New Roman"/>
                <w:i/>
                <w:iCs/>
                <w:color w:val="222A35" w:themeColor="text2" w:themeShade="80"/>
                <w:sz w:val="28"/>
                <w:szCs w:val="28"/>
                <w:lang w:eastAsia="zh-CN"/>
              </w:rPr>
              <w:t>cu probabilitate înaltă și impact major</w:t>
            </w:r>
          </w:p>
        </w:tc>
        <w:tc>
          <w:tcPr>
            <w:tcW w:w="4927" w:type="dxa"/>
            <w:shd w:val="clear" w:color="auto" w:fill="DEEAF6" w:themeFill="accent1" w:themeFillTint="33"/>
          </w:tcPr>
          <w:p w14:paraId="149B0196" w14:textId="77777777" w:rsidR="0075115C" w:rsidRDefault="00623B17">
            <w:pPr>
              <w:contextualSpacing/>
              <w:jc w:val="both"/>
              <w:rPr>
                <w:rFonts w:eastAsia="Times New Roman" w:cs="Times New Roman"/>
                <w:b/>
                <w:bCs/>
                <w:color w:val="222A35" w:themeColor="text2" w:themeShade="80"/>
                <w:sz w:val="28"/>
                <w:szCs w:val="28"/>
                <w:lang w:eastAsia="zh-CN"/>
              </w:rPr>
            </w:pPr>
            <w:r>
              <w:rPr>
                <w:rFonts w:eastAsia="Times New Roman" w:cs="Times New Roman"/>
                <w:b/>
                <w:bCs/>
                <w:color w:val="auto"/>
                <w:sz w:val="28"/>
                <w:szCs w:val="28"/>
                <w:lang w:eastAsia="zh-CN"/>
              </w:rPr>
              <w:t>Măsuri de atenuare</w:t>
            </w:r>
          </w:p>
        </w:tc>
      </w:tr>
      <w:tr w:rsidR="0075115C" w14:paraId="30F09C5C" w14:textId="77777777">
        <w:tc>
          <w:tcPr>
            <w:tcW w:w="4926" w:type="dxa"/>
          </w:tcPr>
          <w:p w14:paraId="0EC71EDC" w14:textId="77777777" w:rsidR="0075115C" w:rsidRDefault="00623B17">
            <w:pPr>
              <w:contextualSpacing/>
              <w:jc w:val="both"/>
              <w:rPr>
                <w:rFonts w:eastAsia="Times New Roman" w:cs="Times New Roman"/>
                <w:color w:val="auto"/>
                <w:sz w:val="28"/>
                <w:szCs w:val="28"/>
                <w:lang w:eastAsia="zh-CN"/>
              </w:rPr>
            </w:pPr>
            <w:r>
              <w:rPr>
                <w:rFonts w:eastAsia="Times New Roman" w:cs="Times New Roman"/>
                <w:color w:val="auto"/>
                <w:sz w:val="28"/>
                <w:szCs w:val="28"/>
                <w:lang w:eastAsia="zh-CN"/>
              </w:rPr>
              <w:t>Insuficiența resurselor financiare pentru a susține toate activitățile necesare implementării eficiente.</w:t>
            </w:r>
          </w:p>
          <w:p w14:paraId="07F79D77"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Capacitățile instituționale și personalul din autoritățile/instituțiile cheie pot fi insufi</w:t>
            </w:r>
            <w:r>
              <w:rPr>
                <w:rFonts w:eastAsia="Times New Roman" w:cs="Times New Roman"/>
                <w:color w:val="auto"/>
                <w:sz w:val="28"/>
                <w:szCs w:val="28"/>
                <w:lang w:eastAsia="zh-CN"/>
              </w:rPr>
              <w:t>ciente sau suprasolicitate, afectând implementarea măsurilor.</w:t>
            </w:r>
          </w:p>
        </w:tc>
        <w:tc>
          <w:tcPr>
            <w:tcW w:w="4927" w:type="dxa"/>
          </w:tcPr>
          <w:p w14:paraId="416092E8"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Obținerea de sprijin din partea organizațiilor internaționale și optimizarea proceselor pentru utilizarea eficientă a resurselor disponibile.</w:t>
            </w:r>
          </w:p>
        </w:tc>
      </w:tr>
      <w:tr w:rsidR="0075115C" w14:paraId="532DF413" w14:textId="77777777">
        <w:tc>
          <w:tcPr>
            <w:tcW w:w="4926" w:type="dxa"/>
          </w:tcPr>
          <w:p w14:paraId="19AB333E" w14:textId="77777777" w:rsidR="0075115C" w:rsidRDefault="00623B17">
            <w:pPr>
              <w:contextualSpacing/>
              <w:jc w:val="both"/>
              <w:rPr>
                <w:rFonts w:eastAsia="Times New Roman" w:cs="Times New Roman"/>
                <w:color w:val="auto"/>
                <w:sz w:val="28"/>
                <w:szCs w:val="28"/>
                <w:lang w:eastAsia="zh-CN"/>
              </w:rPr>
            </w:pPr>
            <w:r>
              <w:rPr>
                <w:rFonts w:eastAsia="Times New Roman" w:cs="Times New Roman"/>
                <w:color w:val="auto"/>
                <w:sz w:val="28"/>
                <w:szCs w:val="28"/>
                <w:lang w:eastAsia="zh-CN"/>
              </w:rPr>
              <w:t>Cererea ridicată de servicii esențiale pentru refug</w:t>
            </w:r>
            <w:r>
              <w:rPr>
                <w:rFonts w:eastAsia="Times New Roman" w:cs="Times New Roman"/>
                <w:color w:val="auto"/>
                <w:sz w:val="28"/>
                <w:szCs w:val="28"/>
                <w:lang w:eastAsia="zh-CN"/>
              </w:rPr>
              <w:t>iați poate depăși capacitățile actuale.</w:t>
            </w:r>
          </w:p>
          <w:p w14:paraId="57D97F61"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Accesul refugiaților la resurse poate genera nemulțumiri în rândul populației locale.</w:t>
            </w:r>
          </w:p>
        </w:tc>
        <w:tc>
          <w:tcPr>
            <w:tcW w:w="4927" w:type="dxa"/>
          </w:tcPr>
          <w:p w14:paraId="4DF88C5F"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Dezvoltarea infrastructurii și campanii de sensibilizare pentru promovarea coeziunii sociale.</w:t>
            </w:r>
          </w:p>
        </w:tc>
      </w:tr>
      <w:tr w:rsidR="0075115C" w14:paraId="060CB9AA" w14:textId="77777777">
        <w:tc>
          <w:tcPr>
            <w:tcW w:w="4926" w:type="dxa"/>
          </w:tcPr>
          <w:p w14:paraId="24F95565" w14:textId="77777777" w:rsidR="0075115C" w:rsidRDefault="00623B17">
            <w:pPr>
              <w:contextualSpacing/>
              <w:jc w:val="both"/>
              <w:rPr>
                <w:rFonts w:eastAsia="Times New Roman" w:cs="Times New Roman"/>
                <w:color w:val="auto"/>
                <w:sz w:val="28"/>
                <w:szCs w:val="28"/>
                <w:lang w:eastAsia="zh-CN"/>
              </w:rPr>
            </w:pPr>
            <w:r>
              <w:rPr>
                <w:rFonts w:eastAsia="Times New Roman" w:cs="Times New Roman"/>
                <w:color w:val="auto"/>
                <w:sz w:val="28"/>
                <w:szCs w:val="28"/>
                <w:lang w:eastAsia="zh-CN"/>
              </w:rPr>
              <w:t xml:space="preserve">Accesul străinilor la piața muncii </w:t>
            </w:r>
            <w:r>
              <w:rPr>
                <w:rFonts w:eastAsia="Times New Roman" w:cs="Times New Roman"/>
                <w:color w:val="auto"/>
                <w:sz w:val="28"/>
                <w:szCs w:val="28"/>
                <w:lang w:eastAsia="zh-CN"/>
              </w:rPr>
              <w:t>este afectat de dificultăți în recunoașterea calificărilor și de bariera lingvistică.</w:t>
            </w:r>
          </w:p>
          <w:p w14:paraId="0C4DCB07"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Acces redus la finanțare pentru stimulare economică a străinilor.</w:t>
            </w:r>
          </w:p>
        </w:tc>
        <w:tc>
          <w:tcPr>
            <w:tcW w:w="4927" w:type="dxa"/>
          </w:tcPr>
          <w:p w14:paraId="1F727C06"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 xml:space="preserve">Simplificarea procedurilor de recunoaștere a calificărilor, implementarea de programe de instruire și </w:t>
            </w:r>
            <w:r>
              <w:rPr>
                <w:rFonts w:eastAsia="Times New Roman" w:cs="Times New Roman"/>
                <w:color w:val="auto"/>
                <w:sz w:val="28"/>
                <w:szCs w:val="28"/>
                <w:lang w:eastAsia="zh-CN"/>
              </w:rPr>
              <w:t>recalificare profesională.</w:t>
            </w:r>
          </w:p>
        </w:tc>
      </w:tr>
      <w:tr w:rsidR="0075115C" w14:paraId="5A0EC460" w14:textId="77777777">
        <w:tc>
          <w:tcPr>
            <w:tcW w:w="4926" w:type="dxa"/>
          </w:tcPr>
          <w:p w14:paraId="313B6D2D" w14:textId="77777777" w:rsidR="0075115C" w:rsidRDefault="00623B17">
            <w:pPr>
              <w:contextualSpacing/>
              <w:jc w:val="both"/>
              <w:rPr>
                <w:rFonts w:eastAsia="Times New Roman" w:cs="Times New Roman"/>
                <w:color w:val="auto"/>
                <w:sz w:val="28"/>
                <w:szCs w:val="28"/>
                <w:lang w:eastAsia="zh-CN"/>
              </w:rPr>
            </w:pPr>
            <w:r>
              <w:rPr>
                <w:rFonts w:eastAsia="Times New Roman" w:cs="Times New Roman"/>
                <w:color w:val="auto"/>
                <w:sz w:val="28"/>
                <w:szCs w:val="28"/>
                <w:lang w:eastAsia="zh-CN"/>
              </w:rPr>
              <w:t>Finanțare insuficientă pentru acoperirea tuturor necesităților de acces la anumite servicii medicale.</w:t>
            </w:r>
          </w:p>
          <w:p w14:paraId="4FD81696" w14:textId="77777777" w:rsidR="0075115C" w:rsidRDefault="00623B17">
            <w:pPr>
              <w:contextualSpacing/>
              <w:jc w:val="both"/>
              <w:rPr>
                <w:rFonts w:eastAsia="Times New Roman" w:cs="Times New Roman"/>
                <w:color w:val="222A35" w:themeColor="text2" w:themeShade="80"/>
                <w:sz w:val="28"/>
                <w:szCs w:val="28"/>
                <w:lang w:eastAsia="zh-CN"/>
              </w:rPr>
            </w:pPr>
            <w:r>
              <w:rPr>
                <w:rFonts w:eastAsia="Times New Roman" w:cs="Times New Roman"/>
                <w:color w:val="auto"/>
                <w:sz w:val="28"/>
                <w:szCs w:val="28"/>
                <w:lang w:eastAsia="zh-CN"/>
              </w:rPr>
              <w:t>Bariere în accesul la asigurări de sănătate.</w:t>
            </w:r>
          </w:p>
        </w:tc>
        <w:tc>
          <w:tcPr>
            <w:tcW w:w="4927" w:type="dxa"/>
          </w:tcPr>
          <w:p w14:paraId="2FE75E05" w14:textId="77777777" w:rsidR="0075115C" w:rsidRDefault="00623B17">
            <w:pPr>
              <w:contextualSpacing/>
              <w:jc w:val="both"/>
              <w:rPr>
                <w:rFonts w:eastAsia="Times New Roman" w:cs="Times New Roman"/>
                <w:color w:val="222A35" w:themeColor="text2" w:themeShade="80"/>
                <w:sz w:val="28"/>
                <w:szCs w:val="28"/>
                <w:lang w:eastAsia="zh-CN"/>
              </w:rPr>
            </w:pPr>
            <w:r>
              <w:rPr>
                <w:rFonts w:cs="Times New Roman"/>
                <w:sz w:val="28"/>
                <w:szCs w:val="28"/>
              </w:rPr>
              <w:t>Colaborarea cu parteneri internaționali pentru susținerea financiară a programelo</w:t>
            </w:r>
            <w:r>
              <w:rPr>
                <w:rFonts w:cs="Times New Roman"/>
                <w:sz w:val="28"/>
                <w:szCs w:val="28"/>
              </w:rPr>
              <w:t>r de sănătate.</w:t>
            </w:r>
          </w:p>
        </w:tc>
      </w:tr>
      <w:tr w:rsidR="0075115C" w14:paraId="40105F1A" w14:textId="77777777">
        <w:tc>
          <w:tcPr>
            <w:tcW w:w="4926" w:type="dxa"/>
          </w:tcPr>
          <w:p w14:paraId="0390798F" w14:textId="77777777" w:rsidR="0075115C" w:rsidRDefault="00623B17">
            <w:pPr>
              <w:contextualSpacing/>
              <w:jc w:val="both"/>
              <w:rPr>
                <w:rFonts w:cs="Times New Roman"/>
                <w:sz w:val="28"/>
                <w:szCs w:val="28"/>
              </w:rPr>
            </w:pPr>
            <w:r>
              <w:rPr>
                <w:rFonts w:cs="Times New Roman"/>
                <w:sz w:val="28"/>
                <w:szCs w:val="28"/>
              </w:rPr>
              <w:t>Capacitate limitată a locuințelor sociale</w:t>
            </w:r>
          </w:p>
          <w:p w14:paraId="58941EE4" w14:textId="77777777" w:rsidR="0075115C" w:rsidRDefault="00623B17">
            <w:pPr>
              <w:contextualSpacing/>
              <w:jc w:val="both"/>
              <w:rPr>
                <w:rFonts w:eastAsia="Times New Roman" w:cs="Times New Roman"/>
                <w:color w:val="222A35" w:themeColor="text2" w:themeShade="80"/>
                <w:sz w:val="28"/>
                <w:szCs w:val="28"/>
                <w:lang w:eastAsia="zh-CN"/>
              </w:rPr>
            </w:pPr>
            <w:r>
              <w:rPr>
                <w:rFonts w:cs="Times New Roman"/>
                <w:sz w:val="28"/>
                <w:szCs w:val="28"/>
              </w:rPr>
              <w:lastRenderedPageBreak/>
              <w:t>Risc de majorare a costurilor și a presiunii pe bugetul alocat pentru locuințe sociale.</w:t>
            </w:r>
          </w:p>
        </w:tc>
        <w:tc>
          <w:tcPr>
            <w:tcW w:w="4927" w:type="dxa"/>
          </w:tcPr>
          <w:p w14:paraId="4571F6A8" w14:textId="77777777" w:rsidR="0075115C" w:rsidRDefault="00623B17">
            <w:pPr>
              <w:contextualSpacing/>
              <w:jc w:val="both"/>
              <w:rPr>
                <w:rFonts w:eastAsia="Times New Roman" w:cs="Times New Roman"/>
                <w:color w:val="222A35" w:themeColor="text2" w:themeShade="80"/>
                <w:sz w:val="28"/>
                <w:szCs w:val="28"/>
                <w:lang w:eastAsia="zh-CN"/>
              </w:rPr>
            </w:pPr>
            <w:r>
              <w:rPr>
                <w:rFonts w:cs="Times New Roman"/>
                <w:sz w:val="28"/>
                <w:szCs w:val="28"/>
              </w:rPr>
              <w:lastRenderedPageBreak/>
              <w:t xml:space="preserve">Crearea de parteneriate public-private pentru dezvoltarea infrastructurii de </w:t>
            </w:r>
            <w:r>
              <w:rPr>
                <w:rFonts w:cs="Times New Roman"/>
                <w:sz w:val="28"/>
                <w:szCs w:val="28"/>
              </w:rPr>
              <w:lastRenderedPageBreak/>
              <w:t xml:space="preserve">locuințe și atragerea de fonduri </w:t>
            </w:r>
            <w:r>
              <w:rPr>
                <w:rFonts w:cs="Times New Roman"/>
                <w:sz w:val="28"/>
                <w:szCs w:val="28"/>
              </w:rPr>
              <w:t>suplimentare.</w:t>
            </w:r>
          </w:p>
        </w:tc>
      </w:tr>
      <w:tr w:rsidR="0075115C" w14:paraId="7B4B9A57" w14:textId="77777777">
        <w:tc>
          <w:tcPr>
            <w:tcW w:w="4926" w:type="dxa"/>
          </w:tcPr>
          <w:p w14:paraId="4F1D3AA4" w14:textId="77777777" w:rsidR="0075115C" w:rsidRDefault="00623B17">
            <w:pPr>
              <w:contextualSpacing/>
              <w:jc w:val="both"/>
              <w:rPr>
                <w:rFonts w:cs="Times New Roman"/>
                <w:sz w:val="28"/>
                <w:szCs w:val="28"/>
              </w:rPr>
            </w:pPr>
            <w:r>
              <w:rPr>
                <w:rFonts w:cs="Times New Roman"/>
                <w:sz w:val="28"/>
                <w:szCs w:val="28"/>
              </w:rPr>
              <w:lastRenderedPageBreak/>
              <w:t>Acces redus la resurse educaționale și bariera lingvistică.</w:t>
            </w:r>
          </w:p>
          <w:p w14:paraId="2F5F8962" w14:textId="77777777" w:rsidR="0075115C" w:rsidRDefault="00623B17">
            <w:pPr>
              <w:contextualSpacing/>
              <w:jc w:val="both"/>
              <w:rPr>
                <w:rFonts w:eastAsia="Times New Roman" w:cs="Times New Roman"/>
                <w:color w:val="222A35" w:themeColor="text2" w:themeShade="80"/>
                <w:sz w:val="28"/>
                <w:szCs w:val="28"/>
                <w:lang w:eastAsia="zh-CN"/>
              </w:rPr>
            </w:pPr>
            <w:r>
              <w:rPr>
                <w:rFonts w:cs="Times New Roman"/>
                <w:sz w:val="28"/>
                <w:szCs w:val="28"/>
              </w:rPr>
              <w:t>Reticența și insuficiența de resurse pentru formarea cadrelor didactice.</w:t>
            </w:r>
          </w:p>
        </w:tc>
        <w:tc>
          <w:tcPr>
            <w:tcW w:w="4927" w:type="dxa"/>
          </w:tcPr>
          <w:p w14:paraId="7F264C57" w14:textId="77777777" w:rsidR="0075115C" w:rsidRDefault="00623B17">
            <w:pPr>
              <w:contextualSpacing/>
              <w:jc w:val="both"/>
              <w:rPr>
                <w:rFonts w:eastAsia="Times New Roman" w:cs="Times New Roman"/>
                <w:color w:val="222A35" w:themeColor="text2" w:themeShade="80"/>
                <w:sz w:val="28"/>
                <w:szCs w:val="28"/>
                <w:lang w:eastAsia="zh-CN"/>
              </w:rPr>
            </w:pPr>
            <w:r>
              <w:rPr>
                <w:rFonts w:cs="Times New Roman"/>
                <w:sz w:val="28"/>
                <w:szCs w:val="28"/>
              </w:rPr>
              <w:t>Dezvoltarea de programe de limbă română pentru străini și stimularea financiară și non-financiare a cadrelor</w:t>
            </w:r>
            <w:r>
              <w:rPr>
                <w:rFonts w:cs="Times New Roman"/>
                <w:sz w:val="28"/>
                <w:szCs w:val="28"/>
              </w:rPr>
              <w:t xml:space="preserve"> didactice pentru realizarea activităților de incluziune.</w:t>
            </w:r>
          </w:p>
        </w:tc>
      </w:tr>
    </w:tbl>
    <w:p w14:paraId="1E6CFBCF"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Riscurile identificate variază în funcție de obiectiv, însă abordarea și anticiparea acestora condiționează succesul Programului. O colaborare eficientă între autoritățile de monitorizare și implem</w:t>
      </w:r>
      <w:r>
        <w:rPr>
          <w:rFonts w:eastAsia="Times New Roman" w:cs="Times New Roman"/>
          <w:color w:val="222A35" w:themeColor="text2" w:themeShade="80"/>
          <w:sz w:val="28"/>
          <w:szCs w:val="28"/>
          <w:lang w:eastAsia="zh-CN"/>
        </w:rPr>
        <w:t xml:space="preserve">entare, o evaluare periodică a riscurilor și măsuri de adaptare vor contribui la atenuarea impactului acestora și la asigurarea unui mediu favorabil integrării. În acest sens, fiecare autoritate, conform domeniului de competență are responsabilitatea de a </w:t>
      </w:r>
      <w:r>
        <w:rPr>
          <w:rFonts w:eastAsia="Times New Roman" w:cs="Times New Roman"/>
          <w:color w:val="222A35" w:themeColor="text2" w:themeShade="80"/>
          <w:sz w:val="28"/>
          <w:szCs w:val="28"/>
          <w:lang w:eastAsia="zh-CN"/>
        </w:rPr>
        <w:t>contribui la diminuarea riscurilor, prin implementarea măsurilor adecvate, precum și identificarea și monitorizarea constantă a altor riscuri potențiale.</w:t>
      </w:r>
    </w:p>
    <w:p w14:paraId="560505F2" w14:textId="77777777" w:rsidR="0075115C" w:rsidRDefault="0075115C">
      <w:pPr>
        <w:spacing w:after="0" w:line="240" w:lineRule="auto"/>
        <w:ind w:firstLine="720"/>
        <w:contextualSpacing/>
        <w:jc w:val="both"/>
        <w:rPr>
          <w:rFonts w:cs="Times New Roman"/>
          <w:i/>
          <w:iCs/>
          <w:color w:val="222A35" w:themeColor="text2" w:themeShade="80"/>
          <w:sz w:val="28"/>
          <w:szCs w:val="28"/>
        </w:rPr>
      </w:pPr>
    </w:p>
    <w:p w14:paraId="19C1F546" w14:textId="77777777" w:rsidR="0075115C" w:rsidRDefault="00623B17">
      <w:pPr>
        <w:pStyle w:val="1"/>
      </w:pPr>
      <w:bookmarkStart w:id="25" w:name="_Toc193725347"/>
      <w:r>
        <w:t>Autorități/instituții responsabile</w:t>
      </w:r>
      <w:bookmarkEnd w:id="25"/>
      <w:r>
        <w:t xml:space="preserve"> </w:t>
      </w:r>
    </w:p>
    <w:p w14:paraId="40EB4889"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Implementarea Programului național privind integrarea etapizată a</w:t>
      </w:r>
      <w:r>
        <w:rPr>
          <w:rFonts w:eastAsia="Times New Roman" w:cs="Times New Roman"/>
          <w:color w:val="222A35" w:themeColor="text2" w:themeShade="80"/>
          <w:sz w:val="28"/>
          <w:szCs w:val="28"/>
          <w:lang w:eastAsia="zh-CN"/>
        </w:rPr>
        <w:t xml:space="preserve"> străinilor în Republica Moldova pentru perioada 2025-2027 necesită o coordonare interinstituțională asumată și transparentă. Punerea în aplicare a măsurilor planificate este posibilă doar în condițiile implicării depline a mai multor autorități și institu</w:t>
      </w:r>
      <w:r>
        <w:rPr>
          <w:rFonts w:eastAsia="Times New Roman" w:cs="Times New Roman"/>
          <w:color w:val="222A35" w:themeColor="text2" w:themeShade="80"/>
          <w:sz w:val="28"/>
          <w:szCs w:val="28"/>
          <w:lang w:eastAsia="zh-CN"/>
        </w:rPr>
        <w:t>ții publice responsabile pentru diferite aspecte ale procesului de integrare, colaborând cu parteneri locali și internaționali pentru a asigura realizarea obiectivelor Programului.</w:t>
      </w:r>
    </w:p>
    <w:p w14:paraId="1D4A7BE6"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Ministerul Afacerilor Interne deține rolul central în implementarea Program</w:t>
      </w:r>
      <w:r>
        <w:rPr>
          <w:rFonts w:eastAsia="Times New Roman" w:cs="Times New Roman"/>
          <w:color w:val="222A35" w:themeColor="text2" w:themeShade="80"/>
          <w:sz w:val="28"/>
          <w:szCs w:val="28"/>
          <w:lang w:eastAsia="zh-CN"/>
        </w:rPr>
        <w:t>ului, fiind actorul Guvernamental cheie în stabilirea și gestionarea politicilor privind integrarea străinilor, asigurând securitatea și ordinea publică, iar Inspectoratul General pentru Migrație implementează politicile de gestionare a regimul de ședere a</w:t>
      </w:r>
      <w:r>
        <w:rPr>
          <w:rFonts w:eastAsia="Times New Roman" w:cs="Times New Roman"/>
          <w:color w:val="222A35" w:themeColor="text2" w:themeShade="80"/>
          <w:sz w:val="28"/>
          <w:szCs w:val="28"/>
          <w:lang w:eastAsia="zh-CN"/>
        </w:rPr>
        <w:t>l străinilor.</w:t>
      </w:r>
    </w:p>
    <w:p w14:paraId="4D7FEF03"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Ministerul Educației și Cercetării este responsabil de asigurarea accesului străinilor de toate vârstele la învățământ și educație, recunoașterea diplomelor și certificatelor de studii obținute în afara țării, facilitarea înscrierii în progra</w:t>
      </w:r>
      <w:r>
        <w:rPr>
          <w:rFonts w:eastAsia="Times New Roman" w:cs="Times New Roman"/>
          <w:color w:val="222A35" w:themeColor="text2" w:themeShade="80"/>
          <w:sz w:val="28"/>
          <w:szCs w:val="28"/>
          <w:lang w:eastAsia="zh-CN"/>
        </w:rPr>
        <w:t>me de formare profesională și educațională. La fel, urmează a fi implicate instituțiile de învățământ la toate nivelurile începînd cu educația timpurie, studii superioare, și învățământul pe tot parcursul vieții.</w:t>
      </w:r>
    </w:p>
    <w:p w14:paraId="4001125E"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Ministerul Muncii și Protecției Sociale </w:t>
      </w:r>
      <w:r>
        <w:rPr>
          <w:rFonts w:eastAsia="Times New Roman" w:cs="Times New Roman"/>
          <w:color w:val="222A35" w:themeColor="text2" w:themeShade="80"/>
          <w:sz w:val="28"/>
          <w:szCs w:val="28"/>
          <w:lang w:eastAsia="zh-CN"/>
        </w:rPr>
        <w:t>estre responsabil de implementarea măsurilor și serviciilor de suport pentru ocuparea forței de muncă, furnizarea de servicii de asistență socială și protejarea drepturilor sociale ale străinilor. MMPS se ocupă de integrarea străinilor în piața muncii și d</w:t>
      </w:r>
      <w:r>
        <w:rPr>
          <w:rFonts w:eastAsia="Times New Roman" w:cs="Times New Roman"/>
          <w:color w:val="222A35" w:themeColor="text2" w:themeShade="80"/>
          <w:sz w:val="28"/>
          <w:szCs w:val="28"/>
          <w:lang w:eastAsia="zh-CN"/>
        </w:rPr>
        <w:t>e asigurarea accesului acestora la protecție socială. Eforturile în acest domeniu vor fi susținute de Agenția Națională pentru Ocuparea Forței de Muncă și ONG-uri sociale, iar Ministerul Dezvoltării Economice și Digitalizării, prin intermediul IP ODA, va s</w:t>
      </w:r>
      <w:r>
        <w:rPr>
          <w:rFonts w:eastAsia="Times New Roman" w:cs="Times New Roman"/>
          <w:color w:val="222A35" w:themeColor="text2" w:themeShade="80"/>
          <w:sz w:val="28"/>
          <w:szCs w:val="28"/>
          <w:lang w:eastAsia="zh-CN"/>
        </w:rPr>
        <w:t>prijini, în continuare dezvoltarea antreprenoriatului și implementarea programelor de suport, și va asigura cu informarea prin diverse instrumente despre programele de susținere a afacerilor, oferind oportunități de dezvoltare economică și profesională.</w:t>
      </w:r>
    </w:p>
    <w:p w14:paraId="042A768B"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lastRenderedPageBreak/>
        <w:t>De</w:t>
      </w:r>
      <w:r>
        <w:rPr>
          <w:rFonts w:eastAsia="Times New Roman" w:cs="Times New Roman"/>
          <w:color w:val="222A35" w:themeColor="text2" w:themeShade="80"/>
          <w:sz w:val="28"/>
          <w:szCs w:val="28"/>
          <w:lang w:eastAsia="zh-CN"/>
        </w:rPr>
        <w:t xml:space="preserve"> asemenea, Ministerul Muncii și Protecției Sociale, Ministerul Infrastructurii și Dezvoltării Regionale și APL în colaborare cu partenerii vor facilita accesul străinilor la locuințe, inclusiv dezvoltarea de locuințe sociale. </w:t>
      </w:r>
    </w:p>
    <w:p w14:paraId="6C127687"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Ministerul Sănătății, conform</w:t>
      </w:r>
      <w:r>
        <w:rPr>
          <w:rFonts w:eastAsia="Times New Roman" w:cs="Times New Roman"/>
          <w:color w:val="222A35" w:themeColor="text2" w:themeShade="80"/>
          <w:sz w:val="28"/>
          <w:szCs w:val="28"/>
          <w:lang w:eastAsia="zh-CN"/>
        </w:rPr>
        <w:t xml:space="preserve"> competențelor funcționale, este responsabil de asigurarea accesului străinilor la servicii de sănătate și de integrarea lor în sistemul de asigurări de sănătate. Acestuia îi revine rolul de coordonare a programelor de sănătate destinate străinilor, asigur</w:t>
      </w:r>
      <w:r>
        <w:rPr>
          <w:rFonts w:eastAsia="Times New Roman" w:cs="Times New Roman"/>
          <w:color w:val="222A35" w:themeColor="text2" w:themeShade="80"/>
          <w:sz w:val="28"/>
          <w:szCs w:val="28"/>
          <w:lang w:eastAsia="zh-CN"/>
        </w:rPr>
        <w:t>ând accesul acestora la îngrijiri medicale.</w:t>
      </w:r>
    </w:p>
    <w:p w14:paraId="1B5A168D"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Ministerul Culturii, cu implicarea bibliotecilor, instituțiilor publice teatral-concertistice și autorităţilor locale, are un rol important în promovarea integrării culturale a străinilor, organizând sesiuni de a</w:t>
      </w:r>
      <w:r>
        <w:rPr>
          <w:rFonts w:eastAsia="Times New Roman" w:cs="Times New Roman"/>
          <w:color w:val="222A35" w:themeColor="text2" w:themeShade="80"/>
          <w:sz w:val="28"/>
          <w:szCs w:val="28"/>
          <w:lang w:eastAsia="zh-CN"/>
        </w:rPr>
        <w:t xml:space="preserve">comodare socioculturală și evenimente care să celebreze diversitatea culturală. </w:t>
      </w:r>
    </w:p>
    <w:p w14:paraId="6A1FDC49"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 xml:space="preserve">Cancelaria de Stat și Ministerul Justiției (MJ) sunt responsabile de promovarea și protecția drepturilor lor politice și legale. Aceste instituții vor contribui la elaborarea </w:t>
      </w:r>
      <w:r>
        <w:rPr>
          <w:rFonts w:eastAsia="Times New Roman" w:cs="Times New Roman"/>
          <w:color w:val="222A35" w:themeColor="text2" w:themeShade="80"/>
          <w:sz w:val="28"/>
          <w:szCs w:val="28"/>
          <w:lang w:eastAsia="zh-CN"/>
        </w:rPr>
        <w:t>unui cadru legislativ favorabil integrării și respectării drepturilor străinilor.</w:t>
      </w:r>
    </w:p>
    <w:p w14:paraId="6352DE25"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Autoritățile publice locale vor sprijini implementarea măsurilor de integrare la nivel comunitar, facilitând accesul străinilor la servicii publice locale și asigurând partic</w:t>
      </w:r>
      <w:r>
        <w:rPr>
          <w:rFonts w:eastAsia="Times New Roman" w:cs="Times New Roman"/>
          <w:color w:val="222A35" w:themeColor="text2" w:themeShade="80"/>
          <w:sz w:val="28"/>
          <w:szCs w:val="28"/>
          <w:lang w:eastAsia="zh-CN"/>
        </w:rPr>
        <w:t>iparea activă a acestora în comunitățile lor.</w:t>
      </w:r>
    </w:p>
    <w:p w14:paraId="7D21146B" w14:textId="77777777" w:rsidR="0075115C" w:rsidRDefault="00623B17">
      <w:pPr>
        <w:spacing w:after="0" w:line="240" w:lineRule="auto"/>
        <w:ind w:firstLine="720"/>
        <w:contextualSpacing/>
        <w:jc w:val="both"/>
        <w:rPr>
          <w:rFonts w:eastAsia="Times New Roman" w:cs="Times New Roman"/>
          <w:color w:val="222A35" w:themeColor="text2" w:themeShade="80"/>
          <w:sz w:val="28"/>
          <w:szCs w:val="28"/>
          <w:lang w:eastAsia="zh-CN"/>
        </w:rPr>
      </w:pPr>
      <w:r>
        <w:rPr>
          <w:rFonts w:eastAsia="Times New Roman" w:cs="Times New Roman"/>
          <w:color w:val="222A35" w:themeColor="text2" w:themeShade="80"/>
          <w:sz w:val="28"/>
          <w:szCs w:val="28"/>
          <w:lang w:eastAsia="zh-CN"/>
        </w:rPr>
        <w:t>Organizațiile internaționale și ONG-urile posedă un rol esențial în sprijinirea integrării străinilor, prin asistență tehnică și financiară, programe de suport ș.a.</w:t>
      </w:r>
    </w:p>
    <w:p w14:paraId="79194B0C" w14:textId="77777777" w:rsidR="0075115C" w:rsidRDefault="0075115C">
      <w:pPr>
        <w:spacing w:after="0" w:line="240" w:lineRule="auto"/>
        <w:ind w:firstLine="720"/>
        <w:contextualSpacing/>
        <w:jc w:val="both"/>
        <w:rPr>
          <w:rFonts w:eastAsia="Times New Roman" w:cs="Times New Roman"/>
          <w:color w:val="222A35" w:themeColor="text2" w:themeShade="80"/>
          <w:sz w:val="28"/>
          <w:szCs w:val="28"/>
          <w:lang w:eastAsia="zh-CN"/>
        </w:rPr>
      </w:pPr>
    </w:p>
    <w:p w14:paraId="5A610711" w14:textId="77777777" w:rsidR="0075115C" w:rsidRDefault="00623B17">
      <w:pPr>
        <w:pStyle w:val="1"/>
      </w:pPr>
      <w:bookmarkStart w:id="26" w:name="_Toc193725348"/>
      <w:r>
        <w:t>Proceduri de monitorizare și raportare</w:t>
      </w:r>
      <w:bookmarkEnd w:id="26"/>
      <w:r>
        <w:t xml:space="preserve"> </w:t>
      </w:r>
    </w:p>
    <w:p w14:paraId="5758ECD1" w14:textId="77777777" w:rsidR="0075115C" w:rsidRDefault="00623B17">
      <w:pPr>
        <w:spacing w:after="0" w:line="240" w:lineRule="auto"/>
        <w:ind w:firstLine="720"/>
        <w:contextualSpacing/>
        <w:jc w:val="both"/>
        <w:rPr>
          <w:rFonts w:cs="Times New Roman"/>
          <w:sz w:val="28"/>
          <w:szCs w:val="28"/>
        </w:rPr>
      </w:pPr>
      <w:r>
        <w:rPr>
          <w:rFonts w:cs="Times New Roman"/>
          <w:sz w:val="28"/>
          <w:szCs w:val="28"/>
        </w:rPr>
        <w:t>În c</w:t>
      </w:r>
      <w:r>
        <w:rPr>
          <w:rFonts w:cs="Times New Roman"/>
          <w:sz w:val="28"/>
          <w:szCs w:val="28"/>
        </w:rPr>
        <w:t>onformitate cu prevederile Hotărârii Guvernului cu privire la planificarea strategică, nr. 386/2020, Programului Național privind Integrarea Etapizată a Străinilor în Republica Moldova urmează să respecte cerințele de monitorizare, evaluare și raportare. M</w:t>
      </w:r>
      <w:r>
        <w:rPr>
          <w:rFonts w:cs="Times New Roman"/>
          <w:sz w:val="28"/>
          <w:szCs w:val="28"/>
        </w:rPr>
        <w:t>onitorizarea sistemică a politicilor și activităților planificate oferă transparență, responsabilitate și asigură utilizarea eficientă a resurselor dedicate. Prin urmare, Programul urmează să fie supus următorului mecanism de monitorizare, evaluare și rapo</w:t>
      </w:r>
      <w:r>
        <w:rPr>
          <w:rFonts w:cs="Times New Roman"/>
          <w:sz w:val="28"/>
          <w:szCs w:val="28"/>
        </w:rPr>
        <w:t>rtare.</w:t>
      </w:r>
    </w:p>
    <w:p w14:paraId="0981FF5F" w14:textId="77777777" w:rsidR="0075115C" w:rsidRDefault="00623B17">
      <w:pPr>
        <w:spacing w:after="0" w:line="240" w:lineRule="auto"/>
        <w:ind w:firstLine="720"/>
        <w:contextualSpacing/>
        <w:jc w:val="both"/>
        <w:rPr>
          <w:rFonts w:cs="Times New Roman"/>
          <w:sz w:val="28"/>
          <w:szCs w:val="28"/>
        </w:rPr>
      </w:pPr>
      <w:r>
        <w:rPr>
          <w:rFonts w:cs="Times New Roman"/>
          <w:sz w:val="28"/>
          <w:szCs w:val="28"/>
        </w:rPr>
        <w:t xml:space="preserve">În procesul de monitorizare, evaluare și raportare, Ministerul Afacerilor Interne, prin prisma domeniilor de competență statuate în </w:t>
      </w:r>
      <w:r>
        <w:rPr>
          <w:rFonts w:cs="Times New Roman"/>
          <w:i/>
          <w:iCs/>
          <w:sz w:val="28"/>
          <w:szCs w:val="28"/>
        </w:rPr>
        <w:t>Regulamentul cu privire la organizarea şi funcționarea Ministerului Afacerilor Interne</w:t>
      </w:r>
      <w:r>
        <w:rPr>
          <w:rFonts w:cs="Times New Roman"/>
          <w:sz w:val="28"/>
          <w:szCs w:val="28"/>
        </w:rPr>
        <w:t xml:space="preserve">, pct. 6, alin 4) </w:t>
      </w:r>
      <w:r>
        <w:rPr>
          <w:rFonts w:cs="Times New Roman"/>
          <w:i/>
          <w:iCs/>
          <w:sz w:val="28"/>
          <w:szCs w:val="28"/>
        </w:rPr>
        <w:t>gestionarea f</w:t>
      </w:r>
      <w:r>
        <w:rPr>
          <w:rFonts w:cs="Times New Roman"/>
          <w:i/>
          <w:iCs/>
          <w:sz w:val="28"/>
          <w:szCs w:val="28"/>
        </w:rPr>
        <w:t>luxului migrațional, azilului și integrării străinilor</w:t>
      </w:r>
      <w:r>
        <w:rPr>
          <w:rFonts w:cs="Times New Roman"/>
          <w:sz w:val="28"/>
          <w:szCs w:val="28"/>
        </w:rPr>
        <w:t>, va asigura rolul de coordonator. Totodată, responsabilitatea pentru punerea în aplicare a Planului de acțiuni, este asumată de fiecare autoritate, conform domeniilor de competență și acțiunilor atribu</w:t>
      </w:r>
      <w:r>
        <w:rPr>
          <w:rFonts w:cs="Times New Roman"/>
          <w:sz w:val="28"/>
          <w:szCs w:val="28"/>
        </w:rPr>
        <w:t>ite.</w:t>
      </w:r>
    </w:p>
    <w:p w14:paraId="5B2E9323" w14:textId="77777777" w:rsidR="0075115C" w:rsidRDefault="00623B17">
      <w:pPr>
        <w:spacing w:after="0" w:line="240" w:lineRule="auto"/>
        <w:ind w:firstLine="720"/>
        <w:contextualSpacing/>
        <w:jc w:val="both"/>
        <w:rPr>
          <w:rFonts w:cs="Times New Roman"/>
          <w:sz w:val="28"/>
          <w:szCs w:val="28"/>
        </w:rPr>
      </w:pPr>
      <w:r>
        <w:rPr>
          <w:rFonts w:cs="Times New Roman"/>
          <w:sz w:val="28"/>
          <w:szCs w:val="28"/>
        </w:rPr>
        <w:t>Sistemul de monitorizare va include (i.) colectarea periodică de date dezagregate pe vârsta, sex, dizabilitate, situația socio-economică, statutul de migrație, expunerea la riscuri specifice de gen, (ii.) analiză și (iii.) raportare a indicatorilor. A</w:t>
      </w:r>
      <w:r>
        <w:rPr>
          <w:rFonts w:cs="Times New Roman"/>
          <w:sz w:val="28"/>
          <w:szCs w:val="28"/>
        </w:rPr>
        <w:t>utoritățile responsabile de implementarea acțiunilor, conform domeniului de competență (stabilite în planul de acțiuni), vor contribui la procesul de monitorizare prin:</w:t>
      </w:r>
    </w:p>
    <w:p w14:paraId="24CF8553" w14:textId="77777777" w:rsidR="0075115C" w:rsidRDefault="00623B17">
      <w:pPr>
        <w:pStyle w:val="ae"/>
        <w:numPr>
          <w:ilvl w:val="0"/>
          <w:numId w:val="3"/>
        </w:numPr>
        <w:tabs>
          <w:tab w:val="left" w:pos="1080"/>
        </w:tabs>
        <w:spacing w:after="0" w:line="240" w:lineRule="auto"/>
        <w:ind w:left="900"/>
        <w:jc w:val="both"/>
        <w:rPr>
          <w:rFonts w:cs="Times New Roman"/>
          <w:sz w:val="28"/>
          <w:szCs w:val="28"/>
        </w:rPr>
      </w:pPr>
      <w:r>
        <w:rPr>
          <w:rFonts w:cs="Times New Roman"/>
          <w:sz w:val="28"/>
          <w:szCs w:val="28"/>
        </w:rPr>
        <w:t>Monitorizarea continuă a gradului de realizare a acțiunilor și indicatorilor de progres</w:t>
      </w:r>
      <w:r>
        <w:rPr>
          <w:rFonts w:cs="Times New Roman"/>
          <w:sz w:val="28"/>
          <w:szCs w:val="28"/>
        </w:rPr>
        <w:t>, inclusiv din perspectiva de gen;</w:t>
      </w:r>
    </w:p>
    <w:p w14:paraId="483A924D" w14:textId="77777777" w:rsidR="0075115C" w:rsidRDefault="00623B17">
      <w:pPr>
        <w:pStyle w:val="ae"/>
        <w:numPr>
          <w:ilvl w:val="0"/>
          <w:numId w:val="3"/>
        </w:numPr>
        <w:tabs>
          <w:tab w:val="left" w:pos="1080"/>
        </w:tabs>
        <w:spacing w:after="0" w:line="240" w:lineRule="auto"/>
        <w:ind w:left="900"/>
        <w:jc w:val="both"/>
        <w:rPr>
          <w:rFonts w:cs="Times New Roman"/>
          <w:sz w:val="28"/>
          <w:szCs w:val="28"/>
        </w:rPr>
      </w:pPr>
      <w:r>
        <w:rPr>
          <w:rFonts w:cs="Times New Roman"/>
          <w:sz w:val="28"/>
          <w:szCs w:val="28"/>
        </w:rPr>
        <w:lastRenderedPageBreak/>
        <w:t xml:space="preserve"> Raportarea anuală, până la data de 15 februarie a anului următor anului de raportare, (sau conform frecvenței solicitate de Ministerul Afacerilor Interne), prin intermediul SI </w:t>
      </w:r>
      <w:r>
        <w:rPr>
          <w:rFonts w:cs="Times New Roman"/>
          <w:sz w:val="28"/>
          <w:szCs w:val="28"/>
          <w:lang w:val="ro-RO"/>
        </w:rPr>
        <w:t xml:space="preserve">„e-monitorizare”, </w:t>
      </w:r>
      <w:r>
        <w:rPr>
          <w:rFonts w:cs="Times New Roman"/>
          <w:sz w:val="28"/>
          <w:szCs w:val="28"/>
        </w:rPr>
        <w:t>privind gradul de realizar</w:t>
      </w:r>
      <w:r>
        <w:rPr>
          <w:rFonts w:cs="Times New Roman"/>
          <w:sz w:val="28"/>
          <w:szCs w:val="28"/>
        </w:rPr>
        <w:t>e a indicatorilor de monitorizare, după caz raportarea anuală va include recomandări specifice pentru reducerea disparităților de gen;</w:t>
      </w:r>
    </w:p>
    <w:p w14:paraId="0A0B62F3" w14:textId="77777777" w:rsidR="0075115C" w:rsidRDefault="00623B17">
      <w:pPr>
        <w:pStyle w:val="ae"/>
        <w:numPr>
          <w:ilvl w:val="0"/>
          <w:numId w:val="3"/>
        </w:numPr>
        <w:tabs>
          <w:tab w:val="left" w:pos="1080"/>
        </w:tabs>
        <w:spacing w:after="0" w:line="240" w:lineRule="auto"/>
        <w:ind w:left="900"/>
        <w:jc w:val="both"/>
        <w:rPr>
          <w:rFonts w:cs="Times New Roman"/>
          <w:sz w:val="28"/>
          <w:szCs w:val="28"/>
        </w:rPr>
      </w:pPr>
      <w:r>
        <w:rPr>
          <w:rFonts w:cs="Times New Roman"/>
          <w:sz w:val="28"/>
          <w:szCs w:val="28"/>
        </w:rPr>
        <w:t>Raportarea anuală de către Ministerul Afacerilor Interne către Guvern, până la data de 25 februarie, a anului următor anu</w:t>
      </w:r>
      <w:r>
        <w:rPr>
          <w:rFonts w:cs="Times New Roman"/>
          <w:sz w:val="28"/>
          <w:szCs w:val="28"/>
        </w:rPr>
        <w:t xml:space="preserve">lui de raportare, privind atingerea indicatorilor de impact și progresul pe fiecare obiectiv specific. Rata de implementare a obiectivelor va fi apreciată, în comparație cu valorile de referință și țintă ale indicatorilor de rezultat și impact. </w:t>
      </w:r>
    </w:p>
    <w:p w14:paraId="71DFC8FC" w14:textId="77777777" w:rsidR="0075115C" w:rsidRDefault="00623B17">
      <w:pPr>
        <w:pStyle w:val="ae"/>
        <w:numPr>
          <w:ilvl w:val="0"/>
          <w:numId w:val="3"/>
        </w:numPr>
        <w:tabs>
          <w:tab w:val="left" w:pos="1080"/>
        </w:tabs>
        <w:spacing w:after="0" w:line="240" w:lineRule="auto"/>
        <w:ind w:left="900"/>
        <w:jc w:val="both"/>
        <w:rPr>
          <w:rFonts w:cs="Times New Roman"/>
          <w:sz w:val="28"/>
          <w:szCs w:val="28"/>
        </w:rPr>
      </w:pPr>
      <w:r>
        <w:rPr>
          <w:rFonts w:cs="Times New Roman"/>
          <w:sz w:val="28"/>
          <w:szCs w:val="28"/>
        </w:rPr>
        <w:t>Monitoriza</w:t>
      </w:r>
      <w:r>
        <w:rPr>
          <w:rFonts w:cs="Times New Roman"/>
          <w:sz w:val="28"/>
          <w:szCs w:val="28"/>
        </w:rPr>
        <w:t>rea riscurilor prin revizuirea și identificarea periodică a riscurilor de implementare și luarea măsurilor preventive, dar nu mai rar decât anual.</w:t>
      </w:r>
    </w:p>
    <w:p w14:paraId="312E5B0B" w14:textId="77777777" w:rsidR="0075115C" w:rsidRDefault="00623B17">
      <w:pPr>
        <w:spacing w:after="0" w:line="240" w:lineRule="auto"/>
        <w:ind w:firstLine="720"/>
        <w:contextualSpacing/>
        <w:jc w:val="both"/>
        <w:rPr>
          <w:rFonts w:cs="Times New Roman"/>
          <w:sz w:val="28"/>
          <w:szCs w:val="28"/>
        </w:rPr>
      </w:pPr>
      <w:r>
        <w:rPr>
          <w:rFonts w:cs="Times New Roman"/>
          <w:sz w:val="28"/>
          <w:szCs w:val="28"/>
        </w:rPr>
        <w:t xml:space="preserve">Rapoartele anuale de monitorizare privind implementarea Programului vor fi publicate pe site-ul web oficial </w:t>
      </w:r>
      <w:r>
        <w:rPr>
          <w:rFonts w:cs="Times New Roman"/>
          <w:sz w:val="28"/>
          <w:szCs w:val="28"/>
        </w:rPr>
        <w:t>al Ministerului Afacerilor Interne.</w:t>
      </w:r>
    </w:p>
    <w:p w14:paraId="5A677343" w14:textId="77777777" w:rsidR="0075115C" w:rsidRDefault="00623B17">
      <w:pPr>
        <w:spacing w:after="0" w:line="240" w:lineRule="auto"/>
        <w:ind w:firstLine="720"/>
        <w:contextualSpacing/>
        <w:jc w:val="both"/>
        <w:rPr>
          <w:rFonts w:cs="Times New Roman"/>
          <w:sz w:val="28"/>
          <w:szCs w:val="28"/>
        </w:rPr>
      </w:pPr>
      <w:r>
        <w:rPr>
          <w:rFonts w:cs="Times New Roman"/>
          <w:sz w:val="28"/>
          <w:szCs w:val="28"/>
        </w:rPr>
        <w:t>Deoarece perioada de implementare a Programului este de 3 ani, documentul urmează a fi evaluat doar la finele perioadei de implementare, cu prezentarea raportului de evaluare ex-post pînă la 30 septembrie 2028.</w:t>
      </w:r>
    </w:p>
    <w:p w14:paraId="4DBDA901" w14:textId="77777777" w:rsidR="0075115C" w:rsidRDefault="00623B17">
      <w:pPr>
        <w:spacing w:after="0" w:line="240" w:lineRule="auto"/>
        <w:ind w:firstLine="720"/>
        <w:contextualSpacing/>
        <w:jc w:val="both"/>
        <w:rPr>
          <w:rFonts w:cs="Times New Roman"/>
          <w:color w:val="222A35" w:themeColor="text2" w:themeShade="80"/>
          <w:sz w:val="28"/>
          <w:szCs w:val="28"/>
        </w:rPr>
        <w:sectPr w:rsidR="0075115C">
          <w:footerReference w:type="default" r:id="rId18"/>
          <w:pgSz w:w="11906" w:h="16838" w:orient="landscape"/>
          <w:pgMar w:top="1134" w:right="851" w:bottom="1134" w:left="1418" w:header="709" w:footer="709" w:gutter="0"/>
          <w:pgNumType w:start="0"/>
          <w:cols w:space="708"/>
        </w:sectPr>
      </w:pPr>
      <w:r>
        <w:rPr>
          <w:rFonts w:cs="Times New Roman"/>
          <w:sz w:val="28"/>
          <w:szCs w:val="28"/>
        </w:rPr>
        <w:t xml:space="preserve">Evaluarea va fi realizată în conformitate cu cadrul metodologic aprobat de Cancelaria de Stat: Ghidul metodologic pentru evaluarea intermediară și </w:t>
      </w:r>
      <w:r>
        <w:rPr>
          <w:rFonts w:cs="Times New Roman"/>
          <w:sz w:val="28"/>
          <w:szCs w:val="28"/>
        </w:rPr>
        <w:t>ex-post a politicilor publice și va respecta criteriile de relevanță, efectivitate, eficiență, durabilitate, impact și coerență.</w:t>
      </w:r>
    </w:p>
    <w:p w14:paraId="00097923" w14:textId="77777777" w:rsidR="0075115C" w:rsidRDefault="00623B17">
      <w:pPr>
        <w:pStyle w:val="1"/>
      </w:pPr>
      <w:bookmarkStart w:id="27" w:name="_Toc193725349"/>
      <w:r>
        <w:lastRenderedPageBreak/>
        <w:t>Planul de acțiuni</w:t>
      </w:r>
      <w:bookmarkEnd w:id="27"/>
      <w:r>
        <w:t xml:space="preserve"> </w:t>
      </w:r>
    </w:p>
    <w:p w14:paraId="0678EB2A" w14:textId="77777777" w:rsidR="0075115C" w:rsidRDefault="0075115C">
      <w:pPr>
        <w:rPr>
          <w:rFonts w:cs="Times New Roman"/>
          <w:sz w:val="20"/>
          <w:szCs w:val="20"/>
        </w:rPr>
      </w:pPr>
    </w:p>
    <w:tbl>
      <w:tblPr>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399"/>
        <w:gridCol w:w="2125"/>
        <w:gridCol w:w="2669"/>
        <w:gridCol w:w="832"/>
        <w:gridCol w:w="1056"/>
        <w:gridCol w:w="1495"/>
        <w:gridCol w:w="1200"/>
        <w:gridCol w:w="860"/>
        <w:gridCol w:w="946"/>
        <w:gridCol w:w="860"/>
        <w:gridCol w:w="946"/>
        <w:gridCol w:w="1171"/>
      </w:tblGrid>
      <w:tr w:rsidR="0075115C" w14:paraId="676346A4" w14:textId="77777777">
        <w:trPr>
          <w:trHeight w:val="240"/>
        </w:trPr>
        <w:tc>
          <w:tcPr>
            <w:tcW w:w="0" w:type="auto"/>
            <w:shd w:val="clear" w:color="auto" w:fill="4472C4" w:themeFill="accent5"/>
          </w:tcPr>
          <w:p w14:paraId="67E26D9E"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Nr</w:t>
            </w:r>
          </w:p>
        </w:tc>
        <w:tc>
          <w:tcPr>
            <w:tcW w:w="0" w:type="auto"/>
            <w:shd w:val="clear" w:color="auto" w:fill="4472C4" w:themeFill="accent5"/>
          </w:tcPr>
          <w:p w14:paraId="74943934"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Acțiune</w:t>
            </w:r>
          </w:p>
        </w:tc>
        <w:tc>
          <w:tcPr>
            <w:tcW w:w="0" w:type="auto"/>
            <w:shd w:val="clear" w:color="auto" w:fill="4472C4" w:themeFill="accent5"/>
          </w:tcPr>
          <w:p w14:paraId="756382B6"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Indicator de monitorizare</w:t>
            </w:r>
          </w:p>
        </w:tc>
        <w:tc>
          <w:tcPr>
            <w:tcW w:w="0" w:type="auto"/>
            <w:shd w:val="clear" w:color="auto" w:fill="4472C4" w:themeFill="accent5"/>
          </w:tcPr>
          <w:p w14:paraId="059A8605"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Termen de inițiere</w:t>
            </w:r>
          </w:p>
        </w:tc>
        <w:tc>
          <w:tcPr>
            <w:tcW w:w="0" w:type="auto"/>
            <w:shd w:val="clear" w:color="auto" w:fill="4472C4" w:themeFill="accent5"/>
          </w:tcPr>
          <w:p w14:paraId="141411B6"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Termen de finalizare</w:t>
            </w:r>
          </w:p>
        </w:tc>
        <w:tc>
          <w:tcPr>
            <w:tcW w:w="0" w:type="auto"/>
            <w:shd w:val="clear" w:color="auto" w:fill="4472C4" w:themeFill="accent5"/>
          </w:tcPr>
          <w:p w14:paraId="60F826D1"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Autoritate responsabilă</w:t>
            </w:r>
          </w:p>
        </w:tc>
        <w:tc>
          <w:tcPr>
            <w:tcW w:w="0" w:type="auto"/>
            <w:shd w:val="clear" w:color="auto" w:fill="4472C4" w:themeFill="accent5"/>
          </w:tcPr>
          <w:p w14:paraId="2AF60681"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Alte e</w:t>
            </w:r>
            <w:r>
              <w:rPr>
                <w:rFonts w:eastAsia="Times New Roman" w:cs="Times New Roman"/>
                <w:i/>
                <w:iCs/>
                <w:color w:val="FFFFFF" w:themeColor="background1"/>
                <w:sz w:val="20"/>
                <w:szCs w:val="20"/>
                <w:lang w:eastAsia="ru-RU"/>
              </w:rPr>
              <w:t>ntități implicate</w:t>
            </w:r>
          </w:p>
        </w:tc>
        <w:tc>
          <w:tcPr>
            <w:tcW w:w="0" w:type="auto"/>
            <w:shd w:val="clear" w:color="auto" w:fill="4472C4" w:themeFill="accent5"/>
          </w:tcPr>
          <w:p w14:paraId="3B644FE4"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Buget estimat, mii lei</w:t>
            </w:r>
            <w:r>
              <w:rPr>
                <w:rFonts w:eastAsia="Times New Roman" w:cs="Times New Roman"/>
                <w:i/>
                <w:iCs/>
                <w:color w:val="FFFFFF" w:themeColor="background1"/>
                <w:sz w:val="20"/>
                <w:szCs w:val="20"/>
                <w:lang w:eastAsia="ru-RU"/>
              </w:rPr>
              <w:br/>
              <w:t>2025</w:t>
            </w:r>
          </w:p>
        </w:tc>
        <w:tc>
          <w:tcPr>
            <w:tcW w:w="0" w:type="auto"/>
            <w:shd w:val="clear" w:color="auto" w:fill="4472C4" w:themeFill="accent5"/>
          </w:tcPr>
          <w:p w14:paraId="1259AD2E"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Buget estimat, mii lei</w:t>
            </w:r>
            <w:r>
              <w:rPr>
                <w:rFonts w:eastAsia="Times New Roman" w:cs="Times New Roman"/>
                <w:i/>
                <w:iCs/>
                <w:color w:val="FFFFFF" w:themeColor="background1"/>
                <w:sz w:val="20"/>
                <w:szCs w:val="20"/>
                <w:lang w:eastAsia="ru-RU"/>
              </w:rPr>
              <w:br/>
              <w:t>2026</w:t>
            </w:r>
          </w:p>
        </w:tc>
        <w:tc>
          <w:tcPr>
            <w:tcW w:w="0" w:type="auto"/>
            <w:shd w:val="clear" w:color="auto" w:fill="4472C4" w:themeFill="accent5"/>
          </w:tcPr>
          <w:p w14:paraId="15557EE7"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Buget estimat, mii lei</w:t>
            </w:r>
            <w:r>
              <w:rPr>
                <w:rFonts w:eastAsia="Times New Roman" w:cs="Times New Roman"/>
                <w:i/>
                <w:iCs/>
                <w:color w:val="FFFFFF" w:themeColor="background1"/>
                <w:sz w:val="20"/>
                <w:szCs w:val="20"/>
                <w:lang w:eastAsia="ru-RU"/>
              </w:rPr>
              <w:br/>
              <w:t>2027</w:t>
            </w:r>
          </w:p>
        </w:tc>
        <w:tc>
          <w:tcPr>
            <w:tcW w:w="0" w:type="auto"/>
            <w:shd w:val="clear" w:color="auto" w:fill="4472C4" w:themeFill="accent5"/>
          </w:tcPr>
          <w:p w14:paraId="0BF21872"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Buget total estimat, mii lei</w:t>
            </w:r>
          </w:p>
        </w:tc>
        <w:tc>
          <w:tcPr>
            <w:tcW w:w="0" w:type="auto"/>
            <w:shd w:val="clear" w:color="auto" w:fill="4472C4" w:themeFill="accent5"/>
          </w:tcPr>
          <w:p w14:paraId="61A08D8D" w14:textId="77777777" w:rsidR="0075115C" w:rsidRDefault="00623B17">
            <w:pPr>
              <w:spacing w:after="0"/>
              <w:rPr>
                <w:rFonts w:eastAsia="Times New Roman" w:cs="Times New Roman"/>
                <w:i/>
                <w:iCs/>
                <w:color w:val="FFFFFF" w:themeColor="background1"/>
                <w:sz w:val="20"/>
                <w:szCs w:val="20"/>
                <w:lang w:eastAsia="ru-RU"/>
              </w:rPr>
            </w:pPr>
            <w:r>
              <w:rPr>
                <w:rFonts w:eastAsia="Times New Roman" w:cs="Times New Roman"/>
                <w:i/>
                <w:iCs/>
                <w:color w:val="FFFFFF" w:themeColor="background1"/>
                <w:sz w:val="20"/>
                <w:szCs w:val="20"/>
                <w:lang w:eastAsia="ru-RU"/>
              </w:rPr>
              <w:t>Sursa de finanțare</w:t>
            </w:r>
          </w:p>
        </w:tc>
      </w:tr>
      <w:tr w:rsidR="0075115C" w14:paraId="6814E345" w14:textId="77777777">
        <w:trPr>
          <w:trHeight w:val="240"/>
        </w:trPr>
        <w:tc>
          <w:tcPr>
            <w:tcW w:w="0" w:type="auto"/>
            <w:shd w:val="clear" w:color="000000" w:fill="DAE9F8"/>
          </w:tcPr>
          <w:p w14:paraId="6699FB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3C4ED25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 general</w:t>
            </w:r>
          </w:p>
        </w:tc>
        <w:tc>
          <w:tcPr>
            <w:tcW w:w="0" w:type="auto"/>
            <w:gridSpan w:val="10"/>
            <w:shd w:val="clear" w:color="000000" w:fill="DAE9F8"/>
          </w:tcPr>
          <w:p w14:paraId="36E772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Facilitarea integrării sinergice a străinilor și persoanelor strămutate în societate, </w:t>
            </w:r>
            <w:r>
              <w:rPr>
                <w:rFonts w:eastAsia="Times New Roman" w:cs="Times New Roman"/>
                <w:color w:val="auto"/>
                <w:sz w:val="20"/>
                <w:szCs w:val="20"/>
                <w:lang w:eastAsia="ru-RU"/>
              </w:rPr>
              <w:t>asigurând un nivel decent de trai pentru fiecare și contribuind la dezvoltarea economică și socială a țării</w:t>
            </w:r>
          </w:p>
        </w:tc>
      </w:tr>
      <w:tr w:rsidR="0075115C" w14:paraId="4AEAA059" w14:textId="77777777">
        <w:trPr>
          <w:trHeight w:val="240"/>
        </w:trPr>
        <w:tc>
          <w:tcPr>
            <w:tcW w:w="0" w:type="auto"/>
            <w:shd w:val="clear" w:color="000000" w:fill="DAE9F8"/>
          </w:tcPr>
          <w:p w14:paraId="045FB8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673A441D"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1</w:t>
            </w:r>
          </w:p>
        </w:tc>
        <w:tc>
          <w:tcPr>
            <w:tcW w:w="0" w:type="auto"/>
            <w:gridSpan w:val="10"/>
            <w:shd w:val="clear" w:color="000000" w:fill="DAE9F8"/>
          </w:tcPr>
          <w:p w14:paraId="4153E7A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Revizuirea și definirea unor mecanisme incluzive de integrare a străinilor eficiente, durabile și sustenabile, și punerea </w:t>
            </w:r>
            <w:r>
              <w:rPr>
                <w:rFonts w:eastAsia="Times New Roman" w:cs="Times New Roman"/>
                <w:color w:val="auto"/>
                <w:sz w:val="20"/>
                <w:szCs w:val="20"/>
                <w:lang w:eastAsia="ru-RU"/>
              </w:rPr>
              <w:t>acestora în aplicare, până la sfârșitul anului 2025 </w:t>
            </w:r>
          </w:p>
        </w:tc>
      </w:tr>
      <w:tr w:rsidR="0075115C" w14:paraId="439B826F" w14:textId="77777777">
        <w:trPr>
          <w:trHeight w:val="240"/>
        </w:trPr>
        <w:tc>
          <w:tcPr>
            <w:tcW w:w="0" w:type="auto"/>
            <w:shd w:val="clear" w:color="auto" w:fill="auto"/>
          </w:tcPr>
          <w:p w14:paraId="2616566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w:t>
            </w:r>
          </w:p>
        </w:tc>
        <w:tc>
          <w:tcPr>
            <w:tcW w:w="0" w:type="auto"/>
            <w:shd w:val="clear" w:color="auto" w:fill="auto"/>
          </w:tcPr>
          <w:p w14:paraId="41FD0EE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Modificarea Legii nr. 274/2011 privind integrarea străinilor în Republica Moldova, prin ajustarea la modificările cadrului legal în domeniul azilului, admisiei străinilor și corelarea cu următorul pro</w:t>
            </w:r>
            <w:r>
              <w:rPr>
                <w:rFonts w:eastAsia="Times New Roman" w:cs="Times New Roman"/>
                <w:color w:val="auto"/>
                <w:sz w:val="20"/>
                <w:szCs w:val="20"/>
                <w:lang w:eastAsia="ru-RU"/>
              </w:rPr>
              <w:t>gramul sectorial 2026-2030.</w:t>
            </w:r>
          </w:p>
        </w:tc>
        <w:tc>
          <w:tcPr>
            <w:tcW w:w="0" w:type="auto"/>
            <w:shd w:val="clear" w:color="auto" w:fill="auto"/>
          </w:tcPr>
          <w:p w14:paraId="2432505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Proiect de lege adoptat </w:t>
            </w:r>
          </w:p>
        </w:tc>
        <w:tc>
          <w:tcPr>
            <w:tcW w:w="0" w:type="auto"/>
            <w:shd w:val="clear" w:color="auto" w:fill="auto"/>
          </w:tcPr>
          <w:p w14:paraId="39412D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2026</w:t>
            </w:r>
          </w:p>
        </w:tc>
        <w:tc>
          <w:tcPr>
            <w:tcW w:w="0" w:type="auto"/>
            <w:shd w:val="clear" w:color="auto" w:fill="auto"/>
          </w:tcPr>
          <w:p w14:paraId="14734A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25F42EF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w:t>
            </w:r>
          </w:p>
        </w:tc>
        <w:tc>
          <w:tcPr>
            <w:tcW w:w="0" w:type="auto"/>
            <w:shd w:val="clear" w:color="auto" w:fill="auto"/>
          </w:tcPr>
          <w:p w14:paraId="23BAE9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 Ministerul Educației și Cercetării; Ministerul Muncii și Protecției Sociale; Ministerul Dezvoltării Economice și Digitalizării; Min</w:t>
            </w:r>
            <w:r>
              <w:rPr>
                <w:rFonts w:eastAsia="Times New Roman" w:cs="Times New Roman"/>
                <w:color w:val="auto"/>
                <w:sz w:val="20"/>
                <w:szCs w:val="20"/>
                <w:lang w:eastAsia="ru-RU"/>
              </w:rPr>
              <w:t xml:space="preserve">isterul Culturii, Compania Națională de Asigurări în Medicină, Casa Națională </w:t>
            </w:r>
            <w:r>
              <w:rPr>
                <w:rFonts w:eastAsia="Times New Roman" w:cs="Times New Roman"/>
                <w:color w:val="auto"/>
                <w:sz w:val="20"/>
                <w:szCs w:val="20"/>
                <w:lang w:eastAsia="ru-RU"/>
              </w:rPr>
              <w:lastRenderedPageBreak/>
              <w:t>de Asigurări Sociale a Republicii Moldova</w:t>
            </w:r>
          </w:p>
        </w:tc>
        <w:tc>
          <w:tcPr>
            <w:tcW w:w="0" w:type="auto"/>
            <w:shd w:val="clear" w:color="auto" w:fill="auto"/>
          </w:tcPr>
          <w:p w14:paraId="549765A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F22D15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129,0</w:t>
            </w:r>
          </w:p>
        </w:tc>
        <w:tc>
          <w:tcPr>
            <w:tcW w:w="0" w:type="auto"/>
            <w:shd w:val="clear" w:color="auto" w:fill="auto"/>
          </w:tcPr>
          <w:p w14:paraId="05C4E5A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DA9CC6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129,0</w:t>
            </w:r>
          </w:p>
        </w:tc>
        <w:tc>
          <w:tcPr>
            <w:tcW w:w="0" w:type="auto"/>
            <w:shd w:val="clear" w:color="auto" w:fill="auto"/>
          </w:tcPr>
          <w:p w14:paraId="26130B0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35.01</w:t>
            </w:r>
          </w:p>
        </w:tc>
      </w:tr>
      <w:tr w:rsidR="0075115C" w14:paraId="30E95B46" w14:textId="77777777">
        <w:trPr>
          <w:trHeight w:val="240"/>
        </w:trPr>
        <w:tc>
          <w:tcPr>
            <w:tcW w:w="0" w:type="auto"/>
            <w:shd w:val="clear" w:color="auto" w:fill="auto"/>
          </w:tcPr>
          <w:p w14:paraId="3FE7A335" w14:textId="77777777" w:rsidR="0075115C" w:rsidRDefault="00623B17">
            <w:pPr>
              <w:spacing w:after="0"/>
              <w:rPr>
                <w:rFonts w:eastAsia="Times New Roman" w:cs="Times New Roman"/>
                <w:color w:val="auto"/>
                <w:sz w:val="20"/>
                <w:szCs w:val="20"/>
                <w:lang w:eastAsia="ru-RU"/>
              </w:rPr>
            </w:pPr>
            <w:bookmarkStart w:id="28" w:name="_Hlk189340659"/>
            <w:r>
              <w:rPr>
                <w:rFonts w:eastAsia="Times New Roman" w:cs="Times New Roman"/>
                <w:color w:val="auto"/>
                <w:sz w:val="20"/>
                <w:szCs w:val="20"/>
                <w:lang w:eastAsia="ru-RU"/>
              </w:rPr>
              <w:lastRenderedPageBreak/>
              <w:t>2</w:t>
            </w:r>
          </w:p>
        </w:tc>
        <w:tc>
          <w:tcPr>
            <w:tcW w:w="0" w:type="auto"/>
            <w:shd w:val="clear" w:color="auto" w:fill="auto"/>
          </w:tcPr>
          <w:p w14:paraId="346CFBA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mecanismului inter-instituțional pentru stabilirea unei coordonări eficiente a procesului de integrare</w:t>
            </w:r>
            <w:r>
              <w:rPr>
                <w:rFonts w:eastAsia="Times New Roman" w:cs="Times New Roman"/>
                <w:color w:val="auto"/>
                <w:sz w:val="20"/>
                <w:szCs w:val="20"/>
                <w:lang w:eastAsia="ru-RU"/>
              </w:rPr>
              <w:t xml:space="preserve"> a străinilor în Republica Moldova (inclusiv, modificarea art. 5 Legea nr. 274/2011 cu privire la integrarea străinilor în Republica Moldova)</w:t>
            </w:r>
          </w:p>
        </w:tc>
        <w:tc>
          <w:tcPr>
            <w:tcW w:w="0" w:type="auto"/>
            <w:shd w:val="clear" w:color="auto" w:fill="auto"/>
          </w:tcPr>
          <w:p w14:paraId="53FEEF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Hotărâre a Guvernului adoptată</w:t>
            </w:r>
          </w:p>
        </w:tc>
        <w:tc>
          <w:tcPr>
            <w:tcW w:w="0" w:type="auto"/>
            <w:shd w:val="clear" w:color="auto" w:fill="auto"/>
          </w:tcPr>
          <w:p w14:paraId="763757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441614A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noi. 2026</w:t>
            </w:r>
          </w:p>
        </w:tc>
        <w:tc>
          <w:tcPr>
            <w:tcW w:w="0" w:type="auto"/>
            <w:shd w:val="clear" w:color="auto" w:fill="auto"/>
          </w:tcPr>
          <w:p w14:paraId="1E2252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w:t>
            </w:r>
          </w:p>
        </w:tc>
        <w:tc>
          <w:tcPr>
            <w:tcW w:w="0" w:type="auto"/>
            <w:shd w:val="clear" w:color="auto" w:fill="auto"/>
          </w:tcPr>
          <w:p w14:paraId="25CBCB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Sănătății; Ministerul </w:t>
            </w:r>
            <w:r>
              <w:rPr>
                <w:rFonts w:eastAsia="Times New Roman" w:cs="Times New Roman"/>
                <w:color w:val="auto"/>
                <w:sz w:val="20"/>
                <w:szCs w:val="20"/>
                <w:lang w:eastAsia="ru-RU"/>
              </w:rPr>
              <w:t>Educației și Cercetării; Ministerul Muncii și Protecției Sociale; Ministerul Dezvoltării Economice și Digitalizării; Ministerul Culturii</w:t>
            </w:r>
          </w:p>
        </w:tc>
        <w:tc>
          <w:tcPr>
            <w:tcW w:w="0" w:type="auto"/>
            <w:shd w:val="clear" w:color="auto" w:fill="auto"/>
          </w:tcPr>
          <w:p w14:paraId="16380317"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DDB4A6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189,0</w:t>
            </w:r>
          </w:p>
        </w:tc>
        <w:tc>
          <w:tcPr>
            <w:tcW w:w="0" w:type="auto"/>
            <w:shd w:val="clear" w:color="auto" w:fill="auto"/>
          </w:tcPr>
          <w:p w14:paraId="60C1D1A4"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6946F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189,0</w:t>
            </w:r>
          </w:p>
        </w:tc>
        <w:tc>
          <w:tcPr>
            <w:tcW w:w="0" w:type="auto"/>
            <w:shd w:val="clear" w:color="auto" w:fill="auto"/>
          </w:tcPr>
          <w:p w14:paraId="078268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35.01; Asistență externă</w:t>
            </w:r>
          </w:p>
        </w:tc>
      </w:tr>
      <w:tr w:rsidR="0075115C" w14:paraId="5A5570E3" w14:textId="77777777">
        <w:trPr>
          <w:trHeight w:val="240"/>
        </w:trPr>
        <w:tc>
          <w:tcPr>
            <w:tcW w:w="0" w:type="auto"/>
            <w:shd w:val="clear" w:color="auto" w:fill="auto"/>
          </w:tcPr>
          <w:p w14:paraId="035F507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w:t>
            </w:r>
          </w:p>
        </w:tc>
        <w:tc>
          <w:tcPr>
            <w:tcW w:w="0" w:type="auto"/>
            <w:shd w:val="clear" w:color="auto" w:fill="auto"/>
          </w:tcPr>
          <w:p w14:paraId="7A9EBC5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Modificarea HG nr. 553/2017 întru revizuirea conceptului centrului de </w:t>
            </w:r>
            <w:r>
              <w:rPr>
                <w:rFonts w:eastAsia="Times New Roman" w:cs="Times New Roman"/>
                <w:color w:val="auto"/>
                <w:sz w:val="20"/>
                <w:szCs w:val="20"/>
                <w:lang w:eastAsia="ru-RU"/>
              </w:rPr>
              <w:t>integrare pentru străini la nivel teritorial – consolidarea funcțională</w:t>
            </w:r>
          </w:p>
        </w:tc>
        <w:tc>
          <w:tcPr>
            <w:tcW w:w="0" w:type="auto"/>
            <w:shd w:val="clear" w:color="auto" w:fill="auto"/>
          </w:tcPr>
          <w:p w14:paraId="36AD6BD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Hotărâre de Guvern aprobat</w:t>
            </w:r>
          </w:p>
        </w:tc>
        <w:tc>
          <w:tcPr>
            <w:tcW w:w="0" w:type="auto"/>
            <w:shd w:val="clear" w:color="auto" w:fill="auto"/>
          </w:tcPr>
          <w:p w14:paraId="360FF8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Ian.2026</w:t>
            </w:r>
          </w:p>
        </w:tc>
        <w:tc>
          <w:tcPr>
            <w:tcW w:w="0" w:type="auto"/>
            <w:shd w:val="clear" w:color="auto" w:fill="auto"/>
          </w:tcPr>
          <w:p w14:paraId="1DAD7F6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Mai .2026</w:t>
            </w:r>
          </w:p>
        </w:tc>
        <w:tc>
          <w:tcPr>
            <w:tcW w:w="0" w:type="auto"/>
            <w:shd w:val="clear" w:color="auto" w:fill="auto"/>
          </w:tcPr>
          <w:p w14:paraId="23FD14E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3F1748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Sănătății; Ministerul Educației și Cercetării; Ministerul Muncii și Protecției Sociale; Ministerul Dezvoltării Economice și Digitalizării Ministerul Culturii, CNAM, </w:t>
            </w:r>
            <w:r>
              <w:rPr>
                <w:rFonts w:eastAsia="Times New Roman" w:cs="Times New Roman"/>
                <w:color w:val="auto"/>
                <w:sz w:val="20"/>
                <w:szCs w:val="20"/>
                <w:lang w:eastAsia="ru-RU"/>
              </w:rPr>
              <w:lastRenderedPageBreak/>
              <w:t xml:space="preserve">CNAS APL, </w:t>
            </w:r>
          </w:p>
        </w:tc>
        <w:tc>
          <w:tcPr>
            <w:tcW w:w="0" w:type="auto"/>
            <w:shd w:val="clear" w:color="auto" w:fill="auto"/>
          </w:tcPr>
          <w:p w14:paraId="7B42FA2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3849C7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189,0</w:t>
            </w:r>
          </w:p>
        </w:tc>
        <w:tc>
          <w:tcPr>
            <w:tcW w:w="0" w:type="auto"/>
            <w:shd w:val="clear" w:color="auto" w:fill="auto"/>
          </w:tcPr>
          <w:p w14:paraId="21734E7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F96A8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189,0</w:t>
            </w:r>
          </w:p>
        </w:tc>
        <w:tc>
          <w:tcPr>
            <w:tcW w:w="0" w:type="auto"/>
            <w:shd w:val="clear" w:color="auto" w:fill="auto"/>
          </w:tcPr>
          <w:p w14:paraId="31DBDA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35.01</w:t>
            </w:r>
          </w:p>
        </w:tc>
      </w:tr>
      <w:tr w:rsidR="0075115C" w14:paraId="6D055A90" w14:textId="77777777">
        <w:trPr>
          <w:trHeight w:val="240"/>
        </w:trPr>
        <w:tc>
          <w:tcPr>
            <w:tcW w:w="0" w:type="auto"/>
            <w:shd w:val="clear" w:color="auto" w:fill="auto"/>
          </w:tcPr>
          <w:p w14:paraId="1AD890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4</w:t>
            </w:r>
          </w:p>
        </w:tc>
        <w:tc>
          <w:tcPr>
            <w:tcW w:w="0" w:type="auto"/>
            <w:shd w:val="clear" w:color="auto" w:fill="auto"/>
          </w:tcPr>
          <w:p w14:paraId="0128946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proiectului de lege privind </w:t>
            </w:r>
            <w:r>
              <w:rPr>
                <w:rFonts w:eastAsia="Times New Roman" w:cs="Times New Roman"/>
                <w:color w:val="auto"/>
                <w:sz w:val="20"/>
                <w:szCs w:val="20"/>
                <w:lang w:eastAsia="ru-RU"/>
              </w:rPr>
              <w:t>admisia, șederea și supravegherea străinilor în Republica Moldova</w:t>
            </w:r>
          </w:p>
        </w:tc>
        <w:tc>
          <w:tcPr>
            <w:tcW w:w="0" w:type="auto"/>
            <w:shd w:val="clear" w:color="auto" w:fill="auto"/>
          </w:tcPr>
          <w:p w14:paraId="0CD173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Hotărâre de Guvern aprobată </w:t>
            </w:r>
          </w:p>
        </w:tc>
        <w:tc>
          <w:tcPr>
            <w:tcW w:w="0" w:type="auto"/>
            <w:shd w:val="clear" w:color="auto" w:fill="auto"/>
          </w:tcPr>
          <w:p w14:paraId="5A37B8C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26B9783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344588C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6A9D40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Muncii și Protecției Sociale; Ministerul Dezvoltării Economice și Digitalizării </w:t>
            </w:r>
          </w:p>
        </w:tc>
        <w:tc>
          <w:tcPr>
            <w:tcW w:w="0" w:type="auto"/>
            <w:shd w:val="clear" w:color="auto" w:fill="auto"/>
          </w:tcPr>
          <w:p w14:paraId="2DBA21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324,0</w:t>
            </w:r>
          </w:p>
        </w:tc>
        <w:tc>
          <w:tcPr>
            <w:tcW w:w="0" w:type="auto"/>
            <w:shd w:val="clear" w:color="auto" w:fill="auto"/>
          </w:tcPr>
          <w:p w14:paraId="58AC810F"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CE007E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99BC82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324,0</w:t>
            </w:r>
          </w:p>
        </w:tc>
        <w:tc>
          <w:tcPr>
            <w:tcW w:w="0" w:type="auto"/>
            <w:shd w:val="clear" w:color="auto" w:fill="auto"/>
          </w:tcPr>
          <w:p w14:paraId="185AC35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35,01</w:t>
            </w:r>
          </w:p>
        </w:tc>
      </w:tr>
      <w:tr w:rsidR="0075115C" w14:paraId="02627D29" w14:textId="77777777">
        <w:trPr>
          <w:trHeight w:val="240"/>
        </w:trPr>
        <w:tc>
          <w:tcPr>
            <w:tcW w:w="0" w:type="auto"/>
            <w:shd w:val="clear" w:color="auto" w:fill="auto"/>
          </w:tcPr>
          <w:p w14:paraId="017044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w:t>
            </w:r>
          </w:p>
        </w:tc>
        <w:tc>
          <w:tcPr>
            <w:tcW w:w="0" w:type="auto"/>
            <w:shd w:val="clear" w:color="auto" w:fill="auto"/>
          </w:tcPr>
          <w:p w14:paraId="4B090AC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proiectului de Hotărâre de Guvern privind aprobarea Regulamentului resursei informaționale formate de Sistemul informațional „Migrație”</w:t>
            </w:r>
          </w:p>
        </w:tc>
        <w:tc>
          <w:tcPr>
            <w:tcW w:w="0" w:type="auto"/>
            <w:shd w:val="clear" w:color="auto" w:fill="auto"/>
          </w:tcPr>
          <w:p w14:paraId="34F051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Hotărâre de Guvern aprobată </w:t>
            </w:r>
          </w:p>
        </w:tc>
        <w:tc>
          <w:tcPr>
            <w:tcW w:w="0" w:type="auto"/>
            <w:shd w:val="clear" w:color="auto" w:fill="auto"/>
          </w:tcPr>
          <w:p w14:paraId="0260AC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2027</w:t>
            </w:r>
          </w:p>
        </w:tc>
        <w:tc>
          <w:tcPr>
            <w:tcW w:w="0" w:type="auto"/>
            <w:shd w:val="clear" w:color="auto" w:fill="auto"/>
          </w:tcPr>
          <w:p w14:paraId="51CCE80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3CEE081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12B970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de Guvernare</w:t>
            </w:r>
            <w:r>
              <w:rPr>
                <w:rFonts w:eastAsia="Times New Roman" w:cs="Times New Roman"/>
                <w:color w:val="auto"/>
                <w:sz w:val="20"/>
                <w:szCs w:val="20"/>
                <w:lang w:eastAsia="ru-RU"/>
              </w:rPr>
              <w:t xml:space="preserve"> Electronică</w:t>
            </w:r>
          </w:p>
        </w:tc>
        <w:tc>
          <w:tcPr>
            <w:tcW w:w="0" w:type="auto"/>
            <w:shd w:val="clear" w:color="auto" w:fill="auto"/>
          </w:tcPr>
          <w:p w14:paraId="6F186BF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6F3985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A27E3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117,0</w:t>
            </w:r>
          </w:p>
        </w:tc>
        <w:tc>
          <w:tcPr>
            <w:tcW w:w="0" w:type="auto"/>
            <w:shd w:val="clear" w:color="auto" w:fill="auto"/>
          </w:tcPr>
          <w:p w14:paraId="074B96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117,0</w:t>
            </w:r>
          </w:p>
        </w:tc>
        <w:tc>
          <w:tcPr>
            <w:tcW w:w="0" w:type="auto"/>
            <w:shd w:val="clear" w:color="auto" w:fill="auto"/>
          </w:tcPr>
          <w:p w14:paraId="79E5DD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35.03; Asistență externă</w:t>
            </w:r>
          </w:p>
        </w:tc>
      </w:tr>
      <w:tr w:rsidR="0075115C" w14:paraId="1408725A" w14:textId="77777777">
        <w:trPr>
          <w:trHeight w:val="240"/>
        </w:trPr>
        <w:tc>
          <w:tcPr>
            <w:tcW w:w="0" w:type="auto"/>
            <w:shd w:val="clear" w:color="auto" w:fill="auto"/>
          </w:tcPr>
          <w:p w14:paraId="17684CC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w:t>
            </w:r>
          </w:p>
        </w:tc>
        <w:tc>
          <w:tcPr>
            <w:tcW w:w="0" w:type="auto"/>
            <w:shd w:val="clear" w:color="auto" w:fill="auto"/>
          </w:tcPr>
          <w:p w14:paraId="175597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Construcția noului sediu al aparatului central al Inspectoratului General pentru Migrație și al Direcției regionale Centru în scopul gestionării mai eficiente a străinilor</w:t>
            </w:r>
          </w:p>
        </w:tc>
        <w:tc>
          <w:tcPr>
            <w:tcW w:w="0" w:type="auto"/>
            <w:shd w:val="clear" w:color="auto" w:fill="auto"/>
          </w:tcPr>
          <w:p w14:paraId="49A2F9D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Complex de clădiri destinate </w:t>
            </w:r>
            <w:r>
              <w:rPr>
                <w:rFonts w:eastAsia="Times New Roman" w:cs="Times New Roman"/>
                <w:color w:val="auto"/>
                <w:sz w:val="20"/>
                <w:szCs w:val="20"/>
                <w:lang w:eastAsia="ru-RU"/>
              </w:rPr>
              <w:t>aparatului central al Inspectoratului General pentru Migrație și Direcției regionale Centru, construite și date în exploatare până în 2027</w:t>
            </w:r>
          </w:p>
        </w:tc>
        <w:tc>
          <w:tcPr>
            <w:tcW w:w="0" w:type="auto"/>
            <w:shd w:val="clear" w:color="auto" w:fill="auto"/>
          </w:tcPr>
          <w:p w14:paraId="0C57D19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2025</w:t>
            </w:r>
          </w:p>
        </w:tc>
        <w:tc>
          <w:tcPr>
            <w:tcW w:w="0" w:type="auto"/>
            <w:shd w:val="clear" w:color="auto" w:fill="auto"/>
          </w:tcPr>
          <w:p w14:paraId="200FC2C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17B025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Migrațiune)</w:t>
            </w:r>
          </w:p>
        </w:tc>
        <w:tc>
          <w:tcPr>
            <w:tcW w:w="0" w:type="auto"/>
            <w:shd w:val="clear" w:color="auto" w:fill="auto"/>
          </w:tcPr>
          <w:p w14:paraId="5BADF84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C1AC3C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76000,0</w:t>
            </w:r>
          </w:p>
        </w:tc>
        <w:tc>
          <w:tcPr>
            <w:tcW w:w="0" w:type="auto"/>
            <w:shd w:val="clear" w:color="auto" w:fill="auto"/>
          </w:tcPr>
          <w:p w14:paraId="69D5E9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76000,0</w:t>
            </w:r>
          </w:p>
        </w:tc>
        <w:tc>
          <w:tcPr>
            <w:tcW w:w="0" w:type="auto"/>
            <w:shd w:val="clear" w:color="auto" w:fill="auto"/>
          </w:tcPr>
          <w:p w14:paraId="4E796F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76000,0</w:t>
            </w:r>
          </w:p>
        </w:tc>
        <w:tc>
          <w:tcPr>
            <w:tcW w:w="0" w:type="auto"/>
            <w:shd w:val="clear" w:color="auto" w:fill="auto"/>
          </w:tcPr>
          <w:p w14:paraId="23BFB4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228000,0</w:t>
            </w:r>
          </w:p>
        </w:tc>
        <w:tc>
          <w:tcPr>
            <w:tcW w:w="0" w:type="auto"/>
            <w:shd w:val="clear" w:color="auto" w:fill="auto"/>
          </w:tcPr>
          <w:p w14:paraId="0C82E1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2D2F7DAF" w14:textId="77777777">
        <w:trPr>
          <w:trHeight w:val="240"/>
        </w:trPr>
        <w:tc>
          <w:tcPr>
            <w:tcW w:w="0" w:type="auto"/>
            <w:shd w:val="clear" w:color="auto" w:fill="auto"/>
          </w:tcPr>
          <w:p w14:paraId="2317A4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w:t>
            </w:r>
          </w:p>
        </w:tc>
        <w:tc>
          <w:tcPr>
            <w:tcW w:w="0" w:type="auto"/>
            <w:shd w:val="clear" w:color="auto" w:fill="auto"/>
          </w:tcPr>
          <w:p w14:paraId="5D038A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Fortificarea capacităților Centrelor de integrare pentru străini din cadrul Direcțiilor regionale ale IGM (Bălți, Chișinău, Cahul) în vederea promovării toleranței și a respectului pentru </w:t>
            </w:r>
            <w:r>
              <w:rPr>
                <w:rFonts w:eastAsia="Times New Roman" w:cs="Times New Roman"/>
                <w:color w:val="auto"/>
                <w:sz w:val="20"/>
                <w:szCs w:val="20"/>
                <w:lang w:eastAsia="ru-RU"/>
              </w:rPr>
              <w:lastRenderedPageBreak/>
              <w:t xml:space="preserve">diversitate culturală și </w:t>
            </w:r>
            <w:r>
              <w:rPr>
                <w:rFonts w:eastAsia="Times New Roman" w:cs="Times New Roman"/>
                <w:color w:val="auto"/>
                <w:sz w:val="20"/>
                <w:szCs w:val="20"/>
                <w:lang w:eastAsia="ru-RU"/>
              </w:rPr>
              <w:t xml:space="preserve">organizarea de campanii de sensibilizare a publicului cu privire la discriminare. </w:t>
            </w:r>
          </w:p>
        </w:tc>
        <w:tc>
          <w:tcPr>
            <w:tcW w:w="0" w:type="auto"/>
            <w:shd w:val="clear" w:color="auto" w:fill="auto"/>
          </w:tcPr>
          <w:p w14:paraId="6BDE82C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Pregătirea personalului Centrelor de integrare pentru străini de a oferi servicii de calitate și adaptate la nevoile specifice ale străinilor Număr de evenimente/sesiuni inf</w:t>
            </w:r>
            <w:r>
              <w:rPr>
                <w:rFonts w:eastAsia="Times New Roman" w:cs="Times New Roman"/>
                <w:color w:val="auto"/>
                <w:sz w:val="20"/>
                <w:szCs w:val="20"/>
                <w:lang w:eastAsia="ru-RU"/>
              </w:rPr>
              <w:t>ormative organizate Numărul de cazuri de discriminare raportate și soluționate</w:t>
            </w:r>
          </w:p>
        </w:tc>
        <w:tc>
          <w:tcPr>
            <w:tcW w:w="0" w:type="auto"/>
            <w:shd w:val="clear" w:color="auto" w:fill="auto"/>
          </w:tcPr>
          <w:p w14:paraId="524B99A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oct. 2025</w:t>
            </w:r>
          </w:p>
        </w:tc>
        <w:tc>
          <w:tcPr>
            <w:tcW w:w="0" w:type="auto"/>
            <w:shd w:val="clear" w:color="auto" w:fill="auto"/>
          </w:tcPr>
          <w:p w14:paraId="39519C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0AE2C4F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Inspectoratul General pentru Migrație</w:t>
            </w:r>
          </w:p>
        </w:tc>
        <w:tc>
          <w:tcPr>
            <w:tcW w:w="0" w:type="auto"/>
            <w:shd w:val="clear" w:color="auto" w:fill="auto"/>
          </w:tcPr>
          <w:p w14:paraId="38AA3F0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Direcțiile regionale ale Inspectoratul General pentru Migrație </w:t>
            </w:r>
          </w:p>
        </w:tc>
        <w:tc>
          <w:tcPr>
            <w:tcW w:w="0" w:type="auto"/>
            <w:shd w:val="clear" w:color="auto" w:fill="auto"/>
          </w:tcPr>
          <w:p w14:paraId="76408B1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400,0</w:t>
            </w:r>
          </w:p>
        </w:tc>
        <w:tc>
          <w:tcPr>
            <w:tcW w:w="0" w:type="auto"/>
            <w:shd w:val="clear" w:color="auto" w:fill="auto"/>
          </w:tcPr>
          <w:p w14:paraId="2525D1B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400,0</w:t>
            </w:r>
          </w:p>
        </w:tc>
        <w:tc>
          <w:tcPr>
            <w:tcW w:w="0" w:type="auto"/>
            <w:shd w:val="clear" w:color="auto" w:fill="auto"/>
          </w:tcPr>
          <w:p w14:paraId="36EC49C1"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1D641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800,0</w:t>
            </w:r>
          </w:p>
        </w:tc>
        <w:tc>
          <w:tcPr>
            <w:tcW w:w="0" w:type="auto"/>
            <w:shd w:val="clear" w:color="auto" w:fill="auto"/>
          </w:tcPr>
          <w:p w14:paraId="33AA73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Banca Mondială </w:t>
            </w:r>
          </w:p>
        </w:tc>
      </w:tr>
      <w:tr w:rsidR="0075115C" w14:paraId="50DBD63F" w14:textId="77777777">
        <w:trPr>
          <w:trHeight w:val="240"/>
        </w:trPr>
        <w:tc>
          <w:tcPr>
            <w:tcW w:w="0" w:type="auto"/>
            <w:shd w:val="clear" w:color="auto" w:fill="auto"/>
          </w:tcPr>
          <w:p w14:paraId="11F569D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8</w:t>
            </w:r>
          </w:p>
        </w:tc>
        <w:tc>
          <w:tcPr>
            <w:tcW w:w="0" w:type="auto"/>
            <w:shd w:val="clear" w:color="auto" w:fill="auto"/>
          </w:tcPr>
          <w:p w14:paraId="0EE9E0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unor </w:t>
            </w:r>
            <w:r>
              <w:rPr>
                <w:rFonts w:eastAsia="Times New Roman" w:cs="Times New Roman"/>
                <w:color w:val="auto"/>
                <w:sz w:val="20"/>
                <w:szCs w:val="20"/>
                <w:lang w:eastAsia="ru-RU"/>
              </w:rPr>
              <w:t>mecanisme optime și eficiete de evidență a străinilor</w:t>
            </w:r>
          </w:p>
        </w:tc>
        <w:tc>
          <w:tcPr>
            <w:tcW w:w="0" w:type="auto"/>
            <w:shd w:val="clear" w:color="auto" w:fill="auto"/>
          </w:tcPr>
          <w:p w14:paraId="3D4CE9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Act normativ aprobat; Sistem informațional ajustat și digitalizat; Mecanism implementat.</w:t>
            </w:r>
          </w:p>
        </w:tc>
        <w:tc>
          <w:tcPr>
            <w:tcW w:w="0" w:type="auto"/>
            <w:shd w:val="clear" w:color="auto" w:fill="auto"/>
          </w:tcPr>
          <w:p w14:paraId="4A9BC7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553CE3B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dec.2026</w:t>
            </w:r>
          </w:p>
        </w:tc>
        <w:tc>
          <w:tcPr>
            <w:tcW w:w="0" w:type="auto"/>
            <w:shd w:val="clear" w:color="auto" w:fill="auto"/>
          </w:tcPr>
          <w:p w14:paraId="1BF92A5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40DA28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Servicii Publice</w:t>
            </w:r>
          </w:p>
        </w:tc>
        <w:tc>
          <w:tcPr>
            <w:tcW w:w="0" w:type="auto"/>
            <w:shd w:val="clear" w:color="auto" w:fill="auto"/>
          </w:tcPr>
          <w:p w14:paraId="0C48932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12666,7</w:t>
            </w:r>
          </w:p>
        </w:tc>
        <w:tc>
          <w:tcPr>
            <w:tcW w:w="0" w:type="auto"/>
            <w:shd w:val="clear" w:color="auto" w:fill="auto"/>
          </w:tcPr>
          <w:p w14:paraId="5742D53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12666,7</w:t>
            </w:r>
          </w:p>
        </w:tc>
        <w:tc>
          <w:tcPr>
            <w:tcW w:w="0" w:type="auto"/>
            <w:shd w:val="clear" w:color="auto" w:fill="auto"/>
          </w:tcPr>
          <w:p w14:paraId="39FAEE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12666,7</w:t>
            </w:r>
          </w:p>
        </w:tc>
        <w:tc>
          <w:tcPr>
            <w:tcW w:w="0" w:type="auto"/>
            <w:shd w:val="clear" w:color="auto" w:fill="auto"/>
          </w:tcPr>
          <w:p w14:paraId="6A9DB6C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38000,0</w:t>
            </w:r>
          </w:p>
        </w:tc>
        <w:tc>
          <w:tcPr>
            <w:tcW w:w="0" w:type="auto"/>
            <w:shd w:val="clear" w:color="auto" w:fill="auto"/>
          </w:tcPr>
          <w:p w14:paraId="3F7A45F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08A514C4" w14:textId="77777777">
        <w:trPr>
          <w:trHeight w:val="240"/>
        </w:trPr>
        <w:tc>
          <w:tcPr>
            <w:tcW w:w="0" w:type="auto"/>
            <w:shd w:val="clear" w:color="auto" w:fill="auto"/>
          </w:tcPr>
          <w:p w14:paraId="1CB718D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w:t>
            </w:r>
          </w:p>
        </w:tc>
        <w:tc>
          <w:tcPr>
            <w:tcW w:w="0" w:type="auto"/>
            <w:shd w:val="clear" w:color="auto" w:fill="auto"/>
          </w:tcPr>
          <w:p w14:paraId="37409D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Implementarea unui instrument privind obținerea numărului unic pentru străini </w:t>
            </w:r>
          </w:p>
        </w:tc>
        <w:tc>
          <w:tcPr>
            <w:tcW w:w="0" w:type="auto"/>
            <w:shd w:val="clear" w:color="auto" w:fill="auto"/>
          </w:tcPr>
          <w:p w14:paraId="44E4A7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instrument elaborat și aprobat.</w:t>
            </w:r>
          </w:p>
        </w:tc>
        <w:tc>
          <w:tcPr>
            <w:tcW w:w="0" w:type="auto"/>
            <w:shd w:val="clear" w:color="auto" w:fill="auto"/>
          </w:tcPr>
          <w:p w14:paraId="12F712D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2B9A24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5385D21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Servicii Publice, Agenția de Guvernare Electronică</w:t>
            </w:r>
          </w:p>
        </w:tc>
        <w:tc>
          <w:tcPr>
            <w:tcW w:w="0" w:type="auto"/>
            <w:shd w:val="clear" w:color="auto" w:fill="auto"/>
          </w:tcPr>
          <w:p w14:paraId="4FD963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61CF852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71332FE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53C2C1B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718E2D8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117,0</w:t>
            </w:r>
          </w:p>
        </w:tc>
        <w:tc>
          <w:tcPr>
            <w:tcW w:w="0" w:type="auto"/>
            <w:shd w:val="clear" w:color="auto" w:fill="auto"/>
          </w:tcPr>
          <w:p w14:paraId="76752F5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0C46989B" w14:textId="77777777">
        <w:trPr>
          <w:trHeight w:val="240"/>
        </w:trPr>
        <w:tc>
          <w:tcPr>
            <w:tcW w:w="0" w:type="auto"/>
            <w:shd w:val="clear" w:color="auto" w:fill="auto"/>
          </w:tcPr>
          <w:p w14:paraId="401A4AB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w:t>
            </w:r>
          </w:p>
        </w:tc>
        <w:tc>
          <w:tcPr>
            <w:tcW w:w="0" w:type="auto"/>
            <w:shd w:val="clear" w:color="auto" w:fill="auto"/>
          </w:tcPr>
          <w:p w14:paraId="4BB0379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Punerea în aplicare a aplicației EVO, inclusiv vizualizarea identității digitale de către străini, ca rezultat a obținerii cărții de rezidență</w:t>
            </w:r>
          </w:p>
        </w:tc>
        <w:tc>
          <w:tcPr>
            <w:tcW w:w="0" w:type="auto"/>
            <w:shd w:val="clear" w:color="auto" w:fill="auto"/>
          </w:tcPr>
          <w:p w14:paraId="4250E2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Aplicația EVO funcțională</w:t>
            </w:r>
            <w:r>
              <w:rPr>
                <w:rFonts w:eastAsia="Times New Roman" w:cs="Times New Roman"/>
                <w:color w:val="auto"/>
                <w:sz w:val="20"/>
                <w:szCs w:val="20"/>
                <w:lang w:eastAsia="ru-RU"/>
              </w:rPr>
              <w:t xml:space="preserve"> pentru vizualizarea identității digitale</w:t>
            </w:r>
          </w:p>
        </w:tc>
        <w:tc>
          <w:tcPr>
            <w:tcW w:w="0" w:type="auto"/>
            <w:shd w:val="clear" w:color="auto" w:fill="auto"/>
          </w:tcPr>
          <w:p w14:paraId="3420BC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ian.2026</w:t>
            </w:r>
          </w:p>
        </w:tc>
        <w:tc>
          <w:tcPr>
            <w:tcW w:w="0" w:type="auto"/>
            <w:shd w:val="clear" w:color="auto" w:fill="auto"/>
          </w:tcPr>
          <w:p w14:paraId="66EE79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5C02B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Servicii Publice</w:t>
            </w:r>
          </w:p>
        </w:tc>
        <w:tc>
          <w:tcPr>
            <w:tcW w:w="0" w:type="auto"/>
            <w:shd w:val="clear" w:color="auto" w:fill="auto"/>
          </w:tcPr>
          <w:p w14:paraId="1840C68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080CE7F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22C78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w:t>
            </w:r>
          </w:p>
        </w:tc>
        <w:tc>
          <w:tcPr>
            <w:tcW w:w="0" w:type="auto"/>
            <w:shd w:val="clear" w:color="auto" w:fill="auto"/>
          </w:tcPr>
          <w:p w14:paraId="2F0C2B9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w:t>
            </w:r>
          </w:p>
        </w:tc>
        <w:tc>
          <w:tcPr>
            <w:tcW w:w="0" w:type="auto"/>
            <w:shd w:val="clear" w:color="auto" w:fill="auto"/>
          </w:tcPr>
          <w:p w14:paraId="00F061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1520,0</w:t>
            </w:r>
          </w:p>
        </w:tc>
        <w:tc>
          <w:tcPr>
            <w:tcW w:w="0" w:type="auto"/>
            <w:shd w:val="clear" w:color="auto" w:fill="auto"/>
          </w:tcPr>
          <w:p w14:paraId="20D4517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1BE45091" w14:textId="77777777">
        <w:trPr>
          <w:trHeight w:val="240"/>
        </w:trPr>
        <w:tc>
          <w:tcPr>
            <w:tcW w:w="0" w:type="auto"/>
            <w:shd w:val="clear" w:color="auto" w:fill="auto"/>
          </w:tcPr>
          <w:p w14:paraId="0B5924C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w:t>
            </w:r>
          </w:p>
        </w:tc>
        <w:tc>
          <w:tcPr>
            <w:tcW w:w="0" w:type="auto"/>
            <w:shd w:val="clear" w:color="auto" w:fill="auto"/>
          </w:tcPr>
          <w:p w14:paraId="75E493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Conceptului ”Satul Mic Inima Mare </w:t>
            </w:r>
            <w:r>
              <w:rPr>
                <w:rFonts w:eastAsia="Times New Roman" w:cs="Times New Roman"/>
                <w:color w:val="auto"/>
                <w:sz w:val="20"/>
                <w:szCs w:val="20"/>
                <w:lang w:eastAsia="ru-RU"/>
              </w:rPr>
              <w:t>și Orașul Mic, Inima Mare”</w:t>
            </w:r>
          </w:p>
        </w:tc>
        <w:tc>
          <w:tcPr>
            <w:tcW w:w="0" w:type="auto"/>
            <w:shd w:val="clear" w:color="auto" w:fill="auto"/>
          </w:tcPr>
          <w:p w14:paraId="5CF907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Concept elaborat și aprobat</w:t>
            </w:r>
          </w:p>
        </w:tc>
        <w:tc>
          <w:tcPr>
            <w:tcW w:w="0" w:type="auto"/>
            <w:shd w:val="clear" w:color="auto" w:fill="auto"/>
          </w:tcPr>
          <w:p w14:paraId="5894C5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5E761B3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dec.2025</w:t>
            </w:r>
          </w:p>
        </w:tc>
        <w:tc>
          <w:tcPr>
            <w:tcW w:w="0" w:type="auto"/>
            <w:shd w:val="clear" w:color="auto" w:fill="auto"/>
          </w:tcPr>
          <w:p w14:paraId="740039C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Infrastructurii și Dezvoltării Regionale</w:t>
            </w:r>
          </w:p>
        </w:tc>
        <w:tc>
          <w:tcPr>
            <w:tcW w:w="0" w:type="auto"/>
            <w:shd w:val="clear" w:color="auto" w:fill="auto"/>
          </w:tcPr>
          <w:p w14:paraId="47B60EE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Autoritățile publice locale de nivelul I și II, partenerii de dezvoltare</w:t>
            </w:r>
          </w:p>
        </w:tc>
        <w:tc>
          <w:tcPr>
            <w:tcW w:w="0" w:type="auto"/>
            <w:shd w:val="clear" w:color="auto" w:fill="auto"/>
          </w:tcPr>
          <w:p w14:paraId="2E661B4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418,0</w:t>
            </w:r>
          </w:p>
        </w:tc>
        <w:tc>
          <w:tcPr>
            <w:tcW w:w="0" w:type="auto"/>
            <w:shd w:val="clear" w:color="auto" w:fill="auto"/>
          </w:tcPr>
          <w:p w14:paraId="1E30E2C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4780B4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C54DA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418,0</w:t>
            </w:r>
          </w:p>
        </w:tc>
        <w:tc>
          <w:tcPr>
            <w:tcW w:w="0" w:type="auto"/>
            <w:shd w:val="clear" w:color="auto" w:fill="auto"/>
          </w:tcPr>
          <w:p w14:paraId="7E519C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17DB1A4B" w14:textId="77777777">
        <w:trPr>
          <w:trHeight w:val="240"/>
        </w:trPr>
        <w:tc>
          <w:tcPr>
            <w:tcW w:w="0" w:type="auto"/>
            <w:shd w:val="clear" w:color="auto" w:fill="auto"/>
          </w:tcPr>
          <w:p w14:paraId="20F3945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w:t>
            </w:r>
          </w:p>
        </w:tc>
        <w:tc>
          <w:tcPr>
            <w:tcW w:w="0" w:type="auto"/>
            <w:shd w:val="clear" w:color="auto" w:fill="auto"/>
          </w:tcPr>
          <w:p w14:paraId="3B8E49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Modernizarea clădirilor publice neutilizate ca adăposturi temporare</w:t>
            </w:r>
          </w:p>
        </w:tc>
        <w:tc>
          <w:tcPr>
            <w:tcW w:w="0" w:type="auto"/>
            <w:shd w:val="clear" w:color="auto" w:fill="auto"/>
          </w:tcPr>
          <w:p w14:paraId="5CA8D42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clădiri modernizate; Capacitate suplimentară de cazare temporară adăugată</w:t>
            </w:r>
          </w:p>
        </w:tc>
        <w:tc>
          <w:tcPr>
            <w:tcW w:w="0" w:type="auto"/>
            <w:shd w:val="clear" w:color="auto" w:fill="auto"/>
          </w:tcPr>
          <w:p w14:paraId="53DEE66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2026</w:t>
            </w:r>
          </w:p>
        </w:tc>
        <w:tc>
          <w:tcPr>
            <w:tcW w:w="0" w:type="auto"/>
            <w:shd w:val="clear" w:color="auto" w:fill="auto"/>
          </w:tcPr>
          <w:p w14:paraId="293902C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B2BBF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Infrastructurii și Dezvoltării Regionale</w:t>
            </w:r>
          </w:p>
        </w:tc>
        <w:tc>
          <w:tcPr>
            <w:tcW w:w="0" w:type="auto"/>
            <w:shd w:val="clear" w:color="auto" w:fill="auto"/>
          </w:tcPr>
          <w:p w14:paraId="285B37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Agenția Proprietății Publice, </w:t>
            </w:r>
            <w:r>
              <w:rPr>
                <w:rFonts w:eastAsia="Times New Roman" w:cs="Times New Roman"/>
                <w:color w:val="auto"/>
                <w:sz w:val="20"/>
                <w:szCs w:val="20"/>
                <w:lang w:eastAsia="ru-RU"/>
              </w:rPr>
              <w:t xml:space="preserve">Ministerul Muncii și </w:t>
            </w:r>
            <w:r>
              <w:rPr>
                <w:rFonts w:eastAsia="Times New Roman" w:cs="Times New Roman"/>
                <w:color w:val="auto"/>
                <w:sz w:val="20"/>
                <w:szCs w:val="20"/>
                <w:lang w:eastAsia="ru-RU"/>
              </w:rPr>
              <w:lastRenderedPageBreak/>
              <w:t>Protecției Sociale MAI</w:t>
            </w:r>
          </w:p>
        </w:tc>
        <w:tc>
          <w:tcPr>
            <w:tcW w:w="0" w:type="auto"/>
            <w:shd w:val="clear" w:color="auto" w:fill="auto"/>
          </w:tcPr>
          <w:p w14:paraId="4E7780D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996B7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165000,0</w:t>
            </w:r>
          </w:p>
        </w:tc>
        <w:tc>
          <w:tcPr>
            <w:tcW w:w="0" w:type="auto"/>
            <w:shd w:val="clear" w:color="auto" w:fill="auto"/>
          </w:tcPr>
          <w:p w14:paraId="05FB827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165000,0</w:t>
            </w:r>
          </w:p>
        </w:tc>
        <w:tc>
          <w:tcPr>
            <w:tcW w:w="0" w:type="auto"/>
            <w:shd w:val="clear" w:color="auto" w:fill="auto"/>
          </w:tcPr>
          <w:p w14:paraId="1CC7F7A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330000,0</w:t>
            </w:r>
          </w:p>
        </w:tc>
        <w:tc>
          <w:tcPr>
            <w:tcW w:w="0" w:type="auto"/>
            <w:shd w:val="clear" w:color="auto" w:fill="auto"/>
          </w:tcPr>
          <w:p w14:paraId="3E7489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6AB1D69F" w14:textId="77777777">
        <w:trPr>
          <w:trHeight w:val="240"/>
        </w:trPr>
        <w:tc>
          <w:tcPr>
            <w:tcW w:w="0" w:type="auto"/>
            <w:shd w:val="clear" w:color="auto" w:fill="auto"/>
          </w:tcPr>
          <w:p w14:paraId="4B8C6BA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13</w:t>
            </w:r>
          </w:p>
        </w:tc>
        <w:tc>
          <w:tcPr>
            <w:tcW w:w="0" w:type="auto"/>
            <w:shd w:val="clear" w:color="auto" w:fill="auto"/>
          </w:tcPr>
          <w:p w14:paraId="650A35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conceptului și operaționalizarea unui Centru Multifuncțional de Integrare pentru Străini în cadrul Inspectoratului General pentru </w:t>
            </w:r>
            <w:r>
              <w:rPr>
                <w:rFonts w:eastAsia="Times New Roman" w:cs="Times New Roman"/>
                <w:color w:val="auto"/>
                <w:sz w:val="20"/>
                <w:szCs w:val="20"/>
                <w:lang w:eastAsia="ru-RU"/>
              </w:rPr>
              <w:t>migrațiune - proiect pilot</w:t>
            </w:r>
          </w:p>
        </w:tc>
        <w:tc>
          <w:tcPr>
            <w:tcW w:w="0" w:type="auto"/>
            <w:shd w:val="clear" w:color="auto" w:fill="auto"/>
          </w:tcPr>
          <w:p w14:paraId="53B2DE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Concept elaborat și aprobat </w:t>
            </w:r>
          </w:p>
        </w:tc>
        <w:tc>
          <w:tcPr>
            <w:tcW w:w="0" w:type="auto"/>
            <w:shd w:val="clear" w:color="auto" w:fill="auto"/>
          </w:tcPr>
          <w:p w14:paraId="0FFFF95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6A0D73A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211A502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09814EB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Servicii Publice; Ministerul Sănătății; Ministerul Educației și Cercetării; Ministerul Muncii și Protec</w:t>
            </w:r>
            <w:r>
              <w:rPr>
                <w:rFonts w:eastAsia="Times New Roman" w:cs="Times New Roman"/>
                <w:color w:val="auto"/>
                <w:sz w:val="20"/>
                <w:szCs w:val="20"/>
                <w:lang w:eastAsia="ru-RU"/>
              </w:rPr>
              <w:t xml:space="preserve">ției Sociale; Ministerul Dezvoltării Economice și Digitalizării </w:t>
            </w:r>
          </w:p>
        </w:tc>
        <w:tc>
          <w:tcPr>
            <w:tcW w:w="0" w:type="auto"/>
            <w:shd w:val="clear" w:color="auto" w:fill="auto"/>
          </w:tcPr>
          <w:p w14:paraId="40B4BF6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162,0</w:t>
            </w:r>
          </w:p>
        </w:tc>
        <w:tc>
          <w:tcPr>
            <w:tcW w:w="0" w:type="auto"/>
            <w:shd w:val="clear" w:color="auto" w:fill="auto"/>
          </w:tcPr>
          <w:p w14:paraId="7120C4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162,0</w:t>
            </w:r>
          </w:p>
        </w:tc>
        <w:tc>
          <w:tcPr>
            <w:tcW w:w="0" w:type="auto"/>
            <w:shd w:val="clear" w:color="auto" w:fill="auto"/>
          </w:tcPr>
          <w:p w14:paraId="11276D9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0A3C38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324,0</w:t>
            </w:r>
          </w:p>
        </w:tc>
        <w:tc>
          <w:tcPr>
            <w:tcW w:w="0" w:type="auto"/>
            <w:shd w:val="clear" w:color="auto" w:fill="auto"/>
          </w:tcPr>
          <w:p w14:paraId="1590AF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35.01</w:t>
            </w:r>
          </w:p>
        </w:tc>
      </w:tr>
      <w:tr w:rsidR="0075115C" w14:paraId="3BBBEB15" w14:textId="77777777">
        <w:trPr>
          <w:trHeight w:val="240"/>
        </w:trPr>
        <w:tc>
          <w:tcPr>
            <w:tcW w:w="0" w:type="auto"/>
            <w:shd w:val="clear" w:color="auto" w:fill="auto"/>
          </w:tcPr>
          <w:p w14:paraId="438375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14</w:t>
            </w:r>
          </w:p>
        </w:tc>
        <w:tc>
          <w:tcPr>
            <w:tcW w:w="0" w:type="auto"/>
            <w:shd w:val="clear" w:color="auto" w:fill="auto"/>
          </w:tcPr>
          <w:p w14:paraId="2530D43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anuală a profilului străinilor aflați în Republica Moldova pentru stabilirea necesităților de integrare și după caz identificarea soluțiilor și </w:t>
            </w:r>
            <w:r>
              <w:rPr>
                <w:rFonts w:eastAsia="Times New Roman" w:cs="Times New Roman"/>
                <w:color w:val="auto"/>
                <w:sz w:val="20"/>
                <w:szCs w:val="20"/>
                <w:lang w:eastAsia="ru-RU"/>
              </w:rPr>
              <w:t>măsurilor necesare pentru intervenție</w:t>
            </w:r>
          </w:p>
        </w:tc>
        <w:tc>
          <w:tcPr>
            <w:tcW w:w="0" w:type="auto"/>
            <w:shd w:val="clear" w:color="auto" w:fill="auto"/>
          </w:tcPr>
          <w:p w14:paraId="5D4942E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chestionare completate și evaluate (nord, centru, sud) dezagregat Raport de analiză privind profilul străinilor la nivel teritorial elaborat.Raport anual elaborat și remis către Guvern, Parlament</w:t>
            </w:r>
          </w:p>
        </w:tc>
        <w:tc>
          <w:tcPr>
            <w:tcW w:w="0" w:type="auto"/>
            <w:shd w:val="clear" w:color="auto" w:fill="auto"/>
          </w:tcPr>
          <w:p w14:paraId="5E986F5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18F4F5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w:t>
            </w:r>
            <w:r>
              <w:rPr>
                <w:rFonts w:eastAsia="Times New Roman" w:cs="Times New Roman"/>
                <w:color w:val="auto"/>
                <w:sz w:val="20"/>
                <w:szCs w:val="20"/>
                <w:lang w:eastAsia="ru-RU"/>
              </w:rPr>
              <w:t>ec. 2027</w:t>
            </w:r>
          </w:p>
        </w:tc>
        <w:tc>
          <w:tcPr>
            <w:tcW w:w="0" w:type="auto"/>
            <w:shd w:val="clear" w:color="auto" w:fill="auto"/>
          </w:tcPr>
          <w:p w14:paraId="0872DBB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w:t>
            </w:r>
          </w:p>
        </w:tc>
        <w:tc>
          <w:tcPr>
            <w:tcW w:w="0" w:type="auto"/>
            <w:shd w:val="clear" w:color="auto" w:fill="auto"/>
          </w:tcPr>
          <w:p w14:paraId="3962FDE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Educației și Cercetării; Ministerul Muncii și Protecției Sociale; Ministerul Dezvoltării Economice și Digitalizării; Ministerul Sănătății </w:t>
            </w:r>
          </w:p>
        </w:tc>
        <w:tc>
          <w:tcPr>
            <w:tcW w:w="0" w:type="auto"/>
            <w:shd w:val="clear" w:color="auto" w:fill="auto"/>
          </w:tcPr>
          <w:p w14:paraId="25B3504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160,0</w:t>
            </w:r>
          </w:p>
        </w:tc>
        <w:tc>
          <w:tcPr>
            <w:tcW w:w="0" w:type="auto"/>
            <w:shd w:val="clear" w:color="auto" w:fill="auto"/>
          </w:tcPr>
          <w:p w14:paraId="6B1B609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160,0</w:t>
            </w:r>
          </w:p>
        </w:tc>
        <w:tc>
          <w:tcPr>
            <w:tcW w:w="0" w:type="auto"/>
            <w:shd w:val="clear" w:color="auto" w:fill="auto"/>
          </w:tcPr>
          <w:p w14:paraId="1455BF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160,0</w:t>
            </w:r>
          </w:p>
        </w:tc>
        <w:tc>
          <w:tcPr>
            <w:tcW w:w="0" w:type="auto"/>
            <w:shd w:val="clear" w:color="auto" w:fill="auto"/>
          </w:tcPr>
          <w:p w14:paraId="3896C2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480,0</w:t>
            </w:r>
          </w:p>
        </w:tc>
        <w:tc>
          <w:tcPr>
            <w:tcW w:w="0" w:type="auto"/>
            <w:shd w:val="clear" w:color="auto" w:fill="auto"/>
          </w:tcPr>
          <w:p w14:paraId="0ABE25C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43BA6AC4" w14:textId="77777777">
        <w:trPr>
          <w:trHeight w:val="240"/>
        </w:trPr>
        <w:tc>
          <w:tcPr>
            <w:tcW w:w="0" w:type="auto"/>
            <w:shd w:val="clear" w:color="auto" w:fill="auto"/>
          </w:tcPr>
          <w:p w14:paraId="333649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w:t>
            </w:r>
          </w:p>
        </w:tc>
        <w:tc>
          <w:tcPr>
            <w:tcW w:w="0" w:type="auto"/>
            <w:shd w:val="clear" w:color="auto" w:fill="auto"/>
          </w:tcPr>
          <w:p w14:paraId="44AB37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autorităților publice locale întru monitorizarea și </w:t>
            </w:r>
            <w:r>
              <w:rPr>
                <w:rFonts w:eastAsia="Times New Roman" w:cs="Times New Roman"/>
                <w:color w:val="auto"/>
                <w:sz w:val="20"/>
                <w:szCs w:val="20"/>
                <w:lang w:eastAsia="ru-RU"/>
              </w:rPr>
              <w:lastRenderedPageBreak/>
              <w:t>gestionarea fluxului migrațional la nivel local</w:t>
            </w:r>
          </w:p>
        </w:tc>
        <w:tc>
          <w:tcPr>
            <w:tcW w:w="0" w:type="auto"/>
            <w:shd w:val="clear" w:color="auto" w:fill="auto"/>
          </w:tcPr>
          <w:p w14:paraId="778115D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Nr. de străini monitorizați; Nr de străini integrați la nivel local</w:t>
            </w:r>
          </w:p>
        </w:tc>
        <w:tc>
          <w:tcPr>
            <w:tcW w:w="0" w:type="auto"/>
            <w:shd w:val="clear" w:color="auto" w:fill="auto"/>
          </w:tcPr>
          <w:p w14:paraId="2E2ECAF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542D500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964F94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Infrastructurii și Dezvoltării Regionale </w:t>
            </w:r>
          </w:p>
        </w:tc>
        <w:tc>
          <w:tcPr>
            <w:tcW w:w="0" w:type="auto"/>
            <w:shd w:val="clear" w:color="auto" w:fill="auto"/>
          </w:tcPr>
          <w:p w14:paraId="61BB40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Parteneri de dezvoltare</w:t>
            </w:r>
          </w:p>
        </w:tc>
        <w:tc>
          <w:tcPr>
            <w:tcW w:w="0" w:type="auto"/>
            <w:shd w:val="clear" w:color="auto" w:fill="auto"/>
          </w:tcPr>
          <w:p w14:paraId="67A476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253,3</w:t>
            </w:r>
          </w:p>
        </w:tc>
        <w:tc>
          <w:tcPr>
            <w:tcW w:w="0" w:type="auto"/>
            <w:shd w:val="clear" w:color="auto" w:fill="auto"/>
          </w:tcPr>
          <w:p w14:paraId="2B52081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253,3</w:t>
            </w:r>
          </w:p>
        </w:tc>
        <w:tc>
          <w:tcPr>
            <w:tcW w:w="0" w:type="auto"/>
            <w:shd w:val="clear" w:color="auto" w:fill="auto"/>
          </w:tcPr>
          <w:p w14:paraId="050C86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253,3</w:t>
            </w:r>
          </w:p>
        </w:tc>
        <w:tc>
          <w:tcPr>
            <w:tcW w:w="0" w:type="auto"/>
            <w:shd w:val="clear" w:color="auto" w:fill="auto"/>
          </w:tcPr>
          <w:p w14:paraId="4C93FF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760,0</w:t>
            </w:r>
          </w:p>
        </w:tc>
        <w:tc>
          <w:tcPr>
            <w:tcW w:w="0" w:type="auto"/>
            <w:shd w:val="clear" w:color="auto" w:fill="auto"/>
          </w:tcPr>
          <w:p w14:paraId="64BD0D7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2C0664BA" w14:textId="77777777">
        <w:trPr>
          <w:trHeight w:val="240"/>
        </w:trPr>
        <w:tc>
          <w:tcPr>
            <w:tcW w:w="0" w:type="auto"/>
            <w:shd w:val="clear" w:color="auto" w:fill="auto"/>
          </w:tcPr>
          <w:p w14:paraId="619EC7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16</w:t>
            </w:r>
          </w:p>
        </w:tc>
        <w:tc>
          <w:tcPr>
            <w:tcW w:w="0" w:type="auto"/>
            <w:shd w:val="clear" w:color="auto" w:fill="auto"/>
          </w:tcPr>
          <w:p w14:paraId="235A711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Consolidarea rolului Centrelor de integrare pentru străini la nivel rtegional pentru coordonarea și facilitarea integrării, prin conlucrarea cu autoritățile, societatea civi</w:t>
            </w:r>
            <w:r>
              <w:rPr>
                <w:rFonts w:eastAsia="Times New Roman" w:cs="Times New Roman"/>
                <w:color w:val="auto"/>
                <w:sz w:val="20"/>
                <w:szCs w:val="20"/>
                <w:lang w:eastAsia="ru-RU"/>
              </w:rPr>
              <w:t>lă și comunitățile-gazdă.</w:t>
            </w:r>
          </w:p>
        </w:tc>
        <w:tc>
          <w:tcPr>
            <w:tcW w:w="0" w:type="auto"/>
            <w:shd w:val="clear" w:color="auto" w:fill="auto"/>
          </w:tcPr>
          <w:p w14:paraId="5FB09B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 activități de coordonare (ex: întâlniri, grupuri de lucru) organizate de Centrele de Integrare cu autoritățile și societatea civilă Număr de parteneriate funcționale stabilite de Centrele de Integrare cu ONG-uri și alte inst</w:t>
            </w:r>
            <w:r>
              <w:rPr>
                <w:rFonts w:eastAsia="Times New Roman" w:cs="Times New Roman"/>
                <w:color w:val="auto"/>
                <w:sz w:val="20"/>
                <w:szCs w:val="20"/>
                <w:lang w:eastAsia="ru-RU"/>
              </w:rPr>
              <w:t>ituții pentru a facilita accesul străinilor la servicii Număr de referiri de cazuri către ONG-uri sau alte instituții, realizate de Centrele de Integrare</w:t>
            </w:r>
          </w:p>
        </w:tc>
        <w:tc>
          <w:tcPr>
            <w:tcW w:w="0" w:type="auto"/>
            <w:shd w:val="clear" w:color="auto" w:fill="auto"/>
          </w:tcPr>
          <w:p w14:paraId="1540CC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71F8EE4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5DAD79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678C963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Autorități </w:t>
            </w:r>
            <w:r>
              <w:rPr>
                <w:rFonts w:eastAsia="Times New Roman" w:cs="Times New Roman"/>
                <w:color w:val="auto"/>
                <w:sz w:val="20"/>
                <w:szCs w:val="20"/>
                <w:lang w:eastAsia="ru-RU"/>
              </w:rPr>
              <w:t>publice centrale și locale; Societatea civilă</w:t>
            </w:r>
          </w:p>
        </w:tc>
        <w:tc>
          <w:tcPr>
            <w:tcW w:w="0" w:type="auto"/>
            <w:shd w:val="clear" w:color="auto" w:fill="auto"/>
          </w:tcPr>
          <w:p w14:paraId="176A98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w:t>
            </w:r>
          </w:p>
        </w:tc>
        <w:tc>
          <w:tcPr>
            <w:tcW w:w="0" w:type="auto"/>
            <w:shd w:val="clear" w:color="auto" w:fill="auto"/>
          </w:tcPr>
          <w:p w14:paraId="6F65E05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w:t>
            </w:r>
          </w:p>
        </w:tc>
        <w:tc>
          <w:tcPr>
            <w:tcW w:w="0" w:type="auto"/>
            <w:shd w:val="clear" w:color="auto" w:fill="auto"/>
          </w:tcPr>
          <w:p w14:paraId="325C4E8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w:t>
            </w:r>
          </w:p>
        </w:tc>
        <w:tc>
          <w:tcPr>
            <w:tcW w:w="0" w:type="auto"/>
            <w:shd w:val="clear" w:color="auto" w:fill="auto"/>
          </w:tcPr>
          <w:p w14:paraId="1A3DAB0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120,0</w:t>
            </w:r>
          </w:p>
        </w:tc>
        <w:tc>
          <w:tcPr>
            <w:tcW w:w="0" w:type="auto"/>
            <w:shd w:val="clear" w:color="auto" w:fill="auto"/>
          </w:tcPr>
          <w:p w14:paraId="4AD6C3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488EBB72" w14:textId="77777777">
        <w:trPr>
          <w:trHeight w:val="240"/>
        </w:trPr>
        <w:tc>
          <w:tcPr>
            <w:tcW w:w="0" w:type="auto"/>
            <w:shd w:val="clear" w:color="auto" w:fill="auto"/>
          </w:tcPr>
          <w:p w14:paraId="0C530F9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17</w:t>
            </w:r>
          </w:p>
        </w:tc>
        <w:tc>
          <w:tcPr>
            <w:tcW w:w="0" w:type="auto"/>
            <w:shd w:val="clear" w:color="auto" w:fill="auto"/>
          </w:tcPr>
          <w:p w14:paraId="6989A31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Asigurarea conlucrării interinstituționale pentru monitorizarea participării străinilor în activități de integrare prin încheierea acordurilor privind </w:t>
            </w:r>
            <w:r>
              <w:rPr>
                <w:rFonts w:eastAsia="Times New Roman" w:cs="Times New Roman"/>
                <w:color w:val="auto"/>
                <w:sz w:val="20"/>
                <w:szCs w:val="20"/>
                <w:lang w:eastAsia="ru-RU"/>
              </w:rPr>
              <w:t>schimbul de date cu referire la străinii care solicită măsurile de integrare, prin platforma MConnect.</w:t>
            </w:r>
          </w:p>
        </w:tc>
        <w:tc>
          <w:tcPr>
            <w:tcW w:w="0" w:type="auto"/>
            <w:shd w:val="clear" w:color="auto" w:fill="auto"/>
          </w:tcPr>
          <w:p w14:paraId="6041982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 de acorduri încheiate Interoperabilitatea sistemelor informaționale ale autorităților abilitate cu integrarea străinilor asigurată și funcțională </w:t>
            </w:r>
          </w:p>
        </w:tc>
        <w:tc>
          <w:tcPr>
            <w:tcW w:w="0" w:type="auto"/>
            <w:shd w:val="clear" w:color="auto" w:fill="auto"/>
          </w:tcPr>
          <w:p w14:paraId="4F769C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Ian.2026 </w:t>
            </w:r>
          </w:p>
        </w:tc>
        <w:tc>
          <w:tcPr>
            <w:tcW w:w="0" w:type="auto"/>
            <w:shd w:val="clear" w:color="auto" w:fill="auto"/>
          </w:tcPr>
          <w:p w14:paraId="145FE6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apr.2027 </w:t>
            </w:r>
          </w:p>
        </w:tc>
        <w:tc>
          <w:tcPr>
            <w:tcW w:w="0" w:type="auto"/>
            <w:shd w:val="clear" w:color="auto" w:fill="auto"/>
          </w:tcPr>
          <w:p w14:paraId="3E0C0F8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6FBB6BF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 Ministerul Muncii și Protecției Sociale; Ministerul Dezvoltării Economice și Digitalizării; Ministerul Sănătății</w:t>
            </w:r>
          </w:p>
        </w:tc>
        <w:tc>
          <w:tcPr>
            <w:tcW w:w="0" w:type="auto"/>
            <w:shd w:val="clear" w:color="auto" w:fill="auto"/>
          </w:tcPr>
          <w:p w14:paraId="042A44C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49DD3A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240,0</w:t>
            </w:r>
          </w:p>
        </w:tc>
        <w:tc>
          <w:tcPr>
            <w:tcW w:w="0" w:type="auto"/>
            <w:shd w:val="clear" w:color="auto" w:fill="auto"/>
          </w:tcPr>
          <w:p w14:paraId="15CE42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240,0</w:t>
            </w:r>
          </w:p>
        </w:tc>
        <w:tc>
          <w:tcPr>
            <w:tcW w:w="0" w:type="auto"/>
            <w:shd w:val="clear" w:color="auto" w:fill="auto"/>
          </w:tcPr>
          <w:p w14:paraId="24DDF4F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480,</w:t>
            </w:r>
            <w:r>
              <w:rPr>
                <w:rFonts w:eastAsia="Times New Roman" w:cs="Times New Roman"/>
                <w:color w:val="auto"/>
                <w:sz w:val="20"/>
                <w:szCs w:val="20"/>
                <w:lang w:eastAsia="ru-RU"/>
              </w:rPr>
              <w:t>0</w:t>
            </w:r>
          </w:p>
        </w:tc>
        <w:tc>
          <w:tcPr>
            <w:tcW w:w="0" w:type="auto"/>
            <w:shd w:val="clear" w:color="auto" w:fill="auto"/>
          </w:tcPr>
          <w:p w14:paraId="720BC4E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299C8092" w14:textId="77777777">
        <w:trPr>
          <w:trHeight w:val="240"/>
        </w:trPr>
        <w:tc>
          <w:tcPr>
            <w:tcW w:w="0" w:type="auto"/>
            <w:shd w:val="clear" w:color="auto" w:fill="auto"/>
          </w:tcPr>
          <w:p w14:paraId="26B9EE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w:t>
            </w:r>
          </w:p>
        </w:tc>
        <w:tc>
          <w:tcPr>
            <w:tcW w:w="0" w:type="auto"/>
            <w:shd w:val="clear" w:color="auto" w:fill="auto"/>
          </w:tcPr>
          <w:p w14:paraId="45F759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capacităților instituțiilor responsabile de gestionarea migrației și integrării străinilor, precum și dezvoltarea </w:t>
            </w:r>
            <w:r>
              <w:rPr>
                <w:rFonts w:eastAsia="Times New Roman" w:cs="Times New Roman"/>
                <w:color w:val="auto"/>
                <w:sz w:val="20"/>
                <w:szCs w:val="20"/>
                <w:lang w:eastAsia="ru-RU"/>
              </w:rPr>
              <w:lastRenderedPageBreak/>
              <w:t xml:space="preserve">unor mecanisme eficiente de cooperare interinstituțională, prin organizarea de sesiuni de </w:t>
            </w:r>
            <w:r>
              <w:rPr>
                <w:rFonts w:eastAsia="Times New Roman" w:cs="Times New Roman"/>
                <w:color w:val="auto"/>
                <w:sz w:val="20"/>
                <w:szCs w:val="20"/>
                <w:lang w:eastAsia="ru-RU"/>
              </w:rPr>
              <w:t>formare și ateliere de instruire pentru funcționarii publici implicați, axate pe aspecte legislative, bune practici internaționale și utilizarea instrumentelor digitale specifice.</w:t>
            </w:r>
          </w:p>
        </w:tc>
        <w:tc>
          <w:tcPr>
            <w:tcW w:w="0" w:type="auto"/>
            <w:shd w:val="clear" w:color="auto" w:fill="auto"/>
          </w:tcPr>
          <w:p w14:paraId="3D358F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Număr de personal instruit Număr de instruiri continue pentru funcționarii p</w:t>
            </w:r>
            <w:r>
              <w:rPr>
                <w:rFonts w:eastAsia="Times New Roman" w:cs="Times New Roman"/>
                <w:color w:val="auto"/>
                <w:sz w:val="20"/>
                <w:szCs w:val="20"/>
                <w:lang w:eastAsia="ru-RU"/>
              </w:rPr>
              <w:t xml:space="preserve">ublici implicați în procesul de integrare implementate Mecanism de cooperare </w:t>
            </w:r>
            <w:r>
              <w:rPr>
                <w:rFonts w:eastAsia="Times New Roman" w:cs="Times New Roman"/>
                <w:color w:val="auto"/>
                <w:sz w:val="20"/>
                <w:szCs w:val="20"/>
                <w:lang w:eastAsia="ru-RU"/>
              </w:rPr>
              <w:lastRenderedPageBreak/>
              <w:t xml:space="preserve">interinstituțională stabilit și funcțional. </w:t>
            </w:r>
          </w:p>
        </w:tc>
        <w:tc>
          <w:tcPr>
            <w:tcW w:w="0" w:type="auto"/>
            <w:shd w:val="clear" w:color="auto" w:fill="auto"/>
          </w:tcPr>
          <w:p w14:paraId="4ACF66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iun.2025 </w:t>
            </w:r>
          </w:p>
        </w:tc>
        <w:tc>
          <w:tcPr>
            <w:tcW w:w="0" w:type="auto"/>
            <w:shd w:val="clear" w:color="auto" w:fill="auto"/>
          </w:tcPr>
          <w:p w14:paraId="1192F1B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D50612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1FAC2DA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Educației și Cercetării; Ministerul Muncii și Protecției Sociale; </w:t>
            </w:r>
            <w:r>
              <w:rPr>
                <w:rFonts w:eastAsia="Times New Roman" w:cs="Times New Roman"/>
                <w:color w:val="auto"/>
                <w:sz w:val="20"/>
                <w:szCs w:val="20"/>
                <w:lang w:eastAsia="ru-RU"/>
              </w:rPr>
              <w:lastRenderedPageBreak/>
              <w:t xml:space="preserve">Agenția Națională pentru Ocuparea Forței de Muncă, Ministerul Dezvoltării Economice și Digitalizării; Ministerul Sănătății </w:t>
            </w:r>
          </w:p>
        </w:tc>
        <w:tc>
          <w:tcPr>
            <w:tcW w:w="0" w:type="auto"/>
            <w:shd w:val="clear" w:color="auto" w:fill="auto"/>
          </w:tcPr>
          <w:p w14:paraId="2B6005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190,0</w:t>
            </w:r>
          </w:p>
        </w:tc>
        <w:tc>
          <w:tcPr>
            <w:tcW w:w="0" w:type="auto"/>
            <w:shd w:val="clear" w:color="auto" w:fill="auto"/>
          </w:tcPr>
          <w:p w14:paraId="1DB77C0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190,0</w:t>
            </w:r>
          </w:p>
        </w:tc>
        <w:tc>
          <w:tcPr>
            <w:tcW w:w="0" w:type="auto"/>
            <w:shd w:val="clear" w:color="auto" w:fill="auto"/>
          </w:tcPr>
          <w:p w14:paraId="231E602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190,0</w:t>
            </w:r>
          </w:p>
        </w:tc>
        <w:tc>
          <w:tcPr>
            <w:tcW w:w="0" w:type="auto"/>
            <w:shd w:val="clear" w:color="auto" w:fill="auto"/>
          </w:tcPr>
          <w:p w14:paraId="5F5B8DC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570,0</w:t>
            </w:r>
          </w:p>
        </w:tc>
        <w:tc>
          <w:tcPr>
            <w:tcW w:w="0" w:type="auto"/>
            <w:shd w:val="clear" w:color="auto" w:fill="auto"/>
          </w:tcPr>
          <w:p w14:paraId="565C2FA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713C20D9" w14:textId="77777777">
        <w:trPr>
          <w:trHeight w:val="240"/>
        </w:trPr>
        <w:tc>
          <w:tcPr>
            <w:tcW w:w="0" w:type="auto"/>
            <w:shd w:val="clear" w:color="auto" w:fill="auto"/>
          </w:tcPr>
          <w:p w14:paraId="73FD1A4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19</w:t>
            </w:r>
          </w:p>
        </w:tc>
        <w:tc>
          <w:tcPr>
            <w:tcW w:w="0" w:type="auto"/>
            <w:shd w:val="clear" w:color="auto" w:fill="auto"/>
          </w:tcPr>
          <w:p w14:paraId="4FE633A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Consolidarea parteneriatului între Inspectoratul General pentru Migrație și organizațiile societății civile pentru a îmbunătăți serviciile oferite străinilor și a facilita o integrare reușită prin implementarea de planuri/programe de integrare speciali</w:t>
            </w:r>
            <w:r>
              <w:rPr>
                <w:rFonts w:eastAsia="Times New Roman" w:cs="Times New Roman"/>
                <w:color w:val="auto"/>
                <w:sz w:val="20"/>
                <w:szCs w:val="20"/>
                <w:lang w:eastAsia="ru-RU"/>
              </w:rPr>
              <w:t>zate la nivel local și regional</w:t>
            </w:r>
          </w:p>
        </w:tc>
        <w:tc>
          <w:tcPr>
            <w:tcW w:w="0" w:type="auto"/>
            <w:shd w:val="clear" w:color="auto" w:fill="auto"/>
          </w:tcPr>
          <w:p w14:paraId="4D58F62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Acorduri/memoranduri/parteneriate încheiate Număr de organizații incluse în rețea/cartografierea Număr de parteneriate stabilite Număr de planuri/programe de integrare specializate elaborate </w:t>
            </w:r>
          </w:p>
        </w:tc>
        <w:tc>
          <w:tcPr>
            <w:tcW w:w="0" w:type="auto"/>
            <w:shd w:val="clear" w:color="auto" w:fill="auto"/>
          </w:tcPr>
          <w:p w14:paraId="68E8C1A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445A5BC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597F533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w:t>
            </w:r>
            <w:r>
              <w:rPr>
                <w:rFonts w:eastAsia="Times New Roman" w:cs="Times New Roman"/>
                <w:color w:val="auto"/>
                <w:sz w:val="20"/>
                <w:szCs w:val="20"/>
                <w:lang w:eastAsia="ru-RU"/>
              </w:rPr>
              <w:t>inisterul Afacerilor Interne (Inspectoratul General pentru Migrație)</w:t>
            </w:r>
          </w:p>
        </w:tc>
        <w:tc>
          <w:tcPr>
            <w:tcW w:w="0" w:type="auto"/>
            <w:shd w:val="clear" w:color="auto" w:fill="auto"/>
          </w:tcPr>
          <w:p w14:paraId="04A7EC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societatea civilă </w:t>
            </w:r>
          </w:p>
        </w:tc>
        <w:tc>
          <w:tcPr>
            <w:tcW w:w="0" w:type="auto"/>
            <w:shd w:val="clear" w:color="auto" w:fill="auto"/>
          </w:tcPr>
          <w:p w14:paraId="3924DE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500,0</w:t>
            </w:r>
          </w:p>
        </w:tc>
        <w:tc>
          <w:tcPr>
            <w:tcW w:w="0" w:type="auto"/>
            <w:shd w:val="clear" w:color="auto" w:fill="auto"/>
          </w:tcPr>
          <w:p w14:paraId="566DEA0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500,0</w:t>
            </w:r>
          </w:p>
        </w:tc>
        <w:tc>
          <w:tcPr>
            <w:tcW w:w="0" w:type="auto"/>
            <w:shd w:val="clear" w:color="auto" w:fill="auto"/>
          </w:tcPr>
          <w:p w14:paraId="51B7E6A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500,0</w:t>
            </w:r>
          </w:p>
        </w:tc>
        <w:tc>
          <w:tcPr>
            <w:tcW w:w="0" w:type="auto"/>
            <w:shd w:val="clear" w:color="auto" w:fill="auto"/>
          </w:tcPr>
          <w:p w14:paraId="1718AC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1500,0</w:t>
            </w:r>
          </w:p>
        </w:tc>
        <w:tc>
          <w:tcPr>
            <w:tcW w:w="0" w:type="auto"/>
            <w:shd w:val="clear" w:color="auto" w:fill="auto"/>
          </w:tcPr>
          <w:p w14:paraId="2894D8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35,03</w:t>
            </w:r>
          </w:p>
        </w:tc>
      </w:tr>
      <w:tr w:rsidR="0075115C" w14:paraId="66EC71C4" w14:textId="77777777">
        <w:trPr>
          <w:trHeight w:val="240"/>
        </w:trPr>
        <w:tc>
          <w:tcPr>
            <w:tcW w:w="0" w:type="auto"/>
            <w:shd w:val="clear" w:color="auto" w:fill="auto"/>
          </w:tcPr>
          <w:p w14:paraId="2AC51B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w:t>
            </w:r>
          </w:p>
        </w:tc>
        <w:tc>
          <w:tcPr>
            <w:tcW w:w="0" w:type="auto"/>
            <w:shd w:val="clear" w:color="auto" w:fill="auto"/>
          </w:tcPr>
          <w:p w14:paraId="66B20C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și implementarea unui plan de comunicare care să includă canalele de comunicare, mesajele cheie și publicul țintă și organizarea de campanii de informare pentru publicul larg, cu </w:t>
            </w:r>
            <w:r>
              <w:rPr>
                <w:rFonts w:eastAsia="Times New Roman" w:cs="Times New Roman"/>
                <w:color w:val="auto"/>
                <w:sz w:val="20"/>
                <w:szCs w:val="20"/>
                <w:lang w:eastAsia="ru-RU"/>
              </w:rPr>
              <w:lastRenderedPageBreak/>
              <w:t>accent pe beneficiile cărții de rezidență și pe procedura de obțin</w:t>
            </w:r>
            <w:r>
              <w:rPr>
                <w:rFonts w:eastAsia="Times New Roman" w:cs="Times New Roman"/>
                <w:color w:val="auto"/>
                <w:sz w:val="20"/>
                <w:szCs w:val="20"/>
                <w:lang w:eastAsia="ru-RU"/>
              </w:rPr>
              <w:t xml:space="preserve">ere. Elaborarea de materiale informative simple și ușor de înțeles pentru cetățeni și pentru personalul implicat </w:t>
            </w:r>
          </w:p>
        </w:tc>
        <w:tc>
          <w:tcPr>
            <w:tcW w:w="0" w:type="auto"/>
            <w:shd w:val="clear" w:color="auto" w:fill="auto"/>
          </w:tcPr>
          <w:p w14:paraId="57A516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Plan de comunicare aprobat; Numărul de campanii de informare realizate (ex: campanii TV, radio, online, în locuri publice); Numărul de materia</w:t>
            </w:r>
            <w:r>
              <w:rPr>
                <w:rFonts w:eastAsia="Times New Roman" w:cs="Times New Roman"/>
                <w:color w:val="auto"/>
                <w:sz w:val="20"/>
                <w:szCs w:val="20"/>
                <w:lang w:eastAsia="ru-RU"/>
              </w:rPr>
              <w:t xml:space="preserve">le informative distribuite (ex: broșuri, pliante, ghiduri). </w:t>
            </w:r>
          </w:p>
        </w:tc>
        <w:tc>
          <w:tcPr>
            <w:tcW w:w="0" w:type="auto"/>
            <w:shd w:val="clear" w:color="auto" w:fill="auto"/>
          </w:tcPr>
          <w:p w14:paraId="7353F23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sep.2025 </w:t>
            </w:r>
          </w:p>
        </w:tc>
        <w:tc>
          <w:tcPr>
            <w:tcW w:w="0" w:type="auto"/>
            <w:shd w:val="clear" w:color="auto" w:fill="auto"/>
          </w:tcPr>
          <w:p w14:paraId="767FF4B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mar.2027 </w:t>
            </w:r>
          </w:p>
        </w:tc>
        <w:tc>
          <w:tcPr>
            <w:tcW w:w="0" w:type="auto"/>
            <w:shd w:val="clear" w:color="auto" w:fill="auto"/>
          </w:tcPr>
          <w:p w14:paraId="25DB9D9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7539A1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Sănătății; Ministerul Educației și Cercetării; Ministerul Muncii și Protecției Sociale, Ministerul </w:t>
            </w:r>
            <w:r>
              <w:rPr>
                <w:rFonts w:eastAsia="Times New Roman" w:cs="Times New Roman"/>
                <w:color w:val="auto"/>
                <w:sz w:val="20"/>
                <w:szCs w:val="20"/>
                <w:lang w:eastAsia="ru-RU"/>
              </w:rPr>
              <w:lastRenderedPageBreak/>
              <w:t xml:space="preserve">Dezvoltării Economice și Digitalizării, Agenția de Guvernare Electronică </w:t>
            </w:r>
          </w:p>
        </w:tc>
        <w:tc>
          <w:tcPr>
            <w:tcW w:w="0" w:type="auto"/>
            <w:shd w:val="clear" w:color="auto" w:fill="auto"/>
          </w:tcPr>
          <w:p w14:paraId="3F07611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22,3</w:t>
            </w:r>
          </w:p>
        </w:tc>
        <w:tc>
          <w:tcPr>
            <w:tcW w:w="0" w:type="auto"/>
            <w:shd w:val="clear" w:color="auto" w:fill="auto"/>
          </w:tcPr>
          <w:p w14:paraId="1924799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22,3</w:t>
            </w:r>
          </w:p>
        </w:tc>
        <w:tc>
          <w:tcPr>
            <w:tcW w:w="0" w:type="auto"/>
            <w:shd w:val="clear" w:color="auto" w:fill="auto"/>
          </w:tcPr>
          <w:p w14:paraId="275A2FB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22,3</w:t>
            </w:r>
          </w:p>
        </w:tc>
        <w:tc>
          <w:tcPr>
            <w:tcW w:w="0" w:type="auto"/>
            <w:shd w:val="clear" w:color="auto" w:fill="auto"/>
          </w:tcPr>
          <w:p w14:paraId="49E625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67,0</w:t>
            </w:r>
          </w:p>
        </w:tc>
        <w:tc>
          <w:tcPr>
            <w:tcW w:w="0" w:type="auto"/>
            <w:shd w:val="clear" w:color="auto" w:fill="auto"/>
          </w:tcPr>
          <w:p w14:paraId="1D47CF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35.0 </w:t>
            </w:r>
          </w:p>
        </w:tc>
      </w:tr>
      <w:tr w:rsidR="0075115C" w14:paraId="5E60A136" w14:textId="77777777">
        <w:trPr>
          <w:trHeight w:val="240"/>
        </w:trPr>
        <w:tc>
          <w:tcPr>
            <w:tcW w:w="0" w:type="auto"/>
            <w:shd w:val="clear" w:color="auto" w:fill="auto"/>
          </w:tcPr>
          <w:p w14:paraId="17D553C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21</w:t>
            </w:r>
          </w:p>
        </w:tc>
        <w:tc>
          <w:tcPr>
            <w:tcW w:w="0" w:type="auto"/>
            <w:shd w:val="clear" w:color="auto" w:fill="auto"/>
          </w:tcPr>
          <w:p w14:paraId="6DFAEE0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ghidurilor și alte materialelor</w:t>
            </w:r>
            <w:r>
              <w:rPr>
                <w:rFonts w:eastAsia="Times New Roman" w:cs="Times New Roman"/>
                <w:color w:val="auto"/>
                <w:sz w:val="20"/>
                <w:szCs w:val="20"/>
                <w:lang w:eastAsia="ru-RU"/>
              </w:rPr>
              <w:t xml:space="preserve"> informative în diferite limbi pentru a oferi străinilor informații clare și accesibile despre drepturile lor, procedurile de migrație și oportunitățile de integrare pentru diferite categorii de străini și beneficiari ai protecției temporare, promovarea to</w:t>
            </w:r>
            <w:r>
              <w:rPr>
                <w:rFonts w:eastAsia="Times New Roman" w:cs="Times New Roman"/>
                <w:color w:val="auto"/>
                <w:sz w:val="20"/>
                <w:szCs w:val="20"/>
                <w:lang w:eastAsia="ru-RU"/>
              </w:rPr>
              <w:t>leranței și incluziunii sociale</w:t>
            </w:r>
          </w:p>
        </w:tc>
        <w:tc>
          <w:tcPr>
            <w:tcW w:w="0" w:type="auto"/>
            <w:shd w:val="clear" w:color="auto" w:fill="auto"/>
          </w:tcPr>
          <w:p w14:paraId="4E895C8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de broșuri, pliante, ghiduri tipărite, numărul de limbi în care sunt disponibile materialele </w:t>
            </w:r>
          </w:p>
        </w:tc>
        <w:tc>
          <w:tcPr>
            <w:tcW w:w="0" w:type="auto"/>
            <w:shd w:val="clear" w:color="auto" w:fill="auto"/>
          </w:tcPr>
          <w:p w14:paraId="06AE86E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2025</w:t>
            </w:r>
          </w:p>
        </w:tc>
        <w:tc>
          <w:tcPr>
            <w:tcW w:w="0" w:type="auto"/>
            <w:shd w:val="clear" w:color="auto" w:fill="auto"/>
          </w:tcPr>
          <w:p w14:paraId="707ADF3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2027</w:t>
            </w:r>
          </w:p>
        </w:tc>
        <w:tc>
          <w:tcPr>
            <w:tcW w:w="0" w:type="auto"/>
            <w:shd w:val="clear" w:color="auto" w:fill="auto"/>
          </w:tcPr>
          <w:p w14:paraId="34D1B51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6C1C2BA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Autorități publice centrale și </w:t>
            </w:r>
            <w:r>
              <w:rPr>
                <w:rFonts w:eastAsia="Times New Roman" w:cs="Times New Roman"/>
                <w:color w:val="auto"/>
                <w:sz w:val="20"/>
                <w:szCs w:val="20"/>
                <w:lang w:eastAsia="ru-RU"/>
              </w:rPr>
              <w:t>locale; Societatea civilă</w:t>
            </w:r>
          </w:p>
        </w:tc>
        <w:tc>
          <w:tcPr>
            <w:tcW w:w="0" w:type="auto"/>
            <w:shd w:val="clear" w:color="auto" w:fill="auto"/>
          </w:tcPr>
          <w:p w14:paraId="0FC3CE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243,3</w:t>
            </w:r>
          </w:p>
        </w:tc>
        <w:tc>
          <w:tcPr>
            <w:tcW w:w="0" w:type="auto"/>
            <w:shd w:val="clear" w:color="auto" w:fill="auto"/>
          </w:tcPr>
          <w:p w14:paraId="65C6C8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243,3</w:t>
            </w:r>
          </w:p>
        </w:tc>
        <w:tc>
          <w:tcPr>
            <w:tcW w:w="0" w:type="auto"/>
            <w:shd w:val="clear" w:color="auto" w:fill="auto"/>
          </w:tcPr>
          <w:p w14:paraId="15FC8B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243,3</w:t>
            </w:r>
          </w:p>
        </w:tc>
        <w:tc>
          <w:tcPr>
            <w:tcW w:w="0" w:type="auto"/>
            <w:shd w:val="clear" w:color="auto" w:fill="auto"/>
          </w:tcPr>
          <w:p w14:paraId="1476ED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730,0</w:t>
            </w:r>
          </w:p>
        </w:tc>
        <w:tc>
          <w:tcPr>
            <w:tcW w:w="0" w:type="auto"/>
            <w:shd w:val="clear" w:color="auto" w:fill="auto"/>
          </w:tcPr>
          <w:p w14:paraId="318F37E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35,03 Asistență externă; Banca Mondială; UNHCR</w:t>
            </w:r>
          </w:p>
        </w:tc>
      </w:tr>
      <w:tr w:rsidR="0075115C" w14:paraId="60E63ADB" w14:textId="77777777">
        <w:trPr>
          <w:trHeight w:val="240"/>
        </w:trPr>
        <w:tc>
          <w:tcPr>
            <w:tcW w:w="0" w:type="auto"/>
            <w:shd w:val="clear" w:color="auto" w:fill="auto"/>
          </w:tcPr>
          <w:p w14:paraId="3C157DF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w:t>
            </w:r>
          </w:p>
        </w:tc>
        <w:tc>
          <w:tcPr>
            <w:tcW w:w="0" w:type="auto"/>
            <w:shd w:val="clear" w:color="auto" w:fill="auto"/>
          </w:tcPr>
          <w:p w14:paraId="1F8E55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Desfășurarea sesiunilor de informare atât pentru străini, cât și pentru reprezentanții autorității administrației publice centrale/locale/societății </w:t>
            </w:r>
            <w:r>
              <w:rPr>
                <w:rFonts w:eastAsia="Times New Roman" w:cs="Times New Roman"/>
                <w:color w:val="auto"/>
                <w:sz w:val="20"/>
                <w:szCs w:val="20"/>
                <w:lang w:eastAsia="ru-RU"/>
              </w:rPr>
              <w:t xml:space="preserve">civile, ai comunităților-gazdă, în scopul promovării diversității culturale, a procesului de integrare și al identificării beneficiilor comune, al prevenirii </w:t>
            </w:r>
            <w:r>
              <w:rPr>
                <w:rFonts w:eastAsia="Times New Roman" w:cs="Times New Roman"/>
                <w:color w:val="auto"/>
                <w:sz w:val="20"/>
                <w:szCs w:val="20"/>
                <w:lang w:eastAsia="ru-RU"/>
              </w:rPr>
              <w:lastRenderedPageBreak/>
              <w:t>intoleranței/xenofobiei, al asigurării respectării ordinii publice și securității naționale</w:t>
            </w:r>
          </w:p>
        </w:tc>
        <w:tc>
          <w:tcPr>
            <w:tcW w:w="0" w:type="auto"/>
            <w:shd w:val="clear" w:color="auto" w:fill="auto"/>
          </w:tcPr>
          <w:p w14:paraId="326F471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Număr </w:t>
            </w:r>
            <w:r>
              <w:rPr>
                <w:rFonts w:eastAsia="Times New Roman" w:cs="Times New Roman"/>
                <w:color w:val="auto"/>
                <w:sz w:val="20"/>
                <w:szCs w:val="20"/>
                <w:lang w:eastAsia="ru-RU"/>
              </w:rPr>
              <w:t>de sesiuni organizate Numărul de participanți la sesiuni, defalcat pe categorii (străini, reprezentanți ai autorităților, reprezentanți ai comunității gazdă)</w:t>
            </w:r>
          </w:p>
        </w:tc>
        <w:tc>
          <w:tcPr>
            <w:tcW w:w="0" w:type="auto"/>
            <w:shd w:val="clear" w:color="auto" w:fill="auto"/>
          </w:tcPr>
          <w:p w14:paraId="7207A5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2A72B4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D873D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Inspectoratul General pentru Migrație</w:t>
            </w:r>
          </w:p>
        </w:tc>
        <w:tc>
          <w:tcPr>
            <w:tcW w:w="0" w:type="auto"/>
            <w:shd w:val="clear" w:color="auto" w:fill="auto"/>
          </w:tcPr>
          <w:p w14:paraId="184001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 Mini</w:t>
            </w:r>
            <w:r>
              <w:rPr>
                <w:rFonts w:eastAsia="Times New Roman" w:cs="Times New Roman"/>
                <w:color w:val="auto"/>
                <w:sz w:val="20"/>
                <w:szCs w:val="20"/>
                <w:lang w:eastAsia="ru-RU"/>
              </w:rPr>
              <w:t xml:space="preserve">sterul Muncii și Protecției Sociale; Ministerul Dezvoltării Economice și Digitalizării; Ministerul Sănătății, </w:t>
            </w:r>
            <w:r>
              <w:rPr>
                <w:rFonts w:eastAsia="Times New Roman" w:cs="Times New Roman"/>
                <w:color w:val="auto"/>
                <w:sz w:val="20"/>
                <w:szCs w:val="20"/>
                <w:lang w:eastAsia="ru-RU"/>
              </w:rPr>
              <w:lastRenderedPageBreak/>
              <w:t xml:space="preserve">societatea civilă </w:t>
            </w:r>
          </w:p>
        </w:tc>
        <w:tc>
          <w:tcPr>
            <w:tcW w:w="0" w:type="auto"/>
            <w:shd w:val="clear" w:color="auto" w:fill="auto"/>
          </w:tcPr>
          <w:p w14:paraId="6A81FED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152,3</w:t>
            </w:r>
          </w:p>
        </w:tc>
        <w:tc>
          <w:tcPr>
            <w:tcW w:w="0" w:type="auto"/>
            <w:shd w:val="clear" w:color="auto" w:fill="auto"/>
          </w:tcPr>
          <w:p w14:paraId="181B64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152,3</w:t>
            </w:r>
          </w:p>
        </w:tc>
        <w:tc>
          <w:tcPr>
            <w:tcW w:w="0" w:type="auto"/>
            <w:shd w:val="clear" w:color="auto" w:fill="auto"/>
          </w:tcPr>
          <w:p w14:paraId="6DEDC0F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152,3</w:t>
            </w:r>
          </w:p>
        </w:tc>
        <w:tc>
          <w:tcPr>
            <w:tcW w:w="0" w:type="auto"/>
            <w:shd w:val="clear" w:color="auto" w:fill="auto"/>
          </w:tcPr>
          <w:p w14:paraId="551025E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456,8</w:t>
            </w:r>
          </w:p>
        </w:tc>
        <w:tc>
          <w:tcPr>
            <w:tcW w:w="0" w:type="auto"/>
            <w:shd w:val="clear" w:color="auto" w:fill="auto"/>
          </w:tcPr>
          <w:p w14:paraId="678B2A6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5B365765" w14:textId="77777777">
        <w:trPr>
          <w:trHeight w:val="240"/>
        </w:trPr>
        <w:tc>
          <w:tcPr>
            <w:tcW w:w="0" w:type="auto"/>
            <w:shd w:val="clear" w:color="auto" w:fill="auto"/>
          </w:tcPr>
          <w:p w14:paraId="7B6CDF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23</w:t>
            </w:r>
          </w:p>
        </w:tc>
        <w:tc>
          <w:tcPr>
            <w:tcW w:w="0" w:type="auto"/>
            <w:shd w:val="clear" w:color="auto" w:fill="auto"/>
          </w:tcPr>
          <w:p w14:paraId="1AC3C9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Sistemului Informațional Integrat al IGM, inclusiv asigurarea fluxului automat de date între SI IGM și alte sisteme publice (prin platforma MConnect) și posibilitatea tehnică de extragere a produselor analitice </w:t>
            </w:r>
          </w:p>
        </w:tc>
        <w:tc>
          <w:tcPr>
            <w:tcW w:w="0" w:type="auto"/>
            <w:shd w:val="clear" w:color="auto" w:fill="auto"/>
          </w:tcPr>
          <w:p w14:paraId="64035A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SI creat, testat, funcțional Int</w:t>
            </w:r>
            <w:r>
              <w:rPr>
                <w:rFonts w:eastAsia="Times New Roman" w:cs="Times New Roman"/>
                <w:color w:val="auto"/>
                <w:sz w:val="20"/>
                <w:szCs w:val="20"/>
                <w:lang w:eastAsia="ru-RU"/>
              </w:rPr>
              <w:t xml:space="preserve">eroperabilitatea sistemelor informaționale asigurată și funcțională Rapoarte statistice accesibile </w:t>
            </w:r>
          </w:p>
        </w:tc>
        <w:tc>
          <w:tcPr>
            <w:tcW w:w="0" w:type="auto"/>
            <w:shd w:val="clear" w:color="auto" w:fill="auto"/>
          </w:tcPr>
          <w:p w14:paraId="6FACDAA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Ian.2025 </w:t>
            </w:r>
          </w:p>
        </w:tc>
        <w:tc>
          <w:tcPr>
            <w:tcW w:w="0" w:type="auto"/>
            <w:shd w:val="clear" w:color="auto" w:fill="auto"/>
          </w:tcPr>
          <w:p w14:paraId="554CEA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2CCDC0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08220D3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Agenția de Guvernare Electronică </w:t>
            </w:r>
          </w:p>
        </w:tc>
        <w:tc>
          <w:tcPr>
            <w:tcW w:w="0" w:type="auto"/>
            <w:shd w:val="clear" w:color="auto" w:fill="auto"/>
          </w:tcPr>
          <w:p w14:paraId="1D6145C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266,7</w:t>
            </w:r>
          </w:p>
        </w:tc>
        <w:tc>
          <w:tcPr>
            <w:tcW w:w="0" w:type="auto"/>
            <w:shd w:val="clear" w:color="auto" w:fill="auto"/>
          </w:tcPr>
          <w:p w14:paraId="37BDE0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266,7</w:t>
            </w:r>
          </w:p>
        </w:tc>
        <w:tc>
          <w:tcPr>
            <w:tcW w:w="0" w:type="auto"/>
            <w:shd w:val="clear" w:color="auto" w:fill="auto"/>
          </w:tcPr>
          <w:p w14:paraId="0A6CF3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266,7</w:t>
            </w:r>
          </w:p>
        </w:tc>
        <w:tc>
          <w:tcPr>
            <w:tcW w:w="0" w:type="auto"/>
            <w:shd w:val="clear" w:color="auto" w:fill="auto"/>
          </w:tcPr>
          <w:p w14:paraId="10B372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800,0</w:t>
            </w:r>
          </w:p>
        </w:tc>
        <w:tc>
          <w:tcPr>
            <w:tcW w:w="0" w:type="auto"/>
            <w:shd w:val="clear" w:color="auto" w:fill="auto"/>
          </w:tcPr>
          <w:p w14:paraId="4F3FBCA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Finanțare externă </w:t>
            </w:r>
          </w:p>
        </w:tc>
      </w:tr>
      <w:tr w:rsidR="0075115C" w14:paraId="36CB7880" w14:textId="77777777">
        <w:trPr>
          <w:trHeight w:val="240"/>
        </w:trPr>
        <w:tc>
          <w:tcPr>
            <w:tcW w:w="0" w:type="auto"/>
            <w:shd w:val="clear" w:color="auto" w:fill="auto"/>
          </w:tcPr>
          <w:p w14:paraId="4EC3A5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w:t>
            </w:r>
          </w:p>
        </w:tc>
        <w:tc>
          <w:tcPr>
            <w:tcW w:w="0" w:type="auto"/>
            <w:shd w:val="clear" w:color="auto" w:fill="auto"/>
          </w:tcPr>
          <w:p w14:paraId="429E76C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Operaționalizarea paginii web dedicată străinilor (igm.gov,md, comisiamigratie.gov.md).</w:t>
            </w:r>
          </w:p>
        </w:tc>
        <w:tc>
          <w:tcPr>
            <w:tcW w:w="0" w:type="auto"/>
            <w:shd w:val="clear" w:color="auto" w:fill="auto"/>
          </w:tcPr>
          <w:p w14:paraId="544062F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Pagină accesibilă, cu continut dedicat integrării străinilor.</w:t>
            </w:r>
          </w:p>
        </w:tc>
        <w:tc>
          <w:tcPr>
            <w:tcW w:w="0" w:type="auto"/>
            <w:shd w:val="clear" w:color="auto" w:fill="auto"/>
          </w:tcPr>
          <w:p w14:paraId="4521D5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3E122B2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5A0E29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6C4A705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 Ministerul</w:t>
            </w:r>
            <w:r>
              <w:rPr>
                <w:rFonts w:eastAsia="Times New Roman" w:cs="Times New Roman"/>
                <w:color w:val="auto"/>
                <w:sz w:val="20"/>
                <w:szCs w:val="20"/>
                <w:lang w:eastAsia="ru-RU"/>
              </w:rPr>
              <w:t xml:space="preserve"> Educației și Cercetării; Ministerul Muncii și Protecției Sociale, Compania Națională de Asigurări în medicină Casa Națională de Asigurări Sociale.</w:t>
            </w:r>
          </w:p>
        </w:tc>
        <w:tc>
          <w:tcPr>
            <w:tcW w:w="0" w:type="auto"/>
            <w:shd w:val="clear" w:color="auto" w:fill="auto"/>
          </w:tcPr>
          <w:p w14:paraId="7EC429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28,3</w:t>
            </w:r>
          </w:p>
        </w:tc>
        <w:tc>
          <w:tcPr>
            <w:tcW w:w="0" w:type="auto"/>
            <w:shd w:val="clear" w:color="auto" w:fill="auto"/>
          </w:tcPr>
          <w:p w14:paraId="468164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28,3</w:t>
            </w:r>
          </w:p>
        </w:tc>
        <w:tc>
          <w:tcPr>
            <w:tcW w:w="0" w:type="auto"/>
            <w:shd w:val="clear" w:color="auto" w:fill="auto"/>
          </w:tcPr>
          <w:p w14:paraId="6CFBD7B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28,3</w:t>
            </w:r>
          </w:p>
        </w:tc>
        <w:tc>
          <w:tcPr>
            <w:tcW w:w="0" w:type="auto"/>
            <w:shd w:val="clear" w:color="auto" w:fill="auto"/>
          </w:tcPr>
          <w:p w14:paraId="148FFE9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w:t>
            </w:r>
          </w:p>
        </w:tc>
        <w:tc>
          <w:tcPr>
            <w:tcW w:w="0" w:type="auto"/>
            <w:shd w:val="clear" w:color="auto" w:fill="auto"/>
          </w:tcPr>
          <w:p w14:paraId="7326E92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495B42C3" w14:textId="77777777">
        <w:trPr>
          <w:trHeight w:val="240"/>
        </w:trPr>
        <w:tc>
          <w:tcPr>
            <w:tcW w:w="0" w:type="auto"/>
            <w:shd w:val="clear" w:color="auto" w:fill="auto"/>
          </w:tcPr>
          <w:p w14:paraId="36DA9FB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w:t>
            </w:r>
          </w:p>
        </w:tc>
        <w:tc>
          <w:tcPr>
            <w:tcW w:w="0" w:type="auto"/>
            <w:shd w:val="clear" w:color="auto" w:fill="auto"/>
          </w:tcPr>
          <w:p w14:paraId="7C2EFC4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Digitalizarea serviciilor prestate străinilor și </w:t>
            </w:r>
            <w:r>
              <w:rPr>
                <w:rFonts w:eastAsia="Times New Roman" w:cs="Times New Roman"/>
                <w:color w:val="auto"/>
                <w:sz w:val="20"/>
                <w:szCs w:val="20"/>
                <w:lang w:eastAsia="ru-RU"/>
              </w:rPr>
              <w:t xml:space="preserve">crearea oportunității de accesare a acestora, </w:t>
            </w:r>
            <w:r>
              <w:rPr>
                <w:rFonts w:eastAsia="Times New Roman" w:cs="Times New Roman"/>
                <w:color w:val="auto"/>
                <w:sz w:val="20"/>
                <w:szCs w:val="20"/>
                <w:lang w:eastAsia="ru-RU"/>
              </w:rPr>
              <w:lastRenderedPageBreak/>
              <w:t>inclusiv crearea chat-bot cu inteligență artificială</w:t>
            </w:r>
          </w:p>
        </w:tc>
        <w:tc>
          <w:tcPr>
            <w:tcW w:w="0" w:type="auto"/>
            <w:shd w:val="clear" w:color="auto" w:fill="auto"/>
          </w:tcPr>
          <w:p w14:paraId="31925D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Număr de servicii digitalizate Număr de aplicări/aplicanți</w:t>
            </w:r>
          </w:p>
        </w:tc>
        <w:tc>
          <w:tcPr>
            <w:tcW w:w="0" w:type="auto"/>
            <w:shd w:val="clear" w:color="auto" w:fill="auto"/>
          </w:tcPr>
          <w:p w14:paraId="5708D3C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08B05BA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aug.2027 </w:t>
            </w:r>
          </w:p>
        </w:tc>
        <w:tc>
          <w:tcPr>
            <w:tcW w:w="0" w:type="auto"/>
            <w:shd w:val="clear" w:color="auto" w:fill="auto"/>
          </w:tcPr>
          <w:p w14:paraId="70B89C2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(Inspectoratul </w:t>
            </w:r>
            <w:r>
              <w:rPr>
                <w:rFonts w:eastAsia="Times New Roman" w:cs="Times New Roman"/>
                <w:color w:val="auto"/>
                <w:sz w:val="20"/>
                <w:szCs w:val="20"/>
                <w:lang w:eastAsia="ru-RU"/>
              </w:rPr>
              <w:lastRenderedPageBreak/>
              <w:t xml:space="preserve">General pentru Migrație) </w:t>
            </w:r>
          </w:p>
        </w:tc>
        <w:tc>
          <w:tcPr>
            <w:tcW w:w="0" w:type="auto"/>
            <w:shd w:val="clear" w:color="auto" w:fill="auto"/>
          </w:tcPr>
          <w:p w14:paraId="754CAFB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Agenția de Guvernare Electronică; Ministerul </w:t>
            </w:r>
            <w:r>
              <w:rPr>
                <w:rFonts w:eastAsia="Times New Roman" w:cs="Times New Roman"/>
                <w:color w:val="auto"/>
                <w:sz w:val="20"/>
                <w:szCs w:val="20"/>
                <w:lang w:eastAsia="ru-RU"/>
              </w:rPr>
              <w:lastRenderedPageBreak/>
              <w:t xml:space="preserve">Dezvoltării Economice și Digitalizării; Agenția Servicii Publice; Serviciul Tehnologia Informației și Securitate Cibernetică; Ministerul Muncii și Protecției Sociale </w:t>
            </w:r>
          </w:p>
        </w:tc>
        <w:tc>
          <w:tcPr>
            <w:tcW w:w="0" w:type="auto"/>
            <w:shd w:val="clear" w:color="auto" w:fill="auto"/>
          </w:tcPr>
          <w:p w14:paraId="19FD9DAE"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196D77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124,5</w:t>
            </w:r>
          </w:p>
        </w:tc>
        <w:tc>
          <w:tcPr>
            <w:tcW w:w="0" w:type="auto"/>
            <w:shd w:val="clear" w:color="auto" w:fill="auto"/>
          </w:tcPr>
          <w:p w14:paraId="02D557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124,5</w:t>
            </w:r>
          </w:p>
        </w:tc>
        <w:tc>
          <w:tcPr>
            <w:tcW w:w="0" w:type="auto"/>
            <w:shd w:val="clear" w:color="auto" w:fill="auto"/>
          </w:tcPr>
          <w:p w14:paraId="4D7D92B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249,0</w:t>
            </w:r>
          </w:p>
        </w:tc>
        <w:tc>
          <w:tcPr>
            <w:tcW w:w="0" w:type="auto"/>
            <w:shd w:val="clear" w:color="auto" w:fill="auto"/>
          </w:tcPr>
          <w:p w14:paraId="65715F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w:t>
            </w:r>
            <w:r>
              <w:rPr>
                <w:rFonts w:eastAsia="Times New Roman" w:cs="Times New Roman"/>
                <w:color w:val="auto"/>
                <w:sz w:val="20"/>
                <w:szCs w:val="20"/>
                <w:lang w:eastAsia="ru-RU"/>
              </w:rPr>
              <w:t>ernă)</w:t>
            </w:r>
          </w:p>
        </w:tc>
      </w:tr>
      <w:tr w:rsidR="0075115C" w14:paraId="30D43DFF" w14:textId="77777777">
        <w:trPr>
          <w:trHeight w:val="240"/>
        </w:trPr>
        <w:tc>
          <w:tcPr>
            <w:tcW w:w="0" w:type="auto"/>
            <w:shd w:val="clear" w:color="auto" w:fill="auto"/>
          </w:tcPr>
          <w:p w14:paraId="4D1D218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26</w:t>
            </w:r>
          </w:p>
        </w:tc>
        <w:tc>
          <w:tcPr>
            <w:tcW w:w="0" w:type="auto"/>
            <w:shd w:val="clear" w:color="auto" w:fill="auto"/>
          </w:tcPr>
          <w:p w14:paraId="719B5CE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Facilitarea accesului străinilor la măsuri de integrare inclusiv prin utilizarea soluțiilor digitale (Platforme digitale pentru integrarea străinilor – studierea limbii române și orientare socio-culturală; informații necesare statutului legal </w:t>
            </w:r>
            <w:r>
              <w:rPr>
                <w:rFonts w:eastAsia="Times New Roman" w:cs="Times New Roman"/>
                <w:color w:val="auto"/>
                <w:sz w:val="20"/>
                <w:szCs w:val="20"/>
                <w:lang w:eastAsia="ru-RU"/>
              </w:rPr>
              <w:t>deținut etc.)</w:t>
            </w:r>
          </w:p>
        </w:tc>
        <w:tc>
          <w:tcPr>
            <w:tcW w:w="0" w:type="auto"/>
            <w:shd w:val="clear" w:color="auto" w:fill="auto"/>
          </w:tcPr>
          <w:p w14:paraId="7048F5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Platformă creată și funcțională Numărul de utilizatori ai platformei Numărul de resurse disponibile pe platformă.</w:t>
            </w:r>
          </w:p>
        </w:tc>
        <w:tc>
          <w:tcPr>
            <w:tcW w:w="0" w:type="auto"/>
            <w:shd w:val="clear" w:color="auto" w:fill="auto"/>
          </w:tcPr>
          <w:p w14:paraId="39EF83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iun.2025 </w:t>
            </w:r>
          </w:p>
        </w:tc>
        <w:tc>
          <w:tcPr>
            <w:tcW w:w="0" w:type="auto"/>
            <w:shd w:val="clear" w:color="auto" w:fill="auto"/>
          </w:tcPr>
          <w:p w14:paraId="34926B4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702A6BD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26780A4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 Mi</w:t>
            </w:r>
            <w:r>
              <w:rPr>
                <w:rFonts w:eastAsia="Times New Roman" w:cs="Times New Roman"/>
                <w:color w:val="auto"/>
                <w:sz w:val="20"/>
                <w:szCs w:val="20"/>
                <w:lang w:eastAsia="ru-RU"/>
              </w:rPr>
              <w:t>nisterul Muncii și Protecției Sociale; Ministerul Sănătății</w:t>
            </w:r>
          </w:p>
        </w:tc>
        <w:tc>
          <w:tcPr>
            <w:tcW w:w="0" w:type="auto"/>
            <w:shd w:val="clear" w:color="auto" w:fill="auto"/>
          </w:tcPr>
          <w:p w14:paraId="662ED9F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482,5</w:t>
            </w:r>
          </w:p>
        </w:tc>
        <w:tc>
          <w:tcPr>
            <w:tcW w:w="0" w:type="auto"/>
            <w:shd w:val="clear" w:color="auto" w:fill="auto"/>
          </w:tcPr>
          <w:p w14:paraId="2E6C13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482,5</w:t>
            </w:r>
          </w:p>
        </w:tc>
        <w:tc>
          <w:tcPr>
            <w:tcW w:w="0" w:type="auto"/>
            <w:shd w:val="clear" w:color="auto" w:fill="auto"/>
          </w:tcPr>
          <w:p w14:paraId="03404EC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51A0D3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965,0</w:t>
            </w:r>
          </w:p>
        </w:tc>
        <w:tc>
          <w:tcPr>
            <w:tcW w:w="0" w:type="auto"/>
            <w:shd w:val="clear" w:color="auto" w:fill="auto"/>
          </w:tcPr>
          <w:p w14:paraId="6378EAC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Banca Mondială</w:t>
            </w:r>
          </w:p>
        </w:tc>
      </w:tr>
      <w:tr w:rsidR="0075115C" w14:paraId="03AB0F38" w14:textId="77777777">
        <w:trPr>
          <w:trHeight w:val="240"/>
        </w:trPr>
        <w:tc>
          <w:tcPr>
            <w:tcW w:w="0" w:type="auto"/>
            <w:shd w:val="clear" w:color="auto" w:fill="auto"/>
          </w:tcPr>
          <w:p w14:paraId="595B27B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27</w:t>
            </w:r>
          </w:p>
        </w:tc>
        <w:tc>
          <w:tcPr>
            <w:tcW w:w="0" w:type="auto"/>
            <w:shd w:val="clear" w:color="auto" w:fill="auto"/>
          </w:tcPr>
          <w:p w14:paraId="190F8DA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Atragerea fondurilor prin participarea activă la rețelele internaționale de cooperare în domeniul migrației și integrare și accesarea de fonduri europene </w:t>
            </w:r>
            <w:r>
              <w:rPr>
                <w:rFonts w:eastAsia="Times New Roman" w:cs="Times New Roman"/>
                <w:color w:val="auto"/>
                <w:sz w:val="20"/>
                <w:szCs w:val="20"/>
                <w:lang w:eastAsia="ru-RU"/>
              </w:rPr>
              <w:t>pentru finanțarea proiectelor de integrare</w:t>
            </w:r>
          </w:p>
        </w:tc>
        <w:tc>
          <w:tcPr>
            <w:tcW w:w="0" w:type="auto"/>
            <w:shd w:val="clear" w:color="auto" w:fill="auto"/>
          </w:tcPr>
          <w:p w14:paraId="04B9B79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Suma fondurilor europene atrase pentru proiecte de integrare Numărul de proiecte de cooperare implementate cu alte țări</w:t>
            </w:r>
          </w:p>
        </w:tc>
        <w:tc>
          <w:tcPr>
            <w:tcW w:w="0" w:type="auto"/>
            <w:shd w:val="clear" w:color="auto" w:fill="auto"/>
          </w:tcPr>
          <w:p w14:paraId="63C46AE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2026</w:t>
            </w:r>
          </w:p>
        </w:tc>
        <w:tc>
          <w:tcPr>
            <w:tcW w:w="0" w:type="auto"/>
            <w:shd w:val="clear" w:color="auto" w:fill="auto"/>
          </w:tcPr>
          <w:p w14:paraId="0146EED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1945D2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269AE0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Inspectoratul General pentru Migrațiune; </w:t>
            </w:r>
            <w:r>
              <w:rPr>
                <w:rFonts w:eastAsia="Times New Roman" w:cs="Times New Roman"/>
                <w:color w:val="auto"/>
                <w:sz w:val="20"/>
                <w:szCs w:val="20"/>
                <w:lang w:eastAsia="ru-RU"/>
              </w:rPr>
              <w:t xml:space="preserve">Ministerul Educației și Cercetării; Ministerul Muncii și Protecției </w:t>
            </w:r>
            <w:r>
              <w:rPr>
                <w:rFonts w:eastAsia="Times New Roman" w:cs="Times New Roman"/>
                <w:color w:val="auto"/>
                <w:sz w:val="20"/>
                <w:szCs w:val="20"/>
                <w:lang w:eastAsia="ru-RU"/>
              </w:rPr>
              <w:lastRenderedPageBreak/>
              <w:t>Sociale; Ministerul Dezvoltării Economice și Digitalizării; Ministerul Sănătății</w:t>
            </w:r>
          </w:p>
        </w:tc>
        <w:tc>
          <w:tcPr>
            <w:tcW w:w="0" w:type="auto"/>
            <w:shd w:val="clear" w:color="auto" w:fill="auto"/>
          </w:tcPr>
          <w:p w14:paraId="1EA57F24"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E0B58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244406C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60C55C9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120,0</w:t>
            </w:r>
          </w:p>
        </w:tc>
        <w:tc>
          <w:tcPr>
            <w:tcW w:w="0" w:type="auto"/>
            <w:shd w:val="clear" w:color="auto" w:fill="auto"/>
          </w:tcPr>
          <w:p w14:paraId="0E7D9AD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3B1B729E" w14:textId="77777777">
        <w:trPr>
          <w:trHeight w:val="240"/>
        </w:trPr>
        <w:tc>
          <w:tcPr>
            <w:tcW w:w="0" w:type="auto"/>
            <w:shd w:val="clear" w:color="auto" w:fill="auto"/>
          </w:tcPr>
          <w:p w14:paraId="54737F4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28</w:t>
            </w:r>
          </w:p>
        </w:tc>
        <w:tc>
          <w:tcPr>
            <w:tcW w:w="0" w:type="auto"/>
            <w:shd w:val="clear" w:color="auto" w:fill="auto"/>
          </w:tcPr>
          <w:p w14:paraId="6DE6BF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Dezvoltarea și punerea în aplicare a unui mecanism de d</w:t>
            </w:r>
            <w:r>
              <w:rPr>
                <w:rFonts w:eastAsia="Times New Roman" w:cs="Times New Roman"/>
                <w:color w:val="auto"/>
                <w:sz w:val="20"/>
                <w:szCs w:val="20"/>
                <w:lang w:eastAsia="ru-RU"/>
              </w:rPr>
              <w:t>e monitorizare a indicatorilor de rezultat și de impact privind politicile în domeniul gestionării străinilor și realizarea de sondaje de satisfacție online și analiza rezultatelor pentru a identifica lacunele și a asigura eficiența măsurilor implementate</w:t>
            </w:r>
          </w:p>
        </w:tc>
        <w:tc>
          <w:tcPr>
            <w:tcW w:w="0" w:type="auto"/>
            <w:shd w:val="clear" w:color="auto" w:fill="auto"/>
          </w:tcPr>
          <w:p w14:paraId="485BE29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Mecanism descris și pus ăn palicare (Ordin aprobat); Număr de sondaje realizate Numărul de respondenți la sondaje, defalcat pe categorii (străini, alte părți interesate) Numărul de recomandări sau acțiuni concrete rezultate din analiza datelor colectate pr</w:t>
            </w:r>
            <w:r>
              <w:rPr>
                <w:rFonts w:eastAsia="Times New Roman" w:cs="Times New Roman"/>
                <w:color w:val="auto"/>
                <w:sz w:val="20"/>
                <w:szCs w:val="20"/>
                <w:lang w:eastAsia="ru-RU"/>
              </w:rPr>
              <w:t xml:space="preserve">in sondaje </w:t>
            </w:r>
          </w:p>
        </w:tc>
        <w:tc>
          <w:tcPr>
            <w:tcW w:w="0" w:type="auto"/>
            <w:shd w:val="clear" w:color="auto" w:fill="auto"/>
          </w:tcPr>
          <w:p w14:paraId="0810C2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2025</w:t>
            </w:r>
          </w:p>
        </w:tc>
        <w:tc>
          <w:tcPr>
            <w:tcW w:w="0" w:type="auto"/>
            <w:shd w:val="clear" w:color="auto" w:fill="auto"/>
          </w:tcPr>
          <w:p w14:paraId="0604733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2027</w:t>
            </w:r>
          </w:p>
        </w:tc>
        <w:tc>
          <w:tcPr>
            <w:tcW w:w="0" w:type="auto"/>
            <w:shd w:val="clear" w:color="auto" w:fill="auto"/>
          </w:tcPr>
          <w:p w14:paraId="73C3DBB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3BD0EF2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59742F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121,7</w:t>
            </w:r>
          </w:p>
        </w:tc>
        <w:tc>
          <w:tcPr>
            <w:tcW w:w="0" w:type="auto"/>
            <w:shd w:val="clear" w:color="auto" w:fill="auto"/>
          </w:tcPr>
          <w:p w14:paraId="595C488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121,7</w:t>
            </w:r>
          </w:p>
        </w:tc>
        <w:tc>
          <w:tcPr>
            <w:tcW w:w="0" w:type="auto"/>
            <w:shd w:val="clear" w:color="auto" w:fill="auto"/>
          </w:tcPr>
          <w:p w14:paraId="44578C2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121,7</w:t>
            </w:r>
          </w:p>
        </w:tc>
        <w:tc>
          <w:tcPr>
            <w:tcW w:w="0" w:type="auto"/>
            <w:shd w:val="clear" w:color="auto" w:fill="auto"/>
          </w:tcPr>
          <w:p w14:paraId="6DA8B2F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365,0</w:t>
            </w:r>
          </w:p>
        </w:tc>
        <w:tc>
          <w:tcPr>
            <w:tcW w:w="0" w:type="auto"/>
            <w:shd w:val="clear" w:color="auto" w:fill="auto"/>
          </w:tcPr>
          <w:p w14:paraId="7BE5D4A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35.03 Asistență externă</w:t>
            </w:r>
          </w:p>
        </w:tc>
      </w:tr>
      <w:tr w:rsidR="0075115C" w14:paraId="0AAA999C" w14:textId="77777777">
        <w:trPr>
          <w:trHeight w:val="240"/>
        </w:trPr>
        <w:tc>
          <w:tcPr>
            <w:tcW w:w="0" w:type="auto"/>
            <w:shd w:val="clear" w:color="auto" w:fill="auto"/>
          </w:tcPr>
          <w:p w14:paraId="2708E58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29</w:t>
            </w:r>
          </w:p>
        </w:tc>
        <w:tc>
          <w:tcPr>
            <w:tcW w:w="0" w:type="auto"/>
            <w:shd w:val="clear" w:color="auto" w:fill="auto"/>
          </w:tcPr>
          <w:p w14:paraId="1B5B17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unei campanii de informare și popularizare privind </w:t>
            </w:r>
            <w:r>
              <w:rPr>
                <w:rFonts w:eastAsia="Times New Roman" w:cs="Times New Roman"/>
                <w:color w:val="auto"/>
                <w:sz w:val="20"/>
                <w:szCs w:val="20"/>
                <w:lang w:eastAsia="ru-RU"/>
              </w:rPr>
              <w:t>Programului național privind integrarea etapizată a străinilor, inclusiv a persoanelor strămutate, pentru perioada 2025-2027</w:t>
            </w:r>
          </w:p>
        </w:tc>
        <w:tc>
          <w:tcPr>
            <w:tcW w:w="0" w:type="auto"/>
            <w:shd w:val="clear" w:color="auto" w:fill="auto"/>
          </w:tcPr>
          <w:p w14:paraId="108E77D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 de persoane informate Numărul de vizualizări/afișări ale materialelor publicitare online Numărul de exemplare ale materialelo</w:t>
            </w:r>
            <w:r>
              <w:rPr>
                <w:rFonts w:eastAsia="Times New Roman" w:cs="Times New Roman"/>
                <w:color w:val="auto"/>
                <w:sz w:val="20"/>
                <w:szCs w:val="20"/>
                <w:lang w:eastAsia="ru-RU"/>
              </w:rPr>
              <w:t>r informative distribuite</w:t>
            </w:r>
          </w:p>
        </w:tc>
        <w:tc>
          <w:tcPr>
            <w:tcW w:w="0" w:type="auto"/>
            <w:shd w:val="clear" w:color="auto" w:fill="auto"/>
          </w:tcPr>
          <w:p w14:paraId="4497BA2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0BCD8E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2027</w:t>
            </w:r>
          </w:p>
        </w:tc>
        <w:tc>
          <w:tcPr>
            <w:tcW w:w="0" w:type="auto"/>
            <w:shd w:val="clear" w:color="auto" w:fill="auto"/>
          </w:tcPr>
          <w:p w14:paraId="67F151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2FC00F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 Ministerul Educației și Cercetării; Ministerul Muncii și Protecției Sociale; Ministerul Culturii</w:t>
            </w:r>
          </w:p>
        </w:tc>
        <w:tc>
          <w:tcPr>
            <w:tcW w:w="0" w:type="auto"/>
            <w:shd w:val="clear" w:color="auto" w:fill="auto"/>
          </w:tcPr>
          <w:p w14:paraId="76106A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22,3</w:t>
            </w:r>
          </w:p>
        </w:tc>
        <w:tc>
          <w:tcPr>
            <w:tcW w:w="0" w:type="auto"/>
            <w:shd w:val="clear" w:color="auto" w:fill="auto"/>
          </w:tcPr>
          <w:p w14:paraId="6ECEEB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22,3</w:t>
            </w:r>
          </w:p>
        </w:tc>
        <w:tc>
          <w:tcPr>
            <w:tcW w:w="0" w:type="auto"/>
            <w:shd w:val="clear" w:color="auto" w:fill="auto"/>
          </w:tcPr>
          <w:p w14:paraId="1326BD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22,3</w:t>
            </w:r>
          </w:p>
        </w:tc>
        <w:tc>
          <w:tcPr>
            <w:tcW w:w="0" w:type="auto"/>
            <w:shd w:val="clear" w:color="auto" w:fill="auto"/>
          </w:tcPr>
          <w:p w14:paraId="503BC6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67,0</w:t>
            </w:r>
          </w:p>
        </w:tc>
        <w:tc>
          <w:tcPr>
            <w:tcW w:w="0" w:type="auto"/>
            <w:shd w:val="clear" w:color="auto" w:fill="auto"/>
          </w:tcPr>
          <w:p w14:paraId="204824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w:t>
            </w:r>
            <w:r>
              <w:rPr>
                <w:rFonts w:eastAsia="Times New Roman" w:cs="Times New Roman"/>
                <w:color w:val="auto"/>
                <w:sz w:val="20"/>
                <w:szCs w:val="20"/>
                <w:lang w:eastAsia="ru-RU"/>
              </w:rPr>
              <w:t>5.01</w:t>
            </w:r>
            <w:bookmarkEnd w:id="28"/>
          </w:p>
        </w:tc>
      </w:tr>
      <w:tr w:rsidR="0075115C" w14:paraId="2E7E976E" w14:textId="77777777">
        <w:trPr>
          <w:trHeight w:val="240"/>
        </w:trPr>
        <w:tc>
          <w:tcPr>
            <w:tcW w:w="0" w:type="auto"/>
            <w:shd w:val="clear" w:color="auto" w:fill="auto"/>
          </w:tcPr>
          <w:p w14:paraId="4DD39CA2"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4A2CDE1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Buget total pentru Obiectivul nr. 1</w:t>
            </w:r>
          </w:p>
        </w:tc>
        <w:tc>
          <w:tcPr>
            <w:tcW w:w="0" w:type="auto"/>
            <w:shd w:val="clear" w:color="000000" w:fill="E8E8E8"/>
          </w:tcPr>
          <w:p w14:paraId="365055F8"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2FEE77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8033219"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DA5CFC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1D22132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F45F95D"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92492,4</w:t>
            </w:r>
          </w:p>
        </w:tc>
        <w:tc>
          <w:tcPr>
            <w:tcW w:w="0" w:type="auto"/>
            <w:shd w:val="clear" w:color="000000" w:fill="E8E8E8"/>
          </w:tcPr>
          <w:p w14:paraId="7A7C4D1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258441,9</w:t>
            </w:r>
          </w:p>
        </w:tc>
        <w:tc>
          <w:tcPr>
            <w:tcW w:w="0" w:type="auto"/>
            <w:shd w:val="clear" w:color="000000" w:fill="E8E8E8"/>
          </w:tcPr>
          <w:p w14:paraId="0DA618D7"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257007,4</w:t>
            </w:r>
          </w:p>
        </w:tc>
        <w:tc>
          <w:tcPr>
            <w:tcW w:w="0" w:type="auto"/>
            <w:shd w:val="clear" w:color="000000" w:fill="E8E8E8"/>
          </w:tcPr>
          <w:p w14:paraId="3813AD79"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607941,8</w:t>
            </w:r>
          </w:p>
        </w:tc>
        <w:tc>
          <w:tcPr>
            <w:tcW w:w="0" w:type="auto"/>
            <w:shd w:val="clear" w:color="000000" w:fill="E8E8E8"/>
          </w:tcPr>
          <w:p w14:paraId="65F2CBB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49C32656" w14:textId="77777777">
        <w:trPr>
          <w:trHeight w:val="240"/>
        </w:trPr>
        <w:tc>
          <w:tcPr>
            <w:tcW w:w="0" w:type="auto"/>
            <w:shd w:val="clear" w:color="000000" w:fill="DAE9F8"/>
          </w:tcPr>
          <w:p w14:paraId="4984304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6F3CDB0C"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2</w:t>
            </w:r>
          </w:p>
        </w:tc>
        <w:tc>
          <w:tcPr>
            <w:tcW w:w="0" w:type="auto"/>
            <w:gridSpan w:val="10"/>
            <w:shd w:val="clear" w:color="000000" w:fill="DAE9F8"/>
          </w:tcPr>
          <w:p w14:paraId="0CAC51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Creșterea accesului la măsuri de asistență socială pentru străini aflați în situație de dificultate și îmbunătățirea nivelului de incluziune </w:t>
            </w:r>
            <w:r>
              <w:rPr>
                <w:rFonts w:eastAsia="Times New Roman" w:cs="Times New Roman"/>
                <w:color w:val="auto"/>
                <w:sz w:val="20"/>
                <w:szCs w:val="20"/>
                <w:lang w:eastAsia="ru-RU"/>
              </w:rPr>
              <w:t>socială a acestora, cu accent pe nevoile specifice ale femeilor și fetelor</w:t>
            </w:r>
          </w:p>
        </w:tc>
      </w:tr>
      <w:tr w:rsidR="0075115C" w14:paraId="72C2461C" w14:textId="77777777">
        <w:trPr>
          <w:trHeight w:val="240"/>
        </w:trPr>
        <w:tc>
          <w:tcPr>
            <w:tcW w:w="0" w:type="auto"/>
            <w:shd w:val="clear" w:color="auto" w:fill="auto"/>
          </w:tcPr>
          <w:p w14:paraId="5EA27D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30</w:t>
            </w:r>
          </w:p>
        </w:tc>
        <w:tc>
          <w:tcPr>
            <w:tcW w:w="0" w:type="auto"/>
            <w:shd w:val="clear" w:color="auto" w:fill="auto"/>
          </w:tcPr>
          <w:p w14:paraId="1AAAAE3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sistemului informațional UAHELP în vederea centralizării și digitalizării proceselor de colectare a datelor dezagregate privind plasamentul persoanelor strămutate, </w:t>
            </w:r>
            <w:r>
              <w:rPr>
                <w:rFonts w:eastAsia="Times New Roman" w:cs="Times New Roman"/>
                <w:color w:val="auto"/>
                <w:sz w:val="20"/>
                <w:szCs w:val="20"/>
                <w:lang w:eastAsia="ru-RU"/>
              </w:rPr>
              <w:t>inclusiv a celor din familii gazdă.</w:t>
            </w:r>
          </w:p>
        </w:tc>
        <w:tc>
          <w:tcPr>
            <w:tcW w:w="0" w:type="auto"/>
            <w:shd w:val="clear" w:color="auto" w:fill="auto"/>
          </w:tcPr>
          <w:p w14:paraId="20EABB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Sistem informațional funcțional</w:t>
            </w:r>
          </w:p>
        </w:tc>
        <w:tc>
          <w:tcPr>
            <w:tcW w:w="0" w:type="auto"/>
            <w:shd w:val="clear" w:color="auto" w:fill="auto"/>
          </w:tcPr>
          <w:p w14:paraId="682B65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63E1AA9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6359C9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069DD0B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Partenerii de dezvoltare</w:t>
            </w:r>
          </w:p>
        </w:tc>
        <w:tc>
          <w:tcPr>
            <w:tcW w:w="0" w:type="auto"/>
            <w:shd w:val="clear" w:color="auto" w:fill="auto"/>
          </w:tcPr>
          <w:p w14:paraId="6F5D1A5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190,0</w:t>
            </w:r>
          </w:p>
        </w:tc>
        <w:tc>
          <w:tcPr>
            <w:tcW w:w="0" w:type="auto"/>
            <w:shd w:val="clear" w:color="auto" w:fill="auto"/>
          </w:tcPr>
          <w:p w14:paraId="61C8E40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190,0</w:t>
            </w:r>
          </w:p>
        </w:tc>
        <w:tc>
          <w:tcPr>
            <w:tcW w:w="0" w:type="auto"/>
            <w:shd w:val="clear" w:color="auto" w:fill="auto"/>
          </w:tcPr>
          <w:p w14:paraId="72E0F22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AB5B30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380,0</w:t>
            </w:r>
          </w:p>
        </w:tc>
        <w:tc>
          <w:tcPr>
            <w:tcW w:w="0" w:type="auto"/>
            <w:shd w:val="clear" w:color="auto" w:fill="auto"/>
          </w:tcPr>
          <w:p w14:paraId="67A2FC9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WFP Moldova; UNHCR Moldova</w:t>
            </w:r>
          </w:p>
        </w:tc>
      </w:tr>
      <w:tr w:rsidR="0075115C" w14:paraId="2ECA97F5" w14:textId="77777777">
        <w:trPr>
          <w:trHeight w:val="240"/>
        </w:trPr>
        <w:tc>
          <w:tcPr>
            <w:tcW w:w="0" w:type="auto"/>
            <w:shd w:val="clear" w:color="auto" w:fill="auto"/>
          </w:tcPr>
          <w:p w14:paraId="2208A50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31</w:t>
            </w:r>
          </w:p>
        </w:tc>
        <w:tc>
          <w:tcPr>
            <w:tcW w:w="0" w:type="auto"/>
            <w:shd w:val="clear" w:color="auto" w:fill="auto"/>
          </w:tcPr>
          <w:p w14:paraId="40AF8C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mecanismelor de identificare, </w:t>
            </w:r>
            <w:r>
              <w:rPr>
                <w:rFonts w:eastAsia="Times New Roman" w:cs="Times New Roman"/>
                <w:color w:val="auto"/>
                <w:sz w:val="20"/>
                <w:szCs w:val="20"/>
                <w:lang w:eastAsia="ru-RU"/>
              </w:rPr>
              <w:t>monitorizare și suport social, în conformitate cu legislația națională și standardele internaționale de protecție a drepturilor copilului.</w:t>
            </w:r>
          </w:p>
        </w:tc>
        <w:tc>
          <w:tcPr>
            <w:tcW w:w="0" w:type="auto"/>
            <w:shd w:val="clear" w:color="auto" w:fill="auto"/>
          </w:tcPr>
          <w:p w14:paraId="29B1DD5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Procedurilor de identificare și raportare a copiilor neînsoțiți și în situație de risc descrise; Diminuarea cu 30 % a</w:t>
            </w:r>
            <w:r>
              <w:rPr>
                <w:rFonts w:eastAsia="Times New Roman" w:cs="Times New Roman"/>
                <w:color w:val="auto"/>
                <w:sz w:val="20"/>
                <w:szCs w:val="20"/>
                <w:lang w:eastAsia="ru-RU"/>
              </w:rPr>
              <w:t xml:space="preserve"> ratei cazurilor de exploatare și trafic de copii din rândul refugiaților</w:t>
            </w:r>
          </w:p>
        </w:tc>
        <w:tc>
          <w:tcPr>
            <w:tcW w:w="0" w:type="auto"/>
            <w:shd w:val="clear" w:color="auto" w:fill="auto"/>
          </w:tcPr>
          <w:p w14:paraId="278533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oct. 2025</w:t>
            </w:r>
          </w:p>
        </w:tc>
        <w:tc>
          <w:tcPr>
            <w:tcW w:w="0" w:type="auto"/>
            <w:shd w:val="clear" w:color="auto" w:fill="auto"/>
          </w:tcPr>
          <w:p w14:paraId="3C26562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2026</w:t>
            </w:r>
          </w:p>
        </w:tc>
        <w:tc>
          <w:tcPr>
            <w:tcW w:w="0" w:type="auto"/>
            <w:shd w:val="clear" w:color="auto" w:fill="auto"/>
          </w:tcPr>
          <w:p w14:paraId="25C3F9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6A457E1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 Agenția Națională de Prevenire și Combatere a Violenței împotriva Femeilor și Violenței în</w:t>
            </w:r>
            <w:r>
              <w:rPr>
                <w:rFonts w:eastAsia="Times New Roman" w:cs="Times New Roman"/>
                <w:color w:val="auto"/>
                <w:sz w:val="20"/>
                <w:szCs w:val="20"/>
                <w:lang w:eastAsia="ru-RU"/>
              </w:rPr>
              <w:t xml:space="preserve"> Familie Ministerul Afacerilor Interne</w:t>
            </w:r>
          </w:p>
        </w:tc>
        <w:tc>
          <w:tcPr>
            <w:tcW w:w="0" w:type="auto"/>
            <w:shd w:val="clear" w:color="auto" w:fill="auto"/>
          </w:tcPr>
          <w:p w14:paraId="070396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175,0</w:t>
            </w:r>
          </w:p>
        </w:tc>
        <w:tc>
          <w:tcPr>
            <w:tcW w:w="0" w:type="auto"/>
            <w:shd w:val="clear" w:color="auto" w:fill="auto"/>
          </w:tcPr>
          <w:p w14:paraId="2FB7F53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175,0</w:t>
            </w:r>
          </w:p>
        </w:tc>
        <w:tc>
          <w:tcPr>
            <w:tcW w:w="0" w:type="auto"/>
            <w:shd w:val="clear" w:color="auto" w:fill="auto"/>
          </w:tcPr>
          <w:p w14:paraId="3F460ED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DB38D1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350,0</w:t>
            </w:r>
          </w:p>
        </w:tc>
        <w:tc>
          <w:tcPr>
            <w:tcW w:w="0" w:type="auto"/>
            <w:shd w:val="clear" w:color="auto" w:fill="auto"/>
          </w:tcPr>
          <w:p w14:paraId="6C37AB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90.06; 90.12</w:t>
            </w:r>
          </w:p>
        </w:tc>
      </w:tr>
      <w:tr w:rsidR="0075115C" w14:paraId="5B417352" w14:textId="77777777">
        <w:trPr>
          <w:trHeight w:val="240"/>
        </w:trPr>
        <w:tc>
          <w:tcPr>
            <w:tcW w:w="0" w:type="auto"/>
            <w:shd w:val="clear" w:color="auto" w:fill="auto"/>
          </w:tcPr>
          <w:p w14:paraId="2D34602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32</w:t>
            </w:r>
          </w:p>
        </w:tc>
        <w:tc>
          <w:tcPr>
            <w:tcW w:w="0" w:type="auto"/>
            <w:shd w:val="clear" w:color="auto" w:fill="auto"/>
          </w:tcPr>
          <w:p w14:paraId="4D59A35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Asigurarea asistenței și protecției cetățenilor străini victime ale violenței în familie, violenței împotriva femeilor și traficului de ființe umane</w:t>
            </w:r>
          </w:p>
        </w:tc>
        <w:tc>
          <w:tcPr>
            <w:tcW w:w="0" w:type="auto"/>
            <w:shd w:val="clear" w:color="auto" w:fill="auto"/>
          </w:tcPr>
          <w:p w14:paraId="02DB2A8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victimelor asistate, </w:t>
            </w:r>
            <w:r>
              <w:rPr>
                <w:rFonts w:eastAsia="Times New Roman" w:cs="Times New Roman"/>
                <w:color w:val="auto"/>
                <w:sz w:val="20"/>
                <w:szCs w:val="20"/>
                <w:lang w:eastAsia="ru-RU"/>
              </w:rPr>
              <w:t>dezagregat pe criterii de sex, vârstă, formă de abuz sau exploatare</w:t>
            </w:r>
          </w:p>
        </w:tc>
        <w:tc>
          <w:tcPr>
            <w:tcW w:w="0" w:type="auto"/>
            <w:shd w:val="clear" w:color="auto" w:fill="auto"/>
          </w:tcPr>
          <w:p w14:paraId="2CFB373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3C81047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3C95BD9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5796708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Agențiile teritoriale de asistență socială; Agenția pentru gestionarea serviciilor cu </w:t>
            </w:r>
            <w:r>
              <w:rPr>
                <w:rFonts w:eastAsia="Times New Roman" w:cs="Times New Roman"/>
                <w:color w:val="auto"/>
                <w:sz w:val="20"/>
                <w:szCs w:val="20"/>
                <w:lang w:eastAsia="ru-RU"/>
              </w:rPr>
              <w:lastRenderedPageBreak/>
              <w:t>specializare înaltă</w:t>
            </w:r>
          </w:p>
        </w:tc>
        <w:tc>
          <w:tcPr>
            <w:tcW w:w="0" w:type="auto"/>
            <w:shd w:val="clear" w:color="auto" w:fill="auto"/>
          </w:tcPr>
          <w:p w14:paraId="41684A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0,0</w:t>
            </w:r>
          </w:p>
        </w:tc>
        <w:tc>
          <w:tcPr>
            <w:tcW w:w="0" w:type="auto"/>
            <w:shd w:val="clear" w:color="auto" w:fill="auto"/>
          </w:tcPr>
          <w:p w14:paraId="5900FD0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15F8E94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09198DC1"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45FD3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OIM</w:t>
            </w:r>
          </w:p>
        </w:tc>
      </w:tr>
      <w:tr w:rsidR="0075115C" w14:paraId="50D44A49" w14:textId="77777777">
        <w:trPr>
          <w:trHeight w:val="240"/>
        </w:trPr>
        <w:tc>
          <w:tcPr>
            <w:tcW w:w="0" w:type="auto"/>
            <w:shd w:val="clear" w:color="auto" w:fill="auto"/>
          </w:tcPr>
          <w:p w14:paraId="78F1F5D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33</w:t>
            </w:r>
          </w:p>
        </w:tc>
        <w:tc>
          <w:tcPr>
            <w:tcW w:w="0" w:type="auto"/>
            <w:shd w:val="clear" w:color="auto" w:fill="auto"/>
          </w:tcPr>
          <w:p w14:paraId="757220C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Consolidarea capacităților pentru personalul din sistemul de asistență socială pentru îmbunătățirea suportului oferit străinilor, inclusiv persoanelor strămutate de pe teritoriul altor state beneficiare de protecție temporară</w:t>
            </w:r>
          </w:p>
        </w:tc>
        <w:tc>
          <w:tcPr>
            <w:tcW w:w="0" w:type="auto"/>
            <w:shd w:val="clear" w:color="auto" w:fill="auto"/>
          </w:tcPr>
          <w:p w14:paraId="365FAD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instruirilor desfășura</w:t>
            </w:r>
            <w:r>
              <w:rPr>
                <w:rFonts w:eastAsia="Times New Roman" w:cs="Times New Roman"/>
                <w:color w:val="auto"/>
                <w:sz w:val="20"/>
                <w:szCs w:val="20"/>
                <w:lang w:eastAsia="ru-RU"/>
              </w:rPr>
              <w:t>te; Numărul de specialiști beneficiari de instruire</w:t>
            </w:r>
          </w:p>
        </w:tc>
        <w:tc>
          <w:tcPr>
            <w:tcW w:w="0" w:type="auto"/>
            <w:shd w:val="clear" w:color="auto" w:fill="auto"/>
          </w:tcPr>
          <w:p w14:paraId="0F9E973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521CB45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324005E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5D2FA95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Partenerii de dezvoltare</w:t>
            </w:r>
          </w:p>
        </w:tc>
        <w:tc>
          <w:tcPr>
            <w:tcW w:w="0" w:type="auto"/>
            <w:shd w:val="clear" w:color="auto" w:fill="auto"/>
          </w:tcPr>
          <w:p w14:paraId="088045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333,3</w:t>
            </w:r>
          </w:p>
        </w:tc>
        <w:tc>
          <w:tcPr>
            <w:tcW w:w="0" w:type="auto"/>
            <w:shd w:val="clear" w:color="auto" w:fill="auto"/>
          </w:tcPr>
          <w:p w14:paraId="3BF5144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333,3</w:t>
            </w:r>
          </w:p>
        </w:tc>
        <w:tc>
          <w:tcPr>
            <w:tcW w:w="0" w:type="auto"/>
            <w:shd w:val="clear" w:color="auto" w:fill="auto"/>
          </w:tcPr>
          <w:p w14:paraId="44170C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333,3</w:t>
            </w:r>
          </w:p>
        </w:tc>
        <w:tc>
          <w:tcPr>
            <w:tcW w:w="0" w:type="auto"/>
            <w:shd w:val="clear" w:color="auto" w:fill="auto"/>
          </w:tcPr>
          <w:p w14:paraId="43512DB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1000,0</w:t>
            </w:r>
          </w:p>
        </w:tc>
        <w:tc>
          <w:tcPr>
            <w:tcW w:w="0" w:type="auto"/>
            <w:shd w:val="clear" w:color="auto" w:fill="auto"/>
          </w:tcPr>
          <w:p w14:paraId="1C53AB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90.02; Surse externe</w:t>
            </w:r>
          </w:p>
        </w:tc>
      </w:tr>
      <w:tr w:rsidR="0075115C" w14:paraId="61CFBD4E" w14:textId="77777777">
        <w:trPr>
          <w:trHeight w:val="240"/>
        </w:trPr>
        <w:tc>
          <w:tcPr>
            <w:tcW w:w="0" w:type="auto"/>
            <w:shd w:val="clear" w:color="auto" w:fill="auto"/>
          </w:tcPr>
          <w:p w14:paraId="7B32B53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34</w:t>
            </w:r>
          </w:p>
        </w:tc>
        <w:tc>
          <w:tcPr>
            <w:tcW w:w="0" w:type="auto"/>
            <w:shd w:val="clear" w:color="auto" w:fill="auto"/>
          </w:tcPr>
          <w:p w14:paraId="635E47D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Instruirea personalului în identificarea victimelor traficului de </w:t>
            </w:r>
            <w:r>
              <w:rPr>
                <w:rFonts w:eastAsia="Times New Roman" w:cs="Times New Roman"/>
                <w:color w:val="auto"/>
                <w:sz w:val="20"/>
                <w:szCs w:val="20"/>
                <w:lang w:eastAsia="ru-RU"/>
              </w:rPr>
              <w:t>ființe umane în rîndul străinilor</w:t>
            </w:r>
          </w:p>
        </w:tc>
        <w:tc>
          <w:tcPr>
            <w:tcW w:w="0" w:type="auto"/>
            <w:shd w:val="clear" w:color="auto" w:fill="auto"/>
          </w:tcPr>
          <w:p w14:paraId="32F69C3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instruiri desfășurate pentru personalul relevant Numărul de victime ale traficului de ființe umane identificate Numărul de victime ale traficului de ființe umane referite către servicii de asistență și protecție</w:t>
            </w:r>
          </w:p>
        </w:tc>
        <w:tc>
          <w:tcPr>
            <w:tcW w:w="0" w:type="auto"/>
            <w:shd w:val="clear" w:color="auto" w:fill="auto"/>
          </w:tcPr>
          <w:p w14:paraId="39D371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Iun.2025 </w:t>
            </w:r>
          </w:p>
        </w:tc>
        <w:tc>
          <w:tcPr>
            <w:tcW w:w="0" w:type="auto"/>
            <w:shd w:val="clear" w:color="auto" w:fill="auto"/>
          </w:tcPr>
          <w:p w14:paraId="7FAF4F5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383ED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w:t>
            </w:r>
          </w:p>
        </w:tc>
        <w:tc>
          <w:tcPr>
            <w:tcW w:w="0" w:type="auto"/>
            <w:shd w:val="clear" w:color="auto" w:fill="auto"/>
          </w:tcPr>
          <w:p w14:paraId="772D2F7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Inspectoratul General al Poliției; Academia „Ștefan cel Mare”; Inspectoratul General al Poliției de Frontieră; Inspectoratul General pentru Migrație</w:t>
            </w:r>
          </w:p>
        </w:tc>
        <w:tc>
          <w:tcPr>
            <w:tcW w:w="0" w:type="auto"/>
            <w:shd w:val="clear" w:color="auto" w:fill="auto"/>
          </w:tcPr>
          <w:p w14:paraId="1B8269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69,6</w:t>
            </w:r>
          </w:p>
        </w:tc>
        <w:tc>
          <w:tcPr>
            <w:tcW w:w="0" w:type="auto"/>
            <w:shd w:val="clear" w:color="auto" w:fill="auto"/>
          </w:tcPr>
          <w:p w14:paraId="7524B69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69,6</w:t>
            </w:r>
          </w:p>
        </w:tc>
        <w:tc>
          <w:tcPr>
            <w:tcW w:w="0" w:type="auto"/>
            <w:shd w:val="clear" w:color="auto" w:fill="auto"/>
          </w:tcPr>
          <w:p w14:paraId="1C7D1D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69,6</w:t>
            </w:r>
          </w:p>
        </w:tc>
        <w:tc>
          <w:tcPr>
            <w:tcW w:w="0" w:type="auto"/>
            <w:shd w:val="clear" w:color="auto" w:fill="auto"/>
          </w:tcPr>
          <w:p w14:paraId="06DF2B3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208,9</w:t>
            </w:r>
          </w:p>
        </w:tc>
        <w:tc>
          <w:tcPr>
            <w:tcW w:w="0" w:type="auto"/>
            <w:shd w:val="clear" w:color="auto" w:fill="auto"/>
          </w:tcPr>
          <w:p w14:paraId="3A8A2C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35,02</w:t>
            </w:r>
          </w:p>
        </w:tc>
      </w:tr>
      <w:tr w:rsidR="0075115C" w14:paraId="41BCA0E6" w14:textId="77777777">
        <w:trPr>
          <w:trHeight w:val="240"/>
        </w:trPr>
        <w:tc>
          <w:tcPr>
            <w:tcW w:w="0" w:type="auto"/>
            <w:shd w:val="clear" w:color="auto" w:fill="auto"/>
          </w:tcPr>
          <w:p w14:paraId="799E4C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w:t>
            </w:r>
          </w:p>
        </w:tc>
        <w:tc>
          <w:tcPr>
            <w:tcW w:w="0" w:type="auto"/>
            <w:shd w:val="clear" w:color="auto" w:fill="auto"/>
          </w:tcPr>
          <w:p w14:paraId="48E6CB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Asigurarea </w:t>
            </w:r>
            <w:r>
              <w:rPr>
                <w:rFonts w:eastAsia="Times New Roman" w:cs="Times New Roman"/>
                <w:color w:val="auto"/>
                <w:sz w:val="20"/>
                <w:szCs w:val="20"/>
                <w:lang w:eastAsia="ru-RU"/>
              </w:rPr>
              <w:t>funcționalității și eficientizarea mecanismului de accesare a asistenței financiare oferite de partenerii externi pentru persoanele strămutate, beneficiare de protecție temporară</w:t>
            </w:r>
          </w:p>
        </w:tc>
        <w:tc>
          <w:tcPr>
            <w:tcW w:w="0" w:type="auto"/>
            <w:shd w:val="clear" w:color="auto" w:fill="auto"/>
          </w:tcPr>
          <w:p w14:paraId="591759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persoanelor strămutate care au beneficiat de asistență financiară</w:t>
            </w:r>
          </w:p>
        </w:tc>
        <w:tc>
          <w:tcPr>
            <w:tcW w:w="0" w:type="auto"/>
            <w:shd w:val="clear" w:color="auto" w:fill="auto"/>
          </w:tcPr>
          <w:p w14:paraId="6FCED7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w:t>
            </w:r>
            <w:r>
              <w:rPr>
                <w:rFonts w:eastAsia="Times New Roman" w:cs="Times New Roman"/>
                <w:color w:val="auto"/>
                <w:sz w:val="20"/>
                <w:szCs w:val="20"/>
                <w:lang w:eastAsia="ru-RU"/>
              </w:rPr>
              <w:t>. 2025</w:t>
            </w:r>
          </w:p>
        </w:tc>
        <w:tc>
          <w:tcPr>
            <w:tcW w:w="0" w:type="auto"/>
            <w:shd w:val="clear" w:color="auto" w:fill="auto"/>
          </w:tcPr>
          <w:p w14:paraId="6D351EA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29E6C5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153043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w:t>
            </w:r>
          </w:p>
        </w:tc>
        <w:tc>
          <w:tcPr>
            <w:tcW w:w="0" w:type="auto"/>
            <w:shd w:val="clear" w:color="auto" w:fill="auto"/>
          </w:tcPr>
          <w:p w14:paraId="778772D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574000,0</w:t>
            </w:r>
          </w:p>
        </w:tc>
        <w:tc>
          <w:tcPr>
            <w:tcW w:w="0" w:type="auto"/>
            <w:shd w:val="clear" w:color="auto" w:fill="auto"/>
          </w:tcPr>
          <w:p w14:paraId="224DE7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574000,0</w:t>
            </w:r>
          </w:p>
        </w:tc>
        <w:tc>
          <w:tcPr>
            <w:tcW w:w="0" w:type="auto"/>
            <w:shd w:val="clear" w:color="auto" w:fill="auto"/>
          </w:tcPr>
          <w:p w14:paraId="21C40A6F"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8D10A4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1148000,0</w:t>
            </w:r>
          </w:p>
        </w:tc>
        <w:tc>
          <w:tcPr>
            <w:tcW w:w="0" w:type="auto"/>
            <w:shd w:val="clear" w:color="auto" w:fill="auto"/>
          </w:tcPr>
          <w:p w14:paraId="0685453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UNHCR; Alți partenerii de dezvoltare; </w:t>
            </w:r>
          </w:p>
        </w:tc>
      </w:tr>
      <w:tr w:rsidR="0075115C" w14:paraId="0E7A8271" w14:textId="77777777">
        <w:trPr>
          <w:trHeight w:val="240"/>
        </w:trPr>
        <w:tc>
          <w:tcPr>
            <w:tcW w:w="0" w:type="auto"/>
            <w:shd w:val="clear" w:color="auto" w:fill="auto"/>
          </w:tcPr>
          <w:p w14:paraId="7C757C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36</w:t>
            </w:r>
          </w:p>
        </w:tc>
        <w:tc>
          <w:tcPr>
            <w:tcW w:w="0" w:type="auto"/>
            <w:shd w:val="clear" w:color="auto" w:fill="auto"/>
          </w:tcPr>
          <w:p w14:paraId="42384E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Asigurarea funcționalității și eficientizarea mecanismului de acordare a suportului financiar de </w:t>
            </w:r>
            <w:r>
              <w:rPr>
                <w:rFonts w:eastAsia="Times New Roman" w:cs="Times New Roman"/>
                <w:color w:val="auto"/>
                <w:sz w:val="20"/>
                <w:szCs w:val="20"/>
                <w:lang w:eastAsia="ru-RU"/>
              </w:rPr>
              <w:t>către partenerii externi destinat familiilor gazdă care oferă adăpost persoanelor strămutate, beneficiare de protecție temporară, precum și categoriilor vulnerabile din rândul cetățenilor Republicii Moldova</w:t>
            </w:r>
          </w:p>
        </w:tc>
        <w:tc>
          <w:tcPr>
            <w:tcW w:w="0" w:type="auto"/>
            <w:shd w:val="clear" w:color="auto" w:fill="auto"/>
          </w:tcPr>
          <w:p w14:paraId="0518C7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beneficiarilor care au beneficiat de supo</w:t>
            </w:r>
            <w:r>
              <w:rPr>
                <w:rFonts w:eastAsia="Times New Roman" w:cs="Times New Roman"/>
                <w:color w:val="auto"/>
                <w:sz w:val="20"/>
                <w:szCs w:val="20"/>
                <w:lang w:eastAsia="ru-RU"/>
              </w:rPr>
              <w:t>rt financiar</w:t>
            </w:r>
          </w:p>
        </w:tc>
        <w:tc>
          <w:tcPr>
            <w:tcW w:w="0" w:type="auto"/>
            <w:shd w:val="clear" w:color="auto" w:fill="auto"/>
          </w:tcPr>
          <w:p w14:paraId="22BBE8A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1DD9490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33D35C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4E9AD9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Parteneri de dezvoltare</w:t>
            </w:r>
          </w:p>
        </w:tc>
        <w:tc>
          <w:tcPr>
            <w:tcW w:w="0" w:type="auto"/>
            <w:shd w:val="clear" w:color="auto" w:fill="auto"/>
          </w:tcPr>
          <w:p w14:paraId="25968E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115000,0</w:t>
            </w:r>
          </w:p>
        </w:tc>
        <w:tc>
          <w:tcPr>
            <w:tcW w:w="0" w:type="auto"/>
            <w:shd w:val="clear" w:color="auto" w:fill="auto"/>
          </w:tcPr>
          <w:p w14:paraId="1BD7CCF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115000,0</w:t>
            </w:r>
          </w:p>
        </w:tc>
        <w:tc>
          <w:tcPr>
            <w:tcW w:w="0" w:type="auto"/>
            <w:shd w:val="clear" w:color="auto" w:fill="auto"/>
          </w:tcPr>
          <w:p w14:paraId="40DF5AC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3A95FF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230000,0</w:t>
            </w:r>
          </w:p>
        </w:tc>
        <w:tc>
          <w:tcPr>
            <w:tcW w:w="0" w:type="auto"/>
            <w:shd w:val="clear" w:color="auto" w:fill="auto"/>
          </w:tcPr>
          <w:p w14:paraId="23D3C6B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WFP Moldova</w:t>
            </w:r>
          </w:p>
        </w:tc>
      </w:tr>
      <w:tr w:rsidR="0075115C" w14:paraId="1254F7FD" w14:textId="77777777">
        <w:trPr>
          <w:trHeight w:val="240"/>
        </w:trPr>
        <w:tc>
          <w:tcPr>
            <w:tcW w:w="0" w:type="auto"/>
            <w:shd w:val="clear" w:color="auto" w:fill="auto"/>
          </w:tcPr>
          <w:p w14:paraId="0CEAF2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w:t>
            </w:r>
          </w:p>
        </w:tc>
        <w:tc>
          <w:tcPr>
            <w:tcW w:w="0" w:type="auto"/>
            <w:shd w:val="clear" w:color="auto" w:fill="auto"/>
          </w:tcPr>
          <w:p w14:paraId="2C6532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coeziunii sociale dintre străini, inclusiv persoane strămutate de pe teritoriul altor state </w:t>
            </w:r>
            <w:r>
              <w:rPr>
                <w:rFonts w:eastAsia="Times New Roman" w:cs="Times New Roman"/>
                <w:color w:val="auto"/>
                <w:sz w:val="20"/>
                <w:szCs w:val="20"/>
                <w:lang w:eastAsia="ru-RU"/>
              </w:rPr>
              <w:t>beneficiare de protecție temporară și comunitatea gazdă prin participare incluzivă și cetățeni implicați</w:t>
            </w:r>
          </w:p>
        </w:tc>
        <w:tc>
          <w:tcPr>
            <w:tcW w:w="0" w:type="auto"/>
            <w:shd w:val="clear" w:color="auto" w:fill="auto"/>
          </w:tcPr>
          <w:p w14:paraId="415B8FD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acțiuni realizate; numărul de participanți din rândul străinilor, inclusiv a persoanelor strămutate și comunității gazdă</w:t>
            </w:r>
          </w:p>
        </w:tc>
        <w:tc>
          <w:tcPr>
            <w:tcW w:w="0" w:type="auto"/>
            <w:shd w:val="clear" w:color="auto" w:fill="auto"/>
          </w:tcPr>
          <w:p w14:paraId="70A9CDA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3D43290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5489D59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46D32EA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Agențiile Teritoriale de Asistență Socială; Autoritățile Publice Locale</w:t>
            </w:r>
          </w:p>
        </w:tc>
        <w:tc>
          <w:tcPr>
            <w:tcW w:w="0" w:type="auto"/>
            <w:shd w:val="clear" w:color="auto" w:fill="auto"/>
          </w:tcPr>
          <w:p w14:paraId="2EB2D7F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w:t>
            </w:r>
          </w:p>
        </w:tc>
        <w:tc>
          <w:tcPr>
            <w:tcW w:w="0" w:type="auto"/>
            <w:shd w:val="clear" w:color="auto" w:fill="auto"/>
          </w:tcPr>
          <w:p w14:paraId="1E1360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w:t>
            </w:r>
          </w:p>
        </w:tc>
        <w:tc>
          <w:tcPr>
            <w:tcW w:w="0" w:type="auto"/>
            <w:shd w:val="clear" w:color="auto" w:fill="auto"/>
          </w:tcPr>
          <w:p w14:paraId="685A31E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738C20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w:t>
            </w:r>
          </w:p>
        </w:tc>
        <w:tc>
          <w:tcPr>
            <w:tcW w:w="0" w:type="auto"/>
            <w:shd w:val="clear" w:color="auto" w:fill="auto"/>
          </w:tcPr>
          <w:p w14:paraId="077799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UNHCR Moldova</w:t>
            </w:r>
          </w:p>
        </w:tc>
      </w:tr>
      <w:tr w:rsidR="0075115C" w14:paraId="5A15896C" w14:textId="77777777">
        <w:trPr>
          <w:trHeight w:val="240"/>
        </w:trPr>
        <w:tc>
          <w:tcPr>
            <w:tcW w:w="0" w:type="auto"/>
            <w:shd w:val="clear" w:color="auto" w:fill="auto"/>
          </w:tcPr>
          <w:p w14:paraId="60BA71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38</w:t>
            </w:r>
          </w:p>
        </w:tc>
        <w:tc>
          <w:tcPr>
            <w:tcW w:w="0" w:type="auto"/>
            <w:shd w:val="clear" w:color="auto" w:fill="auto"/>
          </w:tcPr>
          <w:p w14:paraId="6BA3742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Negocierea unui nou Acord dintre Republica Moldova și Ucraina în domeniul securității sociale bazat pe principiul proporționalității. </w:t>
            </w:r>
          </w:p>
        </w:tc>
        <w:tc>
          <w:tcPr>
            <w:tcW w:w="0" w:type="auto"/>
            <w:shd w:val="clear" w:color="auto" w:fill="auto"/>
          </w:tcPr>
          <w:p w14:paraId="78AD04D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Runde de negocieri desfășurate; Acorduri negociate și semnate</w:t>
            </w:r>
          </w:p>
        </w:tc>
        <w:tc>
          <w:tcPr>
            <w:tcW w:w="0" w:type="auto"/>
            <w:shd w:val="clear" w:color="auto" w:fill="auto"/>
          </w:tcPr>
          <w:p w14:paraId="20A091B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4B03D8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D9396F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521407E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Externe; Casa Naționala de Asigurări Sociale; Consiliul Național pentru determinare</w:t>
            </w:r>
            <w:r>
              <w:rPr>
                <w:rFonts w:eastAsia="Times New Roman" w:cs="Times New Roman"/>
                <w:color w:val="auto"/>
                <w:sz w:val="20"/>
                <w:szCs w:val="20"/>
                <w:lang w:eastAsia="ru-RU"/>
              </w:rPr>
              <w:lastRenderedPageBreak/>
              <w:t>a dizabilității și capacității de muncă</w:t>
            </w:r>
          </w:p>
        </w:tc>
        <w:tc>
          <w:tcPr>
            <w:tcW w:w="0" w:type="auto"/>
            <w:shd w:val="clear" w:color="auto" w:fill="auto"/>
          </w:tcPr>
          <w:p w14:paraId="658018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79,8</w:t>
            </w:r>
          </w:p>
        </w:tc>
        <w:tc>
          <w:tcPr>
            <w:tcW w:w="0" w:type="auto"/>
            <w:shd w:val="clear" w:color="auto" w:fill="auto"/>
          </w:tcPr>
          <w:p w14:paraId="7E3278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79,8</w:t>
            </w:r>
          </w:p>
        </w:tc>
        <w:tc>
          <w:tcPr>
            <w:tcW w:w="0" w:type="auto"/>
            <w:shd w:val="clear" w:color="auto" w:fill="auto"/>
          </w:tcPr>
          <w:p w14:paraId="715511B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79,8</w:t>
            </w:r>
          </w:p>
        </w:tc>
        <w:tc>
          <w:tcPr>
            <w:tcW w:w="0" w:type="auto"/>
            <w:shd w:val="clear" w:color="auto" w:fill="auto"/>
          </w:tcPr>
          <w:p w14:paraId="679513D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239,4</w:t>
            </w:r>
          </w:p>
        </w:tc>
        <w:tc>
          <w:tcPr>
            <w:tcW w:w="0" w:type="auto"/>
            <w:shd w:val="clear" w:color="auto" w:fill="auto"/>
          </w:tcPr>
          <w:p w14:paraId="5D27C74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90.02</w:t>
            </w:r>
          </w:p>
        </w:tc>
      </w:tr>
      <w:tr w:rsidR="0075115C" w14:paraId="4C8034F1" w14:textId="77777777">
        <w:trPr>
          <w:trHeight w:val="240"/>
        </w:trPr>
        <w:tc>
          <w:tcPr>
            <w:tcW w:w="0" w:type="auto"/>
            <w:shd w:val="clear" w:color="auto" w:fill="auto"/>
          </w:tcPr>
          <w:p w14:paraId="0745D3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39</w:t>
            </w:r>
          </w:p>
        </w:tc>
        <w:tc>
          <w:tcPr>
            <w:tcW w:w="0" w:type="auto"/>
            <w:shd w:val="clear" w:color="auto" w:fill="auto"/>
          </w:tcPr>
          <w:p w14:paraId="1CD9F6B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Desfășurarea campaniilor de informare în scopul promovării Serviciului de </w:t>
            </w:r>
            <w:r>
              <w:rPr>
                <w:rFonts w:eastAsia="Times New Roman" w:cs="Times New Roman"/>
                <w:color w:val="auto"/>
                <w:sz w:val="20"/>
                <w:szCs w:val="20"/>
                <w:lang w:eastAsia="ru-RU"/>
              </w:rPr>
              <w:t>asistență telefonică gratuită (Telefonul copilului)</w:t>
            </w:r>
          </w:p>
        </w:tc>
        <w:tc>
          <w:tcPr>
            <w:tcW w:w="0" w:type="auto"/>
            <w:shd w:val="clear" w:color="auto" w:fill="auto"/>
          </w:tcPr>
          <w:p w14:paraId="70DBD07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campaniilor de informare realizate</w:t>
            </w:r>
          </w:p>
        </w:tc>
        <w:tc>
          <w:tcPr>
            <w:tcW w:w="0" w:type="auto"/>
            <w:shd w:val="clear" w:color="auto" w:fill="auto"/>
          </w:tcPr>
          <w:p w14:paraId="3BD9E9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2025</w:t>
            </w:r>
          </w:p>
        </w:tc>
        <w:tc>
          <w:tcPr>
            <w:tcW w:w="0" w:type="auto"/>
            <w:shd w:val="clear" w:color="auto" w:fill="auto"/>
          </w:tcPr>
          <w:p w14:paraId="31DB21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3E978D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571BA3D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Parteneri de dezvoltare </w:t>
            </w:r>
          </w:p>
        </w:tc>
        <w:tc>
          <w:tcPr>
            <w:tcW w:w="0" w:type="auto"/>
            <w:shd w:val="clear" w:color="auto" w:fill="auto"/>
          </w:tcPr>
          <w:p w14:paraId="5A6948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544,0</w:t>
            </w:r>
          </w:p>
        </w:tc>
        <w:tc>
          <w:tcPr>
            <w:tcW w:w="0" w:type="auto"/>
            <w:shd w:val="clear" w:color="auto" w:fill="auto"/>
          </w:tcPr>
          <w:p w14:paraId="14009F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544,0</w:t>
            </w:r>
          </w:p>
        </w:tc>
        <w:tc>
          <w:tcPr>
            <w:tcW w:w="0" w:type="auto"/>
            <w:shd w:val="clear" w:color="auto" w:fill="auto"/>
          </w:tcPr>
          <w:p w14:paraId="76E0F01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E67461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1088,0</w:t>
            </w:r>
          </w:p>
        </w:tc>
        <w:tc>
          <w:tcPr>
            <w:tcW w:w="0" w:type="auto"/>
            <w:shd w:val="clear" w:color="auto" w:fill="auto"/>
          </w:tcPr>
          <w:p w14:paraId="4AF8F9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90.06</w:t>
            </w:r>
          </w:p>
        </w:tc>
      </w:tr>
      <w:tr w:rsidR="0075115C" w14:paraId="69509C5F" w14:textId="77777777">
        <w:trPr>
          <w:trHeight w:val="240"/>
        </w:trPr>
        <w:tc>
          <w:tcPr>
            <w:tcW w:w="0" w:type="auto"/>
            <w:shd w:val="clear" w:color="auto" w:fill="auto"/>
          </w:tcPr>
          <w:p w14:paraId="6D7BF01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w:t>
            </w:r>
          </w:p>
        </w:tc>
        <w:tc>
          <w:tcPr>
            <w:tcW w:w="0" w:type="auto"/>
            <w:shd w:val="clear" w:color="auto" w:fill="auto"/>
          </w:tcPr>
          <w:p w14:paraId="46B5B94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Asigurarea măsurilor de asistență socială </w:t>
            </w:r>
            <w:r>
              <w:rPr>
                <w:rFonts w:eastAsia="Times New Roman" w:cs="Times New Roman"/>
                <w:color w:val="auto"/>
                <w:sz w:val="20"/>
                <w:szCs w:val="20"/>
                <w:lang w:eastAsia="ru-RU"/>
              </w:rPr>
              <w:t>adresate familiilor cu copii originari din Ucraina</w:t>
            </w:r>
          </w:p>
        </w:tc>
        <w:tc>
          <w:tcPr>
            <w:tcW w:w="0" w:type="auto"/>
            <w:shd w:val="clear" w:color="auto" w:fill="auto"/>
          </w:tcPr>
          <w:p w14:paraId="4492CC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copiilor originari din Ucraina beneficiari de măsuri de asistență socială</w:t>
            </w:r>
          </w:p>
        </w:tc>
        <w:tc>
          <w:tcPr>
            <w:tcW w:w="0" w:type="auto"/>
            <w:shd w:val="clear" w:color="auto" w:fill="auto"/>
          </w:tcPr>
          <w:p w14:paraId="4EB6DC4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582CAC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 (extinderea perioadei de plată în dependență de modificarea HG nr. 21/2023 (prelungirea protecției temp</w:t>
            </w:r>
            <w:r>
              <w:rPr>
                <w:rFonts w:eastAsia="Times New Roman" w:cs="Times New Roman"/>
                <w:color w:val="auto"/>
                <w:sz w:val="20"/>
                <w:szCs w:val="20"/>
                <w:lang w:eastAsia="ru-RU"/>
              </w:rPr>
              <w:t>orare))</w:t>
            </w:r>
          </w:p>
        </w:tc>
        <w:tc>
          <w:tcPr>
            <w:tcW w:w="0" w:type="auto"/>
            <w:shd w:val="clear" w:color="auto" w:fill="auto"/>
          </w:tcPr>
          <w:p w14:paraId="44F443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69C18E6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Casa Naționala de Asigurări Sociale</w:t>
            </w:r>
          </w:p>
        </w:tc>
        <w:tc>
          <w:tcPr>
            <w:tcW w:w="0" w:type="auto"/>
            <w:shd w:val="clear" w:color="auto" w:fill="auto"/>
          </w:tcPr>
          <w:p w14:paraId="417FFD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9790,0</w:t>
            </w:r>
          </w:p>
        </w:tc>
        <w:tc>
          <w:tcPr>
            <w:tcW w:w="0" w:type="auto"/>
            <w:shd w:val="clear" w:color="auto" w:fill="auto"/>
          </w:tcPr>
          <w:p w14:paraId="66215ED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93FA191"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925F42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9790,0</w:t>
            </w:r>
          </w:p>
        </w:tc>
        <w:tc>
          <w:tcPr>
            <w:tcW w:w="0" w:type="auto"/>
            <w:shd w:val="clear" w:color="auto" w:fill="auto"/>
          </w:tcPr>
          <w:p w14:paraId="1013F9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UNICEF</w:t>
            </w:r>
          </w:p>
        </w:tc>
      </w:tr>
      <w:tr w:rsidR="0075115C" w14:paraId="323E778E" w14:textId="77777777">
        <w:trPr>
          <w:trHeight w:val="240"/>
        </w:trPr>
        <w:tc>
          <w:tcPr>
            <w:tcW w:w="0" w:type="auto"/>
            <w:shd w:val="clear" w:color="auto" w:fill="auto"/>
          </w:tcPr>
          <w:p w14:paraId="548BE3B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41</w:t>
            </w:r>
          </w:p>
        </w:tc>
        <w:tc>
          <w:tcPr>
            <w:tcW w:w="0" w:type="auto"/>
            <w:shd w:val="clear" w:color="auto" w:fill="auto"/>
          </w:tcPr>
          <w:p w14:paraId="15AAEED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Negocierea Acordului dintre Republica Moldova și Ucraina cu privire la cooperarea în domeniul repatrierii copiilor neînsoțiți la locul habitual </w:t>
            </w:r>
            <w:r>
              <w:rPr>
                <w:rFonts w:eastAsia="Times New Roman" w:cs="Times New Roman"/>
                <w:color w:val="auto"/>
                <w:sz w:val="20"/>
                <w:szCs w:val="20"/>
                <w:lang w:eastAsia="ru-RU"/>
              </w:rPr>
              <w:t>de trai a acestora</w:t>
            </w:r>
          </w:p>
        </w:tc>
        <w:tc>
          <w:tcPr>
            <w:tcW w:w="0" w:type="auto"/>
            <w:shd w:val="clear" w:color="auto" w:fill="auto"/>
          </w:tcPr>
          <w:p w14:paraId="5998A8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ședințelor organizate</w:t>
            </w:r>
          </w:p>
        </w:tc>
        <w:tc>
          <w:tcPr>
            <w:tcW w:w="0" w:type="auto"/>
            <w:shd w:val="clear" w:color="auto" w:fill="auto"/>
          </w:tcPr>
          <w:p w14:paraId="5093C1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oct. 2025</w:t>
            </w:r>
          </w:p>
        </w:tc>
        <w:tc>
          <w:tcPr>
            <w:tcW w:w="0" w:type="auto"/>
            <w:shd w:val="clear" w:color="auto" w:fill="auto"/>
          </w:tcPr>
          <w:p w14:paraId="4F768F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2026</w:t>
            </w:r>
          </w:p>
        </w:tc>
        <w:tc>
          <w:tcPr>
            <w:tcW w:w="0" w:type="auto"/>
            <w:shd w:val="clear" w:color="auto" w:fill="auto"/>
          </w:tcPr>
          <w:p w14:paraId="126747B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1F3627C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Externe</w:t>
            </w:r>
          </w:p>
        </w:tc>
        <w:tc>
          <w:tcPr>
            <w:tcW w:w="0" w:type="auto"/>
            <w:shd w:val="clear" w:color="auto" w:fill="auto"/>
          </w:tcPr>
          <w:p w14:paraId="7BA07B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120,5</w:t>
            </w:r>
          </w:p>
        </w:tc>
        <w:tc>
          <w:tcPr>
            <w:tcW w:w="0" w:type="auto"/>
            <w:shd w:val="clear" w:color="auto" w:fill="auto"/>
          </w:tcPr>
          <w:p w14:paraId="56B163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120,5</w:t>
            </w:r>
          </w:p>
        </w:tc>
        <w:tc>
          <w:tcPr>
            <w:tcW w:w="0" w:type="auto"/>
            <w:shd w:val="clear" w:color="auto" w:fill="auto"/>
          </w:tcPr>
          <w:p w14:paraId="6E321A2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32327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241,0</w:t>
            </w:r>
          </w:p>
        </w:tc>
        <w:tc>
          <w:tcPr>
            <w:tcW w:w="0" w:type="auto"/>
            <w:shd w:val="clear" w:color="auto" w:fill="auto"/>
          </w:tcPr>
          <w:p w14:paraId="46AE92B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90.06; Surse externe</w:t>
            </w:r>
          </w:p>
        </w:tc>
      </w:tr>
      <w:tr w:rsidR="0075115C" w14:paraId="557ABB94" w14:textId="77777777">
        <w:trPr>
          <w:trHeight w:val="240"/>
        </w:trPr>
        <w:tc>
          <w:tcPr>
            <w:tcW w:w="0" w:type="auto"/>
            <w:shd w:val="clear" w:color="auto" w:fill="auto"/>
          </w:tcPr>
          <w:p w14:paraId="217D41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42</w:t>
            </w:r>
          </w:p>
        </w:tc>
        <w:tc>
          <w:tcPr>
            <w:tcW w:w="0" w:type="auto"/>
            <w:shd w:val="clear" w:color="auto" w:fill="auto"/>
          </w:tcPr>
          <w:p w14:paraId="5D4A81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capacităților autorităților </w:t>
            </w:r>
            <w:r>
              <w:rPr>
                <w:rFonts w:eastAsia="Times New Roman" w:cs="Times New Roman"/>
                <w:color w:val="auto"/>
                <w:sz w:val="20"/>
                <w:szCs w:val="20"/>
                <w:lang w:eastAsia="ru-RU"/>
              </w:rPr>
              <w:lastRenderedPageBreak/>
              <w:t xml:space="preserve">administrației publice locale </w:t>
            </w:r>
            <w:r>
              <w:rPr>
                <w:rFonts w:eastAsia="Times New Roman" w:cs="Times New Roman"/>
                <w:color w:val="auto"/>
                <w:sz w:val="20"/>
                <w:szCs w:val="20"/>
                <w:lang w:eastAsia="ru-RU"/>
              </w:rPr>
              <w:t>în susținerea femeilor victime și femeilor cu multiple vulnerabilități, inclusiv din rândul refugiatelor asistate la nivel local și care au acceptat integrarea în comunitate pe termen lung</w:t>
            </w:r>
          </w:p>
        </w:tc>
        <w:tc>
          <w:tcPr>
            <w:tcW w:w="0" w:type="auto"/>
            <w:shd w:val="clear" w:color="auto" w:fill="auto"/>
          </w:tcPr>
          <w:p w14:paraId="0E5982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Reprezentanți ai serviciului public instruiți; Numărul de reprezent</w:t>
            </w:r>
            <w:r>
              <w:rPr>
                <w:rFonts w:eastAsia="Times New Roman" w:cs="Times New Roman"/>
                <w:color w:val="auto"/>
                <w:sz w:val="20"/>
                <w:szCs w:val="20"/>
                <w:lang w:eastAsia="ru-RU"/>
              </w:rPr>
              <w:t xml:space="preserve">anți ai autorităților </w:t>
            </w:r>
            <w:r>
              <w:rPr>
                <w:rFonts w:eastAsia="Times New Roman" w:cs="Times New Roman"/>
                <w:color w:val="auto"/>
                <w:sz w:val="20"/>
                <w:szCs w:val="20"/>
                <w:lang w:eastAsia="ru-RU"/>
              </w:rPr>
              <w:lastRenderedPageBreak/>
              <w:t>publice locale instruiți (dezagregat pe categorii de funcție, rural/urban, sex)</w:t>
            </w:r>
          </w:p>
        </w:tc>
        <w:tc>
          <w:tcPr>
            <w:tcW w:w="0" w:type="auto"/>
            <w:shd w:val="clear" w:color="auto" w:fill="auto"/>
          </w:tcPr>
          <w:p w14:paraId="1AF409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ian. 2025</w:t>
            </w:r>
          </w:p>
        </w:tc>
        <w:tc>
          <w:tcPr>
            <w:tcW w:w="0" w:type="auto"/>
            <w:shd w:val="clear" w:color="auto" w:fill="auto"/>
          </w:tcPr>
          <w:p w14:paraId="1F0F70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2E5F01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Muncii și </w:t>
            </w:r>
            <w:r>
              <w:rPr>
                <w:rFonts w:eastAsia="Times New Roman" w:cs="Times New Roman"/>
                <w:color w:val="auto"/>
                <w:sz w:val="20"/>
                <w:szCs w:val="20"/>
                <w:lang w:eastAsia="ru-RU"/>
              </w:rPr>
              <w:lastRenderedPageBreak/>
              <w:t>Protecției Sociale</w:t>
            </w:r>
          </w:p>
        </w:tc>
        <w:tc>
          <w:tcPr>
            <w:tcW w:w="0" w:type="auto"/>
            <w:shd w:val="clear" w:color="auto" w:fill="auto"/>
          </w:tcPr>
          <w:p w14:paraId="0DC5E79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Organizații necomerciale; Parteneri </w:t>
            </w:r>
            <w:r>
              <w:rPr>
                <w:rFonts w:eastAsia="Times New Roman" w:cs="Times New Roman"/>
                <w:color w:val="auto"/>
                <w:sz w:val="20"/>
                <w:szCs w:val="20"/>
                <w:lang w:eastAsia="ru-RU"/>
              </w:rPr>
              <w:lastRenderedPageBreak/>
              <w:t>de dezvoltare; Autorități publice locale</w:t>
            </w:r>
          </w:p>
        </w:tc>
        <w:tc>
          <w:tcPr>
            <w:tcW w:w="0" w:type="auto"/>
            <w:shd w:val="clear" w:color="auto" w:fill="auto"/>
          </w:tcPr>
          <w:p w14:paraId="7C5292D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150,0</w:t>
            </w:r>
          </w:p>
        </w:tc>
        <w:tc>
          <w:tcPr>
            <w:tcW w:w="0" w:type="auto"/>
            <w:shd w:val="clear" w:color="auto" w:fill="auto"/>
          </w:tcPr>
          <w:p w14:paraId="06D9815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150,0</w:t>
            </w:r>
          </w:p>
        </w:tc>
        <w:tc>
          <w:tcPr>
            <w:tcW w:w="0" w:type="auto"/>
            <w:shd w:val="clear" w:color="auto" w:fill="auto"/>
          </w:tcPr>
          <w:p w14:paraId="61443B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150,0</w:t>
            </w:r>
          </w:p>
        </w:tc>
        <w:tc>
          <w:tcPr>
            <w:tcW w:w="0" w:type="auto"/>
            <w:shd w:val="clear" w:color="auto" w:fill="auto"/>
          </w:tcPr>
          <w:p w14:paraId="11B612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450,0</w:t>
            </w:r>
          </w:p>
        </w:tc>
        <w:tc>
          <w:tcPr>
            <w:tcW w:w="0" w:type="auto"/>
            <w:shd w:val="clear" w:color="auto" w:fill="auto"/>
          </w:tcPr>
          <w:p w14:paraId="10E5A86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90.06; 90.12</w:t>
            </w:r>
          </w:p>
        </w:tc>
      </w:tr>
      <w:tr w:rsidR="0075115C" w14:paraId="7AC7D654" w14:textId="77777777">
        <w:trPr>
          <w:trHeight w:val="240"/>
        </w:trPr>
        <w:tc>
          <w:tcPr>
            <w:tcW w:w="0" w:type="auto"/>
            <w:shd w:val="clear" w:color="auto" w:fill="auto"/>
          </w:tcPr>
          <w:p w14:paraId="607B0B2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43</w:t>
            </w:r>
          </w:p>
        </w:tc>
        <w:tc>
          <w:tcPr>
            <w:tcW w:w="0" w:type="auto"/>
            <w:shd w:val="clear" w:color="auto" w:fill="auto"/>
          </w:tcPr>
          <w:p w14:paraId="6B67068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și diseminarea materialelor informaționale în limba ucraineană pentru femeile refugiate privind prevenirea violenței în familie și violenței împotriva femeilor și traficului de ființe umane</w:t>
            </w:r>
          </w:p>
        </w:tc>
        <w:tc>
          <w:tcPr>
            <w:tcW w:w="0" w:type="auto"/>
            <w:shd w:val="clear" w:color="auto" w:fill="auto"/>
          </w:tcPr>
          <w:p w14:paraId="6A72F19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Materiale informaționale </w:t>
            </w:r>
            <w:r>
              <w:rPr>
                <w:rFonts w:eastAsia="Times New Roman" w:cs="Times New Roman"/>
                <w:color w:val="auto"/>
                <w:sz w:val="20"/>
                <w:szCs w:val="20"/>
                <w:lang w:eastAsia="ru-RU"/>
              </w:rPr>
              <w:t>elaborate și diseminate</w:t>
            </w:r>
          </w:p>
        </w:tc>
        <w:tc>
          <w:tcPr>
            <w:tcW w:w="0" w:type="auto"/>
            <w:shd w:val="clear" w:color="auto" w:fill="auto"/>
          </w:tcPr>
          <w:p w14:paraId="56ABFC4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1EF963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0601C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623C07E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Agențiile teritoriale de asistență socială; Agenția Relații Interetnice Agenția Relații Interetnice</w:t>
            </w:r>
          </w:p>
        </w:tc>
        <w:tc>
          <w:tcPr>
            <w:tcW w:w="0" w:type="auto"/>
            <w:shd w:val="clear" w:color="auto" w:fill="auto"/>
          </w:tcPr>
          <w:p w14:paraId="340829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3829DB6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38D360C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2034820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196CB7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OIM; UN Women; UNFPA; UNHCR</w:t>
            </w:r>
          </w:p>
        </w:tc>
      </w:tr>
      <w:tr w:rsidR="0075115C" w14:paraId="3FED823B" w14:textId="77777777">
        <w:trPr>
          <w:trHeight w:val="240"/>
        </w:trPr>
        <w:tc>
          <w:tcPr>
            <w:tcW w:w="0" w:type="auto"/>
            <w:shd w:val="clear" w:color="auto" w:fill="auto"/>
          </w:tcPr>
          <w:p w14:paraId="5F763CE4"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560AD1B7"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xml:space="preserve">Buget total pentru </w:t>
            </w:r>
            <w:r>
              <w:rPr>
                <w:rFonts w:eastAsia="Times New Roman" w:cs="Times New Roman"/>
                <w:b/>
                <w:bCs/>
                <w:color w:val="auto"/>
                <w:sz w:val="20"/>
                <w:szCs w:val="20"/>
                <w:lang w:eastAsia="ru-RU"/>
              </w:rPr>
              <w:t>Obiectivul nr. 2</w:t>
            </w:r>
          </w:p>
        </w:tc>
        <w:tc>
          <w:tcPr>
            <w:tcW w:w="0" w:type="auto"/>
            <w:shd w:val="clear" w:color="000000" w:fill="E8E8E8"/>
          </w:tcPr>
          <w:p w14:paraId="781C3FF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6ECF6C9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268649D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8CC1E6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19B7A9C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5F8953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700522,3</w:t>
            </w:r>
          </w:p>
        </w:tc>
        <w:tc>
          <w:tcPr>
            <w:tcW w:w="0" w:type="auto"/>
            <w:shd w:val="clear" w:color="000000" w:fill="E8E8E8"/>
          </w:tcPr>
          <w:p w14:paraId="1C80ACE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690732,3</w:t>
            </w:r>
          </w:p>
        </w:tc>
        <w:tc>
          <w:tcPr>
            <w:tcW w:w="0" w:type="auto"/>
            <w:shd w:val="clear" w:color="000000" w:fill="E8E8E8"/>
          </w:tcPr>
          <w:p w14:paraId="0F76F36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652,8</w:t>
            </w:r>
          </w:p>
        </w:tc>
        <w:tc>
          <w:tcPr>
            <w:tcW w:w="0" w:type="auto"/>
            <w:shd w:val="clear" w:color="000000" w:fill="E8E8E8"/>
          </w:tcPr>
          <w:p w14:paraId="6164F1E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1391907,3</w:t>
            </w:r>
          </w:p>
        </w:tc>
        <w:tc>
          <w:tcPr>
            <w:tcW w:w="0" w:type="auto"/>
            <w:shd w:val="clear" w:color="000000" w:fill="E8E8E8"/>
          </w:tcPr>
          <w:p w14:paraId="78A07D2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64C2C7F2" w14:textId="77777777">
        <w:trPr>
          <w:trHeight w:val="240"/>
        </w:trPr>
        <w:tc>
          <w:tcPr>
            <w:tcW w:w="0" w:type="auto"/>
            <w:shd w:val="clear" w:color="000000" w:fill="DAE9F8"/>
          </w:tcPr>
          <w:p w14:paraId="15A9D51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2F60D46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3</w:t>
            </w:r>
          </w:p>
        </w:tc>
        <w:tc>
          <w:tcPr>
            <w:tcW w:w="0" w:type="auto"/>
            <w:gridSpan w:val="10"/>
            <w:shd w:val="clear" w:color="000000" w:fill="DAE9F8"/>
          </w:tcPr>
          <w:p w14:paraId="30C085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Stimularea dezvoltării economice prin valorificarea potențialului străinilor și integrarea acestora pe piața muncii, inclusiv a persoanelor strămutate în Republica Moldova</w:t>
            </w:r>
          </w:p>
        </w:tc>
      </w:tr>
      <w:tr w:rsidR="0075115C" w14:paraId="66D363D1" w14:textId="77777777">
        <w:trPr>
          <w:trHeight w:val="240"/>
        </w:trPr>
        <w:tc>
          <w:tcPr>
            <w:tcW w:w="0" w:type="auto"/>
            <w:shd w:val="clear" w:color="auto" w:fill="auto"/>
          </w:tcPr>
          <w:p w14:paraId="1F7D87A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44</w:t>
            </w:r>
          </w:p>
        </w:tc>
        <w:tc>
          <w:tcPr>
            <w:tcW w:w="0" w:type="auto"/>
            <w:shd w:val="clear" w:color="auto" w:fill="auto"/>
          </w:tcPr>
          <w:p w14:paraId="2DC8D08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Proiect de Lege de modificare a unor acte normative (Legea nr. 81/2004 cu privire la investițiile în activitatea de întreprinzător)</w:t>
            </w:r>
          </w:p>
        </w:tc>
        <w:tc>
          <w:tcPr>
            <w:tcW w:w="0" w:type="auto"/>
            <w:shd w:val="clear" w:color="auto" w:fill="auto"/>
          </w:tcPr>
          <w:p w14:paraId="0BF3B45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Proiect de lege adoptat</w:t>
            </w:r>
          </w:p>
        </w:tc>
        <w:tc>
          <w:tcPr>
            <w:tcW w:w="0" w:type="auto"/>
            <w:shd w:val="clear" w:color="auto" w:fill="auto"/>
          </w:tcPr>
          <w:p w14:paraId="1F5B22E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065717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5625592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Dezvoltării Economice și Digitalizării </w:t>
            </w:r>
          </w:p>
        </w:tc>
        <w:tc>
          <w:tcPr>
            <w:tcW w:w="0" w:type="auto"/>
            <w:shd w:val="clear" w:color="auto" w:fill="auto"/>
          </w:tcPr>
          <w:p w14:paraId="71D952B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w:t>
            </w:r>
            <w:r>
              <w:rPr>
                <w:rFonts w:eastAsia="Times New Roman" w:cs="Times New Roman"/>
                <w:color w:val="auto"/>
                <w:sz w:val="20"/>
                <w:szCs w:val="20"/>
                <w:lang w:eastAsia="ru-RU"/>
              </w:rPr>
              <w:t>rne</w:t>
            </w:r>
          </w:p>
        </w:tc>
        <w:tc>
          <w:tcPr>
            <w:tcW w:w="0" w:type="auto"/>
            <w:shd w:val="clear" w:color="auto" w:fill="auto"/>
          </w:tcPr>
          <w:p w14:paraId="3947A0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69,0</w:t>
            </w:r>
          </w:p>
        </w:tc>
        <w:tc>
          <w:tcPr>
            <w:tcW w:w="0" w:type="auto"/>
            <w:shd w:val="clear" w:color="auto" w:fill="auto"/>
          </w:tcPr>
          <w:p w14:paraId="0BE752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69,0</w:t>
            </w:r>
          </w:p>
        </w:tc>
        <w:tc>
          <w:tcPr>
            <w:tcW w:w="0" w:type="auto"/>
            <w:shd w:val="clear" w:color="auto" w:fill="auto"/>
          </w:tcPr>
          <w:p w14:paraId="445526C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69,0</w:t>
            </w:r>
          </w:p>
        </w:tc>
        <w:tc>
          <w:tcPr>
            <w:tcW w:w="0" w:type="auto"/>
            <w:shd w:val="clear" w:color="auto" w:fill="auto"/>
          </w:tcPr>
          <w:p w14:paraId="11BDB3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207,0</w:t>
            </w:r>
          </w:p>
        </w:tc>
        <w:tc>
          <w:tcPr>
            <w:tcW w:w="0" w:type="auto"/>
            <w:shd w:val="clear" w:color="auto" w:fill="auto"/>
          </w:tcPr>
          <w:p w14:paraId="359D18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50.01</w:t>
            </w:r>
          </w:p>
        </w:tc>
      </w:tr>
      <w:tr w:rsidR="0075115C" w14:paraId="1E5D6E98" w14:textId="77777777">
        <w:trPr>
          <w:trHeight w:val="240"/>
        </w:trPr>
        <w:tc>
          <w:tcPr>
            <w:tcW w:w="0" w:type="auto"/>
            <w:shd w:val="clear" w:color="auto" w:fill="auto"/>
          </w:tcPr>
          <w:p w14:paraId="56A9299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45</w:t>
            </w:r>
          </w:p>
        </w:tc>
        <w:tc>
          <w:tcPr>
            <w:tcW w:w="0" w:type="auto"/>
            <w:shd w:val="clear" w:color="auto" w:fill="auto"/>
          </w:tcPr>
          <w:p w14:paraId="32AD1F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Proiect de Hotărâre de Guvern de modificare a HG Nr. 439/2023 cu privire la organizarea și funcționarea Instituției </w:t>
            </w:r>
            <w:r>
              <w:rPr>
                <w:rFonts w:eastAsia="Times New Roman" w:cs="Times New Roman"/>
                <w:color w:val="auto"/>
                <w:sz w:val="20"/>
                <w:szCs w:val="20"/>
                <w:lang w:eastAsia="ru-RU"/>
              </w:rPr>
              <w:lastRenderedPageBreak/>
              <w:t>Publice Agenția de Investiții și la modificarea unor hotărâri ale Guvernului</w:t>
            </w:r>
          </w:p>
        </w:tc>
        <w:tc>
          <w:tcPr>
            <w:tcW w:w="0" w:type="auto"/>
            <w:shd w:val="clear" w:color="auto" w:fill="auto"/>
          </w:tcPr>
          <w:p w14:paraId="368F30D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Proiect de Hotărâre de </w:t>
            </w:r>
            <w:r>
              <w:rPr>
                <w:rFonts w:eastAsia="Times New Roman" w:cs="Times New Roman"/>
                <w:color w:val="auto"/>
                <w:sz w:val="20"/>
                <w:szCs w:val="20"/>
                <w:lang w:eastAsia="ru-RU"/>
              </w:rPr>
              <w:t>Guvern aprobat</w:t>
            </w:r>
          </w:p>
        </w:tc>
        <w:tc>
          <w:tcPr>
            <w:tcW w:w="0" w:type="auto"/>
            <w:shd w:val="clear" w:color="auto" w:fill="auto"/>
          </w:tcPr>
          <w:p w14:paraId="2E508B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2025</w:t>
            </w:r>
          </w:p>
        </w:tc>
        <w:tc>
          <w:tcPr>
            <w:tcW w:w="0" w:type="auto"/>
            <w:shd w:val="clear" w:color="auto" w:fill="auto"/>
          </w:tcPr>
          <w:p w14:paraId="63131B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F0ADCF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Dezvoltării Economice și Digitalizării</w:t>
            </w:r>
          </w:p>
        </w:tc>
        <w:tc>
          <w:tcPr>
            <w:tcW w:w="0" w:type="auto"/>
            <w:shd w:val="clear" w:color="auto" w:fill="auto"/>
          </w:tcPr>
          <w:p w14:paraId="0ECAFB7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C1CFB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1EE8B1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5FE65DA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23A33CC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180,0</w:t>
            </w:r>
          </w:p>
        </w:tc>
        <w:tc>
          <w:tcPr>
            <w:tcW w:w="0" w:type="auto"/>
            <w:shd w:val="clear" w:color="auto" w:fill="auto"/>
          </w:tcPr>
          <w:p w14:paraId="485FCD8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50.01</w:t>
            </w:r>
          </w:p>
        </w:tc>
      </w:tr>
      <w:tr w:rsidR="0075115C" w14:paraId="5EECC083" w14:textId="77777777">
        <w:trPr>
          <w:trHeight w:val="240"/>
        </w:trPr>
        <w:tc>
          <w:tcPr>
            <w:tcW w:w="0" w:type="auto"/>
            <w:shd w:val="clear" w:color="auto" w:fill="auto"/>
          </w:tcPr>
          <w:p w14:paraId="016884E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46</w:t>
            </w:r>
          </w:p>
        </w:tc>
        <w:tc>
          <w:tcPr>
            <w:tcW w:w="0" w:type="auto"/>
            <w:shd w:val="clear" w:color="auto" w:fill="auto"/>
          </w:tcPr>
          <w:p w14:paraId="21C04B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Instruirea muncitorilor străini, inclusiv a persoanelor strămutate (TechZone)</w:t>
            </w:r>
          </w:p>
        </w:tc>
        <w:tc>
          <w:tcPr>
            <w:tcW w:w="0" w:type="auto"/>
            <w:shd w:val="clear" w:color="auto" w:fill="auto"/>
          </w:tcPr>
          <w:p w14:paraId="691A211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specialiștilor străini calificați angajați de către </w:t>
            </w:r>
            <w:r>
              <w:rPr>
                <w:rFonts w:eastAsia="Times New Roman" w:cs="Times New Roman"/>
                <w:color w:val="auto"/>
                <w:sz w:val="20"/>
                <w:szCs w:val="20"/>
                <w:lang w:eastAsia="ru-RU"/>
              </w:rPr>
              <w:t>întreprinderi</w:t>
            </w:r>
          </w:p>
        </w:tc>
        <w:tc>
          <w:tcPr>
            <w:tcW w:w="0" w:type="auto"/>
            <w:shd w:val="clear" w:color="auto" w:fill="auto"/>
          </w:tcPr>
          <w:p w14:paraId="2A75215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6A8C4F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23DCA0D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Dezvoltării Economice și Digitalizării </w:t>
            </w:r>
          </w:p>
        </w:tc>
        <w:tc>
          <w:tcPr>
            <w:tcW w:w="0" w:type="auto"/>
            <w:shd w:val="clear" w:color="auto" w:fill="auto"/>
          </w:tcPr>
          <w:p w14:paraId="6212358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F9BB64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830,0</w:t>
            </w:r>
          </w:p>
        </w:tc>
        <w:tc>
          <w:tcPr>
            <w:tcW w:w="0" w:type="auto"/>
            <w:shd w:val="clear" w:color="auto" w:fill="auto"/>
          </w:tcPr>
          <w:p w14:paraId="43ACE43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830,0</w:t>
            </w:r>
          </w:p>
        </w:tc>
        <w:tc>
          <w:tcPr>
            <w:tcW w:w="0" w:type="auto"/>
            <w:shd w:val="clear" w:color="auto" w:fill="auto"/>
          </w:tcPr>
          <w:p w14:paraId="5ABCCA3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830,0</w:t>
            </w:r>
          </w:p>
        </w:tc>
        <w:tc>
          <w:tcPr>
            <w:tcW w:w="0" w:type="auto"/>
            <w:shd w:val="clear" w:color="auto" w:fill="auto"/>
          </w:tcPr>
          <w:p w14:paraId="17A629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2490,0</w:t>
            </w:r>
          </w:p>
        </w:tc>
        <w:tc>
          <w:tcPr>
            <w:tcW w:w="0" w:type="auto"/>
            <w:shd w:val="clear" w:color="auto" w:fill="auto"/>
          </w:tcPr>
          <w:p w14:paraId="5C846A3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90.08; Surse externe</w:t>
            </w:r>
          </w:p>
        </w:tc>
      </w:tr>
      <w:tr w:rsidR="0075115C" w14:paraId="5CBA3ED5" w14:textId="77777777">
        <w:trPr>
          <w:trHeight w:val="240"/>
        </w:trPr>
        <w:tc>
          <w:tcPr>
            <w:tcW w:w="0" w:type="auto"/>
            <w:shd w:val="clear" w:color="auto" w:fill="auto"/>
          </w:tcPr>
          <w:p w14:paraId="3BA242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47</w:t>
            </w:r>
          </w:p>
        </w:tc>
        <w:tc>
          <w:tcPr>
            <w:tcW w:w="0" w:type="auto"/>
            <w:shd w:val="clear" w:color="auto" w:fill="auto"/>
          </w:tcPr>
          <w:p w14:paraId="5AD730B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Informarea străinilor privind posibilitățile de accesare a suportului pentru lansarea și dezvoltarea afacerilor prin </w:t>
            </w:r>
            <w:r>
              <w:rPr>
                <w:rFonts w:eastAsia="Times New Roman" w:cs="Times New Roman"/>
                <w:color w:val="auto"/>
                <w:sz w:val="20"/>
                <w:szCs w:val="20"/>
                <w:lang w:eastAsia="ru-RU"/>
              </w:rPr>
              <w:t>programele guvernamentale</w:t>
            </w:r>
          </w:p>
        </w:tc>
        <w:tc>
          <w:tcPr>
            <w:tcW w:w="0" w:type="auto"/>
            <w:shd w:val="clear" w:color="auto" w:fill="auto"/>
          </w:tcPr>
          <w:p w14:paraId="0C757A2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Ghid on-line elaborat și publicat pe pagina web (oda.md); Numărul sesiunilor de informare organizate; </w:t>
            </w:r>
          </w:p>
        </w:tc>
        <w:tc>
          <w:tcPr>
            <w:tcW w:w="0" w:type="auto"/>
            <w:shd w:val="clear" w:color="auto" w:fill="auto"/>
          </w:tcPr>
          <w:p w14:paraId="11DD27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6C3D7B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DB5CD3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Organizația pentru Dezvoltarea Antreprenoriatului</w:t>
            </w:r>
          </w:p>
        </w:tc>
        <w:tc>
          <w:tcPr>
            <w:tcW w:w="0" w:type="auto"/>
            <w:shd w:val="clear" w:color="auto" w:fill="auto"/>
          </w:tcPr>
          <w:p w14:paraId="128F445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Inspectoratul General pentru Migrație</w:t>
            </w:r>
          </w:p>
        </w:tc>
        <w:tc>
          <w:tcPr>
            <w:tcW w:w="0" w:type="auto"/>
            <w:shd w:val="clear" w:color="auto" w:fill="auto"/>
          </w:tcPr>
          <w:p w14:paraId="1D3DE41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w:t>
            </w:r>
          </w:p>
        </w:tc>
        <w:tc>
          <w:tcPr>
            <w:tcW w:w="0" w:type="auto"/>
            <w:shd w:val="clear" w:color="auto" w:fill="auto"/>
          </w:tcPr>
          <w:p w14:paraId="6A645DC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w:t>
            </w:r>
          </w:p>
        </w:tc>
        <w:tc>
          <w:tcPr>
            <w:tcW w:w="0" w:type="auto"/>
            <w:shd w:val="clear" w:color="auto" w:fill="auto"/>
          </w:tcPr>
          <w:p w14:paraId="276EC5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w:t>
            </w:r>
          </w:p>
        </w:tc>
        <w:tc>
          <w:tcPr>
            <w:tcW w:w="0" w:type="auto"/>
            <w:shd w:val="clear" w:color="auto" w:fill="auto"/>
          </w:tcPr>
          <w:p w14:paraId="5F9CC0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250,0</w:t>
            </w:r>
          </w:p>
        </w:tc>
        <w:tc>
          <w:tcPr>
            <w:tcW w:w="0" w:type="auto"/>
            <w:shd w:val="clear" w:color="auto" w:fill="auto"/>
          </w:tcPr>
          <w:p w14:paraId="1B8873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50.04</w:t>
            </w:r>
          </w:p>
        </w:tc>
      </w:tr>
      <w:tr w:rsidR="0075115C" w14:paraId="14BCB083" w14:textId="77777777">
        <w:trPr>
          <w:trHeight w:val="240"/>
        </w:trPr>
        <w:tc>
          <w:tcPr>
            <w:tcW w:w="0" w:type="auto"/>
            <w:shd w:val="clear" w:color="auto" w:fill="auto"/>
          </w:tcPr>
          <w:p w14:paraId="700950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w:t>
            </w:r>
          </w:p>
        </w:tc>
        <w:tc>
          <w:tcPr>
            <w:tcW w:w="0" w:type="auto"/>
            <w:shd w:val="clear" w:color="auto" w:fill="auto"/>
          </w:tcPr>
          <w:p w14:paraId="305DCC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Campanie de promovare a platformelor investiționale din Republica Moldova în rândul străinilor inclusiv a persoanelor strămutate</w:t>
            </w:r>
          </w:p>
        </w:tc>
        <w:tc>
          <w:tcPr>
            <w:tcW w:w="0" w:type="auto"/>
            <w:shd w:val="clear" w:color="auto" w:fill="auto"/>
          </w:tcPr>
          <w:p w14:paraId="196B7E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campaniilor de promovare a platformelor investiționale din RM</w:t>
            </w:r>
          </w:p>
        </w:tc>
        <w:tc>
          <w:tcPr>
            <w:tcW w:w="0" w:type="auto"/>
            <w:shd w:val="clear" w:color="auto" w:fill="auto"/>
          </w:tcPr>
          <w:p w14:paraId="4BDBF1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4FCEB5C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820109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Organizația pentru </w:t>
            </w:r>
            <w:r>
              <w:rPr>
                <w:rFonts w:eastAsia="Times New Roman" w:cs="Times New Roman"/>
                <w:color w:val="auto"/>
                <w:sz w:val="20"/>
                <w:szCs w:val="20"/>
                <w:lang w:eastAsia="ru-RU"/>
              </w:rPr>
              <w:t>Dezvoltarea Antreprenoriatului</w:t>
            </w:r>
          </w:p>
        </w:tc>
        <w:tc>
          <w:tcPr>
            <w:tcW w:w="0" w:type="auto"/>
            <w:shd w:val="clear" w:color="auto" w:fill="auto"/>
          </w:tcPr>
          <w:p w14:paraId="112982BE"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0897F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136,0</w:t>
            </w:r>
          </w:p>
        </w:tc>
        <w:tc>
          <w:tcPr>
            <w:tcW w:w="0" w:type="auto"/>
            <w:shd w:val="clear" w:color="auto" w:fill="auto"/>
          </w:tcPr>
          <w:p w14:paraId="35F102D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136,0</w:t>
            </w:r>
          </w:p>
        </w:tc>
        <w:tc>
          <w:tcPr>
            <w:tcW w:w="0" w:type="auto"/>
            <w:shd w:val="clear" w:color="auto" w:fill="auto"/>
          </w:tcPr>
          <w:p w14:paraId="7A0718B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136,0</w:t>
            </w:r>
          </w:p>
        </w:tc>
        <w:tc>
          <w:tcPr>
            <w:tcW w:w="0" w:type="auto"/>
            <w:shd w:val="clear" w:color="auto" w:fill="auto"/>
          </w:tcPr>
          <w:p w14:paraId="7D4D3B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408,0</w:t>
            </w:r>
          </w:p>
        </w:tc>
        <w:tc>
          <w:tcPr>
            <w:tcW w:w="0" w:type="auto"/>
            <w:shd w:val="clear" w:color="auto" w:fill="auto"/>
          </w:tcPr>
          <w:p w14:paraId="16F01E0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50.04</w:t>
            </w:r>
          </w:p>
        </w:tc>
      </w:tr>
      <w:tr w:rsidR="0075115C" w14:paraId="2F68243C" w14:textId="77777777">
        <w:trPr>
          <w:trHeight w:val="240"/>
        </w:trPr>
        <w:tc>
          <w:tcPr>
            <w:tcW w:w="0" w:type="auto"/>
            <w:shd w:val="clear" w:color="auto" w:fill="auto"/>
          </w:tcPr>
          <w:p w14:paraId="25CC4D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49</w:t>
            </w:r>
          </w:p>
        </w:tc>
        <w:tc>
          <w:tcPr>
            <w:tcW w:w="0" w:type="auto"/>
            <w:shd w:val="clear" w:color="auto" w:fill="auto"/>
          </w:tcPr>
          <w:p w14:paraId="29C180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Promovarea antreprenorialului și evenimentelor de antreprenoriat pentru femeile din Ucraina</w:t>
            </w:r>
          </w:p>
        </w:tc>
        <w:tc>
          <w:tcPr>
            <w:tcW w:w="0" w:type="auto"/>
            <w:shd w:val="clear" w:color="auto" w:fill="auto"/>
          </w:tcPr>
          <w:p w14:paraId="7F6B3E1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Nr. de evenimente efectuate</w:t>
            </w:r>
          </w:p>
        </w:tc>
        <w:tc>
          <w:tcPr>
            <w:tcW w:w="0" w:type="auto"/>
            <w:shd w:val="clear" w:color="auto" w:fill="auto"/>
          </w:tcPr>
          <w:p w14:paraId="5039A3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4E3FEA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51844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Organizația pentru Dezvoltarea Antreprenoriatului</w:t>
            </w:r>
          </w:p>
        </w:tc>
        <w:tc>
          <w:tcPr>
            <w:tcW w:w="0" w:type="auto"/>
            <w:shd w:val="clear" w:color="auto" w:fill="auto"/>
          </w:tcPr>
          <w:p w14:paraId="0EFE51F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Societatea civilă</w:t>
            </w:r>
          </w:p>
        </w:tc>
        <w:tc>
          <w:tcPr>
            <w:tcW w:w="0" w:type="auto"/>
            <w:shd w:val="clear" w:color="auto" w:fill="auto"/>
          </w:tcPr>
          <w:p w14:paraId="4D9A617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8333,3</w:t>
            </w:r>
          </w:p>
        </w:tc>
        <w:tc>
          <w:tcPr>
            <w:tcW w:w="0" w:type="auto"/>
            <w:shd w:val="clear" w:color="auto" w:fill="auto"/>
          </w:tcPr>
          <w:p w14:paraId="369A070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8333,3</w:t>
            </w:r>
          </w:p>
        </w:tc>
        <w:tc>
          <w:tcPr>
            <w:tcW w:w="0" w:type="auto"/>
            <w:shd w:val="clear" w:color="auto" w:fill="auto"/>
          </w:tcPr>
          <w:p w14:paraId="4E0D11A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8333,3</w:t>
            </w:r>
          </w:p>
        </w:tc>
        <w:tc>
          <w:tcPr>
            <w:tcW w:w="0" w:type="auto"/>
            <w:shd w:val="clear" w:color="auto" w:fill="auto"/>
          </w:tcPr>
          <w:p w14:paraId="666B19A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25000,0</w:t>
            </w:r>
          </w:p>
        </w:tc>
        <w:tc>
          <w:tcPr>
            <w:tcW w:w="0" w:type="auto"/>
            <w:shd w:val="clear" w:color="auto" w:fill="auto"/>
          </w:tcPr>
          <w:p w14:paraId="35C3B0F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7EF2F4B0" w14:textId="77777777">
        <w:trPr>
          <w:trHeight w:val="240"/>
        </w:trPr>
        <w:tc>
          <w:tcPr>
            <w:tcW w:w="0" w:type="auto"/>
            <w:shd w:val="clear" w:color="auto" w:fill="auto"/>
          </w:tcPr>
          <w:p w14:paraId="4942CFF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w:t>
            </w:r>
          </w:p>
        </w:tc>
        <w:tc>
          <w:tcPr>
            <w:tcW w:w="0" w:type="auto"/>
            <w:shd w:val="clear" w:color="auto" w:fill="auto"/>
          </w:tcPr>
          <w:p w14:paraId="2331ED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Facilitarea unui Program de mentorat pentru antreprenori ucraineni cu antreprenori Ucraina de succes în Republica Moldova</w:t>
            </w:r>
          </w:p>
        </w:tc>
        <w:tc>
          <w:tcPr>
            <w:tcW w:w="0" w:type="auto"/>
            <w:shd w:val="clear" w:color="auto" w:fill="auto"/>
          </w:tcPr>
          <w:p w14:paraId="4D7545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Program elaborat, Nr de acțiuni întreprinse</w:t>
            </w:r>
          </w:p>
        </w:tc>
        <w:tc>
          <w:tcPr>
            <w:tcW w:w="0" w:type="auto"/>
            <w:shd w:val="clear" w:color="auto" w:fill="auto"/>
          </w:tcPr>
          <w:p w14:paraId="26EC92F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iun. </w:t>
            </w:r>
            <w:r>
              <w:rPr>
                <w:rFonts w:eastAsia="Times New Roman" w:cs="Times New Roman"/>
                <w:color w:val="auto"/>
                <w:sz w:val="20"/>
                <w:szCs w:val="20"/>
                <w:lang w:eastAsia="ru-RU"/>
              </w:rPr>
              <w:t>2026</w:t>
            </w:r>
          </w:p>
        </w:tc>
        <w:tc>
          <w:tcPr>
            <w:tcW w:w="0" w:type="auto"/>
            <w:shd w:val="clear" w:color="auto" w:fill="auto"/>
          </w:tcPr>
          <w:p w14:paraId="5CCED4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5BF5E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Organizația pentru Dezvoltarea Antreprenoriatului</w:t>
            </w:r>
          </w:p>
        </w:tc>
        <w:tc>
          <w:tcPr>
            <w:tcW w:w="0" w:type="auto"/>
            <w:shd w:val="clear" w:color="auto" w:fill="auto"/>
          </w:tcPr>
          <w:p w14:paraId="1996822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Societatea civilă</w:t>
            </w:r>
          </w:p>
        </w:tc>
        <w:tc>
          <w:tcPr>
            <w:tcW w:w="0" w:type="auto"/>
            <w:shd w:val="clear" w:color="auto" w:fill="auto"/>
          </w:tcPr>
          <w:p w14:paraId="3E0C8E27"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2B6428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9000,0</w:t>
            </w:r>
          </w:p>
        </w:tc>
        <w:tc>
          <w:tcPr>
            <w:tcW w:w="0" w:type="auto"/>
            <w:shd w:val="clear" w:color="auto" w:fill="auto"/>
          </w:tcPr>
          <w:p w14:paraId="25236FD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9000,0</w:t>
            </w:r>
          </w:p>
        </w:tc>
        <w:tc>
          <w:tcPr>
            <w:tcW w:w="0" w:type="auto"/>
            <w:shd w:val="clear" w:color="auto" w:fill="auto"/>
          </w:tcPr>
          <w:p w14:paraId="5B865E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18000,0</w:t>
            </w:r>
          </w:p>
        </w:tc>
        <w:tc>
          <w:tcPr>
            <w:tcW w:w="0" w:type="auto"/>
            <w:shd w:val="clear" w:color="auto" w:fill="auto"/>
          </w:tcPr>
          <w:p w14:paraId="4CE16BD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21CFCCED" w14:textId="77777777">
        <w:trPr>
          <w:trHeight w:val="240"/>
        </w:trPr>
        <w:tc>
          <w:tcPr>
            <w:tcW w:w="0" w:type="auto"/>
            <w:shd w:val="clear" w:color="auto" w:fill="auto"/>
          </w:tcPr>
          <w:p w14:paraId="49A1FF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51</w:t>
            </w:r>
          </w:p>
        </w:tc>
        <w:tc>
          <w:tcPr>
            <w:tcW w:w="0" w:type="auto"/>
            <w:shd w:val="clear" w:color="auto" w:fill="auto"/>
          </w:tcPr>
          <w:p w14:paraId="66C513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capacităților Agenției </w:t>
            </w:r>
            <w:r>
              <w:rPr>
                <w:rFonts w:eastAsia="Times New Roman" w:cs="Times New Roman"/>
                <w:color w:val="auto"/>
                <w:sz w:val="20"/>
                <w:szCs w:val="20"/>
                <w:lang w:eastAsia="ru-RU"/>
              </w:rPr>
              <w:lastRenderedPageBreak/>
              <w:t xml:space="preserve">Naționale pentru Ocuparea Forței de Muncă, inclusiv formarea de formatori,în </w:t>
            </w:r>
            <w:r>
              <w:rPr>
                <w:rFonts w:eastAsia="Times New Roman" w:cs="Times New Roman"/>
                <w:color w:val="auto"/>
                <w:sz w:val="20"/>
                <w:szCs w:val="20"/>
                <w:lang w:eastAsia="ru-RU"/>
              </w:rPr>
              <w:t>consilierea în carieră și ajutor la integrarea pe piața muncii a străinilor în Republica Moldova</w:t>
            </w:r>
          </w:p>
        </w:tc>
        <w:tc>
          <w:tcPr>
            <w:tcW w:w="0" w:type="auto"/>
            <w:shd w:val="clear" w:color="auto" w:fill="auto"/>
          </w:tcPr>
          <w:p w14:paraId="3186AA7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Cel putin 20 % din străinii înregistrați la IGM, consiliați </w:t>
            </w:r>
            <w:r>
              <w:rPr>
                <w:rFonts w:eastAsia="Times New Roman" w:cs="Times New Roman"/>
                <w:color w:val="auto"/>
                <w:sz w:val="20"/>
                <w:szCs w:val="20"/>
                <w:lang w:eastAsia="ru-RU"/>
              </w:rPr>
              <w:lastRenderedPageBreak/>
              <w:t>în carieră de către ANOFM; Nr. de persoane consiliate</w:t>
            </w:r>
          </w:p>
        </w:tc>
        <w:tc>
          <w:tcPr>
            <w:tcW w:w="0" w:type="auto"/>
            <w:shd w:val="clear" w:color="auto" w:fill="auto"/>
          </w:tcPr>
          <w:p w14:paraId="164672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ian. 2025</w:t>
            </w:r>
          </w:p>
        </w:tc>
        <w:tc>
          <w:tcPr>
            <w:tcW w:w="0" w:type="auto"/>
            <w:shd w:val="clear" w:color="auto" w:fill="auto"/>
          </w:tcPr>
          <w:p w14:paraId="27ABCE5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518B7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Muncii și </w:t>
            </w:r>
            <w:r>
              <w:rPr>
                <w:rFonts w:eastAsia="Times New Roman" w:cs="Times New Roman"/>
                <w:color w:val="auto"/>
                <w:sz w:val="20"/>
                <w:szCs w:val="20"/>
                <w:lang w:eastAsia="ru-RU"/>
              </w:rPr>
              <w:lastRenderedPageBreak/>
              <w:t>Protecției Sociale</w:t>
            </w:r>
          </w:p>
        </w:tc>
        <w:tc>
          <w:tcPr>
            <w:tcW w:w="0" w:type="auto"/>
            <w:shd w:val="clear" w:color="auto" w:fill="auto"/>
          </w:tcPr>
          <w:p w14:paraId="204865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Agenția Națională </w:t>
            </w:r>
            <w:r>
              <w:rPr>
                <w:rFonts w:eastAsia="Times New Roman" w:cs="Times New Roman"/>
                <w:color w:val="auto"/>
                <w:sz w:val="20"/>
                <w:szCs w:val="20"/>
                <w:lang w:eastAsia="ru-RU"/>
              </w:rPr>
              <w:lastRenderedPageBreak/>
              <w:t>pentru Ocuparea Forței de Muncă; Inspectoratul General pentru Migrație</w:t>
            </w:r>
          </w:p>
        </w:tc>
        <w:tc>
          <w:tcPr>
            <w:tcW w:w="0" w:type="auto"/>
            <w:shd w:val="clear" w:color="auto" w:fill="auto"/>
          </w:tcPr>
          <w:p w14:paraId="14675E8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4000,0</w:t>
            </w:r>
          </w:p>
        </w:tc>
        <w:tc>
          <w:tcPr>
            <w:tcW w:w="0" w:type="auto"/>
            <w:shd w:val="clear" w:color="auto" w:fill="auto"/>
          </w:tcPr>
          <w:p w14:paraId="5CA19A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4000,0</w:t>
            </w:r>
          </w:p>
        </w:tc>
        <w:tc>
          <w:tcPr>
            <w:tcW w:w="0" w:type="auto"/>
            <w:shd w:val="clear" w:color="auto" w:fill="auto"/>
          </w:tcPr>
          <w:p w14:paraId="3EB536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4000,0</w:t>
            </w:r>
          </w:p>
        </w:tc>
        <w:tc>
          <w:tcPr>
            <w:tcW w:w="0" w:type="auto"/>
            <w:shd w:val="clear" w:color="auto" w:fill="auto"/>
          </w:tcPr>
          <w:p w14:paraId="48F4DE3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12000,0</w:t>
            </w:r>
          </w:p>
        </w:tc>
        <w:tc>
          <w:tcPr>
            <w:tcW w:w="0" w:type="auto"/>
            <w:shd w:val="clear" w:color="auto" w:fill="auto"/>
          </w:tcPr>
          <w:p w14:paraId="74FCD0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90.08</w:t>
            </w:r>
          </w:p>
        </w:tc>
      </w:tr>
      <w:tr w:rsidR="0075115C" w14:paraId="67158A65" w14:textId="77777777">
        <w:trPr>
          <w:trHeight w:val="240"/>
        </w:trPr>
        <w:tc>
          <w:tcPr>
            <w:tcW w:w="0" w:type="auto"/>
            <w:shd w:val="clear" w:color="auto" w:fill="auto"/>
          </w:tcPr>
          <w:p w14:paraId="3BF5675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52</w:t>
            </w:r>
          </w:p>
        </w:tc>
        <w:tc>
          <w:tcPr>
            <w:tcW w:w="0" w:type="auto"/>
            <w:shd w:val="clear" w:color="auto" w:fill="auto"/>
          </w:tcPr>
          <w:p w14:paraId="508ADDE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Informarea, într-un limbaj accesibil, a cetățenilor străini privind condițiile de identificare și ocupare a unui loc de muncă în Republica Moldova; </w:t>
            </w:r>
          </w:p>
        </w:tc>
        <w:tc>
          <w:tcPr>
            <w:tcW w:w="0" w:type="auto"/>
            <w:shd w:val="clear" w:color="auto" w:fill="auto"/>
          </w:tcPr>
          <w:p w14:paraId="7A70E5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Mecanism elaborat și aplicat </w:t>
            </w:r>
          </w:p>
        </w:tc>
        <w:tc>
          <w:tcPr>
            <w:tcW w:w="0" w:type="auto"/>
            <w:shd w:val="clear" w:color="auto" w:fill="auto"/>
          </w:tcPr>
          <w:p w14:paraId="581E6B0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21FBC8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5339476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Națională pentru Ocuparea Forței de Muncă</w:t>
            </w:r>
          </w:p>
        </w:tc>
        <w:tc>
          <w:tcPr>
            <w:tcW w:w="0" w:type="auto"/>
            <w:shd w:val="clear" w:color="auto" w:fill="auto"/>
          </w:tcPr>
          <w:p w14:paraId="5774CA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w:t>
            </w:r>
            <w:r>
              <w:rPr>
                <w:rFonts w:eastAsia="Times New Roman" w:cs="Times New Roman"/>
                <w:color w:val="auto"/>
                <w:sz w:val="20"/>
                <w:szCs w:val="20"/>
                <w:lang w:eastAsia="ru-RU"/>
              </w:rPr>
              <w:t xml:space="preserve"> Națională pentru Ocuparea Forței de Muncă; Inspectoratul General pentru Migrație</w:t>
            </w:r>
          </w:p>
        </w:tc>
        <w:tc>
          <w:tcPr>
            <w:tcW w:w="0" w:type="auto"/>
            <w:shd w:val="clear" w:color="auto" w:fill="auto"/>
          </w:tcPr>
          <w:p w14:paraId="3684B9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1CC0568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19C348F7"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3D2E4C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120,0</w:t>
            </w:r>
          </w:p>
        </w:tc>
        <w:tc>
          <w:tcPr>
            <w:tcW w:w="0" w:type="auto"/>
            <w:shd w:val="clear" w:color="auto" w:fill="auto"/>
          </w:tcPr>
          <w:p w14:paraId="7C9E7C5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90.08</w:t>
            </w:r>
          </w:p>
        </w:tc>
      </w:tr>
      <w:tr w:rsidR="0075115C" w14:paraId="56B374DF" w14:textId="77777777">
        <w:trPr>
          <w:trHeight w:val="240"/>
        </w:trPr>
        <w:tc>
          <w:tcPr>
            <w:tcW w:w="0" w:type="auto"/>
            <w:shd w:val="clear" w:color="auto" w:fill="auto"/>
          </w:tcPr>
          <w:p w14:paraId="406B2EB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53</w:t>
            </w:r>
          </w:p>
        </w:tc>
        <w:tc>
          <w:tcPr>
            <w:tcW w:w="0" w:type="auto"/>
            <w:shd w:val="clear" w:color="auto" w:fill="auto"/>
          </w:tcPr>
          <w:p w14:paraId="6AEBFD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Desfășurarea campaniilor de informare și conștientizare despre riscurile migrației ilegale și despre drepturile cetățenilor străini - angajați, </w:t>
            </w:r>
            <w:r>
              <w:rPr>
                <w:rFonts w:eastAsia="Times New Roman" w:cs="Times New Roman"/>
                <w:color w:val="auto"/>
                <w:sz w:val="20"/>
                <w:szCs w:val="20"/>
                <w:lang w:eastAsia="ru-RU"/>
              </w:rPr>
              <w:t>inclusiv campanii destinate agenților economici</w:t>
            </w:r>
          </w:p>
        </w:tc>
        <w:tc>
          <w:tcPr>
            <w:tcW w:w="0" w:type="auto"/>
            <w:shd w:val="clear" w:color="auto" w:fill="auto"/>
          </w:tcPr>
          <w:p w14:paraId="7A5B460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campaniilor de informare realizate; Numărul agenților economici informați cu privire la riscurile și condițiile angajării cetățenilor străini</w:t>
            </w:r>
          </w:p>
        </w:tc>
        <w:tc>
          <w:tcPr>
            <w:tcW w:w="0" w:type="auto"/>
            <w:shd w:val="clear" w:color="auto" w:fill="auto"/>
          </w:tcPr>
          <w:p w14:paraId="1A9AC02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3DC98B6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7F4D67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w:t>
            </w:r>
          </w:p>
        </w:tc>
        <w:tc>
          <w:tcPr>
            <w:tcW w:w="0" w:type="auto"/>
            <w:shd w:val="clear" w:color="auto" w:fill="auto"/>
          </w:tcPr>
          <w:p w14:paraId="06D45EF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Agenția </w:t>
            </w:r>
            <w:r>
              <w:rPr>
                <w:rFonts w:eastAsia="Times New Roman" w:cs="Times New Roman"/>
                <w:color w:val="auto"/>
                <w:sz w:val="20"/>
                <w:szCs w:val="20"/>
                <w:lang w:eastAsia="ru-RU"/>
              </w:rPr>
              <w:t>Națională pentru Ocuparea Forței de Muncă; Organizația Internațională pentru Migrație</w:t>
            </w:r>
          </w:p>
        </w:tc>
        <w:tc>
          <w:tcPr>
            <w:tcW w:w="0" w:type="auto"/>
            <w:shd w:val="clear" w:color="auto" w:fill="auto"/>
          </w:tcPr>
          <w:p w14:paraId="1C4CB5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45DF96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2D9AF0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2C11BF3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w:t>
            </w:r>
          </w:p>
        </w:tc>
        <w:tc>
          <w:tcPr>
            <w:tcW w:w="0" w:type="auto"/>
            <w:shd w:val="clear" w:color="auto" w:fill="auto"/>
          </w:tcPr>
          <w:p w14:paraId="3FE1DBA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35.03; Surse externe</w:t>
            </w:r>
          </w:p>
        </w:tc>
      </w:tr>
      <w:tr w:rsidR="0075115C" w14:paraId="05764308" w14:textId="77777777">
        <w:trPr>
          <w:trHeight w:val="240"/>
        </w:trPr>
        <w:tc>
          <w:tcPr>
            <w:tcW w:w="0" w:type="auto"/>
            <w:shd w:val="clear" w:color="auto" w:fill="auto"/>
          </w:tcPr>
          <w:p w14:paraId="3D9770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54</w:t>
            </w:r>
          </w:p>
        </w:tc>
        <w:tc>
          <w:tcPr>
            <w:tcW w:w="0" w:type="auto"/>
            <w:shd w:val="clear" w:color="auto" w:fill="auto"/>
          </w:tcPr>
          <w:p w14:paraId="75C377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Antrenarea cetățenilor străini în măsuri de promovare a ocupării forței de muncă (servicii și măsuri active) oferite de </w:t>
            </w:r>
            <w:r>
              <w:rPr>
                <w:rFonts w:eastAsia="Times New Roman" w:cs="Times New Roman"/>
                <w:color w:val="auto"/>
                <w:sz w:val="20"/>
                <w:szCs w:val="20"/>
                <w:lang w:eastAsia="ru-RU"/>
              </w:rPr>
              <w:t>ANOFM, în condițiile Legii nr. 274/2011</w:t>
            </w:r>
          </w:p>
        </w:tc>
        <w:tc>
          <w:tcPr>
            <w:tcW w:w="0" w:type="auto"/>
            <w:shd w:val="clear" w:color="auto" w:fill="auto"/>
          </w:tcPr>
          <w:p w14:paraId="66D302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cetățenilor străini beneficiari ai măsurilor și serviciilor de ocupare</w:t>
            </w:r>
          </w:p>
        </w:tc>
        <w:tc>
          <w:tcPr>
            <w:tcW w:w="0" w:type="auto"/>
            <w:shd w:val="clear" w:color="auto" w:fill="auto"/>
          </w:tcPr>
          <w:p w14:paraId="48228C9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70794E2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8B9312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Națională pentru Ocuparea Forței de Muncă</w:t>
            </w:r>
          </w:p>
        </w:tc>
        <w:tc>
          <w:tcPr>
            <w:tcW w:w="0" w:type="auto"/>
            <w:shd w:val="clear" w:color="auto" w:fill="auto"/>
          </w:tcPr>
          <w:p w14:paraId="73A0459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Inspectoratul General pentru Migrație</w:t>
            </w:r>
          </w:p>
        </w:tc>
        <w:tc>
          <w:tcPr>
            <w:tcW w:w="0" w:type="auto"/>
            <w:shd w:val="clear" w:color="auto" w:fill="auto"/>
          </w:tcPr>
          <w:p w14:paraId="6699AAC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37333,3</w:t>
            </w:r>
          </w:p>
        </w:tc>
        <w:tc>
          <w:tcPr>
            <w:tcW w:w="0" w:type="auto"/>
            <w:shd w:val="clear" w:color="auto" w:fill="auto"/>
          </w:tcPr>
          <w:p w14:paraId="3038C1A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37333,3</w:t>
            </w:r>
          </w:p>
        </w:tc>
        <w:tc>
          <w:tcPr>
            <w:tcW w:w="0" w:type="auto"/>
            <w:shd w:val="clear" w:color="auto" w:fill="auto"/>
          </w:tcPr>
          <w:p w14:paraId="0C69C9B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37333,3</w:t>
            </w:r>
          </w:p>
        </w:tc>
        <w:tc>
          <w:tcPr>
            <w:tcW w:w="0" w:type="auto"/>
            <w:shd w:val="clear" w:color="auto" w:fill="auto"/>
          </w:tcPr>
          <w:p w14:paraId="516CEF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112000,0</w:t>
            </w:r>
          </w:p>
        </w:tc>
        <w:tc>
          <w:tcPr>
            <w:tcW w:w="0" w:type="auto"/>
            <w:shd w:val="clear" w:color="auto" w:fill="auto"/>
          </w:tcPr>
          <w:p w14:paraId="5B23BF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90.08</w:t>
            </w:r>
          </w:p>
        </w:tc>
      </w:tr>
      <w:tr w:rsidR="0075115C" w14:paraId="28A30690" w14:textId="77777777">
        <w:trPr>
          <w:trHeight w:val="240"/>
        </w:trPr>
        <w:tc>
          <w:tcPr>
            <w:tcW w:w="0" w:type="auto"/>
            <w:shd w:val="clear" w:color="auto" w:fill="auto"/>
          </w:tcPr>
          <w:p w14:paraId="24F63F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55</w:t>
            </w:r>
          </w:p>
        </w:tc>
        <w:tc>
          <w:tcPr>
            <w:tcW w:w="0" w:type="auto"/>
            <w:shd w:val="clear" w:color="auto" w:fill="auto"/>
          </w:tcPr>
          <w:p w14:paraId="15FC86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Acordarea, conform legislației, a suportului pentru identificarea unui loc de muncă și angajare beneficiarilor de protecție temporară</w:t>
            </w:r>
          </w:p>
        </w:tc>
        <w:tc>
          <w:tcPr>
            <w:tcW w:w="0" w:type="auto"/>
            <w:shd w:val="clear" w:color="auto" w:fill="auto"/>
          </w:tcPr>
          <w:p w14:paraId="13ADBF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beneficiarilor de protecție temporară înregistrați la ANOFM (Termenul de implementare poate var</w:t>
            </w:r>
            <w:r>
              <w:rPr>
                <w:rFonts w:eastAsia="Times New Roman" w:cs="Times New Roman"/>
                <w:color w:val="auto"/>
                <w:sz w:val="20"/>
                <w:szCs w:val="20"/>
                <w:lang w:eastAsia="ru-RU"/>
              </w:rPr>
              <w:t>ia în dependență de modificarea HG nr. 21/2023 (prelungirea protecției temporare)</w:t>
            </w:r>
          </w:p>
        </w:tc>
        <w:tc>
          <w:tcPr>
            <w:tcW w:w="0" w:type="auto"/>
            <w:shd w:val="clear" w:color="auto" w:fill="auto"/>
          </w:tcPr>
          <w:p w14:paraId="0B8D553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480A9C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2026</w:t>
            </w:r>
          </w:p>
        </w:tc>
        <w:tc>
          <w:tcPr>
            <w:tcW w:w="0" w:type="auto"/>
            <w:shd w:val="clear" w:color="auto" w:fill="auto"/>
          </w:tcPr>
          <w:p w14:paraId="5A3160A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Națională pentru Ocuparea Forței de Muncă</w:t>
            </w:r>
          </w:p>
        </w:tc>
        <w:tc>
          <w:tcPr>
            <w:tcW w:w="0" w:type="auto"/>
            <w:shd w:val="clear" w:color="auto" w:fill="auto"/>
          </w:tcPr>
          <w:p w14:paraId="33556BEA"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F19BEE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390,0</w:t>
            </w:r>
          </w:p>
        </w:tc>
        <w:tc>
          <w:tcPr>
            <w:tcW w:w="0" w:type="auto"/>
            <w:shd w:val="clear" w:color="auto" w:fill="auto"/>
          </w:tcPr>
          <w:p w14:paraId="49BDAE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390,0</w:t>
            </w:r>
          </w:p>
        </w:tc>
        <w:tc>
          <w:tcPr>
            <w:tcW w:w="0" w:type="auto"/>
            <w:shd w:val="clear" w:color="auto" w:fill="auto"/>
          </w:tcPr>
          <w:p w14:paraId="0CD7D93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FB4F7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780,0</w:t>
            </w:r>
          </w:p>
        </w:tc>
        <w:tc>
          <w:tcPr>
            <w:tcW w:w="0" w:type="auto"/>
            <w:shd w:val="clear" w:color="auto" w:fill="auto"/>
          </w:tcPr>
          <w:p w14:paraId="6C7D93F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90.08</w:t>
            </w:r>
          </w:p>
        </w:tc>
      </w:tr>
      <w:tr w:rsidR="0075115C" w14:paraId="20278001" w14:textId="77777777">
        <w:trPr>
          <w:trHeight w:val="240"/>
        </w:trPr>
        <w:tc>
          <w:tcPr>
            <w:tcW w:w="0" w:type="auto"/>
            <w:shd w:val="clear" w:color="auto" w:fill="auto"/>
          </w:tcPr>
          <w:p w14:paraId="113F77E4"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4AE7146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Buget total pentru Obiectivul nr. 3</w:t>
            </w:r>
          </w:p>
        </w:tc>
        <w:tc>
          <w:tcPr>
            <w:tcW w:w="0" w:type="auto"/>
            <w:shd w:val="clear" w:color="000000" w:fill="E8E8E8"/>
          </w:tcPr>
          <w:p w14:paraId="1E07BF6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2A471E39"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55F4CF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417AA6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AF0AD4D"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E3516D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51321,7</w:t>
            </w:r>
          </w:p>
        </w:tc>
        <w:tc>
          <w:tcPr>
            <w:tcW w:w="0" w:type="auto"/>
            <w:shd w:val="clear" w:color="000000" w:fill="E8E8E8"/>
          </w:tcPr>
          <w:p w14:paraId="65B96ACD"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60321,7</w:t>
            </w:r>
          </w:p>
        </w:tc>
        <w:tc>
          <w:tcPr>
            <w:tcW w:w="0" w:type="auto"/>
            <w:shd w:val="clear" w:color="000000" w:fill="E8E8E8"/>
          </w:tcPr>
          <w:p w14:paraId="1543259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59871,7</w:t>
            </w:r>
          </w:p>
        </w:tc>
        <w:tc>
          <w:tcPr>
            <w:tcW w:w="0" w:type="auto"/>
            <w:shd w:val="clear" w:color="000000" w:fill="E8E8E8"/>
          </w:tcPr>
          <w:p w14:paraId="4C0714DC"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171515,0</w:t>
            </w:r>
          </w:p>
        </w:tc>
        <w:tc>
          <w:tcPr>
            <w:tcW w:w="0" w:type="auto"/>
            <w:shd w:val="clear" w:color="000000" w:fill="E8E8E8"/>
          </w:tcPr>
          <w:p w14:paraId="46B81C6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7EDA9134" w14:textId="77777777">
        <w:trPr>
          <w:trHeight w:val="240"/>
        </w:trPr>
        <w:tc>
          <w:tcPr>
            <w:tcW w:w="0" w:type="auto"/>
            <w:shd w:val="clear" w:color="000000" w:fill="DAE9F8"/>
          </w:tcPr>
          <w:p w14:paraId="26666A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4206E27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4</w:t>
            </w:r>
          </w:p>
        </w:tc>
        <w:tc>
          <w:tcPr>
            <w:tcW w:w="0" w:type="auto"/>
            <w:gridSpan w:val="10"/>
            <w:shd w:val="clear" w:color="000000" w:fill="DAE9F8"/>
          </w:tcPr>
          <w:p w14:paraId="1D2A67B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Asigurarea accesului la servicii de sănătate esențiale pentru 90% dintre străini aflați pe teritoriul Republicii Moldova cu statut legal până la sfârșitul anului 2027, prin instituirea unor mecanisme durabile și sustenabile</w:t>
            </w:r>
          </w:p>
        </w:tc>
      </w:tr>
      <w:tr w:rsidR="0075115C" w14:paraId="1CB01AF0" w14:textId="77777777">
        <w:trPr>
          <w:trHeight w:val="240"/>
        </w:trPr>
        <w:tc>
          <w:tcPr>
            <w:tcW w:w="0" w:type="auto"/>
            <w:shd w:val="clear" w:color="auto" w:fill="auto"/>
          </w:tcPr>
          <w:p w14:paraId="2201660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56</w:t>
            </w:r>
          </w:p>
        </w:tc>
        <w:tc>
          <w:tcPr>
            <w:tcW w:w="0" w:type="auto"/>
            <w:shd w:val="clear" w:color="auto" w:fill="auto"/>
          </w:tcPr>
          <w:p w14:paraId="2AB441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Aprobarea pachetului de beneficii pentru străinii neîncadrați în sistemul AOAM (neasigurați),, inclusiv diversificarea pe categorii de beneficiari (cu nevoi speciale, solicitanți de azil, copii, etc.)</w:t>
            </w:r>
          </w:p>
        </w:tc>
        <w:tc>
          <w:tcPr>
            <w:tcW w:w="0" w:type="auto"/>
            <w:shd w:val="clear" w:color="auto" w:fill="auto"/>
          </w:tcPr>
          <w:p w14:paraId="60499FC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Pachete de beneficii pentru străini aprobate prin ac</w:t>
            </w:r>
            <w:r>
              <w:rPr>
                <w:rFonts w:eastAsia="Times New Roman" w:cs="Times New Roman"/>
                <w:color w:val="auto"/>
                <w:sz w:val="20"/>
                <w:szCs w:val="20"/>
                <w:lang w:eastAsia="ru-RU"/>
              </w:rPr>
              <w:t>t normativ</w:t>
            </w:r>
          </w:p>
        </w:tc>
        <w:tc>
          <w:tcPr>
            <w:tcW w:w="0" w:type="auto"/>
            <w:shd w:val="clear" w:color="auto" w:fill="auto"/>
          </w:tcPr>
          <w:p w14:paraId="0384A6F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1306E2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0A3675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6646E32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Compania Națională de asigurări în medicină; Inspectoratul General pentru Migrație și Inspectoratul General al Poliției de Frontieră – pentru consultare</w:t>
            </w:r>
          </w:p>
        </w:tc>
        <w:tc>
          <w:tcPr>
            <w:tcW w:w="0" w:type="auto"/>
            <w:shd w:val="clear" w:color="auto" w:fill="auto"/>
          </w:tcPr>
          <w:p w14:paraId="48862537"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D4E901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9FA856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ADD232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09A5B5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80.05; OMS; OIM,</w:t>
            </w:r>
            <w:r>
              <w:rPr>
                <w:rFonts w:eastAsia="Times New Roman" w:cs="Times New Roman"/>
                <w:color w:val="auto"/>
                <w:sz w:val="20"/>
                <w:szCs w:val="20"/>
                <w:lang w:eastAsia="ru-RU"/>
              </w:rPr>
              <w:t xml:space="preserve"> UNICEF, UNFPA</w:t>
            </w:r>
            <w:r>
              <w:rPr>
                <w:rFonts w:eastAsia="Times New Roman" w:cs="Times New Roman"/>
                <w:color w:val="auto"/>
                <w:sz w:val="20"/>
                <w:szCs w:val="20"/>
                <w:lang w:eastAsia="ru-RU"/>
              </w:rPr>
              <w:br/>
              <w:t>70,0 (MS) 50,0 (CNAM) 50,0 (MAI) 1.082,7 (OMS) 270,7 (OIM) ----(UNICEF) ----(UNFPA)</w:t>
            </w:r>
          </w:p>
        </w:tc>
      </w:tr>
      <w:tr w:rsidR="0075115C" w14:paraId="6C17DA0A" w14:textId="77777777">
        <w:trPr>
          <w:trHeight w:val="240"/>
        </w:trPr>
        <w:tc>
          <w:tcPr>
            <w:tcW w:w="0" w:type="auto"/>
            <w:shd w:val="clear" w:color="auto" w:fill="auto"/>
          </w:tcPr>
          <w:p w14:paraId="2B06315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w:t>
            </w:r>
          </w:p>
        </w:tc>
        <w:tc>
          <w:tcPr>
            <w:tcW w:w="0" w:type="auto"/>
            <w:shd w:val="clear" w:color="auto" w:fill="auto"/>
          </w:tcPr>
          <w:p w14:paraId="279FD3B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Modificarea cadrului normativ național (Legea nr. 269/1994, Legea nr. 270/2008, Legea nr. 200/2010, Legea nr. 274/2011, Legea nr. 411/1995, Legea </w:t>
            </w:r>
            <w:r>
              <w:rPr>
                <w:rFonts w:eastAsia="Times New Roman" w:cs="Times New Roman"/>
                <w:color w:val="auto"/>
                <w:sz w:val="20"/>
                <w:szCs w:val="20"/>
                <w:lang w:eastAsia="ru-RU"/>
              </w:rPr>
              <w:t xml:space="preserve">nr. 1585/1998, </w:t>
            </w:r>
            <w:r>
              <w:rPr>
                <w:rFonts w:eastAsia="Times New Roman" w:cs="Times New Roman"/>
                <w:color w:val="auto"/>
                <w:sz w:val="20"/>
                <w:szCs w:val="20"/>
                <w:lang w:eastAsia="ru-RU"/>
              </w:rPr>
              <w:lastRenderedPageBreak/>
              <w:t>etc.) pentru a exclude barierele legislative și a asigurarea încadrării sustenabilă a străinilor în sistemul național de sănătate, inclusiv asigurarea accesului copiilor străini la serviciile de sănătate, în aceleași condiții ca și copiii ce</w:t>
            </w:r>
            <w:r>
              <w:rPr>
                <w:rFonts w:eastAsia="Times New Roman" w:cs="Times New Roman"/>
                <w:color w:val="auto"/>
                <w:sz w:val="20"/>
                <w:szCs w:val="20"/>
                <w:lang w:eastAsia="ru-RU"/>
              </w:rPr>
              <w:t>tățeni ai Republicii Moldova (inclusiv asigurarea facultativă)</w:t>
            </w:r>
          </w:p>
        </w:tc>
        <w:tc>
          <w:tcPr>
            <w:tcW w:w="0" w:type="auto"/>
            <w:shd w:val="clear" w:color="auto" w:fill="auto"/>
          </w:tcPr>
          <w:p w14:paraId="398ABA2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Acte normative aprobate</w:t>
            </w:r>
          </w:p>
        </w:tc>
        <w:tc>
          <w:tcPr>
            <w:tcW w:w="0" w:type="auto"/>
            <w:shd w:val="clear" w:color="auto" w:fill="auto"/>
          </w:tcPr>
          <w:p w14:paraId="1A1512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35824D5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2025</w:t>
            </w:r>
          </w:p>
        </w:tc>
        <w:tc>
          <w:tcPr>
            <w:tcW w:w="0" w:type="auto"/>
            <w:shd w:val="clear" w:color="auto" w:fill="auto"/>
          </w:tcPr>
          <w:p w14:paraId="62DD789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65671F7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Compania Națională de asigurări în medicină; </w:t>
            </w:r>
            <w:r>
              <w:rPr>
                <w:rFonts w:eastAsia="Times New Roman" w:cs="Times New Roman"/>
                <w:color w:val="auto"/>
                <w:sz w:val="20"/>
                <w:szCs w:val="20"/>
                <w:lang w:eastAsia="ru-RU"/>
              </w:rPr>
              <w:lastRenderedPageBreak/>
              <w:t>Ministerul Afacerilor Interne (Inspectoratul Genera</w:t>
            </w:r>
            <w:r>
              <w:rPr>
                <w:rFonts w:eastAsia="Times New Roman" w:cs="Times New Roman"/>
                <w:color w:val="auto"/>
                <w:sz w:val="20"/>
                <w:szCs w:val="20"/>
                <w:lang w:eastAsia="ru-RU"/>
              </w:rPr>
              <w:t>l pentru Migrație și Inspectoratul General al Poliției de Frontieră) – pentru consultare</w:t>
            </w:r>
          </w:p>
        </w:tc>
        <w:tc>
          <w:tcPr>
            <w:tcW w:w="0" w:type="auto"/>
            <w:shd w:val="clear" w:color="auto" w:fill="auto"/>
          </w:tcPr>
          <w:p w14:paraId="402F6C2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730,4</w:t>
            </w:r>
          </w:p>
        </w:tc>
        <w:tc>
          <w:tcPr>
            <w:tcW w:w="0" w:type="auto"/>
            <w:shd w:val="clear" w:color="auto" w:fill="auto"/>
          </w:tcPr>
          <w:p w14:paraId="7653FB89"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EE5B6E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DA660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730,4</w:t>
            </w:r>
          </w:p>
        </w:tc>
        <w:tc>
          <w:tcPr>
            <w:tcW w:w="0" w:type="auto"/>
            <w:shd w:val="clear" w:color="auto" w:fill="auto"/>
          </w:tcPr>
          <w:p w14:paraId="12CD613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80.01; OMS, OIM, UNICEF, UNFPA</w:t>
            </w:r>
            <w:r>
              <w:rPr>
                <w:rFonts w:eastAsia="Times New Roman" w:cs="Times New Roman"/>
                <w:color w:val="auto"/>
                <w:sz w:val="20"/>
                <w:szCs w:val="20"/>
                <w:lang w:eastAsia="ru-RU"/>
              </w:rPr>
              <w:br/>
              <w:t xml:space="preserve">(89,0 (MS) 50,0 (CNAM) </w:t>
            </w:r>
            <w:r>
              <w:rPr>
                <w:rFonts w:eastAsia="Times New Roman" w:cs="Times New Roman"/>
                <w:color w:val="auto"/>
                <w:sz w:val="20"/>
                <w:szCs w:val="20"/>
                <w:lang w:eastAsia="ru-RU"/>
              </w:rPr>
              <w:lastRenderedPageBreak/>
              <w:t>50,0 (MAI) 270,7 (OMS) 270,7 (OIM) ----(UNICEF) ----(UNFPA))</w:t>
            </w:r>
          </w:p>
        </w:tc>
      </w:tr>
      <w:tr w:rsidR="0075115C" w14:paraId="2AD3692D" w14:textId="77777777">
        <w:trPr>
          <w:trHeight w:val="240"/>
        </w:trPr>
        <w:tc>
          <w:tcPr>
            <w:tcW w:w="0" w:type="auto"/>
            <w:shd w:val="clear" w:color="auto" w:fill="auto"/>
          </w:tcPr>
          <w:p w14:paraId="6A14A8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58</w:t>
            </w:r>
          </w:p>
        </w:tc>
        <w:tc>
          <w:tcPr>
            <w:tcW w:w="0" w:type="auto"/>
            <w:shd w:val="clear" w:color="auto" w:fill="auto"/>
          </w:tcPr>
          <w:p w14:paraId="357EA15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și aprobarea </w:t>
            </w:r>
            <w:r>
              <w:rPr>
                <w:rFonts w:eastAsia="Times New Roman" w:cs="Times New Roman"/>
                <w:color w:val="auto"/>
                <w:sz w:val="20"/>
                <w:szCs w:val="20"/>
                <w:lang w:eastAsia="ru-RU"/>
              </w:rPr>
              <w:t>mecanismelor de punere în aplicare a cadrului normativ (mecanismele de finanțare, pachet de servicii medicale, desemnarea prestatorilor de servicii medicale, traseul pacienților, organizarea prestării și raportarea acordării serviciilor medicale)</w:t>
            </w:r>
          </w:p>
        </w:tc>
        <w:tc>
          <w:tcPr>
            <w:tcW w:w="0" w:type="auto"/>
            <w:shd w:val="clear" w:color="auto" w:fill="auto"/>
          </w:tcPr>
          <w:p w14:paraId="5600FC3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Mecanisme</w:t>
            </w:r>
            <w:r>
              <w:rPr>
                <w:rFonts w:eastAsia="Times New Roman" w:cs="Times New Roman"/>
                <w:color w:val="auto"/>
                <w:sz w:val="20"/>
                <w:szCs w:val="20"/>
                <w:lang w:eastAsia="ru-RU"/>
              </w:rPr>
              <w:t xml:space="preserve"> dezvoltate și aprobate prin acte normative (conform tipului documentului)</w:t>
            </w:r>
          </w:p>
        </w:tc>
        <w:tc>
          <w:tcPr>
            <w:tcW w:w="0" w:type="auto"/>
            <w:shd w:val="clear" w:color="auto" w:fill="auto"/>
          </w:tcPr>
          <w:p w14:paraId="7ED8DA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603863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2025</w:t>
            </w:r>
          </w:p>
        </w:tc>
        <w:tc>
          <w:tcPr>
            <w:tcW w:w="0" w:type="auto"/>
            <w:shd w:val="clear" w:color="auto" w:fill="auto"/>
          </w:tcPr>
          <w:p w14:paraId="6E3D83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48E5F1E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Compania Națională de asigurări în medicină; OMS; OIM – pentru consultare</w:t>
            </w:r>
          </w:p>
        </w:tc>
        <w:tc>
          <w:tcPr>
            <w:tcW w:w="0" w:type="auto"/>
            <w:shd w:val="clear" w:color="auto" w:fill="auto"/>
          </w:tcPr>
          <w:p w14:paraId="387E512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911,8</w:t>
            </w:r>
          </w:p>
        </w:tc>
        <w:tc>
          <w:tcPr>
            <w:tcW w:w="0" w:type="auto"/>
            <w:shd w:val="clear" w:color="auto" w:fill="auto"/>
          </w:tcPr>
          <w:p w14:paraId="60FD543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1956BA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C5072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911,8</w:t>
            </w:r>
          </w:p>
        </w:tc>
        <w:tc>
          <w:tcPr>
            <w:tcW w:w="0" w:type="auto"/>
            <w:shd w:val="clear" w:color="auto" w:fill="auto"/>
          </w:tcPr>
          <w:p w14:paraId="053A5B7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80.05; OMS, OIM, </w:t>
            </w:r>
            <w:r>
              <w:rPr>
                <w:rFonts w:eastAsia="Times New Roman" w:cs="Times New Roman"/>
                <w:color w:val="auto"/>
                <w:sz w:val="20"/>
                <w:szCs w:val="20"/>
                <w:lang w:eastAsia="ru-RU"/>
              </w:rPr>
              <w:t>UNICEF, UNFPA</w:t>
            </w:r>
            <w:r>
              <w:rPr>
                <w:rFonts w:eastAsia="Times New Roman" w:cs="Times New Roman"/>
                <w:color w:val="auto"/>
                <w:sz w:val="20"/>
                <w:szCs w:val="20"/>
                <w:lang w:eastAsia="ru-RU"/>
              </w:rPr>
              <w:br/>
              <w:t>90,0 (MS) 50,0 (CNAM) 50,0 (MAI) 451,1 (OMS) 270,7 (OIM) ----(UNICEF) ----(UNFPA</w:t>
            </w:r>
          </w:p>
        </w:tc>
      </w:tr>
      <w:tr w:rsidR="0075115C" w14:paraId="424C4C20" w14:textId="77777777">
        <w:trPr>
          <w:trHeight w:val="240"/>
        </w:trPr>
        <w:tc>
          <w:tcPr>
            <w:tcW w:w="0" w:type="auto"/>
            <w:shd w:val="clear" w:color="auto" w:fill="auto"/>
          </w:tcPr>
          <w:p w14:paraId="0B76BCB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59</w:t>
            </w:r>
          </w:p>
        </w:tc>
        <w:tc>
          <w:tcPr>
            <w:tcW w:w="0" w:type="auto"/>
            <w:shd w:val="clear" w:color="auto" w:fill="auto"/>
          </w:tcPr>
          <w:p w14:paraId="65336C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Revizuirea reglementărilor ce țin de accesul solicitanții de azil, refugiați și migranți nedocumentați la serviciile medicale și tratament inclus în programe</w:t>
            </w:r>
            <w:r>
              <w:rPr>
                <w:rFonts w:eastAsia="Times New Roman" w:cs="Times New Roman"/>
                <w:color w:val="auto"/>
                <w:sz w:val="20"/>
                <w:szCs w:val="20"/>
                <w:lang w:eastAsia="ru-RU"/>
              </w:rPr>
              <w:t xml:space="preserve">le naționale </w:t>
            </w:r>
            <w:r>
              <w:rPr>
                <w:rFonts w:eastAsia="Times New Roman" w:cs="Times New Roman"/>
                <w:color w:val="auto"/>
                <w:sz w:val="20"/>
                <w:szCs w:val="20"/>
                <w:lang w:eastAsia="ru-RU"/>
              </w:rPr>
              <w:lastRenderedPageBreak/>
              <w:t>(pachet de beneficii, traseul pacientului, prestator de servicii medicale, finanțare, etc.).</w:t>
            </w:r>
          </w:p>
        </w:tc>
        <w:tc>
          <w:tcPr>
            <w:tcW w:w="0" w:type="auto"/>
            <w:shd w:val="clear" w:color="auto" w:fill="auto"/>
          </w:tcPr>
          <w:p w14:paraId="00E50C3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Hotărâre a Guvernului adoptată</w:t>
            </w:r>
          </w:p>
        </w:tc>
        <w:tc>
          <w:tcPr>
            <w:tcW w:w="0" w:type="auto"/>
            <w:shd w:val="clear" w:color="auto" w:fill="auto"/>
          </w:tcPr>
          <w:p w14:paraId="6E128C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589E06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4172D4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6D538CF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Afacerilor Interne; Compania Națională de asigurări în medicină; </w:t>
            </w:r>
            <w:r>
              <w:rPr>
                <w:rFonts w:eastAsia="Times New Roman" w:cs="Times New Roman"/>
                <w:color w:val="auto"/>
                <w:sz w:val="20"/>
                <w:szCs w:val="20"/>
                <w:lang w:eastAsia="ru-RU"/>
              </w:rPr>
              <w:lastRenderedPageBreak/>
              <w:t>OMS; OIM; UNICEF; UNFPA; Ministerul Afacerilor Interne (Inspectoratul General pentru Migrație și Inspectoratul General al Poliției de Frontieră )– pentru consultare</w:t>
            </w:r>
          </w:p>
        </w:tc>
        <w:tc>
          <w:tcPr>
            <w:tcW w:w="0" w:type="auto"/>
            <w:shd w:val="clear" w:color="auto" w:fill="auto"/>
          </w:tcPr>
          <w:p w14:paraId="395391D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320,5</w:t>
            </w:r>
          </w:p>
        </w:tc>
        <w:tc>
          <w:tcPr>
            <w:tcW w:w="0" w:type="auto"/>
            <w:shd w:val="clear" w:color="auto" w:fill="auto"/>
          </w:tcPr>
          <w:p w14:paraId="560F6C54"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8BBB054"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36849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320,5</w:t>
            </w:r>
          </w:p>
        </w:tc>
        <w:tc>
          <w:tcPr>
            <w:tcW w:w="0" w:type="auto"/>
            <w:shd w:val="clear" w:color="auto" w:fill="auto"/>
          </w:tcPr>
          <w:p w14:paraId="12E6FB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80.01; 80.04; 80.02; 35.01; 35.03; OMS, OIM</w:t>
            </w:r>
            <w:r>
              <w:rPr>
                <w:rFonts w:eastAsia="Times New Roman" w:cs="Times New Roman"/>
                <w:color w:val="auto"/>
                <w:sz w:val="20"/>
                <w:szCs w:val="20"/>
                <w:lang w:eastAsia="ru-RU"/>
              </w:rPr>
              <w:br/>
              <w:t xml:space="preserve">(140,0 (MS) 50,0 </w:t>
            </w:r>
            <w:r>
              <w:rPr>
                <w:rFonts w:eastAsia="Times New Roman" w:cs="Times New Roman"/>
                <w:color w:val="auto"/>
                <w:sz w:val="20"/>
                <w:szCs w:val="20"/>
                <w:lang w:eastAsia="ru-RU"/>
              </w:rPr>
              <w:lastRenderedPageBreak/>
              <w:t>(MAI) 180,5 (OMS</w:t>
            </w:r>
            <w:r>
              <w:rPr>
                <w:rFonts w:eastAsia="Times New Roman" w:cs="Times New Roman"/>
                <w:color w:val="auto"/>
                <w:sz w:val="20"/>
                <w:szCs w:val="20"/>
                <w:lang w:eastAsia="ru-RU"/>
              </w:rPr>
              <w:t>) 180,5 (OIM) ----(UNICEF) ----(UNFPA)</w:t>
            </w:r>
          </w:p>
        </w:tc>
      </w:tr>
      <w:tr w:rsidR="0075115C" w14:paraId="14865625" w14:textId="77777777">
        <w:trPr>
          <w:trHeight w:val="240"/>
        </w:trPr>
        <w:tc>
          <w:tcPr>
            <w:tcW w:w="0" w:type="auto"/>
            <w:shd w:val="clear" w:color="auto" w:fill="auto"/>
          </w:tcPr>
          <w:p w14:paraId="0411388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60</w:t>
            </w:r>
          </w:p>
        </w:tc>
        <w:tc>
          <w:tcPr>
            <w:tcW w:w="0" w:type="auto"/>
            <w:shd w:val="clear" w:color="auto" w:fill="auto"/>
          </w:tcPr>
          <w:p w14:paraId="23B333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procedurilor operaționale standard pentru gestionarea urgențelor medicale și a cazurilor de infecție în cazul străinilor (în cadrul centrelor de plasament) (traseul pacientului).</w:t>
            </w:r>
          </w:p>
        </w:tc>
        <w:tc>
          <w:tcPr>
            <w:tcW w:w="0" w:type="auto"/>
            <w:shd w:val="clear" w:color="auto" w:fill="auto"/>
          </w:tcPr>
          <w:p w14:paraId="2CC395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Nr. de proceduri </w:t>
            </w:r>
            <w:r>
              <w:rPr>
                <w:rFonts w:eastAsia="Times New Roman" w:cs="Times New Roman"/>
                <w:color w:val="auto"/>
                <w:sz w:val="20"/>
                <w:szCs w:val="20"/>
                <w:lang w:eastAsia="ru-RU"/>
              </w:rPr>
              <w:t>operaționale standard elaborate</w:t>
            </w:r>
          </w:p>
        </w:tc>
        <w:tc>
          <w:tcPr>
            <w:tcW w:w="0" w:type="auto"/>
            <w:shd w:val="clear" w:color="auto" w:fill="auto"/>
          </w:tcPr>
          <w:p w14:paraId="664432C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615D84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2026</w:t>
            </w:r>
          </w:p>
        </w:tc>
        <w:tc>
          <w:tcPr>
            <w:tcW w:w="0" w:type="auto"/>
            <w:shd w:val="clear" w:color="auto" w:fill="auto"/>
          </w:tcPr>
          <w:p w14:paraId="5BC1DA4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36E0CA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Compania Națională de asigurări în medicină; OMS; OIM – pentru consultare</w:t>
            </w:r>
          </w:p>
        </w:tc>
        <w:tc>
          <w:tcPr>
            <w:tcW w:w="0" w:type="auto"/>
            <w:shd w:val="clear" w:color="auto" w:fill="auto"/>
          </w:tcPr>
          <w:p w14:paraId="68C4E35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33,5</w:t>
            </w:r>
          </w:p>
        </w:tc>
        <w:tc>
          <w:tcPr>
            <w:tcW w:w="0" w:type="auto"/>
            <w:shd w:val="clear" w:color="auto" w:fill="auto"/>
          </w:tcPr>
          <w:p w14:paraId="645186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33,5</w:t>
            </w:r>
          </w:p>
        </w:tc>
        <w:tc>
          <w:tcPr>
            <w:tcW w:w="0" w:type="auto"/>
            <w:shd w:val="clear" w:color="auto" w:fill="auto"/>
          </w:tcPr>
          <w:p w14:paraId="269AE73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FA4B9E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67,0</w:t>
            </w:r>
          </w:p>
        </w:tc>
        <w:tc>
          <w:tcPr>
            <w:tcW w:w="0" w:type="auto"/>
            <w:shd w:val="clear" w:color="auto" w:fill="auto"/>
          </w:tcPr>
          <w:p w14:paraId="0D7D21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80.09</w:t>
            </w:r>
          </w:p>
        </w:tc>
      </w:tr>
      <w:tr w:rsidR="0075115C" w14:paraId="645DD052" w14:textId="77777777">
        <w:trPr>
          <w:trHeight w:val="240"/>
        </w:trPr>
        <w:tc>
          <w:tcPr>
            <w:tcW w:w="0" w:type="auto"/>
            <w:shd w:val="clear" w:color="auto" w:fill="auto"/>
          </w:tcPr>
          <w:p w14:paraId="00A384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61</w:t>
            </w:r>
          </w:p>
        </w:tc>
        <w:tc>
          <w:tcPr>
            <w:tcW w:w="0" w:type="auto"/>
            <w:shd w:val="clear" w:color="auto" w:fill="auto"/>
          </w:tcPr>
          <w:p w14:paraId="1C1B881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Instruirea personalului medical privind accesul la serviii de sănătate a străinilor</w:t>
            </w:r>
            <w:r>
              <w:rPr>
                <w:rFonts w:eastAsia="Times New Roman" w:cs="Times New Roman"/>
                <w:color w:val="auto"/>
                <w:sz w:val="20"/>
                <w:szCs w:val="20"/>
                <w:lang w:eastAsia="ru-RU"/>
              </w:rPr>
              <w:t xml:space="preserve"> și pentru aplicarea corectă a prevederilor actelor normative în vigoare</w:t>
            </w:r>
          </w:p>
        </w:tc>
        <w:tc>
          <w:tcPr>
            <w:tcW w:w="0" w:type="auto"/>
            <w:shd w:val="clear" w:color="auto" w:fill="auto"/>
          </w:tcPr>
          <w:p w14:paraId="67417D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Nr. de sesiuni; Nr. de personal medical instruit</w:t>
            </w:r>
          </w:p>
        </w:tc>
        <w:tc>
          <w:tcPr>
            <w:tcW w:w="0" w:type="auto"/>
            <w:shd w:val="clear" w:color="auto" w:fill="auto"/>
          </w:tcPr>
          <w:p w14:paraId="5676A3F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207D34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2025</w:t>
            </w:r>
          </w:p>
        </w:tc>
        <w:tc>
          <w:tcPr>
            <w:tcW w:w="0" w:type="auto"/>
            <w:shd w:val="clear" w:color="auto" w:fill="auto"/>
          </w:tcPr>
          <w:p w14:paraId="7E565F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529A1CD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Compania Națională de asigurări în medicină; Inspectoratul Ge</w:t>
            </w:r>
            <w:r>
              <w:rPr>
                <w:rFonts w:eastAsia="Times New Roman" w:cs="Times New Roman"/>
                <w:color w:val="auto"/>
                <w:sz w:val="20"/>
                <w:szCs w:val="20"/>
                <w:lang w:eastAsia="ru-RU"/>
              </w:rPr>
              <w:t>neral pentru Migrație și Inspectorat</w:t>
            </w:r>
            <w:r>
              <w:rPr>
                <w:rFonts w:eastAsia="Times New Roman" w:cs="Times New Roman"/>
                <w:color w:val="auto"/>
                <w:sz w:val="20"/>
                <w:szCs w:val="20"/>
                <w:lang w:eastAsia="ru-RU"/>
              </w:rPr>
              <w:lastRenderedPageBreak/>
              <w:t>ul General al Poliției de Frontieră; OIM; OMS</w:t>
            </w:r>
          </w:p>
        </w:tc>
        <w:tc>
          <w:tcPr>
            <w:tcW w:w="0" w:type="auto"/>
            <w:shd w:val="clear" w:color="auto" w:fill="auto"/>
          </w:tcPr>
          <w:p w14:paraId="7D50790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3609,1</w:t>
            </w:r>
          </w:p>
        </w:tc>
        <w:tc>
          <w:tcPr>
            <w:tcW w:w="0" w:type="auto"/>
            <w:shd w:val="clear" w:color="auto" w:fill="auto"/>
          </w:tcPr>
          <w:p w14:paraId="1340127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C10D15F"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C3CEC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3609,1</w:t>
            </w:r>
          </w:p>
        </w:tc>
        <w:tc>
          <w:tcPr>
            <w:tcW w:w="0" w:type="auto"/>
            <w:shd w:val="clear" w:color="auto" w:fill="auto"/>
          </w:tcPr>
          <w:p w14:paraId="583E2D5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80.01; 80.04; 80.02; 35.01; 35.03; OMS, OIM</w:t>
            </w:r>
            <w:r>
              <w:rPr>
                <w:rFonts w:eastAsia="Times New Roman" w:cs="Times New Roman"/>
                <w:color w:val="auto"/>
                <w:sz w:val="20"/>
                <w:szCs w:val="20"/>
                <w:lang w:eastAsia="ru-RU"/>
              </w:rPr>
              <w:br/>
              <w:t>(2.706,8 (OMS) 902,3 (OIM) ----(UNICEF) ----(UNFPA))</w:t>
            </w:r>
          </w:p>
        </w:tc>
      </w:tr>
      <w:tr w:rsidR="0075115C" w14:paraId="54B59EC0" w14:textId="77777777">
        <w:trPr>
          <w:trHeight w:val="240"/>
        </w:trPr>
        <w:tc>
          <w:tcPr>
            <w:tcW w:w="0" w:type="auto"/>
            <w:shd w:val="clear" w:color="auto" w:fill="auto"/>
          </w:tcPr>
          <w:p w14:paraId="7E0DCDB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62</w:t>
            </w:r>
          </w:p>
        </w:tc>
        <w:tc>
          <w:tcPr>
            <w:tcW w:w="0" w:type="auto"/>
            <w:shd w:val="clear" w:color="auto" w:fill="auto"/>
          </w:tcPr>
          <w:p w14:paraId="72994C2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Asiurarea accesului străinilor la servicii medicale </w:t>
            </w:r>
            <w:r>
              <w:rPr>
                <w:rFonts w:eastAsia="Times New Roman" w:cs="Times New Roman"/>
                <w:color w:val="auto"/>
                <w:sz w:val="20"/>
                <w:szCs w:val="20"/>
                <w:lang w:eastAsia="ru-RU"/>
              </w:rPr>
              <w:t>necesare prin acoperirea costurilor acestora, pentru: - persoanele strămutate din Ucraina cu protecție temporară conform prevederilor HG 21/2023 - străinii care fac parte din categoriile asigurate de stat în sistemul AOAM - categoriile de străini neasigura</w:t>
            </w:r>
            <w:r>
              <w:rPr>
                <w:rFonts w:eastAsia="Times New Roman" w:cs="Times New Roman"/>
                <w:color w:val="auto"/>
                <w:sz w:val="20"/>
                <w:szCs w:val="20"/>
                <w:lang w:eastAsia="ru-RU"/>
              </w:rPr>
              <w:t>ți în sistemul AOAM - alte categorii de străini beneficiari de servicii medicale în afara sistemului de AOAM</w:t>
            </w:r>
          </w:p>
        </w:tc>
        <w:tc>
          <w:tcPr>
            <w:tcW w:w="0" w:type="auto"/>
            <w:shd w:val="clear" w:color="auto" w:fill="auto"/>
          </w:tcPr>
          <w:p w14:paraId="7E0B65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Acte normative aprobate</w:t>
            </w:r>
          </w:p>
        </w:tc>
        <w:tc>
          <w:tcPr>
            <w:tcW w:w="0" w:type="auto"/>
            <w:shd w:val="clear" w:color="auto" w:fill="auto"/>
          </w:tcPr>
          <w:p w14:paraId="163D4C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2026</w:t>
            </w:r>
          </w:p>
        </w:tc>
        <w:tc>
          <w:tcPr>
            <w:tcW w:w="0" w:type="auto"/>
            <w:shd w:val="clear" w:color="auto" w:fill="auto"/>
          </w:tcPr>
          <w:p w14:paraId="489E344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8485AA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 Ministerul Afacerilor Interne; Ministerul de Finanțe; Compania Națională de Asigu</w:t>
            </w:r>
            <w:r>
              <w:rPr>
                <w:rFonts w:eastAsia="Times New Roman" w:cs="Times New Roman"/>
                <w:color w:val="auto"/>
                <w:sz w:val="20"/>
                <w:szCs w:val="20"/>
                <w:lang w:eastAsia="ru-RU"/>
              </w:rPr>
              <w:t xml:space="preserve">rări în Medicină. </w:t>
            </w:r>
          </w:p>
        </w:tc>
        <w:tc>
          <w:tcPr>
            <w:tcW w:w="0" w:type="auto"/>
            <w:shd w:val="clear" w:color="auto" w:fill="auto"/>
          </w:tcPr>
          <w:p w14:paraId="0ACB01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Națională de Sănătate Publică; OMS; OIM; UNICEF; UNFPA; Inspectoratul General pentru Migrație și Inspectoratul General al Poliției de Frontieră</w:t>
            </w:r>
          </w:p>
        </w:tc>
        <w:tc>
          <w:tcPr>
            <w:tcW w:w="0" w:type="auto"/>
            <w:shd w:val="clear" w:color="auto" w:fill="auto"/>
          </w:tcPr>
          <w:p w14:paraId="2907575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9AD70C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35000,0</w:t>
            </w:r>
          </w:p>
        </w:tc>
        <w:tc>
          <w:tcPr>
            <w:tcW w:w="0" w:type="auto"/>
            <w:shd w:val="clear" w:color="auto" w:fill="auto"/>
          </w:tcPr>
          <w:p w14:paraId="2DCC5E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25000,0</w:t>
            </w:r>
          </w:p>
        </w:tc>
        <w:tc>
          <w:tcPr>
            <w:tcW w:w="0" w:type="auto"/>
            <w:shd w:val="clear" w:color="auto" w:fill="auto"/>
          </w:tcPr>
          <w:p w14:paraId="145351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60000,0</w:t>
            </w:r>
          </w:p>
        </w:tc>
        <w:tc>
          <w:tcPr>
            <w:tcW w:w="0" w:type="auto"/>
            <w:shd w:val="clear" w:color="auto" w:fill="auto"/>
          </w:tcPr>
          <w:p w14:paraId="5B793A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7C2CDB44" w14:textId="77777777">
        <w:trPr>
          <w:trHeight w:val="240"/>
        </w:trPr>
        <w:tc>
          <w:tcPr>
            <w:tcW w:w="0" w:type="auto"/>
            <w:shd w:val="clear" w:color="auto" w:fill="auto"/>
          </w:tcPr>
          <w:p w14:paraId="569820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63</w:t>
            </w:r>
          </w:p>
        </w:tc>
        <w:tc>
          <w:tcPr>
            <w:tcW w:w="0" w:type="auto"/>
            <w:shd w:val="clear" w:color="auto" w:fill="auto"/>
          </w:tcPr>
          <w:p w14:paraId="251A95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Desfășurarea campaniilor </w:t>
            </w:r>
            <w:r>
              <w:rPr>
                <w:rFonts w:eastAsia="Times New Roman" w:cs="Times New Roman"/>
                <w:color w:val="auto"/>
                <w:sz w:val="20"/>
                <w:szCs w:val="20"/>
                <w:lang w:eastAsia="ru-RU"/>
              </w:rPr>
              <w:t>de informare privind accesul la servicii de sănătate pentru străini</w:t>
            </w:r>
          </w:p>
        </w:tc>
        <w:tc>
          <w:tcPr>
            <w:tcW w:w="0" w:type="auto"/>
            <w:shd w:val="clear" w:color="auto" w:fill="auto"/>
          </w:tcPr>
          <w:p w14:paraId="07E5AC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total de persoane atinse; Numărul de campanii și durata desfășurării; Ponderea unităților medicale dotate cu materiale informative în limbi relevante (română, rusă, engleză) pentru</w:t>
            </w:r>
            <w:r>
              <w:rPr>
                <w:rFonts w:eastAsia="Times New Roman" w:cs="Times New Roman"/>
                <w:color w:val="auto"/>
                <w:sz w:val="20"/>
                <w:szCs w:val="20"/>
                <w:lang w:eastAsia="ru-RU"/>
              </w:rPr>
              <w:t xml:space="preserve"> străini</w:t>
            </w:r>
          </w:p>
        </w:tc>
        <w:tc>
          <w:tcPr>
            <w:tcW w:w="0" w:type="auto"/>
            <w:shd w:val="clear" w:color="auto" w:fill="auto"/>
          </w:tcPr>
          <w:p w14:paraId="1117D7B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5ABC1F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2025</w:t>
            </w:r>
          </w:p>
        </w:tc>
        <w:tc>
          <w:tcPr>
            <w:tcW w:w="0" w:type="auto"/>
            <w:shd w:val="clear" w:color="auto" w:fill="auto"/>
          </w:tcPr>
          <w:p w14:paraId="7E0B10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Sănătății</w:t>
            </w:r>
          </w:p>
        </w:tc>
        <w:tc>
          <w:tcPr>
            <w:tcW w:w="0" w:type="auto"/>
            <w:shd w:val="clear" w:color="auto" w:fill="auto"/>
          </w:tcPr>
          <w:p w14:paraId="09847AF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Compania Națională de asigurări în medicină; Inspectoratul General pentru Migrație și Inspectoratul General al Poliției de </w:t>
            </w:r>
            <w:r>
              <w:rPr>
                <w:rFonts w:eastAsia="Times New Roman" w:cs="Times New Roman"/>
                <w:color w:val="auto"/>
                <w:sz w:val="20"/>
                <w:szCs w:val="20"/>
                <w:lang w:eastAsia="ru-RU"/>
              </w:rPr>
              <w:lastRenderedPageBreak/>
              <w:t>Frontieră; OIM; OMS</w:t>
            </w:r>
          </w:p>
        </w:tc>
        <w:tc>
          <w:tcPr>
            <w:tcW w:w="0" w:type="auto"/>
            <w:shd w:val="clear" w:color="auto" w:fill="auto"/>
          </w:tcPr>
          <w:p w14:paraId="3A6EB4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1004,0</w:t>
            </w:r>
          </w:p>
        </w:tc>
        <w:tc>
          <w:tcPr>
            <w:tcW w:w="0" w:type="auto"/>
            <w:shd w:val="clear" w:color="auto" w:fill="auto"/>
          </w:tcPr>
          <w:p w14:paraId="440F2049"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3567A8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7A8012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1004,0</w:t>
            </w:r>
          </w:p>
        </w:tc>
        <w:tc>
          <w:tcPr>
            <w:tcW w:w="0" w:type="auto"/>
            <w:shd w:val="clear" w:color="auto" w:fill="auto"/>
          </w:tcPr>
          <w:p w14:paraId="034153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80.04</w:t>
            </w:r>
          </w:p>
        </w:tc>
      </w:tr>
      <w:tr w:rsidR="0075115C" w14:paraId="5481C4ED" w14:textId="77777777">
        <w:trPr>
          <w:trHeight w:val="240"/>
        </w:trPr>
        <w:tc>
          <w:tcPr>
            <w:tcW w:w="0" w:type="auto"/>
            <w:shd w:val="clear" w:color="auto" w:fill="auto"/>
          </w:tcPr>
          <w:p w14:paraId="5FE4BF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64</w:t>
            </w:r>
          </w:p>
        </w:tc>
        <w:tc>
          <w:tcPr>
            <w:tcW w:w="0" w:type="auto"/>
            <w:shd w:val="clear" w:color="auto" w:fill="auto"/>
          </w:tcPr>
          <w:p w14:paraId="658EF0E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soluțiilor pentru </w:t>
            </w:r>
            <w:r>
              <w:rPr>
                <w:rFonts w:eastAsia="Times New Roman" w:cs="Times New Roman"/>
                <w:color w:val="auto"/>
                <w:sz w:val="20"/>
                <w:szCs w:val="20"/>
                <w:lang w:eastAsia="ru-RU"/>
              </w:rPr>
              <w:t>obținerea asigurarea medicală facultative de către străini, care nu sunt angajați în câmpul muncii și vos sa achiziționeze asigurare medicală</w:t>
            </w:r>
          </w:p>
        </w:tc>
        <w:tc>
          <w:tcPr>
            <w:tcW w:w="0" w:type="auto"/>
            <w:shd w:val="clear" w:color="auto" w:fill="auto"/>
          </w:tcPr>
          <w:p w14:paraId="37BDF4F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 Mecanism elaborat, act normativ aprobat. </w:t>
            </w:r>
          </w:p>
        </w:tc>
        <w:tc>
          <w:tcPr>
            <w:tcW w:w="0" w:type="auto"/>
            <w:shd w:val="clear" w:color="auto" w:fill="auto"/>
          </w:tcPr>
          <w:p w14:paraId="0D6B700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6DB5EDF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dec.2027</w:t>
            </w:r>
          </w:p>
        </w:tc>
        <w:tc>
          <w:tcPr>
            <w:tcW w:w="0" w:type="auto"/>
            <w:shd w:val="clear" w:color="auto" w:fill="auto"/>
          </w:tcPr>
          <w:p w14:paraId="7777481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Compania Națională de asigurări în medicină</w:t>
            </w:r>
          </w:p>
        </w:tc>
        <w:tc>
          <w:tcPr>
            <w:tcW w:w="0" w:type="auto"/>
            <w:shd w:val="clear" w:color="auto" w:fill="auto"/>
          </w:tcPr>
          <w:p w14:paraId="3615841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w:t>
            </w:r>
            <w:r>
              <w:rPr>
                <w:rFonts w:eastAsia="Times New Roman" w:cs="Times New Roman"/>
                <w:color w:val="auto"/>
                <w:sz w:val="20"/>
                <w:szCs w:val="20"/>
                <w:lang w:eastAsia="ru-RU"/>
              </w:rPr>
              <w:t>ul Sănătății</w:t>
            </w:r>
          </w:p>
        </w:tc>
        <w:tc>
          <w:tcPr>
            <w:tcW w:w="0" w:type="auto"/>
            <w:shd w:val="clear" w:color="auto" w:fill="auto"/>
          </w:tcPr>
          <w:p w14:paraId="7278D8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211642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6E0E65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39,0</w:t>
            </w:r>
          </w:p>
        </w:tc>
        <w:tc>
          <w:tcPr>
            <w:tcW w:w="0" w:type="auto"/>
            <w:shd w:val="clear" w:color="auto" w:fill="auto"/>
          </w:tcPr>
          <w:p w14:paraId="395CB3B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117,0</w:t>
            </w:r>
          </w:p>
        </w:tc>
        <w:tc>
          <w:tcPr>
            <w:tcW w:w="0" w:type="auto"/>
            <w:shd w:val="clear" w:color="auto" w:fill="auto"/>
          </w:tcPr>
          <w:p w14:paraId="346652C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03C10E69" w14:textId="77777777">
        <w:trPr>
          <w:trHeight w:val="240"/>
        </w:trPr>
        <w:tc>
          <w:tcPr>
            <w:tcW w:w="0" w:type="auto"/>
            <w:shd w:val="clear" w:color="auto" w:fill="auto"/>
          </w:tcPr>
          <w:p w14:paraId="116C99E2"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0E582827"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Buget total pentru Obiectivul nr. 4</w:t>
            </w:r>
          </w:p>
        </w:tc>
        <w:tc>
          <w:tcPr>
            <w:tcW w:w="0" w:type="auto"/>
            <w:shd w:val="clear" w:color="000000" w:fill="E8E8E8"/>
          </w:tcPr>
          <w:p w14:paraId="67092AB8"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65B8CAC7"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7D4830B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5583044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1E47D90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55ECFF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6648,3</w:t>
            </w:r>
          </w:p>
        </w:tc>
        <w:tc>
          <w:tcPr>
            <w:tcW w:w="0" w:type="auto"/>
            <w:shd w:val="clear" w:color="000000" w:fill="E8E8E8"/>
          </w:tcPr>
          <w:p w14:paraId="615C32E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35072,5</w:t>
            </w:r>
          </w:p>
        </w:tc>
        <w:tc>
          <w:tcPr>
            <w:tcW w:w="0" w:type="auto"/>
            <w:shd w:val="clear" w:color="000000" w:fill="E8E8E8"/>
          </w:tcPr>
          <w:p w14:paraId="291AC14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25039,0</w:t>
            </w:r>
          </w:p>
        </w:tc>
        <w:tc>
          <w:tcPr>
            <w:tcW w:w="0" w:type="auto"/>
            <w:shd w:val="clear" w:color="000000" w:fill="E8E8E8"/>
          </w:tcPr>
          <w:p w14:paraId="0274D0E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66759,8</w:t>
            </w:r>
          </w:p>
        </w:tc>
        <w:tc>
          <w:tcPr>
            <w:tcW w:w="0" w:type="auto"/>
            <w:shd w:val="clear" w:color="000000" w:fill="E8E8E8"/>
          </w:tcPr>
          <w:p w14:paraId="567FE6A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136C5085" w14:textId="77777777">
        <w:trPr>
          <w:trHeight w:val="240"/>
        </w:trPr>
        <w:tc>
          <w:tcPr>
            <w:tcW w:w="0" w:type="auto"/>
            <w:shd w:val="clear" w:color="000000" w:fill="DAE9F8"/>
          </w:tcPr>
          <w:p w14:paraId="205285E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18E875E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5</w:t>
            </w:r>
          </w:p>
        </w:tc>
        <w:tc>
          <w:tcPr>
            <w:tcW w:w="0" w:type="auto"/>
            <w:gridSpan w:val="10"/>
            <w:shd w:val="clear" w:color="000000" w:fill="DAE9F8"/>
          </w:tcPr>
          <w:p w14:paraId="2900814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Creșterea accesului și ratei de integrare a străinilor în sistemul educațional național cu</w:t>
            </w:r>
            <w:r>
              <w:rPr>
                <w:rFonts w:eastAsia="Times New Roman" w:cs="Times New Roman"/>
                <w:color w:val="auto"/>
                <w:sz w:val="20"/>
                <w:szCs w:val="20"/>
                <w:lang w:eastAsia="ru-RU"/>
              </w:rPr>
              <w:t xml:space="preserve"> 20% până în 2027, prin programe de sprijin și adaptare</w:t>
            </w:r>
          </w:p>
        </w:tc>
      </w:tr>
      <w:tr w:rsidR="0075115C" w14:paraId="61AF9F29" w14:textId="77777777">
        <w:trPr>
          <w:trHeight w:val="240"/>
        </w:trPr>
        <w:tc>
          <w:tcPr>
            <w:tcW w:w="0" w:type="auto"/>
            <w:shd w:val="clear" w:color="auto" w:fill="auto"/>
          </w:tcPr>
          <w:p w14:paraId="3D59BB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65</w:t>
            </w:r>
          </w:p>
        </w:tc>
        <w:tc>
          <w:tcPr>
            <w:tcW w:w="0" w:type="auto"/>
            <w:shd w:val="clear" w:color="auto" w:fill="auto"/>
          </w:tcPr>
          <w:p w14:paraId="368D78D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Ajustarea cadrului național normativ la actele UE pentru asigurarea accesului la educație în R. Moldova a cetățenilor UE și membrilor familiilor acestora</w:t>
            </w:r>
          </w:p>
        </w:tc>
        <w:tc>
          <w:tcPr>
            <w:tcW w:w="0" w:type="auto"/>
            <w:shd w:val="clear" w:color="auto" w:fill="auto"/>
          </w:tcPr>
          <w:p w14:paraId="6C6145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Modificări la cadrul normativ</w:t>
            </w:r>
          </w:p>
        </w:tc>
        <w:tc>
          <w:tcPr>
            <w:tcW w:w="0" w:type="auto"/>
            <w:shd w:val="clear" w:color="auto" w:fill="auto"/>
          </w:tcPr>
          <w:p w14:paraId="6AAFE8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79698C9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2025</w:t>
            </w:r>
          </w:p>
        </w:tc>
        <w:tc>
          <w:tcPr>
            <w:tcW w:w="0" w:type="auto"/>
            <w:shd w:val="clear" w:color="auto" w:fill="auto"/>
          </w:tcPr>
          <w:p w14:paraId="61442D3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0F876A3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903055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63F0C56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6D0EDD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841DF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522E9FA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88.01</w:t>
            </w:r>
          </w:p>
        </w:tc>
      </w:tr>
      <w:tr w:rsidR="0075115C" w14:paraId="3856BBFC" w14:textId="77777777">
        <w:trPr>
          <w:trHeight w:val="240"/>
        </w:trPr>
        <w:tc>
          <w:tcPr>
            <w:tcW w:w="0" w:type="auto"/>
            <w:shd w:val="clear" w:color="auto" w:fill="auto"/>
          </w:tcPr>
          <w:p w14:paraId="2979CB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66</w:t>
            </w:r>
          </w:p>
        </w:tc>
        <w:tc>
          <w:tcPr>
            <w:tcW w:w="0" w:type="auto"/>
            <w:shd w:val="clear" w:color="auto" w:fill="auto"/>
          </w:tcPr>
          <w:p w14:paraId="407CEA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Modificarea regulamentului cu privire la studiile străinilor în instituțiile de învățământ din Republica Moldova (HG 504/2017)</w:t>
            </w:r>
          </w:p>
        </w:tc>
        <w:tc>
          <w:tcPr>
            <w:tcW w:w="0" w:type="auto"/>
            <w:shd w:val="clear" w:color="auto" w:fill="auto"/>
          </w:tcPr>
          <w:p w14:paraId="1334D1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Hotărâre a Guvernului adoptată</w:t>
            </w:r>
          </w:p>
        </w:tc>
        <w:tc>
          <w:tcPr>
            <w:tcW w:w="0" w:type="auto"/>
            <w:shd w:val="clear" w:color="auto" w:fill="auto"/>
          </w:tcPr>
          <w:p w14:paraId="6C514E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063AA3C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oct. 2026</w:t>
            </w:r>
          </w:p>
        </w:tc>
        <w:tc>
          <w:tcPr>
            <w:tcW w:w="0" w:type="auto"/>
            <w:shd w:val="clear" w:color="auto" w:fill="auto"/>
          </w:tcPr>
          <w:p w14:paraId="12AA16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2240878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09C38E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w:t>
            </w:r>
          </w:p>
        </w:tc>
        <w:tc>
          <w:tcPr>
            <w:tcW w:w="0" w:type="auto"/>
            <w:shd w:val="clear" w:color="auto" w:fill="auto"/>
          </w:tcPr>
          <w:p w14:paraId="2440079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w:t>
            </w:r>
          </w:p>
        </w:tc>
        <w:tc>
          <w:tcPr>
            <w:tcW w:w="0" w:type="auto"/>
            <w:shd w:val="clear" w:color="auto" w:fill="auto"/>
          </w:tcPr>
          <w:p w14:paraId="476F96C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EF90EB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53B7417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88.01; Asistență externă</w:t>
            </w:r>
          </w:p>
        </w:tc>
      </w:tr>
      <w:tr w:rsidR="0075115C" w14:paraId="1C598921" w14:textId="77777777">
        <w:trPr>
          <w:trHeight w:val="240"/>
        </w:trPr>
        <w:tc>
          <w:tcPr>
            <w:tcW w:w="0" w:type="auto"/>
            <w:shd w:val="clear" w:color="auto" w:fill="auto"/>
          </w:tcPr>
          <w:p w14:paraId="727678E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67</w:t>
            </w:r>
          </w:p>
        </w:tc>
        <w:tc>
          <w:tcPr>
            <w:tcW w:w="0" w:type="auto"/>
            <w:shd w:val="clear" w:color="auto" w:fill="auto"/>
          </w:tcPr>
          <w:p w14:paraId="460925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Recunoașterea națională a calificărilor obținute în alte țări de către străini și persoanele strămutate și simplificarea procedurii</w:t>
            </w:r>
          </w:p>
        </w:tc>
        <w:tc>
          <w:tcPr>
            <w:tcW w:w="0" w:type="auto"/>
            <w:shd w:val="clear" w:color="auto" w:fill="auto"/>
          </w:tcPr>
          <w:p w14:paraId="67E7522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Timp optim de recunoaștere a </w:t>
            </w:r>
            <w:r>
              <w:rPr>
                <w:rFonts w:eastAsia="Times New Roman" w:cs="Times New Roman"/>
                <w:color w:val="auto"/>
                <w:sz w:val="20"/>
                <w:szCs w:val="20"/>
                <w:lang w:eastAsia="ru-RU"/>
              </w:rPr>
              <w:t>calificărilor, Numărul de diplome și calificări recunoscute la nivel național;</w:t>
            </w:r>
          </w:p>
        </w:tc>
        <w:tc>
          <w:tcPr>
            <w:tcW w:w="0" w:type="auto"/>
            <w:shd w:val="clear" w:color="auto" w:fill="auto"/>
          </w:tcPr>
          <w:p w14:paraId="30489C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6CAAD8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713B4D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0B14B4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Universități; Birouri consulare</w:t>
            </w:r>
          </w:p>
        </w:tc>
        <w:tc>
          <w:tcPr>
            <w:tcW w:w="0" w:type="auto"/>
            <w:shd w:val="clear" w:color="auto" w:fill="auto"/>
          </w:tcPr>
          <w:p w14:paraId="345D24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57500,0</w:t>
            </w:r>
          </w:p>
        </w:tc>
        <w:tc>
          <w:tcPr>
            <w:tcW w:w="0" w:type="auto"/>
            <w:shd w:val="clear" w:color="auto" w:fill="auto"/>
          </w:tcPr>
          <w:p w14:paraId="744A93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57500,0</w:t>
            </w:r>
          </w:p>
        </w:tc>
        <w:tc>
          <w:tcPr>
            <w:tcW w:w="0" w:type="auto"/>
            <w:shd w:val="clear" w:color="auto" w:fill="auto"/>
          </w:tcPr>
          <w:p w14:paraId="6C06C12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A2C8E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115000,0</w:t>
            </w:r>
          </w:p>
        </w:tc>
        <w:tc>
          <w:tcPr>
            <w:tcW w:w="0" w:type="auto"/>
            <w:shd w:val="clear" w:color="auto" w:fill="auto"/>
          </w:tcPr>
          <w:p w14:paraId="7A6C00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88.10</w:t>
            </w:r>
          </w:p>
        </w:tc>
      </w:tr>
      <w:tr w:rsidR="0075115C" w14:paraId="2A71120F" w14:textId="77777777">
        <w:trPr>
          <w:trHeight w:val="240"/>
        </w:trPr>
        <w:tc>
          <w:tcPr>
            <w:tcW w:w="0" w:type="auto"/>
            <w:shd w:val="clear" w:color="auto" w:fill="auto"/>
          </w:tcPr>
          <w:p w14:paraId="31EE728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68</w:t>
            </w:r>
          </w:p>
        </w:tc>
        <w:tc>
          <w:tcPr>
            <w:tcW w:w="0" w:type="auto"/>
            <w:shd w:val="clear" w:color="auto" w:fill="auto"/>
          </w:tcPr>
          <w:p w14:paraId="23AD9A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Deschiderea claselor cu predarea în limba ucraineană, </w:t>
            </w:r>
            <w:r>
              <w:rPr>
                <w:rFonts w:eastAsia="Times New Roman" w:cs="Times New Roman"/>
                <w:color w:val="auto"/>
                <w:sz w:val="20"/>
                <w:szCs w:val="20"/>
                <w:lang w:eastAsia="ru-RU"/>
              </w:rPr>
              <w:t>cu studierea limbii române ca disciplină de studiu, inclusiv elaborarea manualelor și crestomațiilor școlare în limba ucraineană</w:t>
            </w:r>
          </w:p>
        </w:tc>
        <w:tc>
          <w:tcPr>
            <w:tcW w:w="0" w:type="auto"/>
            <w:shd w:val="clear" w:color="auto" w:fill="auto"/>
          </w:tcPr>
          <w:p w14:paraId="561DAB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Nr. de clase deschise Nr. de copii integrați</w:t>
            </w:r>
          </w:p>
        </w:tc>
        <w:tc>
          <w:tcPr>
            <w:tcW w:w="0" w:type="auto"/>
            <w:shd w:val="clear" w:color="auto" w:fill="auto"/>
          </w:tcPr>
          <w:p w14:paraId="4B491DD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sep.2027</w:t>
            </w:r>
          </w:p>
        </w:tc>
        <w:tc>
          <w:tcPr>
            <w:tcW w:w="0" w:type="auto"/>
            <w:shd w:val="clear" w:color="auto" w:fill="auto"/>
          </w:tcPr>
          <w:p w14:paraId="4F09F6B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C4A231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53302E8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Autoritățile publice locale</w:t>
            </w:r>
          </w:p>
        </w:tc>
        <w:tc>
          <w:tcPr>
            <w:tcW w:w="0" w:type="auto"/>
            <w:shd w:val="clear" w:color="auto" w:fill="auto"/>
          </w:tcPr>
          <w:p w14:paraId="7A7695D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260136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2AD63C3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77D0572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EAD53B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7B5F0CF8" w14:textId="77777777">
        <w:trPr>
          <w:trHeight w:val="240"/>
        </w:trPr>
        <w:tc>
          <w:tcPr>
            <w:tcW w:w="0" w:type="auto"/>
            <w:shd w:val="clear" w:color="auto" w:fill="auto"/>
          </w:tcPr>
          <w:p w14:paraId="4ECE91F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69</w:t>
            </w:r>
          </w:p>
        </w:tc>
        <w:tc>
          <w:tcPr>
            <w:tcW w:w="0" w:type="auto"/>
            <w:shd w:val="clear" w:color="auto" w:fill="auto"/>
          </w:tcPr>
          <w:p w14:paraId="65C31D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Deschiderea unei grupe pentru pregătirea profesorilor de limba ucraineană la Colegiul Pedagogic «Ion Creangă» din Bălți</w:t>
            </w:r>
          </w:p>
        </w:tc>
        <w:tc>
          <w:tcPr>
            <w:tcW w:w="0" w:type="auto"/>
            <w:shd w:val="clear" w:color="auto" w:fill="auto"/>
          </w:tcPr>
          <w:p w14:paraId="094CD7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Grupă academică deschisă</w:t>
            </w:r>
          </w:p>
        </w:tc>
        <w:tc>
          <w:tcPr>
            <w:tcW w:w="0" w:type="auto"/>
            <w:shd w:val="clear" w:color="auto" w:fill="auto"/>
          </w:tcPr>
          <w:p w14:paraId="63E9DD3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2026</w:t>
            </w:r>
          </w:p>
        </w:tc>
        <w:tc>
          <w:tcPr>
            <w:tcW w:w="0" w:type="auto"/>
            <w:shd w:val="clear" w:color="auto" w:fill="auto"/>
          </w:tcPr>
          <w:p w14:paraId="1DD80D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499192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0065B6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Colegiul </w:t>
            </w:r>
            <w:r>
              <w:rPr>
                <w:rFonts w:eastAsia="Times New Roman" w:cs="Times New Roman"/>
                <w:color w:val="auto"/>
                <w:sz w:val="20"/>
                <w:szCs w:val="20"/>
                <w:lang w:eastAsia="ru-RU"/>
              </w:rPr>
              <w:t>Pedagogic «Ion Creangă» din Bălți</w:t>
            </w:r>
          </w:p>
        </w:tc>
        <w:tc>
          <w:tcPr>
            <w:tcW w:w="0" w:type="auto"/>
            <w:shd w:val="clear" w:color="auto" w:fill="auto"/>
          </w:tcPr>
          <w:p w14:paraId="59225F3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6AC8AA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74508C5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512618F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3D9795E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33F5806E" w14:textId="77777777">
        <w:trPr>
          <w:trHeight w:val="240"/>
        </w:trPr>
        <w:tc>
          <w:tcPr>
            <w:tcW w:w="0" w:type="auto"/>
            <w:shd w:val="clear" w:color="auto" w:fill="auto"/>
          </w:tcPr>
          <w:p w14:paraId="0881739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70</w:t>
            </w:r>
          </w:p>
        </w:tc>
        <w:tc>
          <w:tcPr>
            <w:tcW w:w="0" w:type="auto"/>
            <w:shd w:val="clear" w:color="auto" w:fill="auto"/>
          </w:tcPr>
          <w:p w14:paraId="693B43A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Crearea cursurilor de recalificare în cadrul Universității de Stat „Alecu Russo” din Bălți pentru profesori ucraineni (cu studii pedagogice)</w:t>
            </w:r>
          </w:p>
        </w:tc>
        <w:tc>
          <w:tcPr>
            <w:tcW w:w="0" w:type="auto"/>
            <w:shd w:val="clear" w:color="auto" w:fill="auto"/>
          </w:tcPr>
          <w:p w14:paraId="21A091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Cursuri de recalificare disponivile;</w:t>
            </w:r>
            <w:r>
              <w:rPr>
                <w:rFonts w:eastAsia="Times New Roman" w:cs="Times New Roman"/>
                <w:color w:val="auto"/>
                <w:sz w:val="20"/>
                <w:szCs w:val="20"/>
                <w:lang w:eastAsia="ru-RU"/>
              </w:rPr>
              <w:t xml:space="preserve"> 20 provesori recalificați</w:t>
            </w:r>
          </w:p>
        </w:tc>
        <w:tc>
          <w:tcPr>
            <w:tcW w:w="0" w:type="auto"/>
            <w:shd w:val="clear" w:color="auto" w:fill="auto"/>
          </w:tcPr>
          <w:p w14:paraId="280452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2026</w:t>
            </w:r>
          </w:p>
        </w:tc>
        <w:tc>
          <w:tcPr>
            <w:tcW w:w="0" w:type="auto"/>
            <w:shd w:val="clear" w:color="auto" w:fill="auto"/>
          </w:tcPr>
          <w:p w14:paraId="48D584B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2509A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293581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Universitatea de Stat „Alecu Russo” din Bălți</w:t>
            </w:r>
          </w:p>
        </w:tc>
        <w:tc>
          <w:tcPr>
            <w:tcW w:w="0" w:type="auto"/>
            <w:shd w:val="clear" w:color="auto" w:fill="auto"/>
          </w:tcPr>
          <w:p w14:paraId="04C7870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75939DA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3B153EB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3914650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E746FE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88.10</w:t>
            </w:r>
          </w:p>
        </w:tc>
      </w:tr>
      <w:tr w:rsidR="0075115C" w14:paraId="708D7BA0" w14:textId="77777777">
        <w:trPr>
          <w:trHeight w:val="240"/>
        </w:trPr>
        <w:tc>
          <w:tcPr>
            <w:tcW w:w="0" w:type="auto"/>
            <w:shd w:val="clear" w:color="auto" w:fill="auto"/>
          </w:tcPr>
          <w:p w14:paraId="6C4CC6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71</w:t>
            </w:r>
          </w:p>
        </w:tc>
        <w:tc>
          <w:tcPr>
            <w:tcW w:w="0" w:type="auto"/>
            <w:shd w:val="clear" w:color="auto" w:fill="auto"/>
          </w:tcPr>
          <w:p w14:paraId="5865A5A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Consolidarea capacităților Centrelor de recunoaștere din cadrul instituțiilor de învățământ </w:t>
            </w:r>
            <w:r>
              <w:rPr>
                <w:rFonts w:eastAsia="Times New Roman" w:cs="Times New Roman"/>
                <w:color w:val="auto"/>
                <w:sz w:val="20"/>
                <w:szCs w:val="20"/>
                <w:lang w:eastAsia="ru-RU"/>
              </w:rPr>
              <w:t>superior/profesional tehnic și OLSDI privind recunoașterea actelor de studii obținute în străinătate</w:t>
            </w:r>
          </w:p>
        </w:tc>
        <w:tc>
          <w:tcPr>
            <w:tcW w:w="0" w:type="auto"/>
            <w:shd w:val="clear" w:color="auto" w:fill="auto"/>
          </w:tcPr>
          <w:p w14:paraId="4E90F8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Nr. de seminare organizate; Nr. persoane instruite</w:t>
            </w:r>
          </w:p>
        </w:tc>
        <w:tc>
          <w:tcPr>
            <w:tcW w:w="0" w:type="auto"/>
            <w:shd w:val="clear" w:color="auto" w:fill="auto"/>
          </w:tcPr>
          <w:p w14:paraId="2A9336E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2025</w:t>
            </w:r>
          </w:p>
        </w:tc>
        <w:tc>
          <w:tcPr>
            <w:tcW w:w="0" w:type="auto"/>
            <w:shd w:val="clear" w:color="auto" w:fill="auto"/>
          </w:tcPr>
          <w:p w14:paraId="6CAE494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53F2C2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138E71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Instituții de învățământ; OLSDI</w:t>
            </w:r>
          </w:p>
        </w:tc>
        <w:tc>
          <w:tcPr>
            <w:tcW w:w="0" w:type="auto"/>
            <w:shd w:val="clear" w:color="auto" w:fill="auto"/>
          </w:tcPr>
          <w:p w14:paraId="5A9683B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5B47A1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660F6B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789D316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17CEC9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88.13</w:t>
            </w:r>
          </w:p>
        </w:tc>
      </w:tr>
      <w:tr w:rsidR="0075115C" w14:paraId="38576F66" w14:textId="77777777">
        <w:trPr>
          <w:trHeight w:val="240"/>
        </w:trPr>
        <w:tc>
          <w:tcPr>
            <w:tcW w:w="0" w:type="auto"/>
            <w:shd w:val="clear" w:color="auto" w:fill="auto"/>
          </w:tcPr>
          <w:p w14:paraId="7ECCA55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72</w:t>
            </w:r>
          </w:p>
        </w:tc>
        <w:tc>
          <w:tcPr>
            <w:tcW w:w="0" w:type="auto"/>
            <w:shd w:val="clear" w:color="auto" w:fill="auto"/>
          </w:tcPr>
          <w:p w14:paraId="0BF0743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Dezvoltarea programelor de mobilitate și schimburi academice</w:t>
            </w:r>
          </w:p>
        </w:tc>
        <w:tc>
          <w:tcPr>
            <w:tcW w:w="0" w:type="auto"/>
            <w:shd w:val="clear" w:color="auto" w:fill="auto"/>
          </w:tcPr>
          <w:p w14:paraId="22A657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de studenți străini în mobilitate; </w:t>
            </w:r>
          </w:p>
        </w:tc>
        <w:tc>
          <w:tcPr>
            <w:tcW w:w="0" w:type="auto"/>
            <w:shd w:val="clear" w:color="auto" w:fill="auto"/>
          </w:tcPr>
          <w:p w14:paraId="6275432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sep.2026</w:t>
            </w:r>
          </w:p>
        </w:tc>
        <w:tc>
          <w:tcPr>
            <w:tcW w:w="0" w:type="auto"/>
            <w:shd w:val="clear" w:color="auto" w:fill="auto"/>
          </w:tcPr>
          <w:p w14:paraId="479DCC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2027</w:t>
            </w:r>
          </w:p>
        </w:tc>
        <w:tc>
          <w:tcPr>
            <w:tcW w:w="0" w:type="auto"/>
            <w:shd w:val="clear" w:color="auto" w:fill="auto"/>
          </w:tcPr>
          <w:p w14:paraId="0BA88CA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5C2966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Culturi; Universități; Erasmus+; Agenția pentru </w:t>
            </w:r>
            <w:r>
              <w:rPr>
                <w:rFonts w:eastAsia="Times New Roman" w:cs="Times New Roman"/>
                <w:color w:val="auto"/>
                <w:sz w:val="20"/>
                <w:szCs w:val="20"/>
                <w:lang w:eastAsia="ru-RU"/>
              </w:rPr>
              <w:lastRenderedPageBreak/>
              <w:t>Mobilitate Academică</w:t>
            </w:r>
          </w:p>
        </w:tc>
        <w:tc>
          <w:tcPr>
            <w:tcW w:w="0" w:type="auto"/>
            <w:shd w:val="clear" w:color="auto" w:fill="auto"/>
          </w:tcPr>
          <w:p w14:paraId="3B4BF39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11666,7</w:t>
            </w:r>
          </w:p>
        </w:tc>
        <w:tc>
          <w:tcPr>
            <w:tcW w:w="0" w:type="auto"/>
            <w:shd w:val="clear" w:color="auto" w:fill="auto"/>
          </w:tcPr>
          <w:p w14:paraId="6BCCA8F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11666,7</w:t>
            </w:r>
          </w:p>
        </w:tc>
        <w:tc>
          <w:tcPr>
            <w:tcW w:w="0" w:type="auto"/>
            <w:shd w:val="clear" w:color="auto" w:fill="auto"/>
          </w:tcPr>
          <w:p w14:paraId="257B06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11666,7</w:t>
            </w:r>
          </w:p>
        </w:tc>
        <w:tc>
          <w:tcPr>
            <w:tcW w:w="0" w:type="auto"/>
            <w:shd w:val="clear" w:color="auto" w:fill="auto"/>
          </w:tcPr>
          <w:p w14:paraId="7BA28B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35000,0</w:t>
            </w:r>
          </w:p>
        </w:tc>
        <w:tc>
          <w:tcPr>
            <w:tcW w:w="0" w:type="auto"/>
            <w:shd w:val="clear" w:color="auto" w:fill="auto"/>
          </w:tcPr>
          <w:p w14:paraId="25D6B12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88.10; Fonduri Erasmus+ (20,0 pe lună per student 6,0 </w:t>
            </w:r>
            <w:r>
              <w:rPr>
                <w:rFonts w:eastAsia="Times New Roman" w:cs="Times New Roman"/>
                <w:color w:val="auto"/>
                <w:sz w:val="20"/>
                <w:szCs w:val="20"/>
                <w:lang w:eastAsia="ru-RU"/>
              </w:rPr>
              <w:lastRenderedPageBreak/>
              <w:t>drumul tur/retur)</w:t>
            </w:r>
          </w:p>
        </w:tc>
      </w:tr>
      <w:tr w:rsidR="0075115C" w14:paraId="557BA601" w14:textId="77777777">
        <w:trPr>
          <w:trHeight w:val="240"/>
        </w:trPr>
        <w:tc>
          <w:tcPr>
            <w:tcW w:w="0" w:type="auto"/>
            <w:shd w:val="clear" w:color="auto" w:fill="auto"/>
          </w:tcPr>
          <w:p w14:paraId="0D597F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73</w:t>
            </w:r>
          </w:p>
        </w:tc>
        <w:tc>
          <w:tcPr>
            <w:tcW w:w="0" w:type="auto"/>
            <w:shd w:val="clear" w:color="auto" w:fill="auto"/>
          </w:tcPr>
          <w:p w14:paraId="3D79B3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Dezvoltarea site-ului „Study in Moldova”</w:t>
            </w:r>
          </w:p>
        </w:tc>
        <w:tc>
          <w:tcPr>
            <w:tcW w:w="0" w:type="auto"/>
            <w:shd w:val="clear" w:color="auto" w:fill="auto"/>
          </w:tcPr>
          <w:p w14:paraId="00E5B6C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Site dezvoltat si funcțional </w:t>
            </w:r>
          </w:p>
        </w:tc>
        <w:tc>
          <w:tcPr>
            <w:tcW w:w="0" w:type="auto"/>
            <w:shd w:val="clear" w:color="auto" w:fill="auto"/>
          </w:tcPr>
          <w:p w14:paraId="07A23AD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75B7898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2025</w:t>
            </w:r>
          </w:p>
        </w:tc>
        <w:tc>
          <w:tcPr>
            <w:tcW w:w="0" w:type="auto"/>
            <w:shd w:val="clear" w:color="auto" w:fill="auto"/>
          </w:tcPr>
          <w:p w14:paraId="1D2382A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76572B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Instituții de învățământ </w:t>
            </w:r>
            <w:r>
              <w:rPr>
                <w:rFonts w:eastAsia="Times New Roman" w:cs="Times New Roman"/>
                <w:color w:val="auto"/>
                <w:sz w:val="20"/>
                <w:szCs w:val="20"/>
                <w:lang w:eastAsia="ru-RU"/>
              </w:rPr>
              <w:t>superior</w:t>
            </w:r>
          </w:p>
        </w:tc>
        <w:tc>
          <w:tcPr>
            <w:tcW w:w="0" w:type="auto"/>
            <w:shd w:val="clear" w:color="auto" w:fill="auto"/>
          </w:tcPr>
          <w:p w14:paraId="092C1B7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7C25D7BA"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2D1E950"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9F08D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7C7FFF8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Proiectul Băncii Mondiale Învățământul superior</w:t>
            </w:r>
          </w:p>
        </w:tc>
      </w:tr>
      <w:tr w:rsidR="0075115C" w14:paraId="47CDE54E" w14:textId="77777777">
        <w:trPr>
          <w:trHeight w:val="240"/>
        </w:trPr>
        <w:tc>
          <w:tcPr>
            <w:tcW w:w="0" w:type="auto"/>
            <w:shd w:val="clear" w:color="auto" w:fill="auto"/>
          </w:tcPr>
          <w:p w14:paraId="039C4F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74</w:t>
            </w:r>
          </w:p>
        </w:tc>
        <w:tc>
          <w:tcPr>
            <w:tcW w:w="0" w:type="auto"/>
            <w:shd w:val="clear" w:color="auto" w:fill="auto"/>
          </w:tcPr>
          <w:p w14:paraId="1EB02F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și acreditarea a 4 programe de studii în limba engleza în Învățământul superior (Relații Economice Internaționale, Drept Internațional, Medicină Veterinară, Inginerie Software) </w:t>
            </w:r>
          </w:p>
        </w:tc>
        <w:tc>
          <w:tcPr>
            <w:tcW w:w="0" w:type="auto"/>
            <w:shd w:val="clear" w:color="auto" w:fill="auto"/>
          </w:tcPr>
          <w:p w14:paraId="6823714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 programe dezvoltate și aprobate</w:t>
            </w:r>
          </w:p>
        </w:tc>
        <w:tc>
          <w:tcPr>
            <w:tcW w:w="0" w:type="auto"/>
            <w:shd w:val="clear" w:color="auto" w:fill="auto"/>
          </w:tcPr>
          <w:p w14:paraId="32BE471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48B9954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2025</w:t>
            </w:r>
          </w:p>
        </w:tc>
        <w:tc>
          <w:tcPr>
            <w:tcW w:w="0" w:type="auto"/>
            <w:shd w:val="clear" w:color="auto" w:fill="auto"/>
          </w:tcPr>
          <w:p w14:paraId="12A04B1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w:t>
            </w:r>
            <w:r>
              <w:rPr>
                <w:rFonts w:eastAsia="Times New Roman" w:cs="Times New Roman"/>
                <w:color w:val="auto"/>
                <w:sz w:val="20"/>
                <w:szCs w:val="20"/>
                <w:lang w:eastAsia="ru-RU"/>
              </w:rPr>
              <w:t>ducației și Cercetării</w:t>
            </w:r>
          </w:p>
        </w:tc>
        <w:tc>
          <w:tcPr>
            <w:tcW w:w="0" w:type="auto"/>
            <w:shd w:val="clear" w:color="auto" w:fill="auto"/>
          </w:tcPr>
          <w:p w14:paraId="2A6D6E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Instituții de învățământ superior</w:t>
            </w:r>
          </w:p>
        </w:tc>
        <w:tc>
          <w:tcPr>
            <w:tcW w:w="0" w:type="auto"/>
            <w:shd w:val="clear" w:color="auto" w:fill="auto"/>
          </w:tcPr>
          <w:p w14:paraId="433D7FF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6400,0</w:t>
            </w:r>
          </w:p>
        </w:tc>
        <w:tc>
          <w:tcPr>
            <w:tcW w:w="0" w:type="auto"/>
            <w:shd w:val="clear" w:color="auto" w:fill="auto"/>
          </w:tcPr>
          <w:p w14:paraId="296392AE"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BFEF68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2F44604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6400,0</w:t>
            </w:r>
          </w:p>
        </w:tc>
        <w:tc>
          <w:tcPr>
            <w:tcW w:w="0" w:type="auto"/>
            <w:shd w:val="clear" w:color="auto" w:fill="auto"/>
          </w:tcPr>
          <w:p w14:paraId="6D2F39E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Proiectul Băncii Mondiale Învățământul superior</w:t>
            </w:r>
          </w:p>
        </w:tc>
      </w:tr>
      <w:tr w:rsidR="0075115C" w14:paraId="3BAB4936" w14:textId="77777777">
        <w:trPr>
          <w:trHeight w:val="240"/>
        </w:trPr>
        <w:tc>
          <w:tcPr>
            <w:tcW w:w="0" w:type="auto"/>
            <w:shd w:val="clear" w:color="auto" w:fill="auto"/>
          </w:tcPr>
          <w:p w14:paraId="40E2C1C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75</w:t>
            </w:r>
          </w:p>
        </w:tc>
        <w:tc>
          <w:tcPr>
            <w:tcW w:w="0" w:type="auto"/>
            <w:shd w:val="clear" w:color="auto" w:fill="auto"/>
          </w:tcPr>
          <w:p w14:paraId="563073A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Deschiderea centrelor de ghidare si asistență pentru studenții străini în instituțiile de învățământ superior </w:t>
            </w:r>
          </w:p>
        </w:tc>
        <w:tc>
          <w:tcPr>
            <w:tcW w:w="0" w:type="auto"/>
            <w:shd w:val="clear" w:color="auto" w:fill="auto"/>
          </w:tcPr>
          <w:p w14:paraId="1BD1229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Nr. de centre </w:t>
            </w:r>
            <w:r>
              <w:rPr>
                <w:rFonts w:eastAsia="Times New Roman" w:cs="Times New Roman"/>
                <w:color w:val="auto"/>
                <w:sz w:val="20"/>
                <w:szCs w:val="20"/>
                <w:lang w:eastAsia="ru-RU"/>
              </w:rPr>
              <w:t>deschise</w:t>
            </w:r>
          </w:p>
        </w:tc>
        <w:tc>
          <w:tcPr>
            <w:tcW w:w="0" w:type="auto"/>
            <w:shd w:val="clear" w:color="auto" w:fill="auto"/>
          </w:tcPr>
          <w:p w14:paraId="41289D5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4E2841E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7975496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238EED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Instituții de învățământ superior</w:t>
            </w:r>
          </w:p>
        </w:tc>
        <w:tc>
          <w:tcPr>
            <w:tcW w:w="0" w:type="auto"/>
            <w:shd w:val="clear" w:color="auto" w:fill="auto"/>
          </w:tcPr>
          <w:p w14:paraId="3D2FDC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702751C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2F7A256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7BF8B01C"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E8913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0FF1FD17" w14:textId="77777777">
        <w:trPr>
          <w:trHeight w:val="240"/>
        </w:trPr>
        <w:tc>
          <w:tcPr>
            <w:tcW w:w="0" w:type="auto"/>
            <w:shd w:val="clear" w:color="auto" w:fill="auto"/>
          </w:tcPr>
          <w:p w14:paraId="35245E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76</w:t>
            </w:r>
          </w:p>
        </w:tc>
        <w:tc>
          <w:tcPr>
            <w:tcW w:w="0" w:type="auto"/>
            <w:shd w:val="clear" w:color="auto" w:fill="auto"/>
          </w:tcPr>
          <w:p w14:paraId="4F4681B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Implicarea studenților și profesorilor străini în proiecte de cercetare internaționale</w:t>
            </w:r>
          </w:p>
        </w:tc>
        <w:tc>
          <w:tcPr>
            <w:tcW w:w="0" w:type="auto"/>
            <w:shd w:val="clear" w:color="auto" w:fill="auto"/>
          </w:tcPr>
          <w:p w14:paraId="5EEA28D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anual de </w:t>
            </w:r>
            <w:r>
              <w:rPr>
                <w:rFonts w:eastAsia="Times New Roman" w:cs="Times New Roman"/>
                <w:color w:val="auto"/>
                <w:sz w:val="20"/>
                <w:szCs w:val="20"/>
                <w:lang w:eastAsia="ru-RU"/>
              </w:rPr>
              <w:t>studenți și străini implicați în proiecte de cercetare internaționale</w:t>
            </w:r>
          </w:p>
        </w:tc>
        <w:tc>
          <w:tcPr>
            <w:tcW w:w="0" w:type="auto"/>
            <w:shd w:val="clear" w:color="auto" w:fill="auto"/>
          </w:tcPr>
          <w:p w14:paraId="582D62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oct. 2025</w:t>
            </w:r>
          </w:p>
        </w:tc>
        <w:tc>
          <w:tcPr>
            <w:tcW w:w="0" w:type="auto"/>
            <w:shd w:val="clear" w:color="auto" w:fill="auto"/>
          </w:tcPr>
          <w:p w14:paraId="603409C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767A65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6E65B81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 Universități; Universități din țările partenere</w:t>
            </w:r>
          </w:p>
        </w:tc>
        <w:tc>
          <w:tcPr>
            <w:tcW w:w="0" w:type="auto"/>
            <w:shd w:val="clear" w:color="auto" w:fill="auto"/>
          </w:tcPr>
          <w:p w14:paraId="4F542BB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6B1CD6F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4C701F1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200,0</w:t>
            </w:r>
          </w:p>
        </w:tc>
        <w:tc>
          <w:tcPr>
            <w:tcW w:w="0" w:type="auto"/>
            <w:shd w:val="clear" w:color="auto" w:fill="auto"/>
          </w:tcPr>
          <w:p w14:paraId="0464BE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600,0</w:t>
            </w:r>
          </w:p>
        </w:tc>
        <w:tc>
          <w:tcPr>
            <w:tcW w:w="0" w:type="auto"/>
            <w:shd w:val="clear" w:color="auto" w:fill="auto"/>
          </w:tcPr>
          <w:p w14:paraId="27FC2A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Fonduri UE</w:t>
            </w:r>
          </w:p>
        </w:tc>
      </w:tr>
      <w:tr w:rsidR="0075115C" w14:paraId="5ABA5DB4" w14:textId="77777777">
        <w:trPr>
          <w:trHeight w:val="240"/>
        </w:trPr>
        <w:tc>
          <w:tcPr>
            <w:tcW w:w="0" w:type="auto"/>
            <w:shd w:val="clear" w:color="auto" w:fill="auto"/>
          </w:tcPr>
          <w:p w14:paraId="518723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77</w:t>
            </w:r>
          </w:p>
        </w:tc>
        <w:tc>
          <w:tcPr>
            <w:tcW w:w="0" w:type="auto"/>
            <w:shd w:val="clear" w:color="auto" w:fill="auto"/>
          </w:tcPr>
          <w:p w14:paraId="48788E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Târgurilor </w:t>
            </w:r>
            <w:r>
              <w:rPr>
                <w:rFonts w:eastAsia="Times New Roman" w:cs="Times New Roman"/>
                <w:color w:val="auto"/>
                <w:sz w:val="20"/>
                <w:szCs w:val="20"/>
                <w:lang w:eastAsia="ru-RU"/>
              </w:rPr>
              <w:t>locurilor de muncă și stagii</w:t>
            </w:r>
          </w:p>
        </w:tc>
        <w:tc>
          <w:tcPr>
            <w:tcW w:w="0" w:type="auto"/>
            <w:shd w:val="clear" w:color="auto" w:fill="auto"/>
          </w:tcPr>
          <w:p w14:paraId="5407AE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anual de târguri organizate; Numărul anual de studenți străini participanți; </w:t>
            </w:r>
          </w:p>
        </w:tc>
        <w:tc>
          <w:tcPr>
            <w:tcW w:w="0" w:type="auto"/>
            <w:shd w:val="clear" w:color="auto" w:fill="auto"/>
          </w:tcPr>
          <w:p w14:paraId="45B9F6B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2025</w:t>
            </w:r>
          </w:p>
        </w:tc>
        <w:tc>
          <w:tcPr>
            <w:tcW w:w="0" w:type="auto"/>
            <w:shd w:val="clear" w:color="auto" w:fill="auto"/>
          </w:tcPr>
          <w:p w14:paraId="0A3B84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284E8CE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6880767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Agenția Națională pentru Ocuparea Forței de Muncă; Universitățile; Camera de Comerț; </w:t>
            </w:r>
            <w:r>
              <w:rPr>
                <w:rFonts w:eastAsia="Times New Roman" w:cs="Times New Roman"/>
                <w:color w:val="auto"/>
                <w:sz w:val="20"/>
                <w:szCs w:val="20"/>
                <w:lang w:eastAsia="ru-RU"/>
              </w:rPr>
              <w:lastRenderedPageBreak/>
              <w:t>f</w:t>
            </w:r>
            <w:r>
              <w:rPr>
                <w:rFonts w:eastAsia="Times New Roman" w:cs="Times New Roman"/>
                <w:color w:val="auto"/>
                <w:sz w:val="20"/>
                <w:szCs w:val="20"/>
                <w:lang w:eastAsia="ru-RU"/>
              </w:rPr>
              <w:t>irme private</w:t>
            </w:r>
          </w:p>
        </w:tc>
        <w:tc>
          <w:tcPr>
            <w:tcW w:w="0" w:type="auto"/>
            <w:shd w:val="clear" w:color="auto" w:fill="auto"/>
          </w:tcPr>
          <w:p w14:paraId="234CEF4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300,0</w:t>
            </w:r>
          </w:p>
        </w:tc>
        <w:tc>
          <w:tcPr>
            <w:tcW w:w="0" w:type="auto"/>
            <w:shd w:val="clear" w:color="auto" w:fill="auto"/>
          </w:tcPr>
          <w:p w14:paraId="59840D9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300,0</w:t>
            </w:r>
          </w:p>
        </w:tc>
        <w:tc>
          <w:tcPr>
            <w:tcW w:w="0" w:type="auto"/>
            <w:shd w:val="clear" w:color="auto" w:fill="auto"/>
          </w:tcPr>
          <w:p w14:paraId="3A097C45"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8F141E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600,0</w:t>
            </w:r>
          </w:p>
        </w:tc>
        <w:tc>
          <w:tcPr>
            <w:tcW w:w="0" w:type="auto"/>
            <w:shd w:val="clear" w:color="auto" w:fill="auto"/>
          </w:tcPr>
          <w:p w14:paraId="7A7AF9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88.08; 88.10</w:t>
            </w:r>
          </w:p>
        </w:tc>
      </w:tr>
      <w:tr w:rsidR="0075115C" w14:paraId="43C0C191" w14:textId="77777777">
        <w:trPr>
          <w:trHeight w:val="240"/>
        </w:trPr>
        <w:tc>
          <w:tcPr>
            <w:tcW w:w="0" w:type="auto"/>
            <w:shd w:val="clear" w:color="auto" w:fill="auto"/>
          </w:tcPr>
          <w:p w14:paraId="3AA9A9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78</w:t>
            </w:r>
          </w:p>
        </w:tc>
        <w:tc>
          <w:tcPr>
            <w:tcW w:w="0" w:type="auto"/>
            <w:shd w:val="clear" w:color="auto" w:fill="auto"/>
          </w:tcPr>
          <w:p w14:paraId="19E0BDD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Eficientizarea și implementarea măsurilor pentru atragerea studenților străini, inclusiv prin adaptarea programelor academice, consolidarea parteneriatelor internaționale și promovarea ofertei educaționale a</w:t>
            </w:r>
            <w:r>
              <w:rPr>
                <w:rFonts w:eastAsia="Times New Roman" w:cs="Times New Roman"/>
                <w:color w:val="auto"/>
                <w:sz w:val="20"/>
                <w:szCs w:val="20"/>
                <w:lang w:eastAsia="ru-RU"/>
              </w:rPr>
              <w:t xml:space="preserve"> Republicii Moldova pe plan global.</w:t>
            </w:r>
          </w:p>
        </w:tc>
        <w:tc>
          <w:tcPr>
            <w:tcW w:w="0" w:type="auto"/>
            <w:shd w:val="clear" w:color="auto" w:fill="auto"/>
          </w:tcPr>
          <w:p w14:paraId="5DDF3A8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Creșterea cu 50% a numărului de studenți străini până în anul 2026 față de anul 2022</w:t>
            </w:r>
          </w:p>
        </w:tc>
        <w:tc>
          <w:tcPr>
            <w:tcW w:w="0" w:type="auto"/>
            <w:shd w:val="clear" w:color="auto" w:fill="auto"/>
          </w:tcPr>
          <w:p w14:paraId="57D4C54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iul. 2025</w:t>
            </w:r>
          </w:p>
        </w:tc>
        <w:tc>
          <w:tcPr>
            <w:tcW w:w="0" w:type="auto"/>
            <w:shd w:val="clear" w:color="auto" w:fill="auto"/>
          </w:tcPr>
          <w:p w14:paraId="18A006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4E1DF6C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6E9155CF"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5895C9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13333,3</w:t>
            </w:r>
          </w:p>
        </w:tc>
        <w:tc>
          <w:tcPr>
            <w:tcW w:w="0" w:type="auto"/>
            <w:shd w:val="clear" w:color="auto" w:fill="auto"/>
          </w:tcPr>
          <w:p w14:paraId="055C612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13333,3</w:t>
            </w:r>
          </w:p>
        </w:tc>
        <w:tc>
          <w:tcPr>
            <w:tcW w:w="0" w:type="auto"/>
            <w:shd w:val="clear" w:color="auto" w:fill="auto"/>
          </w:tcPr>
          <w:p w14:paraId="44076B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13333,3</w:t>
            </w:r>
          </w:p>
        </w:tc>
        <w:tc>
          <w:tcPr>
            <w:tcW w:w="0" w:type="auto"/>
            <w:shd w:val="clear" w:color="auto" w:fill="auto"/>
          </w:tcPr>
          <w:p w14:paraId="6BA2F5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40000,0</w:t>
            </w:r>
          </w:p>
        </w:tc>
        <w:tc>
          <w:tcPr>
            <w:tcW w:w="0" w:type="auto"/>
            <w:shd w:val="clear" w:color="auto" w:fill="auto"/>
          </w:tcPr>
          <w:p w14:paraId="65A345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8810</w:t>
            </w:r>
          </w:p>
        </w:tc>
      </w:tr>
      <w:tr w:rsidR="0075115C" w14:paraId="50DF3AB3" w14:textId="77777777">
        <w:trPr>
          <w:trHeight w:val="240"/>
        </w:trPr>
        <w:tc>
          <w:tcPr>
            <w:tcW w:w="0" w:type="auto"/>
            <w:shd w:val="clear" w:color="auto" w:fill="auto"/>
          </w:tcPr>
          <w:p w14:paraId="54CEBC8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79</w:t>
            </w:r>
          </w:p>
        </w:tc>
        <w:tc>
          <w:tcPr>
            <w:tcW w:w="0" w:type="auto"/>
            <w:shd w:val="clear" w:color="auto" w:fill="auto"/>
          </w:tcPr>
          <w:p w14:paraId="1A2373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Aprobarea Metodologiei privind </w:t>
            </w:r>
            <w:r>
              <w:rPr>
                <w:rFonts w:eastAsia="Times New Roman" w:cs="Times New Roman"/>
                <w:color w:val="auto"/>
                <w:sz w:val="20"/>
                <w:szCs w:val="20"/>
                <w:lang w:eastAsia="ru-RU"/>
              </w:rPr>
              <w:t>învățarea limbii române de către străini</w:t>
            </w:r>
          </w:p>
        </w:tc>
        <w:tc>
          <w:tcPr>
            <w:tcW w:w="0" w:type="auto"/>
            <w:shd w:val="clear" w:color="auto" w:fill="auto"/>
          </w:tcPr>
          <w:p w14:paraId="5D172F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 Metodologie aprobată</w:t>
            </w:r>
          </w:p>
        </w:tc>
        <w:tc>
          <w:tcPr>
            <w:tcW w:w="0" w:type="auto"/>
            <w:shd w:val="clear" w:color="auto" w:fill="auto"/>
          </w:tcPr>
          <w:p w14:paraId="5D83E0F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apr. 2025</w:t>
            </w:r>
          </w:p>
        </w:tc>
        <w:tc>
          <w:tcPr>
            <w:tcW w:w="0" w:type="auto"/>
            <w:shd w:val="clear" w:color="auto" w:fill="auto"/>
          </w:tcPr>
          <w:p w14:paraId="275B02B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2025</w:t>
            </w:r>
          </w:p>
        </w:tc>
        <w:tc>
          <w:tcPr>
            <w:tcW w:w="0" w:type="auto"/>
            <w:shd w:val="clear" w:color="auto" w:fill="auto"/>
          </w:tcPr>
          <w:p w14:paraId="6983A77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Educației și Cercetării</w:t>
            </w:r>
          </w:p>
        </w:tc>
        <w:tc>
          <w:tcPr>
            <w:tcW w:w="0" w:type="auto"/>
            <w:shd w:val="clear" w:color="auto" w:fill="auto"/>
          </w:tcPr>
          <w:p w14:paraId="7ABBF4D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Instituții de învățământ superior din subordine</w:t>
            </w:r>
          </w:p>
        </w:tc>
        <w:tc>
          <w:tcPr>
            <w:tcW w:w="0" w:type="auto"/>
            <w:shd w:val="clear" w:color="auto" w:fill="auto"/>
          </w:tcPr>
          <w:p w14:paraId="17ACC4E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w:t>
            </w:r>
          </w:p>
        </w:tc>
        <w:tc>
          <w:tcPr>
            <w:tcW w:w="0" w:type="auto"/>
            <w:shd w:val="clear" w:color="auto" w:fill="auto"/>
          </w:tcPr>
          <w:p w14:paraId="5A0BBCC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F56ABE3"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B0CEBC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100,0</w:t>
            </w:r>
          </w:p>
        </w:tc>
        <w:tc>
          <w:tcPr>
            <w:tcW w:w="0" w:type="auto"/>
            <w:shd w:val="clear" w:color="auto" w:fill="auto"/>
          </w:tcPr>
          <w:p w14:paraId="09BDC94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88.10; Asistență externă</w:t>
            </w:r>
          </w:p>
        </w:tc>
      </w:tr>
      <w:tr w:rsidR="0075115C" w14:paraId="5CBB5AFC" w14:textId="77777777">
        <w:trPr>
          <w:trHeight w:val="240"/>
        </w:trPr>
        <w:tc>
          <w:tcPr>
            <w:tcW w:w="0" w:type="auto"/>
            <w:shd w:val="clear" w:color="auto" w:fill="auto"/>
          </w:tcPr>
          <w:p w14:paraId="1EDBCE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w:t>
            </w:r>
          </w:p>
        </w:tc>
        <w:tc>
          <w:tcPr>
            <w:tcW w:w="0" w:type="auto"/>
            <w:shd w:val="clear" w:color="auto" w:fill="auto"/>
          </w:tcPr>
          <w:p w14:paraId="7194A10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și punerea în aplicare a </w:t>
            </w:r>
            <w:r>
              <w:rPr>
                <w:rFonts w:eastAsia="Times New Roman" w:cs="Times New Roman"/>
                <w:color w:val="auto"/>
                <w:sz w:val="20"/>
                <w:szCs w:val="20"/>
                <w:lang w:eastAsia="ru-RU"/>
              </w:rPr>
              <w:t>conceptului privind studierea limbii române ca limbă străină. Elaborarea curriculei pentru integrarea componentelor sociale-culturale și valorice în curricula studierii limbii române ca limbă străină.</w:t>
            </w:r>
          </w:p>
        </w:tc>
        <w:tc>
          <w:tcPr>
            <w:tcW w:w="0" w:type="auto"/>
            <w:shd w:val="clear" w:color="auto" w:fill="auto"/>
          </w:tcPr>
          <w:p w14:paraId="6DF2961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Concept elaborat, Cel putin un program pilot înaintat F</w:t>
            </w:r>
            <w:r>
              <w:rPr>
                <w:rFonts w:eastAsia="Times New Roman" w:cs="Times New Roman"/>
                <w:color w:val="auto"/>
                <w:sz w:val="20"/>
                <w:szCs w:val="20"/>
                <w:lang w:eastAsia="ru-RU"/>
              </w:rPr>
              <w:t xml:space="preserve">ormatori instruiți privind implementarea programului </w:t>
            </w:r>
          </w:p>
        </w:tc>
        <w:tc>
          <w:tcPr>
            <w:tcW w:w="0" w:type="auto"/>
            <w:shd w:val="clear" w:color="auto" w:fill="auto"/>
          </w:tcPr>
          <w:p w14:paraId="0E7580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4CD7F6D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2026</w:t>
            </w:r>
          </w:p>
        </w:tc>
        <w:tc>
          <w:tcPr>
            <w:tcW w:w="0" w:type="auto"/>
            <w:shd w:val="clear" w:color="auto" w:fill="auto"/>
          </w:tcPr>
          <w:p w14:paraId="1426B5A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Educației și Cercetării </w:t>
            </w:r>
          </w:p>
        </w:tc>
        <w:tc>
          <w:tcPr>
            <w:tcW w:w="0" w:type="auto"/>
            <w:shd w:val="clear" w:color="auto" w:fill="auto"/>
          </w:tcPr>
          <w:p w14:paraId="2C13D6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 Ministerul Culturii</w:t>
            </w:r>
          </w:p>
        </w:tc>
        <w:tc>
          <w:tcPr>
            <w:tcW w:w="0" w:type="auto"/>
            <w:shd w:val="clear" w:color="auto" w:fill="auto"/>
          </w:tcPr>
          <w:p w14:paraId="10152E9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17A95CC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0,0</w:t>
            </w:r>
          </w:p>
        </w:tc>
        <w:tc>
          <w:tcPr>
            <w:tcW w:w="0" w:type="auto"/>
            <w:shd w:val="clear" w:color="auto" w:fill="auto"/>
          </w:tcPr>
          <w:p w14:paraId="5758224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B286A57"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0884764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Neacoperit (Asistență externă)</w:t>
            </w:r>
          </w:p>
        </w:tc>
      </w:tr>
      <w:tr w:rsidR="0075115C" w14:paraId="6DEF95A9" w14:textId="77777777">
        <w:trPr>
          <w:trHeight w:val="240"/>
        </w:trPr>
        <w:tc>
          <w:tcPr>
            <w:tcW w:w="0" w:type="auto"/>
            <w:shd w:val="clear" w:color="auto" w:fill="auto"/>
          </w:tcPr>
          <w:p w14:paraId="1A9E6EC9"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4B0CC47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xml:space="preserve">Buget total </w:t>
            </w:r>
            <w:r>
              <w:rPr>
                <w:rFonts w:eastAsia="Times New Roman" w:cs="Times New Roman"/>
                <w:b/>
                <w:bCs/>
                <w:color w:val="auto"/>
                <w:sz w:val="20"/>
                <w:szCs w:val="20"/>
                <w:lang w:eastAsia="ru-RU"/>
              </w:rPr>
              <w:t>pentru Obiectivul nr. 5</w:t>
            </w:r>
          </w:p>
        </w:tc>
        <w:tc>
          <w:tcPr>
            <w:tcW w:w="0" w:type="auto"/>
            <w:shd w:val="clear" w:color="000000" w:fill="E8E8E8"/>
          </w:tcPr>
          <w:p w14:paraId="43D948C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1CA657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CA4732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5BE1A97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7B2ED0A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E06BC9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90000,0</w:t>
            </w:r>
          </w:p>
        </w:tc>
        <w:tc>
          <w:tcPr>
            <w:tcW w:w="0" w:type="auto"/>
            <w:shd w:val="clear" w:color="000000" w:fill="E8E8E8"/>
          </w:tcPr>
          <w:p w14:paraId="737E538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83100,0</w:t>
            </w:r>
          </w:p>
        </w:tc>
        <w:tc>
          <w:tcPr>
            <w:tcW w:w="0" w:type="auto"/>
            <w:shd w:val="clear" w:color="000000" w:fill="E8E8E8"/>
          </w:tcPr>
          <w:p w14:paraId="5058793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25200,0</w:t>
            </w:r>
          </w:p>
        </w:tc>
        <w:tc>
          <w:tcPr>
            <w:tcW w:w="0" w:type="auto"/>
            <w:shd w:val="clear" w:color="000000" w:fill="E8E8E8"/>
          </w:tcPr>
          <w:p w14:paraId="6D2E9B3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198300,0</w:t>
            </w:r>
          </w:p>
        </w:tc>
        <w:tc>
          <w:tcPr>
            <w:tcW w:w="0" w:type="auto"/>
            <w:shd w:val="clear" w:color="000000" w:fill="E8E8E8"/>
          </w:tcPr>
          <w:p w14:paraId="3005EA0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1BDC811F" w14:textId="77777777">
        <w:trPr>
          <w:trHeight w:val="240"/>
        </w:trPr>
        <w:tc>
          <w:tcPr>
            <w:tcW w:w="0" w:type="auto"/>
            <w:shd w:val="clear" w:color="000000" w:fill="DAE9F8"/>
          </w:tcPr>
          <w:p w14:paraId="1B4D580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0137B4A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6</w:t>
            </w:r>
          </w:p>
        </w:tc>
        <w:tc>
          <w:tcPr>
            <w:tcW w:w="0" w:type="auto"/>
            <w:gridSpan w:val="10"/>
            <w:shd w:val="clear" w:color="000000" w:fill="DAE9F8"/>
          </w:tcPr>
          <w:p w14:paraId="511B356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Creșterea participării culturale a străinilor în activități publice, promovarea incluziune culturale și valorificare potențialului diversității culturale</w:t>
            </w:r>
          </w:p>
        </w:tc>
      </w:tr>
      <w:tr w:rsidR="0075115C" w14:paraId="08F1E1D4" w14:textId="77777777">
        <w:trPr>
          <w:trHeight w:val="240"/>
        </w:trPr>
        <w:tc>
          <w:tcPr>
            <w:tcW w:w="0" w:type="auto"/>
            <w:shd w:val="clear" w:color="auto" w:fill="auto"/>
          </w:tcPr>
          <w:p w14:paraId="755232E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81</w:t>
            </w:r>
          </w:p>
        </w:tc>
        <w:tc>
          <w:tcPr>
            <w:tcW w:w="0" w:type="auto"/>
            <w:shd w:val="clear" w:color="auto" w:fill="auto"/>
          </w:tcPr>
          <w:p w14:paraId="6D772A3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de evenimente și forumuri pentru facilitarea dialogului intercultural, promovarea incluziunii și sprijinirea integrării străinilor, prin implicarea activă a autorităților locale, asociațiile obștești și societatea civilă și crearea unor spații </w:t>
            </w:r>
            <w:r>
              <w:rPr>
                <w:rFonts w:eastAsia="Times New Roman" w:cs="Times New Roman"/>
                <w:color w:val="auto"/>
                <w:sz w:val="20"/>
                <w:szCs w:val="20"/>
                <w:lang w:eastAsia="ru-RU"/>
              </w:rPr>
              <w:t>de dialog între comunitatea locală și cea a străinilor</w:t>
            </w:r>
          </w:p>
        </w:tc>
        <w:tc>
          <w:tcPr>
            <w:tcW w:w="0" w:type="auto"/>
            <w:shd w:val="clear" w:color="auto" w:fill="auto"/>
          </w:tcPr>
          <w:p w14:paraId="0F9C8F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de evenimente comune organizate la nivel local/regional. Diversitatea evenimentelor (dezbateri, evenimente TV, maraton etc.) Număr de participanți </w:t>
            </w:r>
          </w:p>
        </w:tc>
        <w:tc>
          <w:tcPr>
            <w:tcW w:w="0" w:type="auto"/>
            <w:shd w:val="clear" w:color="auto" w:fill="auto"/>
          </w:tcPr>
          <w:p w14:paraId="043708A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apr. 2025 </w:t>
            </w:r>
          </w:p>
        </w:tc>
        <w:tc>
          <w:tcPr>
            <w:tcW w:w="0" w:type="auto"/>
            <w:shd w:val="clear" w:color="auto" w:fill="auto"/>
          </w:tcPr>
          <w:p w14:paraId="4E5420D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C7CFC6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w:t>
            </w:r>
            <w:r>
              <w:rPr>
                <w:rFonts w:eastAsia="Times New Roman" w:cs="Times New Roman"/>
                <w:color w:val="auto"/>
                <w:sz w:val="20"/>
                <w:szCs w:val="20"/>
                <w:lang w:eastAsia="ru-RU"/>
              </w:rPr>
              <w:t>terne (Inspectoratul General pentru Migrație)</w:t>
            </w:r>
          </w:p>
        </w:tc>
        <w:tc>
          <w:tcPr>
            <w:tcW w:w="0" w:type="auto"/>
            <w:shd w:val="clear" w:color="auto" w:fill="auto"/>
          </w:tcPr>
          <w:p w14:paraId="31ECA20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Autoritățile Publice Locale, societatea civilă </w:t>
            </w:r>
          </w:p>
        </w:tc>
        <w:tc>
          <w:tcPr>
            <w:tcW w:w="0" w:type="auto"/>
            <w:shd w:val="clear" w:color="auto" w:fill="auto"/>
          </w:tcPr>
          <w:p w14:paraId="5E1115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1666,7</w:t>
            </w:r>
          </w:p>
        </w:tc>
        <w:tc>
          <w:tcPr>
            <w:tcW w:w="0" w:type="auto"/>
            <w:shd w:val="clear" w:color="auto" w:fill="auto"/>
          </w:tcPr>
          <w:p w14:paraId="50672E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1666,7</w:t>
            </w:r>
          </w:p>
        </w:tc>
        <w:tc>
          <w:tcPr>
            <w:tcW w:w="0" w:type="auto"/>
            <w:shd w:val="clear" w:color="auto" w:fill="auto"/>
          </w:tcPr>
          <w:p w14:paraId="217E300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1666,7</w:t>
            </w:r>
          </w:p>
        </w:tc>
        <w:tc>
          <w:tcPr>
            <w:tcW w:w="0" w:type="auto"/>
            <w:shd w:val="clear" w:color="auto" w:fill="auto"/>
          </w:tcPr>
          <w:p w14:paraId="0106330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5000,0</w:t>
            </w:r>
          </w:p>
        </w:tc>
        <w:tc>
          <w:tcPr>
            <w:tcW w:w="0" w:type="auto"/>
            <w:shd w:val="clear" w:color="auto" w:fill="auto"/>
          </w:tcPr>
          <w:p w14:paraId="65E122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35,03 Asistență externă </w:t>
            </w:r>
          </w:p>
        </w:tc>
      </w:tr>
      <w:tr w:rsidR="0075115C" w14:paraId="1EF2C629" w14:textId="77777777">
        <w:trPr>
          <w:trHeight w:val="240"/>
        </w:trPr>
        <w:tc>
          <w:tcPr>
            <w:tcW w:w="0" w:type="auto"/>
            <w:shd w:val="clear" w:color="auto" w:fill="auto"/>
          </w:tcPr>
          <w:p w14:paraId="42712C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82</w:t>
            </w:r>
          </w:p>
        </w:tc>
        <w:tc>
          <w:tcPr>
            <w:tcW w:w="0" w:type="auto"/>
            <w:shd w:val="clear" w:color="auto" w:fill="auto"/>
          </w:tcPr>
          <w:p w14:paraId="0AB6A49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Dezvoltarea serviciului de mediator cultural pentru a facilita interacțiunea dintre străini și </w:t>
            </w:r>
            <w:r>
              <w:rPr>
                <w:rFonts w:eastAsia="Times New Roman" w:cs="Times New Roman"/>
                <w:color w:val="auto"/>
                <w:sz w:val="20"/>
                <w:szCs w:val="20"/>
                <w:lang w:eastAsia="ru-RU"/>
              </w:rPr>
              <w:t>autoritățile statului</w:t>
            </w:r>
          </w:p>
        </w:tc>
        <w:tc>
          <w:tcPr>
            <w:tcW w:w="0" w:type="auto"/>
            <w:shd w:val="clear" w:color="auto" w:fill="auto"/>
          </w:tcPr>
          <w:p w14:paraId="1BD5DE7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Numărul de mediatori culturali identificați și instruiți Numărul de cazuri în care a fost utilizat serviciul de mediator cultural </w:t>
            </w:r>
          </w:p>
        </w:tc>
        <w:tc>
          <w:tcPr>
            <w:tcW w:w="0" w:type="auto"/>
            <w:shd w:val="clear" w:color="auto" w:fill="auto"/>
          </w:tcPr>
          <w:p w14:paraId="76C48D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6D7D83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0328578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Afacerilor Interne (Inspectoratul General pentru Migrație)</w:t>
            </w:r>
          </w:p>
        </w:tc>
        <w:tc>
          <w:tcPr>
            <w:tcW w:w="0" w:type="auto"/>
            <w:shd w:val="clear" w:color="auto" w:fill="auto"/>
          </w:tcPr>
          <w:p w14:paraId="3DB18E0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Ed</w:t>
            </w:r>
            <w:r>
              <w:rPr>
                <w:rFonts w:eastAsia="Times New Roman" w:cs="Times New Roman"/>
                <w:color w:val="auto"/>
                <w:sz w:val="20"/>
                <w:szCs w:val="20"/>
                <w:lang w:eastAsia="ru-RU"/>
              </w:rPr>
              <w:t xml:space="preserve">ucației și Cercetării; Agenția Relații Interetnice; Ministerul Culturii </w:t>
            </w:r>
          </w:p>
        </w:tc>
        <w:tc>
          <w:tcPr>
            <w:tcW w:w="0" w:type="auto"/>
            <w:shd w:val="clear" w:color="auto" w:fill="auto"/>
          </w:tcPr>
          <w:p w14:paraId="5FA3B7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750,0</w:t>
            </w:r>
          </w:p>
        </w:tc>
        <w:tc>
          <w:tcPr>
            <w:tcW w:w="0" w:type="auto"/>
            <w:shd w:val="clear" w:color="auto" w:fill="auto"/>
          </w:tcPr>
          <w:p w14:paraId="26B0A53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750,0</w:t>
            </w:r>
          </w:p>
        </w:tc>
        <w:tc>
          <w:tcPr>
            <w:tcW w:w="0" w:type="auto"/>
            <w:shd w:val="clear" w:color="auto" w:fill="auto"/>
          </w:tcPr>
          <w:p w14:paraId="61BFE30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974B95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1500,0</w:t>
            </w:r>
          </w:p>
        </w:tc>
        <w:tc>
          <w:tcPr>
            <w:tcW w:w="0" w:type="auto"/>
            <w:shd w:val="clear" w:color="auto" w:fill="auto"/>
          </w:tcPr>
          <w:p w14:paraId="2DF8055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35,02</w:t>
            </w:r>
          </w:p>
        </w:tc>
      </w:tr>
      <w:tr w:rsidR="0075115C" w14:paraId="605D0384" w14:textId="77777777">
        <w:trPr>
          <w:trHeight w:val="240"/>
        </w:trPr>
        <w:tc>
          <w:tcPr>
            <w:tcW w:w="0" w:type="auto"/>
            <w:shd w:val="clear" w:color="auto" w:fill="auto"/>
          </w:tcPr>
          <w:p w14:paraId="62A8D2A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83</w:t>
            </w:r>
          </w:p>
        </w:tc>
        <w:tc>
          <w:tcPr>
            <w:tcW w:w="0" w:type="auto"/>
            <w:shd w:val="clear" w:color="auto" w:fill="auto"/>
          </w:tcPr>
          <w:p w14:paraId="01A666F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Organizarea și desfășurarea activităților cultural-artistice și atelierelor tematice de recreere pentru copiii străini și familiile acestora</w:t>
            </w:r>
          </w:p>
        </w:tc>
        <w:tc>
          <w:tcPr>
            <w:tcW w:w="0" w:type="auto"/>
            <w:shd w:val="clear" w:color="auto" w:fill="auto"/>
          </w:tcPr>
          <w:p w14:paraId="67C9468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3 spectacole „Zâmbete pentru copii din Ucraina” (în limba engleză, ucraineană, franceză); 38 evenimente „Culorile Copilăriei” - 400 copii străini participanți; 20 ateliere de lucru - 500 copii străini participanți; </w:t>
            </w:r>
          </w:p>
        </w:tc>
        <w:tc>
          <w:tcPr>
            <w:tcW w:w="0" w:type="auto"/>
            <w:shd w:val="clear" w:color="auto" w:fill="auto"/>
          </w:tcPr>
          <w:p w14:paraId="2FA3B4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36587F3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2027</w:t>
            </w:r>
          </w:p>
        </w:tc>
        <w:tc>
          <w:tcPr>
            <w:tcW w:w="0" w:type="auto"/>
            <w:shd w:val="clear" w:color="auto" w:fill="auto"/>
          </w:tcPr>
          <w:p w14:paraId="7C1607D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7436FA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Teatrul Republican de Păpuși „Licurici”</w:t>
            </w:r>
          </w:p>
        </w:tc>
        <w:tc>
          <w:tcPr>
            <w:tcW w:w="0" w:type="auto"/>
            <w:shd w:val="clear" w:color="auto" w:fill="auto"/>
          </w:tcPr>
          <w:p w14:paraId="7C267AC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240,0</w:t>
            </w:r>
          </w:p>
        </w:tc>
        <w:tc>
          <w:tcPr>
            <w:tcW w:w="0" w:type="auto"/>
            <w:shd w:val="clear" w:color="auto" w:fill="auto"/>
          </w:tcPr>
          <w:p w14:paraId="6B405C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240,0</w:t>
            </w:r>
          </w:p>
        </w:tc>
        <w:tc>
          <w:tcPr>
            <w:tcW w:w="0" w:type="auto"/>
            <w:shd w:val="clear" w:color="auto" w:fill="auto"/>
          </w:tcPr>
          <w:p w14:paraId="1F21477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240,0</w:t>
            </w:r>
          </w:p>
        </w:tc>
        <w:tc>
          <w:tcPr>
            <w:tcW w:w="0" w:type="auto"/>
            <w:shd w:val="clear" w:color="auto" w:fill="auto"/>
          </w:tcPr>
          <w:p w14:paraId="5ABE9B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720,0</w:t>
            </w:r>
          </w:p>
        </w:tc>
        <w:tc>
          <w:tcPr>
            <w:tcW w:w="0" w:type="auto"/>
            <w:shd w:val="clear" w:color="auto" w:fill="auto"/>
          </w:tcPr>
          <w:p w14:paraId="5D67560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Bugetul instituției</w:t>
            </w:r>
          </w:p>
        </w:tc>
      </w:tr>
      <w:tr w:rsidR="0075115C" w14:paraId="6BF6E37B" w14:textId="77777777">
        <w:trPr>
          <w:trHeight w:val="240"/>
        </w:trPr>
        <w:tc>
          <w:tcPr>
            <w:tcW w:w="0" w:type="auto"/>
            <w:shd w:val="clear" w:color="auto" w:fill="auto"/>
          </w:tcPr>
          <w:p w14:paraId="6B5CD42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84</w:t>
            </w:r>
          </w:p>
        </w:tc>
        <w:tc>
          <w:tcPr>
            <w:tcW w:w="0" w:type="auto"/>
            <w:shd w:val="clear" w:color="auto" w:fill="auto"/>
          </w:tcPr>
          <w:p w14:paraId="6343463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și desfășurarea activităților pentru promovarea incluziunii și dialogului intercultural, care includ dezvoltarea </w:t>
            </w:r>
            <w:r>
              <w:rPr>
                <w:rFonts w:eastAsia="Times New Roman" w:cs="Times New Roman"/>
                <w:color w:val="auto"/>
                <w:sz w:val="20"/>
                <w:szCs w:val="20"/>
                <w:lang w:eastAsia="ru-RU"/>
              </w:rPr>
              <w:lastRenderedPageBreak/>
              <w:t>colecțiilor de carte, ateliere tematice, ev</w:t>
            </w:r>
            <w:r>
              <w:rPr>
                <w:rFonts w:eastAsia="Times New Roman" w:cs="Times New Roman"/>
                <w:color w:val="auto"/>
                <w:sz w:val="20"/>
                <w:szCs w:val="20"/>
                <w:lang w:eastAsia="ru-RU"/>
              </w:rPr>
              <w:t>enimente de sensibilizare a societății, precum și colaborarea profesională cu biblioteci naționale și internaționale pentru schimb de experiență.</w:t>
            </w:r>
          </w:p>
        </w:tc>
        <w:tc>
          <w:tcPr>
            <w:tcW w:w="0" w:type="auto"/>
            <w:shd w:val="clear" w:color="auto" w:fill="auto"/>
          </w:tcPr>
          <w:p w14:paraId="26E97D6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700 u.m.Numărul anual de resurse informaționale achiziționate și împrumutate; 120 de utilizatori (anual) 4 eve</w:t>
            </w:r>
            <w:r>
              <w:rPr>
                <w:rFonts w:eastAsia="Times New Roman" w:cs="Times New Roman"/>
                <w:color w:val="auto"/>
                <w:sz w:val="20"/>
                <w:szCs w:val="20"/>
                <w:lang w:eastAsia="ru-RU"/>
              </w:rPr>
              <w:t xml:space="preserve">nimente organizate anual și 80 participanți per an 4 </w:t>
            </w:r>
            <w:r>
              <w:rPr>
                <w:rFonts w:eastAsia="Times New Roman" w:cs="Times New Roman"/>
                <w:color w:val="auto"/>
                <w:sz w:val="20"/>
                <w:szCs w:val="20"/>
                <w:lang w:eastAsia="ru-RU"/>
              </w:rPr>
              <w:lastRenderedPageBreak/>
              <w:t>activități desfășurate și 80 participanți per an</w:t>
            </w:r>
          </w:p>
        </w:tc>
        <w:tc>
          <w:tcPr>
            <w:tcW w:w="0" w:type="auto"/>
            <w:shd w:val="clear" w:color="auto" w:fill="auto"/>
          </w:tcPr>
          <w:p w14:paraId="667DA97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ian. 2025</w:t>
            </w:r>
          </w:p>
        </w:tc>
        <w:tc>
          <w:tcPr>
            <w:tcW w:w="0" w:type="auto"/>
            <w:shd w:val="clear" w:color="auto" w:fill="auto"/>
          </w:tcPr>
          <w:p w14:paraId="7DDA550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3BFBD1F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46B3D3D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Biblioteca Națională a Republicii Moldova</w:t>
            </w:r>
          </w:p>
        </w:tc>
        <w:tc>
          <w:tcPr>
            <w:tcW w:w="0" w:type="auto"/>
            <w:shd w:val="clear" w:color="auto" w:fill="auto"/>
          </w:tcPr>
          <w:p w14:paraId="7BD1CAE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33,0</w:t>
            </w:r>
          </w:p>
        </w:tc>
        <w:tc>
          <w:tcPr>
            <w:tcW w:w="0" w:type="auto"/>
            <w:shd w:val="clear" w:color="auto" w:fill="auto"/>
          </w:tcPr>
          <w:p w14:paraId="3A61A87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33,0</w:t>
            </w:r>
          </w:p>
        </w:tc>
        <w:tc>
          <w:tcPr>
            <w:tcW w:w="0" w:type="auto"/>
            <w:shd w:val="clear" w:color="auto" w:fill="auto"/>
          </w:tcPr>
          <w:p w14:paraId="4F884E5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33,0</w:t>
            </w:r>
          </w:p>
        </w:tc>
        <w:tc>
          <w:tcPr>
            <w:tcW w:w="0" w:type="auto"/>
            <w:shd w:val="clear" w:color="auto" w:fill="auto"/>
          </w:tcPr>
          <w:p w14:paraId="3B3174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99,0</w:t>
            </w:r>
          </w:p>
        </w:tc>
        <w:tc>
          <w:tcPr>
            <w:tcW w:w="0" w:type="auto"/>
            <w:shd w:val="clear" w:color="auto" w:fill="auto"/>
          </w:tcPr>
          <w:p w14:paraId="733C50D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58147015" w14:textId="77777777">
        <w:trPr>
          <w:trHeight w:val="240"/>
        </w:trPr>
        <w:tc>
          <w:tcPr>
            <w:tcW w:w="0" w:type="auto"/>
            <w:shd w:val="clear" w:color="auto" w:fill="auto"/>
          </w:tcPr>
          <w:p w14:paraId="7981E4A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85</w:t>
            </w:r>
          </w:p>
        </w:tc>
        <w:tc>
          <w:tcPr>
            <w:tcW w:w="0" w:type="auto"/>
            <w:shd w:val="clear" w:color="auto" w:fill="auto"/>
          </w:tcPr>
          <w:p w14:paraId="072F09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Promovarea integrării străinilor prin </w:t>
            </w:r>
            <w:r>
              <w:rPr>
                <w:rFonts w:eastAsia="Times New Roman" w:cs="Times New Roman"/>
                <w:color w:val="auto"/>
                <w:sz w:val="20"/>
                <w:szCs w:val="20"/>
                <w:lang w:eastAsia="ru-RU"/>
              </w:rPr>
              <w:t>activități educaționale, evenimente culturale și de sensibilizare, completarea colecțiilor cu resurse informaționale relevante și cursuri de formare pentru bibliotecari.</w:t>
            </w:r>
          </w:p>
        </w:tc>
        <w:tc>
          <w:tcPr>
            <w:tcW w:w="0" w:type="auto"/>
            <w:shd w:val="clear" w:color="auto" w:fill="auto"/>
          </w:tcPr>
          <w:p w14:paraId="3283E4C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54 de activități educaționale organizate și desfășurate anual; 20 de bibliotecari inst</w:t>
            </w:r>
            <w:r>
              <w:rPr>
                <w:rFonts w:eastAsia="Times New Roman" w:cs="Times New Roman"/>
                <w:color w:val="auto"/>
                <w:sz w:val="20"/>
                <w:szCs w:val="20"/>
                <w:lang w:eastAsia="ru-RU"/>
              </w:rPr>
              <w:t>ruiți anual în cadrul cursurilor de limbă engleză; 3 evenimente anual de sensibilizare organizate; 50 de programe și evenimente anual pentru promovarea toleranței și diversității culturale și lingvistice; 50 de evenimente culturale organizate și desfășurat</w:t>
            </w:r>
            <w:r>
              <w:rPr>
                <w:rFonts w:eastAsia="Times New Roman" w:cs="Times New Roman"/>
                <w:color w:val="auto"/>
                <w:sz w:val="20"/>
                <w:szCs w:val="20"/>
                <w:lang w:eastAsia="ru-RU"/>
              </w:rPr>
              <w:t>e anual cu participarea persoanelor străine; Numărul anual de resurse informaționale adăugate la colecțiile Bibliotecii Naționale pentru Copii „Ion Creangă” – 30 documente</w:t>
            </w:r>
          </w:p>
        </w:tc>
        <w:tc>
          <w:tcPr>
            <w:tcW w:w="0" w:type="auto"/>
            <w:shd w:val="clear" w:color="auto" w:fill="auto"/>
          </w:tcPr>
          <w:p w14:paraId="08ED578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1444963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2643753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04F5033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Biblioteca Națională pentru Copii „Ion Crean</w:t>
            </w:r>
            <w:r>
              <w:rPr>
                <w:rFonts w:eastAsia="Times New Roman" w:cs="Times New Roman"/>
                <w:color w:val="auto"/>
                <w:sz w:val="20"/>
                <w:szCs w:val="20"/>
                <w:lang w:eastAsia="ru-RU"/>
              </w:rPr>
              <w:t>gă”</w:t>
            </w:r>
          </w:p>
        </w:tc>
        <w:tc>
          <w:tcPr>
            <w:tcW w:w="0" w:type="auto"/>
            <w:shd w:val="clear" w:color="auto" w:fill="auto"/>
          </w:tcPr>
          <w:p w14:paraId="46894A5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202,0</w:t>
            </w:r>
          </w:p>
        </w:tc>
        <w:tc>
          <w:tcPr>
            <w:tcW w:w="0" w:type="auto"/>
            <w:shd w:val="clear" w:color="auto" w:fill="auto"/>
          </w:tcPr>
          <w:p w14:paraId="1BF4F08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202,0</w:t>
            </w:r>
          </w:p>
        </w:tc>
        <w:tc>
          <w:tcPr>
            <w:tcW w:w="0" w:type="auto"/>
            <w:shd w:val="clear" w:color="auto" w:fill="auto"/>
          </w:tcPr>
          <w:p w14:paraId="1EBB27A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202,0</w:t>
            </w:r>
          </w:p>
        </w:tc>
        <w:tc>
          <w:tcPr>
            <w:tcW w:w="0" w:type="auto"/>
            <w:shd w:val="clear" w:color="auto" w:fill="auto"/>
          </w:tcPr>
          <w:p w14:paraId="0CEC30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606,0</w:t>
            </w:r>
          </w:p>
        </w:tc>
        <w:tc>
          <w:tcPr>
            <w:tcW w:w="0" w:type="auto"/>
            <w:shd w:val="clear" w:color="auto" w:fill="auto"/>
          </w:tcPr>
          <w:p w14:paraId="5BFEC69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65F6401F" w14:textId="77777777">
        <w:trPr>
          <w:trHeight w:val="240"/>
        </w:trPr>
        <w:tc>
          <w:tcPr>
            <w:tcW w:w="0" w:type="auto"/>
            <w:shd w:val="clear" w:color="auto" w:fill="auto"/>
          </w:tcPr>
          <w:p w14:paraId="231CB37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86</w:t>
            </w:r>
          </w:p>
        </w:tc>
        <w:tc>
          <w:tcPr>
            <w:tcW w:w="0" w:type="auto"/>
            <w:shd w:val="clear" w:color="auto" w:fill="auto"/>
          </w:tcPr>
          <w:p w14:paraId="1F1CB96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activităților și evenimentelor pentru incluziunea socio-culturală a străinilor, inclusiv cu implicarea voluntarilor, promovarea diversității </w:t>
            </w:r>
            <w:r>
              <w:rPr>
                <w:rFonts w:eastAsia="Times New Roman" w:cs="Times New Roman"/>
                <w:color w:val="auto"/>
                <w:sz w:val="20"/>
                <w:szCs w:val="20"/>
                <w:lang w:eastAsia="ru-RU"/>
              </w:rPr>
              <w:lastRenderedPageBreak/>
              <w:t>culturale și dezvoltarea colecțiilor cu resurse informaționale.</w:t>
            </w:r>
          </w:p>
        </w:tc>
        <w:tc>
          <w:tcPr>
            <w:tcW w:w="0" w:type="auto"/>
            <w:shd w:val="clear" w:color="auto" w:fill="auto"/>
          </w:tcPr>
          <w:p w14:paraId="2C01D64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 xml:space="preserve">Numărul anual de resurse achiziționate, împrumutate și utilizatori străini; Numărul anual de voluntari participanți și numărul anual de ore de voluntariat; Numărul anual de evenimente și activități organizate și desfășurate, </w:t>
            </w:r>
            <w:r>
              <w:rPr>
                <w:rFonts w:eastAsia="Times New Roman" w:cs="Times New Roman"/>
                <w:color w:val="auto"/>
                <w:sz w:val="20"/>
                <w:szCs w:val="20"/>
                <w:lang w:eastAsia="ru-RU"/>
              </w:rPr>
              <w:lastRenderedPageBreak/>
              <w:t>împreună cu numărul total de pa</w:t>
            </w:r>
            <w:r>
              <w:rPr>
                <w:rFonts w:eastAsia="Times New Roman" w:cs="Times New Roman"/>
                <w:color w:val="auto"/>
                <w:sz w:val="20"/>
                <w:szCs w:val="20"/>
                <w:lang w:eastAsia="ru-RU"/>
              </w:rPr>
              <w:t>rticipanți; Numărul anual de servicii socio-culturale prestate și numărul total de beneficiari</w:t>
            </w:r>
          </w:p>
        </w:tc>
        <w:tc>
          <w:tcPr>
            <w:tcW w:w="0" w:type="auto"/>
            <w:shd w:val="clear" w:color="auto" w:fill="auto"/>
          </w:tcPr>
          <w:p w14:paraId="5D8703B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ian. 2025</w:t>
            </w:r>
          </w:p>
        </w:tc>
        <w:tc>
          <w:tcPr>
            <w:tcW w:w="0" w:type="auto"/>
            <w:shd w:val="clear" w:color="auto" w:fill="auto"/>
          </w:tcPr>
          <w:p w14:paraId="1FA56E3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2882612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2CD5732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Biblioteca Municipală; „B.P. Hașdeu”</w:t>
            </w:r>
          </w:p>
        </w:tc>
        <w:tc>
          <w:tcPr>
            <w:tcW w:w="0" w:type="auto"/>
            <w:shd w:val="clear" w:color="auto" w:fill="auto"/>
          </w:tcPr>
          <w:p w14:paraId="13AF672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370,0</w:t>
            </w:r>
          </w:p>
        </w:tc>
        <w:tc>
          <w:tcPr>
            <w:tcW w:w="0" w:type="auto"/>
            <w:shd w:val="clear" w:color="auto" w:fill="auto"/>
          </w:tcPr>
          <w:p w14:paraId="4B15F22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370,0</w:t>
            </w:r>
          </w:p>
        </w:tc>
        <w:tc>
          <w:tcPr>
            <w:tcW w:w="0" w:type="auto"/>
            <w:shd w:val="clear" w:color="auto" w:fill="auto"/>
          </w:tcPr>
          <w:p w14:paraId="23F8977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370,0</w:t>
            </w:r>
          </w:p>
        </w:tc>
        <w:tc>
          <w:tcPr>
            <w:tcW w:w="0" w:type="auto"/>
            <w:shd w:val="clear" w:color="auto" w:fill="auto"/>
          </w:tcPr>
          <w:p w14:paraId="12D798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1110,0</w:t>
            </w:r>
          </w:p>
        </w:tc>
        <w:tc>
          <w:tcPr>
            <w:tcW w:w="0" w:type="auto"/>
            <w:shd w:val="clear" w:color="auto" w:fill="auto"/>
          </w:tcPr>
          <w:p w14:paraId="73FDAD8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Bugetul APL, mun. Chișinău</w:t>
            </w:r>
          </w:p>
        </w:tc>
      </w:tr>
      <w:tr w:rsidR="0075115C" w14:paraId="2AA20751" w14:textId="77777777">
        <w:trPr>
          <w:trHeight w:val="240"/>
        </w:trPr>
        <w:tc>
          <w:tcPr>
            <w:tcW w:w="0" w:type="auto"/>
            <w:shd w:val="clear" w:color="auto" w:fill="auto"/>
          </w:tcPr>
          <w:p w14:paraId="3306D4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87</w:t>
            </w:r>
          </w:p>
        </w:tc>
        <w:tc>
          <w:tcPr>
            <w:tcW w:w="0" w:type="auto"/>
            <w:shd w:val="clear" w:color="auto" w:fill="auto"/>
          </w:tcPr>
          <w:p w14:paraId="2819F4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excursiilor </w:t>
            </w:r>
            <w:r>
              <w:rPr>
                <w:rFonts w:eastAsia="Times New Roman" w:cs="Times New Roman"/>
                <w:color w:val="auto"/>
                <w:sz w:val="20"/>
                <w:szCs w:val="20"/>
                <w:lang w:eastAsia="ru-RU"/>
              </w:rPr>
              <w:t>ghidate în cadrul Muzeului Național de Etnografie și Istorie Naturală și organizarea atelierelor și școlilor de vară tematice</w:t>
            </w:r>
          </w:p>
        </w:tc>
        <w:tc>
          <w:tcPr>
            <w:tcW w:w="0" w:type="auto"/>
            <w:shd w:val="clear" w:color="auto" w:fill="auto"/>
          </w:tcPr>
          <w:p w14:paraId="06D3EAC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800-950 de participanți străini anual la excursii ghidate în cadrul Muzeului Național de Etnografie și Istorie Naturală.;30 de par</w:t>
            </w:r>
            <w:r>
              <w:rPr>
                <w:rFonts w:eastAsia="Times New Roman" w:cs="Times New Roman"/>
                <w:color w:val="auto"/>
                <w:sz w:val="20"/>
                <w:szCs w:val="20"/>
                <w:lang w:eastAsia="ru-RU"/>
              </w:rPr>
              <w:t>ticipanți străini anual la atelierele de confecționare a cămășii tradiționale; 30 de participanți străini anual la atelierele și școlile de vară pentru deprinderea artei țesutului și țeserea unui covoraș; 250-300 de participanți străini anual la atelierele</w:t>
            </w:r>
            <w:r>
              <w:rPr>
                <w:rFonts w:eastAsia="Times New Roman" w:cs="Times New Roman"/>
                <w:color w:val="auto"/>
                <w:sz w:val="20"/>
                <w:szCs w:val="20"/>
                <w:lang w:eastAsia="ru-RU"/>
              </w:rPr>
              <w:t xml:space="preserve"> tematice (confecționarea mărțișoarelor, încondeierea ouălor, confecționarea măștilor specifice teatrului popular de iarnă); 200-300 de participanți străini anual la lecțiile deschise, mesele rotunde și seminarele pe tema dialogului intercultural și a tole</w:t>
            </w:r>
            <w:r>
              <w:rPr>
                <w:rFonts w:eastAsia="Times New Roman" w:cs="Times New Roman"/>
                <w:color w:val="auto"/>
                <w:sz w:val="20"/>
                <w:szCs w:val="20"/>
                <w:lang w:eastAsia="ru-RU"/>
              </w:rPr>
              <w:t>ranței în Republica Moldova.</w:t>
            </w:r>
          </w:p>
        </w:tc>
        <w:tc>
          <w:tcPr>
            <w:tcW w:w="0" w:type="auto"/>
            <w:shd w:val="clear" w:color="auto" w:fill="auto"/>
          </w:tcPr>
          <w:p w14:paraId="0AE3818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54EC133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2027</w:t>
            </w:r>
          </w:p>
        </w:tc>
        <w:tc>
          <w:tcPr>
            <w:tcW w:w="0" w:type="auto"/>
            <w:shd w:val="clear" w:color="auto" w:fill="auto"/>
          </w:tcPr>
          <w:p w14:paraId="7FA93D2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1A9AFE4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Muzeul National de Etnografie și Istorie Naturală</w:t>
            </w:r>
          </w:p>
        </w:tc>
        <w:tc>
          <w:tcPr>
            <w:tcW w:w="0" w:type="auto"/>
            <w:shd w:val="clear" w:color="auto" w:fill="auto"/>
          </w:tcPr>
          <w:p w14:paraId="47196A7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351649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330B872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26,7</w:t>
            </w:r>
          </w:p>
        </w:tc>
        <w:tc>
          <w:tcPr>
            <w:tcW w:w="0" w:type="auto"/>
            <w:shd w:val="clear" w:color="auto" w:fill="auto"/>
          </w:tcPr>
          <w:p w14:paraId="5C4DCC7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80,1</w:t>
            </w:r>
          </w:p>
        </w:tc>
        <w:tc>
          <w:tcPr>
            <w:tcW w:w="0" w:type="auto"/>
            <w:shd w:val="clear" w:color="auto" w:fill="auto"/>
          </w:tcPr>
          <w:p w14:paraId="2FAA12D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1C96BA36" w14:textId="77777777">
        <w:trPr>
          <w:trHeight w:val="240"/>
        </w:trPr>
        <w:tc>
          <w:tcPr>
            <w:tcW w:w="0" w:type="auto"/>
            <w:shd w:val="clear" w:color="auto" w:fill="auto"/>
          </w:tcPr>
          <w:p w14:paraId="24FF8B4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88</w:t>
            </w:r>
          </w:p>
        </w:tc>
        <w:tc>
          <w:tcPr>
            <w:tcW w:w="0" w:type="auto"/>
            <w:shd w:val="clear" w:color="auto" w:fill="auto"/>
          </w:tcPr>
          <w:p w14:paraId="7A8E653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Organizarea și desfășurarea atelierelor de creație și tururilor ghidate pentru copii și adulți străini </w:t>
            </w:r>
            <w:r>
              <w:rPr>
                <w:rFonts w:eastAsia="Times New Roman" w:cs="Times New Roman"/>
                <w:color w:val="auto"/>
                <w:sz w:val="20"/>
                <w:szCs w:val="20"/>
                <w:lang w:eastAsia="ru-RU"/>
              </w:rPr>
              <w:t>aflați pe teritoriul Republicii Moldova</w:t>
            </w:r>
          </w:p>
        </w:tc>
        <w:tc>
          <w:tcPr>
            <w:tcW w:w="0" w:type="auto"/>
            <w:shd w:val="clear" w:color="auto" w:fill="auto"/>
          </w:tcPr>
          <w:p w14:paraId="43CD49E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40 de participanți străini anual la ateliere de creație; 50 de participanți străini anual la tururi ghidate</w:t>
            </w:r>
          </w:p>
        </w:tc>
        <w:tc>
          <w:tcPr>
            <w:tcW w:w="0" w:type="auto"/>
            <w:shd w:val="clear" w:color="auto" w:fill="auto"/>
          </w:tcPr>
          <w:p w14:paraId="35988D1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mar. 2025</w:t>
            </w:r>
          </w:p>
        </w:tc>
        <w:tc>
          <w:tcPr>
            <w:tcW w:w="0" w:type="auto"/>
            <w:shd w:val="clear" w:color="auto" w:fill="auto"/>
          </w:tcPr>
          <w:p w14:paraId="386A70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677EA1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215CED4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Muzeul Național de Artă al Moldovei</w:t>
            </w:r>
          </w:p>
        </w:tc>
        <w:tc>
          <w:tcPr>
            <w:tcW w:w="0" w:type="auto"/>
            <w:shd w:val="clear" w:color="auto" w:fill="auto"/>
          </w:tcPr>
          <w:p w14:paraId="0507334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12,5</w:t>
            </w:r>
          </w:p>
        </w:tc>
        <w:tc>
          <w:tcPr>
            <w:tcW w:w="0" w:type="auto"/>
            <w:shd w:val="clear" w:color="auto" w:fill="auto"/>
          </w:tcPr>
          <w:p w14:paraId="004702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12,5</w:t>
            </w:r>
          </w:p>
        </w:tc>
        <w:tc>
          <w:tcPr>
            <w:tcW w:w="0" w:type="auto"/>
            <w:shd w:val="clear" w:color="auto" w:fill="auto"/>
          </w:tcPr>
          <w:p w14:paraId="3F24F10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12,5</w:t>
            </w:r>
          </w:p>
        </w:tc>
        <w:tc>
          <w:tcPr>
            <w:tcW w:w="0" w:type="auto"/>
            <w:shd w:val="clear" w:color="auto" w:fill="auto"/>
          </w:tcPr>
          <w:p w14:paraId="07404FE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37,5</w:t>
            </w:r>
          </w:p>
        </w:tc>
        <w:tc>
          <w:tcPr>
            <w:tcW w:w="0" w:type="auto"/>
            <w:shd w:val="clear" w:color="auto" w:fill="auto"/>
          </w:tcPr>
          <w:p w14:paraId="4945FA0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435FAFCA" w14:textId="77777777">
        <w:trPr>
          <w:trHeight w:val="240"/>
        </w:trPr>
        <w:tc>
          <w:tcPr>
            <w:tcW w:w="0" w:type="auto"/>
            <w:shd w:val="clear" w:color="auto" w:fill="auto"/>
          </w:tcPr>
          <w:p w14:paraId="5D727C4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89</w:t>
            </w:r>
          </w:p>
        </w:tc>
        <w:tc>
          <w:tcPr>
            <w:tcW w:w="0" w:type="auto"/>
            <w:shd w:val="clear" w:color="auto" w:fill="auto"/>
          </w:tcPr>
          <w:p w14:paraId="0C15FD9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Elaborarea, traducerea și distribuirea broșurilor informative despre patrimoniul MNIM</w:t>
            </w:r>
          </w:p>
        </w:tc>
        <w:tc>
          <w:tcPr>
            <w:tcW w:w="0" w:type="auto"/>
            <w:shd w:val="clear" w:color="auto" w:fill="auto"/>
          </w:tcPr>
          <w:p w14:paraId="42AE6F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 broșură anual; (un tiraj de 200 buc.); 100 de participanți străini anual</w:t>
            </w:r>
          </w:p>
        </w:tc>
        <w:tc>
          <w:tcPr>
            <w:tcW w:w="0" w:type="auto"/>
            <w:shd w:val="clear" w:color="auto" w:fill="auto"/>
          </w:tcPr>
          <w:p w14:paraId="38EE216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2284F0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61167D4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36D1DFD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Muzeul Național de Istorie a Moldovei</w:t>
            </w:r>
          </w:p>
        </w:tc>
        <w:tc>
          <w:tcPr>
            <w:tcW w:w="0" w:type="auto"/>
            <w:shd w:val="clear" w:color="auto" w:fill="auto"/>
          </w:tcPr>
          <w:p w14:paraId="2C85386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w:t>
            </w:r>
          </w:p>
        </w:tc>
        <w:tc>
          <w:tcPr>
            <w:tcW w:w="0" w:type="auto"/>
            <w:shd w:val="clear" w:color="auto" w:fill="auto"/>
          </w:tcPr>
          <w:p w14:paraId="0DD0FC6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w:t>
            </w:r>
          </w:p>
        </w:tc>
        <w:tc>
          <w:tcPr>
            <w:tcW w:w="0" w:type="auto"/>
            <w:shd w:val="clear" w:color="auto" w:fill="auto"/>
          </w:tcPr>
          <w:p w14:paraId="25704F2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w:t>
            </w:r>
          </w:p>
        </w:tc>
        <w:tc>
          <w:tcPr>
            <w:tcW w:w="0" w:type="auto"/>
            <w:shd w:val="clear" w:color="auto" w:fill="auto"/>
          </w:tcPr>
          <w:p w14:paraId="6099E4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15,0</w:t>
            </w:r>
          </w:p>
        </w:tc>
        <w:tc>
          <w:tcPr>
            <w:tcW w:w="0" w:type="auto"/>
            <w:shd w:val="clear" w:color="auto" w:fill="auto"/>
          </w:tcPr>
          <w:p w14:paraId="0AD5B3C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5F5444A9" w14:textId="77777777">
        <w:trPr>
          <w:trHeight w:val="240"/>
        </w:trPr>
        <w:tc>
          <w:tcPr>
            <w:tcW w:w="0" w:type="auto"/>
            <w:shd w:val="clear" w:color="auto" w:fill="auto"/>
          </w:tcPr>
          <w:p w14:paraId="48E7BCF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w:t>
            </w:r>
          </w:p>
        </w:tc>
        <w:tc>
          <w:tcPr>
            <w:tcW w:w="0" w:type="auto"/>
            <w:shd w:val="clear" w:color="auto" w:fill="auto"/>
          </w:tcPr>
          <w:p w14:paraId="7D4813E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Organizarea de evenimente culturale și educative pentru promovarea diversității și integrarea refugiaților/străinilor în comunitatea locală.</w:t>
            </w:r>
          </w:p>
        </w:tc>
        <w:tc>
          <w:tcPr>
            <w:tcW w:w="0" w:type="auto"/>
            <w:shd w:val="clear" w:color="auto" w:fill="auto"/>
          </w:tcPr>
          <w:p w14:paraId="512FB6F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1 expoziție tematică anuală despre cultura și tradițiile străinilor, 100 participanți annual; 5 ateliere </w:t>
            </w:r>
            <w:r>
              <w:rPr>
                <w:rFonts w:eastAsia="Times New Roman" w:cs="Times New Roman"/>
                <w:color w:val="auto"/>
                <w:sz w:val="20"/>
                <w:szCs w:val="20"/>
                <w:lang w:eastAsia="ru-RU"/>
              </w:rPr>
              <w:t>educative bilingve anual pentru copiii refugiați/strămutați, 75 copii străini annual; 3 tururi ghidate anual pentru refugiați, disponibile în limbile rusă, română și engleză, 60 participanți străini anual</w:t>
            </w:r>
          </w:p>
        </w:tc>
        <w:tc>
          <w:tcPr>
            <w:tcW w:w="0" w:type="auto"/>
            <w:shd w:val="clear" w:color="auto" w:fill="auto"/>
          </w:tcPr>
          <w:p w14:paraId="2E8C0BB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4DAA0C0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0F9B2F6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4F7615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Muzeul Nați</w:t>
            </w:r>
            <w:r>
              <w:rPr>
                <w:rFonts w:eastAsia="Times New Roman" w:cs="Times New Roman"/>
                <w:color w:val="auto"/>
                <w:sz w:val="20"/>
                <w:szCs w:val="20"/>
                <w:lang w:eastAsia="ru-RU"/>
              </w:rPr>
              <w:t>onal de Istorie a Moldovei; Ambasada Ucrainei în Republica Moldova; Fundația 9 (România)</w:t>
            </w:r>
          </w:p>
        </w:tc>
        <w:tc>
          <w:tcPr>
            <w:tcW w:w="0" w:type="auto"/>
            <w:shd w:val="clear" w:color="auto" w:fill="auto"/>
          </w:tcPr>
          <w:p w14:paraId="0032FB1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48,0</w:t>
            </w:r>
          </w:p>
        </w:tc>
        <w:tc>
          <w:tcPr>
            <w:tcW w:w="0" w:type="auto"/>
            <w:shd w:val="clear" w:color="auto" w:fill="auto"/>
          </w:tcPr>
          <w:p w14:paraId="3ED74F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48,0</w:t>
            </w:r>
          </w:p>
        </w:tc>
        <w:tc>
          <w:tcPr>
            <w:tcW w:w="0" w:type="auto"/>
            <w:shd w:val="clear" w:color="auto" w:fill="auto"/>
          </w:tcPr>
          <w:p w14:paraId="650C6A7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48,0</w:t>
            </w:r>
          </w:p>
        </w:tc>
        <w:tc>
          <w:tcPr>
            <w:tcW w:w="0" w:type="auto"/>
            <w:shd w:val="clear" w:color="auto" w:fill="auto"/>
          </w:tcPr>
          <w:p w14:paraId="285E457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144,0</w:t>
            </w:r>
          </w:p>
        </w:tc>
        <w:tc>
          <w:tcPr>
            <w:tcW w:w="0" w:type="auto"/>
            <w:shd w:val="clear" w:color="auto" w:fill="auto"/>
          </w:tcPr>
          <w:p w14:paraId="439C542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Bugetul Fundația9 (România)</w:t>
            </w:r>
          </w:p>
        </w:tc>
      </w:tr>
      <w:tr w:rsidR="0075115C" w14:paraId="1B005F41" w14:textId="77777777">
        <w:trPr>
          <w:trHeight w:val="240"/>
        </w:trPr>
        <w:tc>
          <w:tcPr>
            <w:tcW w:w="0" w:type="auto"/>
            <w:shd w:val="clear" w:color="auto" w:fill="auto"/>
          </w:tcPr>
          <w:p w14:paraId="3EDAFCF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91</w:t>
            </w:r>
          </w:p>
        </w:tc>
        <w:tc>
          <w:tcPr>
            <w:tcW w:w="0" w:type="auto"/>
            <w:shd w:val="clear" w:color="auto" w:fill="auto"/>
          </w:tcPr>
          <w:p w14:paraId="72271C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Organizarea și derularea filmelor istorice, documentare în cinemateca muzeală „Clio”</w:t>
            </w:r>
          </w:p>
        </w:tc>
        <w:tc>
          <w:tcPr>
            <w:tcW w:w="0" w:type="auto"/>
            <w:shd w:val="clear" w:color="auto" w:fill="auto"/>
          </w:tcPr>
          <w:p w14:paraId="6181BC8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2 proiecții anual; 60 </w:t>
            </w:r>
            <w:r>
              <w:rPr>
                <w:rFonts w:eastAsia="Times New Roman" w:cs="Times New Roman"/>
                <w:color w:val="auto"/>
                <w:sz w:val="20"/>
                <w:szCs w:val="20"/>
                <w:lang w:eastAsia="ru-RU"/>
              </w:rPr>
              <w:t>participanți străini anual; (15 copii, 15 tineri, 30 adulți)</w:t>
            </w:r>
          </w:p>
        </w:tc>
        <w:tc>
          <w:tcPr>
            <w:tcW w:w="0" w:type="auto"/>
            <w:shd w:val="clear" w:color="auto" w:fill="auto"/>
          </w:tcPr>
          <w:p w14:paraId="492A6CD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mai. 2025</w:t>
            </w:r>
          </w:p>
        </w:tc>
        <w:tc>
          <w:tcPr>
            <w:tcW w:w="0" w:type="auto"/>
            <w:shd w:val="clear" w:color="auto" w:fill="auto"/>
          </w:tcPr>
          <w:p w14:paraId="7B9F7B1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sept. 2027</w:t>
            </w:r>
          </w:p>
        </w:tc>
        <w:tc>
          <w:tcPr>
            <w:tcW w:w="0" w:type="auto"/>
            <w:shd w:val="clear" w:color="auto" w:fill="auto"/>
          </w:tcPr>
          <w:p w14:paraId="3041A6D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61A9D08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AB1D0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w:t>
            </w:r>
          </w:p>
        </w:tc>
        <w:tc>
          <w:tcPr>
            <w:tcW w:w="0" w:type="auto"/>
            <w:shd w:val="clear" w:color="auto" w:fill="auto"/>
          </w:tcPr>
          <w:p w14:paraId="2289D92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w:t>
            </w:r>
          </w:p>
        </w:tc>
        <w:tc>
          <w:tcPr>
            <w:tcW w:w="0" w:type="auto"/>
            <w:shd w:val="clear" w:color="auto" w:fill="auto"/>
          </w:tcPr>
          <w:p w14:paraId="1D5C87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w:t>
            </w:r>
          </w:p>
        </w:tc>
        <w:tc>
          <w:tcPr>
            <w:tcW w:w="0" w:type="auto"/>
            <w:shd w:val="clear" w:color="auto" w:fill="auto"/>
          </w:tcPr>
          <w:p w14:paraId="01BCC90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w:t>
            </w:r>
          </w:p>
        </w:tc>
        <w:tc>
          <w:tcPr>
            <w:tcW w:w="0" w:type="auto"/>
            <w:shd w:val="clear" w:color="auto" w:fill="auto"/>
          </w:tcPr>
          <w:p w14:paraId="4278451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02E04A49" w14:textId="77777777">
        <w:trPr>
          <w:trHeight w:val="240"/>
        </w:trPr>
        <w:tc>
          <w:tcPr>
            <w:tcW w:w="0" w:type="auto"/>
            <w:shd w:val="clear" w:color="auto" w:fill="auto"/>
          </w:tcPr>
          <w:p w14:paraId="7852F27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92</w:t>
            </w:r>
          </w:p>
        </w:tc>
        <w:tc>
          <w:tcPr>
            <w:tcW w:w="0" w:type="auto"/>
            <w:shd w:val="clear" w:color="auto" w:fill="auto"/>
          </w:tcPr>
          <w:p w14:paraId="212BAAE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Organizarea și desfășurarea atelierelor tematice de creație, expozițiilor de traduceri din limba ucraineană și întâlnirilor cu</w:t>
            </w:r>
            <w:r>
              <w:rPr>
                <w:rFonts w:eastAsia="Times New Roman" w:cs="Times New Roman"/>
                <w:color w:val="auto"/>
                <w:sz w:val="20"/>
                <w:szCs w:val="20"/>
                <w:lang w:eastAsia="ru-RU"/>
              </w:rPr>
              <w:t xml:space="preserve"> scriitori ucraineni</w:t>
            </w:r>
          </w:p>
        </w:tc>
        <w:tc>
          <w:tcPr>
            <w:tcW w:w="0" w:type="auto"/>
            <w:shd w:val="clear" w:color="auto" w:fill="auto"/>
          </w:tcPr>
          <w:p w14:paraId="2347145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de participanți străini</w:t>
            </w:r>
          </w:p>
        </w:tc>
        <w:tc>
          <w:tcPr>
            <w:tcW w:w="0" w:type="auto"/>
            <w:shd w:val="clear" w:color="auto" w:fill="auto"/>
          </w:tcPr>
          <w:p w14:paraId="78E4139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mai. 2025</w:t>
            </w:r>
          </w:p>
        </w:tc>
        <w:tc>
          <w:tcPr>
            <w:tcW w:w="0" w:type="auto"/>
            <w:shd w:val="clear" w:color="auto" w:fill="auto"/>
          </w:tcPr>
          <w:p w14:paraId="60D0545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noi. 2027</w:t>
            </w:r>
          </w:p>
        </w:tc>
        <w:tc>
          <w:tcPr>
            <w:tcW w:w="0" w:type="auto"/>
            <w:shd w:val="clear" w:color="auto" w:fill="auto"/>
          </w:tcPr>
          <w:p w14:paraId="3341126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626CEAF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Muzeul Național al Literaturii Române</w:t>
            </w:r>
          </w:p>
        </w:tc>
        <w:tc>
          <w:tcPr>
            <w:tcW w:w="0" w:type="auto"/>
            <w:shd w:val="clear" w:color="auto" w:fill="auto"/>
          </w:tcPr>
          <w:p w14:paraId="077ED9E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11,0</w:t>
            </w:r>
          </w:p>
        </w:tc>
        <w:tc>
          <w:tcPr>
            <w:tcW w:w="0" w:type="auto"/>
            <w:shd w:val="clear" w:color="auto" w:fill="auto"/>
          </w:tcPr>
          <w:p w14:paraId="28793F8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11,0</w:t>
            </w:r>
          </w:p>
        </w:tc>
        <w:tc>
          <w:tcPr>
            <w:tcW w:w="0" w:type="auto"/>
            <w:shd w:val="clear" w:color="auto" w:fill="auto"/>
          </w:tcPr>
          <w:p w14:paraId="4E8770D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11,0</w:t>
            </w:r>
          </w:p>
        </w:tc>
        <w:tc>
          <w:tcPr>
            <w:tcW w:w="0" w:type="auto"/>
            <w:shd w:val="clear" w:color="auto" w:fill="auto"/>
          </w:tcPr>
          <w:p w14:paraId="3CFFDA0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33,0</w:t>
            </w:r>
          </w:p>
        </w:tc>
        <w:tc>
          <w:tcPr>
            <w:tcW w:w="0" w:type="auto"/>
            <w:shd w:val="clear" w:color="auto" w:fill="auto"/>
          </w:tcPr>
          <w:p w14:paraId="3E5CA2D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85.02</w:t>
            </w:r>
          </w:p>
        </w:tc>
      </w:tr>
      <w:tr w:rsidR="0075115C" w14:paraId="76D3FBB4" w14:textId="77777777">
        <w:trPr>
          <w:trHeight w:val="240"/>
        </w:trPr>
        <w:tc>
          <w:tcPr>
            <w:tcW w:w="0" w:type="auto"/>
            <w:shd w:val="clear" w:color="auto" w:fill="auto"/>
          </w:tcPr>
          <w:p w14:paraId="718E71C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93</w:t>
            </w:r>
          </w:p>
        </w:tc>
        <w:tc>
          <w:tcPr>
            <w:tcW w:w="0" w:type="auto"/>
            <w:shd w:val="clear" w:color="auto" w:fill="auto"/>
          </w:tcPr>
          <w:p w14:paraId="00AF3C3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Asigurarea activității de consolidare a capacităților persoanelor străine din Republica Moldova</w:t>
            </w:r>
            <w:r>
              <w:rPr>
                <w:rFonts w:eastAsia="Times New Roman" w:cs="Times New Roman"/>
                <w:color w:val="auto"/>
                <w:sz w:val="20"/>
                <w:szCs w:val="20"/>
                <w:lang w:eastAsia="ru-RU"/>
              </w:rPr>
              <w:t xml:space="preserve"> în domeniul turismului</w:t>
            </w:r>
          </w:p>
        </w:tc>
        <w:tc>
          <w:tcPr>
            <w:tcW w:w="0" w:type="auto"/>
            <w:shd w:val="clear" w:color="auto" w:fill="auto"/>
          </w:tcPr>
          <w:p w14:paraId="5DA66DB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Minim 1 curs de instruire organizat anual; Numărul de străini instruiți</w:t>
            </w:r>
          </w:p>
        </w:tc>
        <w:tc>
          <w:tcPr>
            <w:tcW w:w="0" w:type="auto"/>
            <w:shd w:val="clear" w:color="auto" w:fill="auto"/>
          </w:tcPr>
          <w:p w14:paraId="54CAD30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2026</w:t>
            </w:r>
          </w:p>
        </w:tc>
        <w:tc>
          <w:tcPr>
            <w:tcW w:w="0" w:type="auto"/>
            <w:shd w:val="clear" w:color="auto" w:fill="auto"/>
          </w:tcPr>
          <w:p w14:paraId="040D990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noi. 2027</w:t>
            </w:r>
          </w:p>
        </w:tc>
        <w:tc>
          <w:tcPr>
            <w:tcW w:w="0" w:type="auto"/>
            <w:shd w:val="clear" w:color="auto" w:fill="auto"/>
          </w:tcPr>
          <w:p w14:paraId="18B5000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Culturii</w:t>
            </w:r>
          </w:p>
        </w:tc>
        <w:tc>
          <w:tcPr>
            <w:tcW w:w="0" w:type="auto"/>
            <w:shd w:val="clear" w:color="auto" w:fill="auto"/>
          </w:tcPr>
          <w:p w14:paraId="72CE0B5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 IP Oficiul Național al Turismului; Inspectoratul General pentru Migraţie</w:t>
            </w:r>
          </w:p>
        </w:tc>
        <w:tc>
          <w:tcPr>
            <w:tcW w:w="0" w:type="auto"/>
            <w:shd w:val="clear" w:color="auto" w:fill="auto"/>
          </w:tcPr>
          <w:p w14:paraId="6596E94A"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980BB7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w:t>
            </w:r>
          </w:p>
        </w:tc>
        <w:tc>
          <w:tcPr>
            <w:tcW w:w="0" w:type="auto"/>
            <w:shd w:val="clear" w:color="auto" w:fill="auto"/>
          </w:tcPr>
          <w:p w14:paraId="0AA56AB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10,0</w:t>
            </w:r>
          </w:p>
        </w:tc>
        <w:tc>
          <w:tcPr>
            <w:tcW w:w="0" w:type="auto"/>
            <w:shd w:val="clear" w:color="auto" w:fill="auto"/>
          </w:tcPr>
          <w:p w14:paraId="06FB290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6C61966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66.02 Asistență externă</w:t>
            </w:r>
          </w:p>
        </w:tc>
      </w:tr>
      <w:tr w:rsidR="0075115C" w14:paraId="43431DA4" w14:textId="77777777">
        <w:trPr>
          <w:trHeight w:val="240"/>
        </w:trPr>
        <w:tc>
          <w:tcPr>
            <w:tcW w:w="0" w:type="auto"/>
            <w:shd w:val="clear" w:color="auto" w:fill="auto"/>
          </w:tcPr>
          <w:p w14:paraId="3D6C263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94</w:t>
            </w:r>
          </w:p>
        </w:tc>
        <w:tc>
          <w:tcPr>
            <w:tcW w:w="0" w:type="auto"/>
            <w:shd w:val="clear" w:color="auto" w:fill="auto"/>
          </w:tcPr>
          <w:p w14:paraId="7902251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Organizarea tururilor informaționale destinate promovării turismului național, cu implicarea persoanelor străine din Republica Moldova</w:t>
            </w:r>
          </w:p>
        </w:tc>
        <w:tc>
          <w:tcPr>
            <w:tcW w:w="0" w:type="auto"/>
            <w:shd w:val="clear" w:color="auto" w:fill="auto"/>
          </w:tcPr>
          <w:p w14:paraId="6256479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Minim 1 tur informațional organizat și desfășurat; Numărul de străini participanți</w:t>
            </w:r>
          </w:p>
        </w:tc>
        <w:tc>
          <w:tcPr>
            <w:tcW w:w="0" w:type="auto"/>
            <w:shd w:val="clear" w:color="auto" w:fill="auto"/>
          </w:tcPr>
          <w:p w14:paraId="23052A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feb. 2025</w:t>
            </w:r>
          </w:p>
        </w:tc>
        <w:tc>
          <w:tcPr>
            <w:tcW w:w="0" w:type="auto"/>
            <w:shd w:val="clear" w:color="auto" w:fill="auto"/>
          </w:tcPr>
          <w:p w14:paraId="182DBEE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noi. 2027</w:t>
            </w:r>
          </w:p>
        </w:tc>
        <w:tc>
          <w:tcPr>
            <w:tcW w:w="0" w:type="auto"/>
            <w:shd w:val="clear" w:color="auto" w:fill="auto"/>
          </w:tcPr>
          <w:p w14:paraId="2E0277D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Culturi</w:t>
            </w:r>
            <w:r>
              <w:rPr>
                <w:rFonts w:eastAsia="Times New Roman" w:cs="Times New Roman"/>
                <w:color w:val="auto"/>
                <w:sz w:val="20"/>
                <w:szCs w:val="20"/>
                <w:lang w:eastAsia="ru-RU"/>
              </w:rPr>
              <w:t>i</w:t>
            </w:r>
          </w:p>
        </w:tc>
        <w:tc>
          <w:tcPr>
            <w:tcW w:w="0" w:type="auto"/>
            <w:shd w:val="clear" w:color="auto" w:fill="auto"/>
          </w:tcPr>
          <w:p w14:paraId="2FBD5D7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 IP Oficiul Național al Turismului; Inspectoratul General pentru Migraţie</w:t>
            </w:r>
          </w:p>
        </w:tc>
        <w:tc>
          <w:tcPr>
            <w:tcW w:w="0" w:type="auto"/>
            <w:shd w:val="clear" w:color="auto" w:fill="auto"/>
          </w:tcPr>
          <w:p w14:paraId="0EB73B3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w:t>
            </w:r>
          </w:p>
        </w:tc>
        <w:tc>
          <w:tcPr>
            <w:tcW w:w="0" w:type="auto"/>
            <w:shd w:val="clear" w:color="auto" w:fill="auto"/>
          </w:tcPr>
          <w:p w14:paraId="2668053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w:t>
            </w:r>
          </w:p>
        </w:tc>
        <w:tc>
          <w:tcPr>
            <w:tcW w:w="0" w:type="auto"/>
            <w:shd w:val="clear" w:color="auto" w:fill="auto"/>
          </w:tcPr>
          <w:p w14:paraId="7F9D3DC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w:t>
            </w:r>
          </w:p>
        </w:tc>
        <w:tc>
          <w:tcPr>
            <w:tcW w:w="0" w:type="auto"/>
            <w:shd w:val="clear" w:color="auto" w:fill="auto"/>
          </w:tcPr>
          <w:p w14:paraId="4E583F4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27,0</w:t>
            </w:r>
          </w:p>
        </w:tc>
        <w:tc>
          <w:tcPr>
            <w:tcW w:w="0" w:type="auto"/>
            <w:shd w:val="clear" w:color="auto" w:fill="auto"/>
          </w:tcPr>
          <w:p w14:paraId="2A8173C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66.02 Asistență externă</w:t>
            </w:r>
          </w:p>
        </w:tc>
      </w:tr>
      <w:tr w:rsidR="0075115C" w14:paraId="304D0860" w14:textId="77777777">
        <w:trPr>
          <w:trHeight w:val="240"/>
        </w:trPr>
        <w:tc>
          <w:tcPr>
            <w:tcW w:w="0" w:type="auto"/>
            <w:shd w:val="clear" w:color="auto" w:fill="auto"/>
          </w:tcPr>
          <w:p w14:paraId="00D4E497"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0252175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Buget total pentru Obiectivul nr. 6</w:t>
            </w:r>
          </w:p>
        </w:tc>
        <w:tc>
          <w:tcPr>
            <w:tcW w:w="0" w:type="auto"/>
            <w:shd w:val="clear" w:color="000000" w:fill="E8E8E8"/>
          </w:tcPr>
          <w:p w14:paraId="225593E9"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8181EE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60677460"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7BE87C3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20F20EB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12A658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3377,2</w:t>
            </w:r>
          </w:p>
        </w:tc>
        <w:tc>
          <w:tcPr>
            <w:tcW w:w="0" w:type="auto"/>
            <w:shd w:val="clear" w:color="000000" w:fill="E8E8E8"/>
          </w:tcPr>
          <w:p w14:paraId="5284F17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3387,2</w:t>
            </w:r>
          </w:p>
        </w:tc>
        <w:tc>
          <w:tcPr>
            <w:tcW w:w="0" w:type="auto"/>
            <w:shd w:val="clear" w:color="000000" w:fill="E8E8E8"/>
          </w:tcPr>
          <w:p w14:paraId="51300F6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2637,2</w:t>
            </w:r>
          </w:p>
        </w:tc>
        <w:tc>
          <w:tcPr>
            <w:tcW w:w="0" w:type="auto"/>
            <w:shd w:val="clear" w:color="000000" w:fill="E8E8E8"/>
          </w:tcPr>
          <w:p w14:paraId="3BCC28C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9401,6</w:t>
            </w:r>
          </w:p>
        </w:tc>
        <w:tc>
          <w:tcPr>
            <w:tcW w:w="0" w:type="auto"/>
            <w:shd w:val="clear" w:color="000000" w:fill="E8E8E8"/>
          </w:tcPr>
          <w:p w14:paraId="2244466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1F56EA59" w14:textId="77777777">
        <w:trPr>
          <w:trHeight w:val="240"/>
        </w:trPr>
        <w:tc>
          <w:tcPr>
            <w:tcW w:w="0" w:type="auto"/>
            <w:shd w:val="clear" w:color="000000" w:fill="DAE9F8"/>
          </w:tcPr>
          <w:p w14:paraId="16471E7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w:t>
            </w:r>
          </w:p>
        </w:tc>
        <w:tc>
          <w:tcPr>
            <w:tcW w:w="0" w:type="auto"/>
            <w:shd w:val="clear" w:color="000000" w:fill="DAE9F8"/>
          </w:tcPr>
          <w:p w14:paraId="4169BCE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Obiectivul nr. 7</w:t>
            </w:r>
          </w:p>
        </w:tc>
        <w:tc>
          <w:tcPr>
            <w:tcW w:w="0" w:type="auto"/>
            <w:gridSpan w:val="10"/>
            <w:shd w:val="clear" w:color="000000" w:fill="DAE9F8"/>
          </w:tcPr>
          <w:p w14:paraId="108026A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Sporirea capacității de acoperire a </w:t>
            </w:r>
            <w:r>
              <w:rPr>
                <w:rFonts w:eastAsia="Times New Roman" w:cs="Times New Roman"/>
                <w:color w:val="auto"/>
                <w:sz w:val="20"/>
                <w:szCs w:val="20"/>
                <w:lang w:eastAsia="ru-RU"/>
              </w:rPr>
              <w:t>necesităților persoanelor strămutate, privind dreptul la o locuință decentă</w:t>
            </w:r>
          </w:p>
        </w:tc>
      </w:tr>
      <w:tr w:rsidR="0075115C" w14:paraId="68B2E342" w14:textId="77777777">
        <w:trPr>
          <w:trHeight w:val="240"/>
        </w:trPr>
        <w:tc>
          <w:tcPr>
            <w:tcW w:w="0" w:type="auto"/>
            <w:shd w:val="clear" w:color="auto" w:fill="auto"/>
          </w:tcPr>
          <w:p w14:paraId="6469157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95</w:t>
            </w:r>
          </w:p>
        </w:tc>
        <w:tc>
          <w:tcPr>
            <w:tcW w:w="0" w:type="auto"/>
            <w:shd w:val="clear" w:color="auto" w:fill="auto"/>
          </w:tcPr>
          <w:p w14:paraId="2E69A530"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Ajustarea criteriilor de acces pentru străinii beneficiari ai Proiectului locuințe publice III, în vederea stabilirii unui mecanism mai echitabil</w:t>
            </w:r>
          </w:p>
        </w:tc>
        <w:tc>
          <w:tcPr>
            <w:tcW w:w="0" w:type="auto"/>
            <w:shd w:val="clear" w:color="auto" w:fill="auto"/>
          </w:tcPr>
          <w:p w14:paraId="25F3014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Ordin aprobat</w:t>
            </w:r>
          </w:p>
        </w:tc>
        <w:tc>
          <w:tcPr>
            <w:tcW w:w="0" w:type="auto"/>
            <w:shd w:val="clear" w:color="auto" w:fill="auto"/>
          </w:tcPr>
          <w:p w14:paraId="768598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7E43C24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mar. </w:t>
            </w:r>
            <w:r>
              <w:rPr>
                <w:rFonts w:eastAsia="Times New Roman" w:cs="Times New Roman"/>
                <w:color w:val="auto"/>
                <w:sz w:val="20"/>
                <w:szCs w:val="20"/>
                <w:lang w:eastAsia="ru-RU"/>
              </w:rPr>
              <w:t>2025</w:t>
            </w:r>
          </w:p>
        </w:tc>
        <w:tc>
          <w:tcPr>
            <w:tcW w:w="0" w:type="auto"/>
            <w:shd w:val="clear" w:color="auto" w:fill="auto"/>
          </w:tcPr>
          <w:p w14:paraId="08819E9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Infrastructurii și Dezvoltării Regionale</w:t>
            </w:r>
          </w:p>
        </w:tc>
        <w:tc>
          <w:tcPr>
            <w:tcW w:w="0" w:type="auto"/>
            <w:shd w:val="clear" w:color="auto" w:fill="auto"/>
          </w:tcPr>
          <w:p w14:paraId="6FAD3375"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629C095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171F0F92"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DA51A0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1E424A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0860128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61.01</w:t>
            </w:r>
          </w:p>
        </w:tc>
      </w:tr>
      <w:tr w:rsidR="0075115C" w14:paraId="2530EBA9" w14:textId="77777777">
        <w:trPr>
          <w:trHeight w:val="240"/>
        </w:trPr>
        <w:tc>
          <w:tcPr>
            <w:tcW w:w="0" w:type="auto"/>
            <w:shd w:val="clear" w:color="auto" w:fill="auto"/>
          </w:tcPr>
          <w:p w14:paraId="31C5599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96</w:t>
            </w:r>
          </w:p>
        </w:tc>
        <w:tc>
          <w:tcPr>
            <w:tcW w:w="0" w:type="auto"/>
            <w:shd w:val="clear" w:color="auto" w:fill="auto"/>
          </w:tcPr>
          <w:p w14:paraId="7B0B68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Elaborarea unei analizeze privind crearea unui mecanism de parteneriat public-privat pentru a stimula investițiile în locuințe destinate </w:t>
            </w:r>
            <w:r>
              <w:rPr>
                <w:rFonts w:eastAsia="Times New Roman" w:cs="Times New Roman"/>
                <w:color w:val="auto"/>
                <w:sz w:val="20"/>
                <w:szCs w:val="20"/>
                <w:lang w:eastAsia="ru-RU"/>
              </w:rPr>
              <w:t>persoanelor strămutate</w:t>
            </w:r>
          </w:p>
        </w:tc>
        <w:tc>
          <w:tcPr>
            <w:tcW w:w="0" w:type="auto"/>
            <w:shd w:val="clear" w:color="auto" w:fill="auto"/>
          </w:tcPr>
          <w:p w14:paraId="7FA56A4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Raport elaborat</w:t>
            </w:r>
          </w:p>
        </w:tc>
        <w:tc>
          <w:tcPr>
            <w:tcW w:w="0" w:type="auto"/>
            <w:shd w:val="clear" w:color="auto" w:fill="auto"/>
          </w:tcPr>
          <w:p w14:paraId="07EB5F3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2027</w:t>
            </w:r>
          </w:p>
        </w:tc>
        <w:tc>
          <w:tcPr>
            <w:tcW w:w="0" w:type="auto"/>
            <w:shd w:val="clear" w:color="auto" w:fill="auto"/>
          </w:tcPr>
          <w:p w14:paraId="6BB1969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iun. 2027</w:t>
            </w:r>
          </w:p>
        </w:tc>
        <w:tc>
          <w:tcPr>
            <w:tcW w:w="0" w:type="auto"/>
            <w:shd w:val="clear" w:color="auto" w:fill="auto"/>
          </w:tcPr>
          <w:p w14:paraId="16EA896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Infrastructurii și Dezvoltării Regionale</w:t>
            </w:r>
          </w:p>
        </w:tc>
        <w:tc>
          <w:tcPr>
            <w:tcW w:w="0" w:type="auto"/>
            <w:shd w:val="clear" w:color="auto" w:fill="auto"/>
          </w:tcPr>
          <w:p w14:paraId="3EA6F68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264CBAB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8A4BDBF"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310477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w:t>
            </w:r>
          </w:p>
        </w:tc>
        <w:tc>
          <w:tcPr>
            <w:tcW w:w="0" w:type="auto"/>
            <w:shd w:val="clear" w:color="auto" w:fill="auto"/>
          </w:tcPr>
          <w:p w14:paraId="72927C7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50,0</w:t>
            </w:r>
          </w:p>
        </w:tc>
        <w:tc>
          <w:tcPr>
            <w:tcW w:w="0" w:type="auto"/>
            <w:shd w:val="clear" w:color="auto" w:fill="auto"/>
          </w:tcPr>
          <w:p w14:paraId="78BDD2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61.01</w:t>
            </w:r>
          </w:p>
        </w:tc>
      </w:tr>
      <w:tr w:rsidR="0075115C" w14:paraId="22B3CFF3" w14:textId="77777777">
        <w:trPr>
          <w:trHeight w:val="240"/>
        </w:trPr>
        <w:tc>
          <w:tcPr>
            <w:tcW w:w="0" w:type="auto"/>
            <w:shd w:val="clear" w:color="auto" w:fill="auto"/>
          </w:tcPr>
          <w:p w14:paraId="60CD744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97</w:t>
            </w:r>
          </w:p>
        </w:tc>
        <w:tc>
          <w:tcPr>
            <w:tcW w:w="0" w:type="auto"/>
            <w:shd w:val="clear" w:color="auto" w:fill="auto"/>
          </w:tcPr>
          <w:p w14:paraId="44F1D4D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Asigurarea gestionării eficiente și finanțării durabile a centrelor de plasament </w:t>
            </w:r>
            <w:r>
              <w:rPr>
                <w:rFonts w:eastAsia="Times New Roman" w:cs="Times New Roman"/>
                <w:color w:val="auto"/>
                <w:sz w:val="20"/>
                <w:szCs w:val="20"/>
                <w:lang w:eastAsia="ru-RU"/>
              </w:rPr>
              <w:t>pentru persoanele strămutate beneficiare de protecție temporară</w:t>
            </w:r>
          </w:p>
        </w:tc>
        <w:tc>
          <w:tcPr>
            <w:tcW w:w="0" w:type="auto"/>
            <w:shd w:val="clear" w:color="auto" w:fill="auto"/>
          </w:tcPr>
          <w:p w14:paraId="0C7F96F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Numărul centrelor funcționale; numărul beneficiarilor în cadrul Centrelor de plasament pentru persoane strămutate de pe teritoriul altor state beneficiare de protecție temporară</w:t>
            </w:r>
          </w:p>
        </w:tc>
        <w:tc>
          <w:tcPr>
            <w:tcW w:w="0" w:type="auto"/>
            <w:shd w:val="clear" w:color="auto" w:fill="auto"/>
          </w:tcPr>
          <w:p w14:paraId="15CF97E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5802B99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w:t>
            </w:r>
            <w:r>
              <w:rPr>
                <w:rFonts w:eastAsia="Times New Roman" w:cs="Times New Roman"/>
                <w:color w:val="auto"/>
                <w:sz w:val="20"/>
                <w:szCs w:val="20"/>
                <w:lang w:eastAsia="ru-RU"/>
              </w:rPr>
              <w:t xml:space="preserve"> 2026</w:t>
            </w:r>
          </w:p>
        </w:tc>
        <w:tc>
          <w:tcPr>
            <w:tcW w:w="0" w:type="auto"/>
            <w:shd w:val="clear" w:color="auto" w:fill="auto"/>
          </w:tcPr>
          <w:p w14:paraId="7B97367D"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731248AD"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1F7B0B0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8600,0</w:t>
            </w:r>
          </w:p>
        </w:tc>
        <w:tc>
          <w:tcPr>
            <w:tcW w:w="0" w:type="auto"/>
            <w:shd w:val="clear" w:color="auto" w:fill="auto"/>
          </w:tcPr>
          <w:p w14:paraId="4E6236C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8600,0</w:t>
            </w:r>
          </w:p>
        </w:tc>
        <w:tc>
          <w:tcPr>
            <w:tcW w:w="0" w:type="auto"/>
            <w:shd w:val="clear" w:color="auto" w:fill="auto"/>
          </w:tcPr>
          <w:p w14:paraId="28DD1F9B"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6123B93"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17200,0</w:t>
            </w:r>
          </w:p>
        </w:tc>
        <w:tc>
          <w:tcPr>
            <w:tcW w:w="0" w:type="auto"/>
            <w:shd w:val="clear" w:color="auto" w:fill="auto"/>
          </w:tcPr>
          <w:p w14:paraId="44844E1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UNHCR; Partenerii de dezvoltare</w:t>
            </w:r>
          </w:p>
        </w:tc>
      </w:tr>
      <w:tr w:rsidR="0075115C" w14:paraId="1096D57D" w14:textId="77777777">
        <w:trPr>
          <w:trHeight w:val="240"/>
        </w:trPr>
        <w:tc>
          <w:tcPr>
            <w:tcW w:w="0" w:type="auto"/>
            <w:shd w:val="clear" w:color="auto" w:fill="auto"/>
          </w:tcPr>
          <w:p w14:paraId="673D54B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98</w:t>
            </w:r>
          </w:p>
        </w:tc>
        <w:tc>
          <w:tcPr>
            <w:tcW w:w="0" w:type="auto"/>
            <w:shd w:val="clear" w:color="auto" w:fill="auto"/>
          </w:tcPr>
          <w:p w14:paraId="36E826E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Reorganizarea/consolidarea Centrelor de plasament pentru persoane strămutate de </w:t>
            </w:r>
            <w:r>
              <w:rPr>
                <w:rFonts w:eastAsia="Times New Roman" w:cs="Times New Roman"/>
                <w:color w:val="auto"/>
                <w:sz w:val="20"/>
                <w:szCs w:val="20"/>
                <w:lang w:eastAsia="ru-RU"/>
              </w:rPr>
              <w:lastRenderedPageBreak/>
              <w:t xml:space="preserve">pe teritoriul altor state și identificarea opțiunilor de relocare </w:t>
            </w:r>
            <w:r>
              <w:rPr>
                <w:rFonts w:eastAsia="Times New Roman" w:cs="Times New Roman"/>
                <w:color w:val="auto"/>
                <w:sz w:val="20"/>
                <w:szCs w:val="20"/>
                <w:lang w:eastAsia="ru-RU"/>
              </w:rPr>
              <w:t>corespunzătoare pentru beneficiarii din grupurile vulnerabile cu protecție temporară din centrele de plasament</w:t>
            </w:r>
          </w:p>
        </w:tc>
        <w:tc>
          <w:tcPr>
            <w:tcW w:w="0" w:type="auto"/>
            <w:shd w:val="clear" w:color="auto" w:fill="auto"/>
          </w:tcPr>
          <w:p w14:paraId="032A5D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Numărul beneficiarilor relocați din centrele de plasament conform opțiunilor de relocare</w:t>
            </w:r>
          </w:p>
        </w:tc>
        <w:tc>
          <w:tcPr>
            <w:tcW w:w="0" w:type="auto"/>
            <w:shd w:val="clear" w:color="auto" w:fill="auto"/>
          </w:tcPr>
          <w:p w14:paraId="0B56321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ian. 2025</w:t>
            </w:r>
          </w:p>
        </w:tc>
        <w:tc>
          <w:tcPr>
            <w:tcW w:w="0" w:type="auto"/>
            <w:shd w:val="clear" w:color="auto" w:fill="auto"/>
          </w:tcPr>
          <w:p w14:paraId="04CD79D4"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2026</w:t>
            </w:r>
          </w:p>
        </w:tc>
        <w:tc>
          <w:tcPr>
            <w:tcW w:w="0" w:type="auto"/>
            <w:shd w:val="clear" w:color="auto" w:fill="auto"/>
          </w:tcPr>
          <w:p w14:paraId="59C764B7"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Ministerul Muncii și Protecției </w:t>
            </w:r>
            <w:r>
              <w:rPr>
                <w:rFonts w:eastAsia="Times New Roman" w:cs="Times New Roman"/>
                <w:color w:val="auto"/>
                <w:sz w:val="20"/>
                <w:szCs w:val="20"/>
                <w:lang w:eastAsia="ru-RU"/>
              </w:rPr>
              <w:t>Sociale</w:t>
            </w:r>
          </w:p>
        </w:tc>
        <w:tc>
          <w:tcPr>
            <w:tcW w:w="0" w:type="auto"/>
            <w:shd w:val="clear" w:color="auto" w:fill="auto"/>
          </w:tcPr>
          <w:p w14:paraId="516F9F98"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424A585F"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8600,0</w:t>
            </w:r>
          </w:p>
        </w:tc>
        <w:tc>
          <w:tcPr>
            <w:tcW w:w="0" w:type="auto"/>
            <w:shd w:val="clear" w:color="auto" w:fill="auto"/>
          </w:tcPr>
          <w:p w14:paraId="392CF94C"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8600,0</w:t>
            </w:r>
          </w:p>
        </w:tc>
        <w:tc>
          <w:tcPr>
            <w:tcW w:w="0" w:type="auto"/>
            <w:shd w:val="clear" w:color="auto" w:fill="auto"/>
          </w:tcPr>
          <w:p w14:paraId="0D64A8B6" w14:textId="77777777" w:rsidR="0075115C" w:rsidRDefault="0075115C">
            <w:pPr>
              <w:spacing w:after="0"/>
              <w:rPr>
                <w:rFonts w:eastAsia="Times New Roman" w:cs="Times New Roman"/>
                <w:color w:val="auto"/>
                <w:sz w:val="20"/>
                <w:szCs w:val="20"/>
                <w:lang w:eastAsia="ru-RU"/>
              </w:rPr>
            </w:pPr>
          </w:p>
        </w:tc>
        <w:tc>
          <w:tcPr>
            <w:tcW w:w="0" w:type="auto"/>
            <w:shd w:val="clear" w:color="auto" w:fill="auto"/>
          </w:tcPr>
          <w:p w14:paraId="69A9084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17200,0</w:t>
            </w:r>
          </w:p>
        </w:tc>
        <w:tc>
          <w:tcPr>
            <w:tcW w:w="0" w:type="auto"/>
            <w:shd w:val="clear" w:color="auto" w:fill="auto"/>
          </w:tcPr>
          <w:p w14:paraId="14AECA62"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UNHCR; IFRC</w:t>
            </w:r>
            <w:r>
              <w:rPr>
                <w:rFonts w:eastAsia="Times New Roman" w:cs="Times New Roman"/>
                <w:color w:val="auto"/>
                <w:sz w:val="20"/>
                <w:szCs w:val="20"/>
                <w:lang w:eastAsia="ru-RU"/>
              </w:rPr>
              <w:br/>
              <w:t xml:space="preserve">pentru 2025: 500 </w:t>
            </w:r>
            <w:r>
              <w:rPr>
                <w:rFonts w:eastAsia="Times New Roman" w:cs="Times New Roman"/>
                <w:color w:val="auto"/>
                <w:sz w:val="20"/>
                <w:szCs w:val="20"/>
                <w:lang w:eastAsia="ru-RU"/>
              </w:rPr>
              <w:lastRenderedPageBreak/>
              <w:t>mii USD (9000 mii lei) Înaltul Comisariat al Națiunilor Unite pentru Refugiați (UNHCR) și 400 mii franci elvețieni (8200 mii lei) Federația Internațională a Societăților de Cruce Roșie și Semilun</w:t>
            </w:r>
            <w:r>
              <w:rPr>
                <w:rFonts w:eastAsia="Times New Roman" w:cs="Times New Roman"/>
                <w:color w:val="auto"/>
                <w:sz w:val="20"/>
                <w:szCs w:val="20"/>
                <w:lang w:eastAsia="ru-RU"/>
              </w:rPr>
              <w:t>ă Roșie (IFRC)”;</w:t>
            </w:r>
          </w:p>
        </w:tc>
      </w:tr>
      <w:tr w:rsidR="0075115C" w14:paraId="7C384748" w14:textId="77777777">
        <w:trPr>
          <w:trHeight w:val="240"/>
        </w:trPr>
        <w:tc>
          <w:tcPr>
            <w:tcW w:w="0" w:type="auto"/>
            <w:shd w:val="clear" w:color="auto" w:fill="auto"/>
          </w:tcPr>
          <w:p w14:paraId="0588E59E"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lastRenderedPageBreak/>
              <w:t>99</w:t>
            </w:r>
          </w:p>
        </w:tc>
        <w:tc>
          <w:tcPr>
            <w:tcW w:w="0" w:type="auto"/>
            <w:shd w:val="clear" w:color="auto" w:fill="auto"/>
          </w:tcPr>
          <w:p w14:paraId="6FDDA3A1"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Calificarea personalului din cadul Centrelor de plasament pentru persoane strămutate și refugiate pentru sprijinirea victimelor VBG</w:t>
            </w:r>
          </w:p>
        </w:tc>
        <w:tc>
          <w:tcPr>
            <w:tcW w:w="0" w:type="auto"/>
            <w:shd w:val="clear" w:color="auto" w:fill="auto"/>
          </w:tcPr>
          <w:p w14:paraId="24DB516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Cel puțin 1 angajat din fiecrae centru instruit privind acordarea suportatului victimelor VBG</w:t>
            </w:r>
          </w:p>
        </w:tc>
        <w:tc>
          <w:tcPr>
            <w:tcW w:w="0" w:type="auto"/>
            <w:shd w:val="clear" w:color="auto" w:fill="auto"/>
          </w:tcPr>
          <w:p w14:paraId="0CCE7DE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 xml:space="preserve">sep.2025 </w:t>
            </w:r>
          </w:p>
        </w:tc>
        <w:tc>
          <w:tcPr>
            <w:tcW w:w="0" w:type="auto"/>
            <w:shd w:val="clear" w:color="auto" w:fill="auto"/>
          </w:tcPr>
          <w:p w14:paraId="68C134E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dec. 2027</w:t>
            </w:r>
          </w:p>
        </w:tc>
        <w:tc>
          <w:tcPr>
            <w:tcW w:w="0" w:type="auto"/>
            <w:shd w:val="clear" w:color="auto" w:fill="auto"/>
          </w:tcPr>
          <w:p w14:paraId="571752EA"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Agenția Națională de Prevenire și Combatere a Violenței împotriva Femeilor și Violenței în Familie</w:t>
            </w:r>
          </w:p>
        </w:tc>
        <w:tc>
          <w:tcPr>
            <w:tcW w:w="0" w:type="auto"/>
            <w:shd w:val="clear" w:color="auto" w:fill="auto"/>
          </w:tcPr>
          <w:p w14:paraId="34D4C269"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Ministerul Muncii și Protecției Sociale</w:t>
            </w:r>
          </w:p>
        </w:tc>
        <w:tc>
          <w:tcPr>
            <w:tcW w:w="0" w:type="auto"/>
            <w:shd w:val="clear" w:color="auto" w:fill="auto"/>
          </w:tcPr>
          <w:p w14:paraId="6133031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7D0A9E7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1B6E008B"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20,0</w:t>
            </w:r>
          </w:p>
        </w:tc>
        <w:tc>
          <w:tcPr>
            <w:tcW w:w="0" w:type="auto"/>
            <w:shd w:val="clear" w:color="auto" w:fill="auto"/>
          </w:tcPr>
          <w:p w14:paraId="661788B8"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60,0</w:t>
            </w:r>
          </w:p>
        </w:tc>
        <w:tc>
          <w:tcPr>
            <w:tcW w:w="0" w:type="auto"/>
            <w:shd w:val="clear" w:color="auto" w:fill="auto"/>
          </w:tcPr>
          <w:p w14:paraId="2FE4EBD6" w14:textId="77777777" w:rsidR="0075115C" w:rsidRDefault="00623B17">
            <w:pPr>
              <w:spacing w:after="0"/>
              <w:rPr>
                <w:rFonts w:eastAsia="Times New Roman" w:cs="Times New Roman"/>
                <w:color w:val="auto"/>
                <w:sz w:val="20"/>
                <w:szCs w:val="20"/>
                <w:lang w:eastAsia="ru-RU"/>
              </w:rPr>
            </w:pPr>
            <w:r>
              <w:rPr>
                <w:rFonts w:eastAsia="Times New Roman" w:cs="Times New Roman"/>
                <w:color w:val="auto"/>
                <w:sz w:val="20"/>
                <w:szCs w:val="20"/>
                <w:lang w:eastAsia="ru-RU"/>
              </w:rPr>
              <w:t>90.13</w:t>
            </w:r>
          </w:p>
        </w:tc>
      </w:tr>
      <w:tr w:rsidR="0075115C" w14:paraId="65BA370F" w14:textId="77777777">
        <w:trPr>
          <w:trHeight w:val="240"/>
        </w:trPr>
        <w:tc>
          <w:tcPr>
            <w:tcW w:w="0" w:type="auto"/>
            <w:shd w:val="clear" w:color="auto" w:fill="auto"/>
          </w:tcPr>
          <w:p w14:paraId="16138D7E" w14:textId="77777777" w:rsidR="0075115C" w:rsidRDefault="0075115C">
            <w:pPr>
              <w:spacing w:after="0"/>
              <w:rPr>
                <w:rFonts w:eastAsia="Times New Roman" w:cs="Times New Roman"/>
                <w:color w:val="auto"/>
                <w:sz w:val="20"/>
                <w:szCs w:val="20"/>
                <w:lang w:eastAsia="ru-RU"/>
              </w:rPr>
            </w:pPr>
          </w:p>
        </w:tc>
        <w:tc>
          <w:tcPr>
            <w:tcW w:w="0" w:type="auto"/>
            <w:shd w:val="clear" w:color="000000" w:fill="E8E8E8"/>
          </w:tcPr>
          <w:p w14:paraId="0727E9D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Buget total pentru Obiectivul nr. 7</w:t>
            </w:r>
          </w:p>
        </w:tc>
        <w:tc>
          <w:tcPr>
            <w:tcW w:w="0" w:type="auto"/>
            <w:shd w:val="clear" w:color="000000" w:fill="E8E8E8"/>
          </w:tcPr>
          <w:p w14:paraId="21420F5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7E52F4E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F898D78"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6B0508BC"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B2D13D3"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B5E657C"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17280,0</w:t>
            </w:r>
          </w:p>
        </w:tc>
        <w:tc>
          <w:tcPr>
            <w:tcW w:w="0" w:type="auto"/>
            <w:shd w:val="clear" w:color="000000" w:fill="E8E8E8"/>
          </w:tcPr>
          <w:p w14:paraId="7F682C18"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17220,0</w:t>
            </w:r>
          </w:p>
        </w:tc>
        <w:tc>
          <w:tcPr>
            <w:tcW w:w="0" w:type="auto"/>
            <w:shd w:val="clear" w:color="000000" w:fill="E8E8E8"/>
          </w:tcPr>
          <w:p w14:paraId="5A70A40E"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70,0</w:t>
            </w:r>
          </w:p>
        </w:tc>
        <w:tc>
          <w:tcPr>
            <w:tcW w:w="0" w:type="auto"/>
            <w:shd w:val="clear" w:color="000000" w:fill="E8E8E8"/>
          </w:tcPr>
          <w:p w14:paraId="2E52995C"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34570,0</w:t>
            </w:r>
          </w:p>
        </w:tc>
        <w:tc>
          <w:tcPr>
            <w:tcW w:w="0" w:type="auto"/>
            <w:shd w:val="clear" w:color="000000" w:fill="E8E8E8"/>
          </w:tcPr>
          <w:p w14:paraId="31D223F5"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r w:rsidR="0075115C" w14:paraId="6F754CE0" w14:textId="77777777">
        <w:trPr>
          <w:trHeight w:val="240"/>
        </w:trPr>
        <w:tc>
          <w:tcPr>
            <w:tcW w:w="0" w:type="auto"/>
            <w:shd w:val="clear" w:color="auto" w:fill="auto"/>
          </w:tcPr>
          <w:p w14:paraId="33DF181C" w14:textId="77777777" w:rsidR="0075115C" w:rsidRDefault="0075115C">
            <w:pPr>
              <w:spacing w:after="0"/>
              <w:rPr>
                <w:rFonts w:eastAsia="Times New Roman" w:cs="Times New Roman"/>
                <w:b/>
                <w:bCs/>
                <w:color w:val="auto"/>
                <w:sz w:val="20"/>
                <w:szCs w:val="20"/>
                <w:lang w:eastAsia="ru-RU"/>
              </w:rPr>
            </w:pPr>
          </w:p>
        </w:tc>
        <w:tc>
          <w:tcPr>
            <w:tcW w:w="0" w:type="auto"/>
            <w:shd w:val="clear" w:color="000000" w:fill="E8E8E8"/>
          </w:tcPr>
          <w:p w14:paraId="10ACC5F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xml:space="preserve">Buget total estimat pentru </w:t>
            </w:r>
            <w:r>
              <w:rPr>
                <w:rFonts w:eastAsia="Times New Roman" w:cs="Times New Roman"/>
                <w:b/>
                <w:bCs/>
                <w:color w:val="auto"/>
                <w:sz w:val="20"/>
                <w:szCs w:val="20"/>
                <w:lang w:eastAsia="ru-RU"/>
              </w:rPr>
              <w:lastRenderedPageBreak/>
              <w:t>implementarea Programului</w:t>
            </w:r>
          </w:p>
        </w:tc>
        <w:tc>
          <w:tcPr>
            <w:tcW w:w="0" w:type="auto"/>
            <w:shd w:val="clear" w:color="000000" w:fill="E8E8E8"/>
          </w:tcPr>
          <w:p w14:paraId="4F33356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lastRenderedPageBreak/>
              <w:t> </w:t>
            </w:r>
          </w:p>
        </w:tc>
        <w:tc>
          <w:tcPr>
            <w:tcW w:w="0" w:type="auto"/>
            <w:shd w:val="clear" w:color="000000" w:fill="E8E8E8"/>
          </w:tcPr>
          <w:p w14:paraId="7A946B62"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2AE88CE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367369E4"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04B22B18"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c>
          <w:tcPr>
            <w:tcW w:w="0" w:type="auto"/>
            <w:shd w:val="clear" w:color="000000" w:fill="E8E8E8"/>
          </w:tcPr>
          <w:p w14:paraId="422BF456"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961641,9</w:t>
            </w:r>
          </w:p>
        </w:tc>
        <w:tc>
          <w:tcPr>
            <w:tcW w:w="0" w:type="auto"/>
            <w:shd w:val="clear" w:color="000000" w:fill="E8E8E8"/>
          </w:tcPr>
          <w:p w14:paraId="2B495F0F"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1148275,6</w:t>
            </w:r>
          </w:p>
        </w:tc>
        <w:tc>
          <w:tcPr>
            <w:tcW w:w="0" w:type="auto"/>
            <w:shd w:val="clear" w:color="000000" w:fill="E8E8E8"/>
          </w:tcPr>
          <w:p w14:paraId="38D097CB"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370478,1</w:t>
            </w:r>
          </w:p>
        </w:tc>
        <w:tc>
          <w:tcPr>
            <w:tcW w:w="0" w:type="auto"/>
            <w:shd w:val="clear" w:color="000000" w:fill="E8E8E8"/>
          </w:tcPr>
          <w:p w14:paraId="355C1C51"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2480395,5</w:t>
            </w:r>
          </w:p>
        </w:tc>
        <w:tc>
          <w:tcPr>
            <w:tcW w:w="0" w:type="auto"/>
            <w:shd w:val="clear" w:color="000000" w:fill="E8E8E8"/>
          </w:tcPr>
          <w:p w14:paraId="29B7138A" w14:textId="77777777" w:rsidR="0075115C" w:rsidRDefault="00623B17">
            <w:pPr>
              <w:spacing w:after="0"/>
              <w:rPr>
                <w:rFonts w:eastAsia="Times New Roman" w:cs="Times New Roman"/>
                <w:b/>
                <w:bCs/>
                <w:color w:val="auto"/>
                <w:sz w:val="20"/>
                <w:szCs w:val="20"/>
                <w:lang w:eastAsia="ru-RU"/>
              </w:rPr>
            </w:pPr>
            <w:r>
              <w:rPr>
                <w:rFonts w:eastAsia="Times New Roman" w:cs="Times New Roman"/>
                <w:b/>
                <w:bCs/>
                <w:color w:val="auto"/>
                <w:sz w:val="20"/>
                <w:szCs w:val="20"/>
                <w:lang w:eastAsia="ru-RU"/>
              </w:rPr>
              <w:t> </w:t>
            </w:r>
          </w:p>
        </w:tc>
      </w:tr>
    </w:tbl>
    <w:p w14:paraId="021332FA" w14:textId="77777777" w:rsidR="0075115C" w:rsidRDefault="0075115C">
      <w:pPr>
        <w:spacing w:after="0"/>
        <w:jc w:val="both"/>
      </w:pPr>
    </w:p>
    <w:p w14:paraId="35974F34" w14:textId="77777777" w:rsidR="0075115C" w:rsidRDefault="0075115C">
      <w:pPr>
        <w:rPr>
          <w:rFonts w:cs="Times New Roman"/>
          <w:sz w:val="20"/>
          <w:szCs w:val="20"/>
        </w:rPr>
      </w:pPr>
    </w:p>
    <w:sectPr w:rsidR="0075115C">
      <w:pgSz w:w="16838" w:h="11906"/>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0EAA" w14:textId="77777777" w:rsidR="00623B17" w:rsidRDefault="00623B17">
      <w:pPr>
        <w:spacing w:after="0" w:line="240" w:lineRule="auto"/>
      </w:pPr>
      <w:r>
        <w:separator/>
      </w:r>
    </w:p>
  </w:endnote>
  <w:endnote w:type="continuationSeparator" w:id="0">
    <w:p w14:paraId="742F9372" w14:textId="77777777" w:rsidR="00623B17" w:rsidRDefault="0062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Noto Sans CJK SC">
    <w:charset w:val="00"/>
    <w:family w:val="auto"/>
    <w:pitch w:val="default"/>
  </w:font>
  <w:font w:name="Lohit Devanagari">
    <w:altName w:val="Cambria"/>
    <w:charset w:val="00"/>
    <w:family w:val="auto"/>
    <w:pitch w:val="default"/>
  </w:font>
  <w:font w:name="TimesNewRomanPS-BoldMT">
    <w:altName w:val="Segoe Print"/>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78321"/>
      <w:docPartObj>
        <w:docPartGallery w:val="Page Numbers (Bottom of Page)"/>
        <w:docPartUnique/>
      </w:docPartObj>
    </w:sdtPr>
    <w:sdtEndPr/>
    <w:sdtContent>
      <w:p w14:paraId="3429A1A3" w14:textId="683FEC86" w:rsidR="0075115C" w:rsidRDefault="00623B17">
        <w:pPr>
          <w:pStyle w:val="ac"/>
          <w:jc w:val="right"/>
        </w:pPr>
        <w:r>
          <w:fldChar w:fldCharType="begin"/>
        </w:r>
        <w:r>
          <w:instrText>PAGE   \* MERGEFORMAT</w:instrText>
        </w:r>
        <w:r>
          <w:fldChar w:fldCharType="separate"/>
        </w:r>
        <w:r w:rsidR="006C41D2" w:rsidRPr="006C41D2">
          <w:rPr>
            <w:noProof/>
            <w:lang w:val="ro-RO"/>
          </w:rPr>
          <w:t>1</w:t>
        </w:r>
        <w:r>
          <w:fldChar w:fldCharType="end"/>
        </w:r>
      </w:p>
    </w:sdtContent>
  </w:sdt>
  <w:p w14:paraId="3C2AC69A" w14:textId="77777777" w:rsidR="0075115C" w:rsidRDefault="0075115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32CF7" w14:textId="77777777" w:rsidR="00623B17" w:rsidRDefault="00623B17">
      <w:pPr>
        <w:spacing w:after="0" w:line="240" w:lineRule="auto"/>
      </w:pPr>
      <w:r>
        <w:separator/>
      </w:r>
    </w:p>
  </w:footnote>
  <w:footnote w:type="continuationSeparator" w:id="0">
    <w:p w14:paraId="59CF5A13" w14:textId="77777777" w:rsidR="00623B17" w:rsidRDefault="00623B17">
      <w:pPr>
        <w:spacing w:after="0" w:line="240" w:lineRule="auto"/>
      </w:pPr>
      <w:r>
        <w:continuationSeparator/>
      </w:r>
    </w:p>
  </w:footnote>
  <w:footnote w:id="1">
    <w:p w14:paraId="1BDAA6C5" w14:textId="77777777" w:rsidR="0075115C" w:rsidRDefault="00623B17">
      <w:pPr>
        <w:pStyle w:val="af5"/>
        <w:rPr>
          <w:lang w:val="ro-RO"/>
        </w:rPr>
      </w:pPr>
      <w:r>
        <w:rPr>
          <w:rStyle w:val="af7"/>
          <w:lang w:val="ro-RO"/>
        </w:rPr>
        <w:footnoteRef/>
      </w:r>
      <w:r>
        <w:rPr>
          <w:lang w:val="ro-RO"/>
        </w:rPr>
        <w:t xml:space="preserve"> </w:t>
      </w:r>
      <w:r>
        <w:rPr>
          <w:rFonts w:eastAsia="Times New Roman" w:cs="Times New Roman"/>
          <w:color w:val="auto"/>
          <w:szCs w:val="24"/>
          <w:lang w:val="ro-RO" w:eastAsia="zh-CN"/>
        </w:rPr>
        <w:t xml:space="preserve">Legea nr. 315/2020 pentru aprobarea Strategiei naționale de dezvoltare „Moldova Europeană 2030”, disponibilă la: </w:t>
      </w:r>
      <w:hyperlink r:id="rId1" w:tooltip="https://www.legis.md/cautare/getResults?doc_id=134582&amp;lang=ro" w:history="1">
        <w:r>
          <w:rPr>
            <w:rStyle w:val="af1"/>
            <w:lang w:val="ro-RO"/>
          </w:rPr>
          <w:t>https://www.legis.md/cautare/getResults?doc_id=134582&amp;lang=ro</w:t>
        </w:r>
      </w:hyperlink>
      <w:r>
        <w:rPr>
          <w:lang w:val="ro-RO"/>
        </w:rPr>
        <w:t xml:space="preserve"> </w:t>
      </w:r>
    </w:p>
  </w:footnote>
  <w:footnote w:id="2">
    <w:p w14:paraId="2E3C9AAD" w14:textId="77777777" w:rsidR="0075115C" w:rsidRDefault="00623B17">
      <w:pPr>
        <w:pStyle w:val="af5"/>
        <w:rPr>
          <w:lang w:val="ro-RO"/>
        </w:rPr>
      </w:pPr>
      <w:r>
        <w:rPr>
          <w:rStyle w:val="af7"/>
          <w:lang w:val="ro-RO"/>
        </w:rPr>
        <w:footnoteRef/>
      </w:r>
      <w:r>
        <w:rPr>
          <w:lang w:val="ro-RO"/>
        </w:rPr>
        <w:t xml:space="preserve"> </w:t>
      </w:r>
      <w:r>
        <w:rPr>
          <w:rFonts w:eastAsia="Times New Roman" w:cs="Times New Roman"/>
          <w:color w:val="auto"/>
          <w:szCs w:val="24"/>
          <w:lang w:val="ro-RO" w:eastAsia="zh-CN"/>
        </w:rPr>
        <w:t xml:space="preserve">Hotărârea Guvernului nr. 361/2024 cu privire la </w:t>
      </w:r>
      <w:r>
        <w:rPr>
          <w:rFonts w:eastAsia="Times New Roman" w:cs="Times New Roman"/>
          <w:color w:val="auto"/>
          <w:szCs w:val="24"/>
          <w:lang w:val="ro-RO" w:eastAsia="zh-CN"/>
        </w:rPr>
        <w:t xml:space="preserve">aprobarea Planului național de dezvoltare pentru anii 2025-2027, disponibilă la: </w:t>
      </w:r>
      <w:hyperlink r:id="rId2" w:tooltip="https://www.legis.md/cautare/getResults?doc_id=143540&amp;lang=ro" w:history="1">
        <w:r>
          <w:rPr>
            <w:rStyle w:val="af1"/>
            <w:rFonts w:eastAsia="Times New Roman" w:cs="Times New Roman"/>
            <w:szCs w:val="24"/>
            <w:lang w:val="ro-RO" w:eastAsia="zh-CN"/>
          </w:rPr>
          <w:t>https://www.legis.md/cautare/g</w:t>
        </w:r>
        <w:r>
          <w:rPr>
            <w:rStyle w:val="af1"/>
            <w:rFonts w:eastAsia="Times New Roman" w:cs="Times New Roman"/>
            <w:szCs w:val="24"/>
            <w:lang w:val="ro-RO" w:eastAsia="zh-CN"/>
          </w:rPr>
          <w:t>etResults?doc_id=143540&amp;lang=ro</w:t>
        </w:r>
      </w:hyperlink>
      <w:r>
        <w:rPr>
          <w:rFonts w:eastAsia="Times New Roman" w:cs="Times New Roman"/>
          <w:color w:val="auto"/>
          <w:szCs w:val="24"/>
          <w:lang w:val="ro-RO" w:eastAsia="zh-CN"/>
        </w:rPr>
        <w:t xml:space="preserve"> </w:t>
      </w:r>
    </w:p>
  </w:footnote>
  <w:footnote w:id="3">
    <w:p w14:paraId="6606A0C8" w14:textId="77777777" w:rsidR="0075115C" w:rsidRDefault="00623B17">
      <w:pPr>
        <w:pStyle w:val="af5"/>
        <w:rPr>
          <w:lang w:val="ro-RO"/>
        </w:rPr>
      </w:pPr>
      <w:r>
        <w:rPr>
          <w:rStyle w:val="af7"/>
          <w:lang w:val="ro-RO"/>
        </w:rPr>
        <w:footnoteRef/>
      </w:r>
      <w:r>
        <w:rPr>
          <w:lang w:val="ro-RO"/>
        </w:rPr>
        <w:t xml:space="preserve"> Hotărârea Guvernului nr.658/2022 cu privier la aprobarea Strategiei de dezvoltare a domeniului afacerilor interne pentru anii 2022-2030, disponibilă la </w:t>
      </w:r>
      <w:hyperlink r:id="rId3" w:tooltip="https://www.legis.md/cautare/getResults?doc_id=133800&amp;lang=ro" w:history="1">
        <w:r>
          <w:rPr>
            <w:rStyle w:val="af1"/>
            <w:lang w:val="ro-RO"/>
          </w:rPr>
          <w:t>https://www.legis.md/cautare/getResults?doc_id=133800&amp;lang=ro</w:t>
        </w:r>
      </w:hyperlink>
      <w:r>
        <w:rPr>
          <w:lang w:val="ro-RO"/>
        </w:rPr>
        <w:t xml:space="preserve"> </w:t>
      </w:r>
    </w:p>
  </w:footnote>
  <w:footnote w:id="4">
    <w:p w14:paraId="275312DE" w14:textId="77777777" w:rsidR="0075115C" w:rsidRDefault="00623B17">
      <w:pPr>
        <w:pStyle w:val="af5"/>
        <w:rPr>
          <w:lang w:val="ro-RO"/>
        </w:rPr>
      </w:pPr>
      <w:r>
        <w:rPr>
          <w:rStyle w:val="af7"/>
          <w:lang w:val="ro-RO"/>
        </w:rPr>
        <w:footnoteRef/>
      </w:r>
      <w:r>
        <w:rPr>
          <w:lang w:val="ro-RO"/>
        </w:rPr>
        <w:t xml:space="preserve"> Convenție privind statutul refugiaților, încheiat la Geneva la 28 iulie 1951, </w:t>
      </w:r>
      <w:hyperlink r:id="rId4" w:tooltip="https://www.unhcr.org/ro/wp-content/uploads/sites/23/2016/12/1951_Convention_ROM.pdf" w:history="1">
        <w:r>
          <w:rPr>
            <w:rStyle w:val="af1"/>
            <w:lang w:val="ro-RO"/>
          </w:rPr>
          <w:t>https://www.unhcr.org/ro/wp-content/uploads/sites/23/2016/12/1951_Convention_ROM.pdf</w:t>
        </w:r>
      </w:hyperlink>
      <w:r>
        <w:rPr>
          <w:lang w:val="ro-RO"/>
        </w:rPr>
        <w:t xml:space="preserve"> </w:t>
      </w:r>
    </w:p>
  </w:footnote>
  <w:footnote w:id="5">
    <w:p w14:paraId="39078BF1" w14:textId="77777777" w:rsidR="0075115C" w:rsidRDefault="00623B17">
      <w:pPr>
        <w:pStyle w:val="af5"/>
        <w:rPr>
          <w:lang w:val="ro-RO"/>
        </w:rPr>
      </w:pPr>
      <w:r>
        <w:rPr>
          <w:rStyle w:val="af7"/>
          <w:lang w:val="ro-RO"/>
        </w:rPr>
        <w:footnoteRef/>
      </w:r>
      <w:r>
        <w:rPr>
          <w:lang w:val="ro-RO"/>
        </w:rPr>
        <w:t xml:space="preserve"> United Nations</w:t>
      </w:r>
      <w:r>
        <w:rPr>
          <w:lang w:val="ro-RO"/>
        </w:rPr>
        <w:t>, „</w:t>
      </w:r>
      <w:r>
        <w:rPr>
          <w:i/>
          <w:iCs/>
          <w:lang w:val="ro-RO"/>
        </w:rPr>
        <w:t>Global compact on refugees</w:t>
      </w:r>
      <w:r>
        <w:rPr>
          <w:lang w:val="ro-RO"/>
        </w:rPr>
        <w:t xml:space="preserve">”, 2018, sursa: </w:t>
      </w:r>
      <w:hyperlink r:id="rId5" w:tooltip="https://www.unhcr.org/media/global-compact-refugees-booklet" w:history="1">
        <w:r>
          <w:rPr>
            <w:rStyle w:val="af1"/>
            <w:lang w:val="ro-RO"/>
          </w:rPr>
          <w:t>https://www.unhcr.org/media/global-compact-refugees-booklet</w:t>
        </w:r>
      </w:hyperlink>
      <w:r>
        <w:rPr>
          <w:lang w:val="ro-RO"/>
        </w:rPr>
        <w:t xml:space="preserve"> </w:t>
      </w:r>
    </w:p>
  </w:footnote>
  <w:footnote w:id="6">
    <w:p w14:paraId="7190665A" w14:textId="77777777" w:rsidR="0075115C" w:rsidRDefault="00623B17">
      <w:pPr>
        <w:pStyle w:val="aff8"/>
        <w:ind w:left="0" w:right="107" w:firstLine="0"/>
        <w:jc w:val="left"/>
        <w:rPr>
          <w:sz w:val="18"/>
          <w:szCs w:val="18"/>
          <w:lang w:val="ro-RO"/>
        </w:rPr>
      </w:pPr>
      <w:r>
        <w:rPr>
          <w:rStyle w:val="af7"/>
          <w:lang w:val="ro-RO"/>
        </w:rPr>
        <w:footnoteRef/>
      </w:r>
      <w:r>
        <w:rPr>
          <w:sz w:val="18"/>
          <w:szCs w:val="18"/>
          <w:lang w:val="ro-RO"/>
        </w:rPr>
        <w:t>Profilul</w:t>
      </w:r>
      <w:r>
        <w:rPr>
          <w:sz w:val="18"/>
          <w:szCs w:val="18"/>
          <w:lang w:val="ro-RO"/>
        </w:rPr>
        <w:t xml:space="preserve">MigraționalExtinsalRepubliciiMoldova2017-2021: </w:t>
      </w:r>
      <w:hyperlink r:id="rId6" w:tooltip="https://drive.google.com/file/d/1_WIHXIN1_akIGNePmX9NmD1MrR7xcfOH/view" w:history="1">
        <w:r>
          <w:rPr>
            <w:rStyle w:val="af1"/>
            <w:rFonts w:eastAsiaTheme="minorHAnsi"/>
            <w:sz w:val="16"/>
            <w:szCs w:val="16"/>
            <w:lang w:val="ro-RO"/>
          </w:rPr>
          <w:t>https://drive.google.com/file/d/1_WIHXIN1_akIGNePmX9NmD1MrR7xcfOH/view</w:t>
        </w:r>
      </w:hyperlink>
      <w:r>
        <w:rPr>
          <w:sz w:val="16"/>
          <w:szCs w:val="16"/>
          <w:lang w:val="ro-RO"/>
        </w:rPr>
        <w:t xml:space="preserve">; </w:t>
      </w:r>
    </w:p>
    <w:p w14:paraId="4BB387AD" w14:textId="77777777" w:rsidR="0075115C" w:rsidRDefault="00623B17">
      <w:pPr>
        <w:pStyle w:val="aff8"/>
        <w:ind w:left="0" w:right="107" w:firstLine="284"/>
        <w:rPr>
          <w:sz w:val="18"/>
          <w:szCs w:val="18"/>
          <w:lang w:val="ro-RO"/>
        </w:rPr>
      </w:pPr>
      <w:r>
        <w:rPr>
          <w:sz w:val="18"/>
          <w:szCs w:val="18"/>
          <w:lang w:val="ro-RO"/>
        </w:rPr>
        <w:t xml:space="preserve">În anul 2021 numărul </w:t>
      </w:r>
      <w:r>
        <w:rPr>
          <w:i/>
          <w:iCs/>
          <w:sz w:val="18"/>
          <w:szCs w:val="18"/>
          <w:lang w:val="ro-RO"/>
        </w:rPr>
        <w:t>imigranților</w:t>
      </w:r>
      <w:r>
        <w:rPr>
          <w:sz w:val="18"/>
          <w:szCs w:val="18"/>
          <w:lang w:val="ro-RO"/>
        </w:rPr>
        <w:t xml:space="preserve"> a constituit 4.186 persoane, iar în anul 2017 – 3.712 persoane. Imigrează în Moldova preponderent bărbaţi (numărul acestora fiind de cca 2 ori mai ma</w:t>
      </w:r>
      <w:r>
        <w:rPr>
          <w:sz w:val="18"/>
          <w:szCs w:val="18"/>
          <w:lang w:val="ro-RO"/>
        </w:rPr>
        <w:t>re decât cel al femeilor), persoane cu studii medii de specialitate/studii superioare/grade științifice (cca 60%).</w:t>
      </w:r>
      <w:r>
        <w:rPr>
          <w:sz w:val="28"/>
          <w:szCs w:val="28"/>
          <w:lang w:val="ro-RO"/>
        </w:rPr>
        <w:t xml:space="preserve"> </w:t>
      </w:r>
      <w:r>
        <w:rPr>
          <w:sz w:val="18"/>
          <w:szCs w:val="18"/>
          <w:lang w:val="ro-RO"/>
        </w:rPr>
        <w:t>În perioada analizată numărul cetăţenilor străini sosiți pentru reîntregirea familiei a rămas practic constant și a constituit 3.720. Numărul</w:t>
      </w:r>
      <w:r>
        <w:rPr>
          <w:sz w:val="18"/>
          <w:szCs w:val="18"/>
          <w:lang w:val="ro-RO"/>
        </w:rPr>
        <w:t xml:space="preserve"> celor sosiți în scop de muncă a constituit 2.529 persoane, iar celor sosiți în scop de studii a constituit 1.191.</w:t>
      </w:r>
    </w:p>
    <w:p w14:paraId="4168D0CA" w14:textId="77777777" w:rsidR="0075115C" w:rsidRDefault="00623B17">
      <w:pPr>
        <w:pStyle w:val="aff8"/>
        <w:ind w:left="0" w:right="107" w:firstLine="284"/>
        <w:rPr>
          <w:sz w:val="18"/>
          <w:szCs w:val="18"/>
          <w:lang w:val="ro-RO"/>
        </w:rPr>
      </w:pPr>
      <w:r>
        <w:rPr>
          <w:i/>
          <w:iCs/>
          <w:sz w:val="18"/>
          <w:szCs w:val="18"/>
          <w:lang w:val="ro-RO"/>
        </w:rPr>
        <w:t>Solicitanții de azil</w:t>
      </w:r>
      <w:r>
        <w:rPr>
          <w:b/>
          <w:bCs/>
          <w:sz w:val="18"/>
          <w:szCs w:val="18"/>
          <w:lang w:val="ro-RO"/>
        </w:rPr>
        <w:t>.</w:t>
      </w:r>
      <w:r>
        <w:rPr>
          <w:sz w:val="18"/>
          <w:szCs w:val="18"/>
          <w:lang w:val="ro-RO"/>
        </w:rPr>
        <w:t xml:space="preserve"> Datele statistice arată că numărul solicitărilor de azil în Republica Moldova pe parcursul anilor 2017–2021 a variat co</w:t>
      </w:r>
      <w:r>
        <w:rPr>
          <w:sz w:val="18"/>
          <w:szCs w:val="18"/>
          <w:lang w:val="ro-RO"/>
        </w:rPr>
        <w:t>ntinuu. Pe parcursul anului 2021 au fost înregistrate 75 de cereri (la prima solicitare), numărul acestora rămânând neschimbat comparativ cu anul 2017 (75 cereri), în același timp fiind în scădere de 1,6 ori față de anul 2019. Numărul mare al solicitanțilo</w:t>
      </w:r>
      <w:r>
        <w:rPr>
          <w:sz w:val="18"/>
          <w:szCs w:val="18"/>
          <w:lang w:val="ro-RO"/>
        </w:rPr>
        <w:t>r de azil în anii 2018 și 2019 se explică prin proximitatea zonelor de conflict (Ucraina, ca ex.), precum şi de existența legăturilor de rudenie ale cetățenilor Republicii Moldova cu cetățenii statelor din zonele de conflict.</w:t>
      </w:r>
    </w:p>
    <w:p w14:paraId="6D1EA029" w14:textId="77777777" w:rsidR="0075115C" w:rsidRDefault="00623B17">
      <w:pPr>
        <w:pStyle w:val="aff8"/>
        <w:ind w:left="0" w:right="107" w:firstLine="284"/>
        <w:rPr>
          <w:sz w:val="18"/>
          <w:szCs w:val="18"/>
          <w:lang w:val="ro-RO"/>
        </w:rPr>
      </w:pPr>
      <w:r>
        <w:rPr>
          <w:sz w:val="18"/>
          <w:szCs w:val="18"/>
          <w:lang w:val="ro-RO"/>
        </w:rPr>
        <w:t xml:space="preserve">Pe parcursul anului 2021 de </w:t>
      </w:r>
      <w:r>
        <w:rPr>
          <w:i/>
          <w:iCs/>
          <w:sz w:val="18"/>
          <w:szCs w:val="18"/>
          <w:lang w:val="ro-RO"/>
        </w:rPr>
        <w:t>pr</w:t>
      </w:r>
      <w:r>
        <w:rPr>
          <w:i/>
          <w:iCs/>
          <w:sz w:val="18"/>
          <w:szCs w:val="18"/>
          <w:lang w:val="ro-RO"/>
        </w:rPr>
        <w:t>otecție umanitară</w:t>
      </w:r>
      <w:r>
        <w:rPr>
          <w:sz w:val="18"/>
          <w:szCs w:val="18"/>
          <w:lang w:val="ro-RO"/>
        </w:rPr>
        <w:t xml:space="preserve"> au beneficiat 21 de străini, cu 25 persoane mai puțin decât în anul 2017. Numărul celor cărora le-a fost respinsă cererea pentru protecție umanitară a constituit 38 de persoane. Numărul anual de solicitări de recunoaștere a statutului de </w:t>
      </w:r>
      <w:r>
        <w:rPr>
          <w:sz w:val="18"/>
          <w:szCs w:val="18"/>
          <w:lang w:val="ro-RO"/>
        </w:rPr>
        <w:t>apatrid în perioada analizată a variat între 125 (în anul 2017) și 168 (în anul 2021).</w:t>
      </w:r>
    </w:p>
    <w:p w14:paraId="4AF3295F" w14:textId="77777777" w:rsidR="0075115C" w:rsidRDefault="00623B17">
      <w:pPr>
        <w:pStyle w:val="af5"/>
        <w:ind w:firstLine="284"/>
        <w:jc w:val="both"/>
        <w:rPr>
          <w:sz w:val="18"/>
          <w:szCs w:val="18"/>
          <w:lang w:val="ro-RO"/>
        </w:rPr>
      </w:pPr>
      <w:r>
        <w:rPr>
          <w:sz w:val="18"/>
          <w:szCs w:val="18"/>
          <w:lang w:val="ro-RO"/>
        </w:rPr>
        <w:t>Conform datelor statistice, în anul 2021 în Republica Moldova cu statut de apatrid figurau documentate 1.091 persoane, cu 325 persoane mai puțin decât în 2018. La finele</w:t>
      </w:r>
      <w:r>
        <w:rPr>
          <w:sz w:val="18"/>
          <w:szCs w:val="18"/>
          <w:lang w:val="ro-RO"/>
        </w:rPr>
        <w:t xml:space="preserve"> anului 2021 în Moldova locuiau 173 de persoane cu statut de refugiat, înregistrând o creștere nesemnificativă cu 13,8 % față de anul 2017.</w:t>
      </w:r>
    </w:p>
  </w:footnote>
  <w:footnote w:id="7">
    <w:p w14:paraId="6D8711AD" w14:textId="77777777" w:rsidR="0075115C" w:rsidRDefault="00623B17">
      <w:pPr>
        <w:pStyle w:val="af5"/>
        <w:jc w:val="both"/>
        <w:rPr>
          <w:b/>
          <w:bCs/>
          <w:lang w:val="ro-RO"/>
        </w:rPr>
      </w:pPr>
      <w:r>
        <w:rPr>
          <w:rStyle w:val="af7"/>
          <w:lang w:val="ro-RO"/>
        </w:rPr>
        <w:footnoteRef/>
      </w:r>
      <w:r>
        <w:rPr>
          <w:lang w:val="ro-RO"/>
        </w:rPr>
        <w:t xml:space="preserve"> </w:t>
      </w:r>
      <w:r>
        <w:rPr>
          <w:b/>
          <w:bCs/>
          <w:lang w:val="ro-RO"/>
        </w:rPr>
        <w:t>Comunicare a Comisiei către Parlamentul European, Consiliu, Comitetul Economic Și Social European și Comitetul Reg</w:t>
      </w:r>
      <w:r>
        <w:rPr>
          <w:b/>
          <w:bCs/>
          <w:lang w:val="ro-RO"/>
        </w:rPr>
        <w:t xml:space="preserve">iunilor: </w:t>
      </w:r>
      <w:hyperlink r:id="rId7" w:tooltip="https://eur-lex.europa.eu/legal-content/RO/TXT/HTML/?uri=CELEX:52020DC0758" w:history="1">
        <w:r>
          <w:rPr>
            <w:rStyle w:val="af1"/>
            <w:b/>
            <w:bCs/>
            <w:lang w:val="ro-RO"/>
          </w:rPr>
          <w:t>Plan de acțiune privind integrarea și incluziunea pentru perioada 2021-2027</w:t>
        </w:r>
      </w:hyperlink>
    </w:p>
    <w:p w14:paraId="71BE16D3" w14:textId="77777777" w:rsidR="0075115C" w:rsidRDefault="0075115C">
      <w:pPr>
        <w:pStyle w:val="af5"/>
        <w:jc w:val="both"/>
        <w:rPr>
          <w:lang w:val="ro-RO"/>
        </w:rPr>
      </w:pPr>
    </w:p>
  </w:footnote>
  <w:footnote w:id="8">
    <w:p w14:paraId="247E9BF5" w14:textId="77777777" w:rsidR="0075115C" w:rsidRDefault="00623B17">
      <w:pPr>
        <w:pStyle w:val="af5"/>
        <w:rPr>
          <w:lang w:val="ro-RO"/>
        </w:rPr>
      </w:pPr>
      <w:r>
        <w:rPr>
          <w:rStyle w:val="af7"/>
        </w:rPr>
        <w:footnoteRef/>
      </w:r>
      <w:r>
        <w:rPr>
          <w:lang w:val="ro-RO"/>
        </w:rPr>
        <w:t xml:space="preserve"> https://www.legis.md/cautare/getResults?doc_id=130079&amp;lang=ro</w:t>
      </w:r>
    </w:p>
  </w:footnote>
  <w:footnote w:id="9">
    <w:p w14:paraId="2831D0DC" w14:textId="77777777" w:rsidR="0075115C" w:rsidRDefault="00623B17">
      <w:pPr>
        <w:pStyle w:val="af5"/>
        <w:rPr>
          <w:lang w:val="ro-RO"/>
        </w:rPr>
      </w:pPr>
      <w:r>
        <w:rPr>
          <w:rStyle w:val="af7"/>
        </w:rPr>
        <w:footnoteRef/>
      </w:r>
      <w:r>
        <w:rPr>
          <w:lang w:val="ro-RO"/>
        </w:rPr>
        <w:t xml:space="preserve"> https://www.legis.md/cautare/getResults?doc_id=94717&amp;lang=ro</w:t>
      </w:r>
    </w:p>
  </w:footnote>
  <w:footnote w:id="10">
    <w:p w14:paraId="1A264D02" w14:textId="77777777" w:rsidR="0075115C" w:rsidRDefault="00623B17">
      <w:pPr>
        <w:pStyle w:val="af5"/>
        <w:rPr>
          <w:lang w:val="en-US"/>
        </w:rPr>
      </w:pPr>
      <w:r>
        <w:rPr>
          <w:rStyle w:val="af7"/>
        </w:rPr>
        <w:footnoteRef/>
      </w:r>
      <w:r>
        <w:rPr>
          <w:lang w:val="en-US"/>
        </w:rPr>
        <w:t xml:space="preserve"> Dispoziția CSE nr.1 din 24.02.2022 </w:t>
      </w:r>
    </w:p>
  </w:footnote>
  <w:footnote w:id="11">
    <w:p w14:paraId="4A650B56" w14:textId="77777777" w:rsidR="0075115C" w:rsidRDefault="00623B17">
      <w:pPr>
        <w:pStyle w:val="af5"/>
        <w:rPr>
          <w:lang w:val="en-US"/>
        </w:rPr>
      </w:pPr>
      <w:r>
        <w:rPr>
          <w:rStyle w:val="af7"/>
        </w:rPr>
        <w:footnoteRef/>
      </w:r>
      <w:r>
        <w:rPr>
          <w:lang w:val="en-US"/>
        </w:rPr>
        <w:t xml:space="preserve"> file:///C:/Users/user/Downloads/REACH_Moldova_SEIS_Presentation-on-Inclusion-Pillar2-Nov</w:t>
      </w:r>
      <w:r>
        <w:rPr>
          <w:lang w:val="en-US"/>
        </w:rPr>
        <w:t>ember-2024%20(1).pdf</w:t>
      </w:r>
    </w:p>
  </w:footnote>
  <w:footnote w:id="12">
    <w:p w14:paraId="2170B245" w14:textId="77777777" w:rsidR="0075115C" w:rsidRDefault="00623B17">
      <w:pPr>
        <w:pStyle w:val="af5"/>
        <w:rPr>
          <w:lang w:val="en-US"/>
        </w:rPr>
      </w:pPr>
      <w:r>
        <w:rPr>
          <w:rStyle w:val="af7"/>
        </w:rPr>
        <w:footnoteRef/>
      </w:r>
      <w:r>
        <w:rPr>
          <w:lang w:val="en-US"/>
        </w:rPr>
        <w:t xml:space="preserve"> https://www.legis.md/cautare/getResults?doc_id=124776&amp;lang=ro</w:t>
      </w:r>
    </w:p>
  </w:footnote>
  <w:footnote w:id="13">
    <w:p w14:paraId="7B73B43D" w14:textId="77777777" w:rsidR="0075115C" w:rsidRDefault="00623B17">
      <w:pPr>
        <w:pStyle w:val="af5"/>
        <w:rPr>
          <w:lang w:val="en-US"/>
        </w:rPr>
      </w:pPr>
      <w:r>
        <w:rPr>
          <w:rStyle w:val="af7"/>
        </w:rPr>
        <w:footnoteRef/>
      </w:r>
      <w:r>
        <w:rPr>
          <w:lang w:val="en-US"/>
        </w:rPr>
        <w:t xml:space="preserve"> https://www.legis.md/cautare/getResults?doc_id=93615&amp;lang=ro</w:t>
      </w:r>
    </w:p>
  </w:footnote>
  <w:footnote w:id="14">
    <w:p w14:paraId="20D68AB0" w14:textId="77777777" w:rsidR="0075115C" w:rsidRDefault="00623B17">
      <w:pPr>
        <w:pStyle w:val="af5"/>
        <w:rPr>
          <w:lang w:val="ro-RO"/>
        </w:rPr>
      </w:pPr>
      <w:r>
        <w:rPr>
          <w:rStyle w:val="af7"/>
          <w:lang w:val="ro-RO"/>
        </w:rPr>
        <w:footnoteRef/>
      </w:r>
      <w:hyperlink r:id="rId8" w:tooltip="https://www.legis.md/cautare/getResults?doc_id=136582&amp;lang=ro" w:history="1">
        <w:r>
          <w:rPr>
            <w:rStyle w:val="af1"/>
            <w:rFonts w:eastAsia="Calibri" w:cs="Times New Roman"/>
            <w:sz w:val="18"/>
            <w:szCs w:val="18"/>
            <w:lang w:val="ro-RO"/>
          </w:rPr>
          <w:t>Legea nr. 270/2008 privind azilul în Republice Moldova</w:t>
        </w:r>
      </w:hyperlink>
      <w:r>
        <w:rPr>
          <w:rStyle w:val="af1"/>
          <w:rFonts w:eastAsia="Calibri" w:cs="Times New Roman"/>
          <w:sz w:val="18"/>
          <w:szCs w:val="18"/>
          <w:lang w:val="ro-RO"/>
        </w:rPr>
        <w:t xml:space="preserve">: </w:t>
      </w:r>
      <w:hyperlink r:id="rId9" w:tooltip="https://www.legis.md/cautare/getResults?doc_id=144620&amp;lang=ro" w:history="1">
        <w:r>
          <w:rPr>
            <w:rStyle w:val="af1"/>
            <w:rFonts w:eastAsia="Calibri" w:cs="Times New Roman"/>
            <w:sz w:val="18"/>
            <w:szCs w:val="18"/>
            <w:lang w:val="ro-RO"/>
          </w:rPr>
          <w:t>https://www.legis.md/cautare/getResults?doc_id=144620&amp;lang=ro#</w:t>
        </w:r>
      </w:hyperlink>
      <w:r>
        <w:rPr>
          <w:rStyle w:val="af1"/>
          <w:rFonts w:eastAsia="Calibri" w:cs="Times New Roman"/>
          <w:sz w:val="18"/>
          <w:szCs w:val="18"/>
          <w:lang w:val="ro-RO"/>
        </w:rPr>
        <w:t xml:space="preserve">; </w:t>
      </w:r>
    </w:p>
  </w:footnote>
  <w:footnote w:id="15">
    <w:p w14:paraId="61934599" w14:textId="77777777" w:rsidR="0075115C" w:rsidRDefault="00623B17">
      <w:pPr>
        <w:pStyle w:val="af5"/>
        <w:rPr>
          <w:lang w:val="ro-RO"/>
        </w:rPr>
      </w:pPr>
      <w:r>
        <w:rPr>
          <w:rStyle w:val="af7"/>
          <w:lang w:val="ro-RO"/>
        </w:rPr>
        <w:footnoteRef/>
      </w:r>
      <w:r>
        <w:rPr>
          <w:lang w:val="ro-RO"/>
        </w:rPr>
        <w:t xml:space="preserve"> </w:t>
      </w:r>
      <w:r>
        <w:rPr>
          <w:rFonts w:eastAsia="Calibri" w:cs="Times New Roman"/>
          <w:sz w:val="18"/>
          <w:szCs w:val="18"/>
          <w:lang w:val="ro-RO"/>
        </w:rPr>
        <w:t>Hotărârea Guvernului nr. 21/2023 privind acordarea protecției temporare persoanelor strămutate din Ucraina</w:t>
      </w:r>
      <w:r>
        <w:rPr>
          <w:lang w:val="ro-RO"/>
        </w:rPr>
        <w:t xml:space="preserve"> </w:t>
      </w:r>
      <w:hyperlink r:id="rId10" w:tooltip="https://www.legis.md/cautare/getResults?doc_id=142062&amp;lang=ro" w:history="1">
        <w:r>
          <w:rPr>
            <w:rStyle w:val="af1"/>
            <w:lang w:val="ro-RO"/>
          </w:rPr>
          <w:t>https://www.legis.md/cautare/getResults?doc_id=142062&amp;lang=ro</w:t>
        </w:r>
      </w:hyperlink>
      <w:r>
        <w:rPr>
          <w:lang w:val="ro-RO"/>
        </w:rPr>
        <w:t xml:space="preserve">; </w:t>
      </w:r>
    </w:p>
  </w:footnote>
  <w:footnote w:id="16">
    <w:p w14:paraId="69E1D93E" w14:textId="77777777" w:rsidR="0075115C" w:rsidRDefault="00623B17">
      <w:pPr>
        <w:pStyle w:val="af5"/>
        <w:rPr>
          <w:lang w:val="ro-RO"/>
        </w:rPr>
      </w:pPr>
      <w:r>
        <w:rPr>
          <w:rStyle w:val="af7"/>
        </w:rPr>
        <w:footnoteRef/>
      </w:r>
      <w:r>
        <w:rPr>
          <w:lang w:val="en-US"/>
        </w:rPr>
        <w:t xml:space="preserve"> </w:t>
      </w:r>
      <w:r>
        <w:rPr>
          <w:lang w:val="ro-RO"/>
        </w:rPr>
        <w:t>Sursa IGM</w:t>
      </w:r>
    </w:p>
  </w:footnote>
  <w:footnote w:id="17">
    <w:p w14:paraId="1858177D" w14:textId="77777777" w:rsidR="0075115C" w:rsidRDefault="00623B17">
      <w:pPr>
        <w:spacing w:before="240" w:after="0" w:line="276" w:lineRule="auto"/>
        <w:ind w:firstLine="720"/>
        <w:contextualSpacing/>
        <w:jc w:val="both"/>
        <w:rPr>
          <w:rFonts w:eastAsia="Times New Roman" w:cs="Times New Roman"/>
          <w:color w:val="222A35" w:themeColor="text2" w:themeShade="80"/>
          <w:sz w:val="20"/>
          <w:szCs w:val="20"/>
          <w:lang w:val="ro-RO" w:eastAsia="zh-CN"/>
        </w:rPr>
      </w:pPr>
      <w:r>
        <w:rPr>
          <w:rStyle w:val="af7"/>
          <w:sz w:val="20"/>
          <w:szCs w:val="20"/>
          <w:lang w:val="ro-RO"/>
        </w:rPr>
        <w:footnoteRef/>
      </w:r>
      <w:r>
        <w:rPr>
          <w:sz w:val="20"/>
          <w:szCs w:val="20"/>
          <w:lang w:val="ro-RO"/>
        </w:rPr>
        <w:t xml:space="preserve"> Mircea RADU „</w:t>
      </w:r>
      <w:r>
        <w:rPr>
          <w:rFonts w:eastAsia="Times New Roman" w:cs="Times New Roman"/>
          <w:i/>
          <w:iCs/>
          <w:color w:val="222A35" w:themeColor="text2" w:themeShade="80"/>
          <w:sz w:val="20"/>
          <w:szCs w:val="20"/>
          <w:lang w:val="ro-RO" w:eastAsia="zh-CN"/>
        </w:rPr>
        <w:t>Politica și practica privind integrarea imigranților și refugiaților în statele europene”,</w:t>
      </w:r>
      <w:r>
        <w:rPr>
          <w:rFonts w:eastAsia="Times New Roman" w:cs="Times New Roman"/>
          <w:color w:val="222A35" w:themeColor="text2" w:themeShade="80"/>
          <w:sz w:val="20"/>
          <w:szCs w:val="20"/>
          <w:lang w:val="ro-RO" w:eastAsia="zh-CN"/>
        </w:rPr>
        <w:t xml:space="preserve"> sursa: </w:t>
      </w:r>
      <w:hyperlink r:id="rId11" w:tooltip="https://migrant-integration.ec.europa.eu/sites/default/files/2011-02/docl_18864_250852215.pdf" w:history="1">
        <w:r>
          <w:rPr>
            <w:rStyle w:val="af1"/>
            <w:rFonts w:eastAsia="Times New Roman" w:cs="Times New Roman"/>
            <w:sz w:val="20"/>
            <w:szCs w:val="20"/>
            <w:lang w:val="ro-RO" w:eastAsia="zh-CN"/>
          </w:rPr>
          <w:t>https://migrant-integration.ec.europa.eu/sites/de</w:t>
        </w:r>
        <w:r>
          <w:rPr>
            <w:rStyle w:val="af1"/>
            <w:rFonts w:eastAsia="Times New Roman" w:cs="Times New Roman"/>
            <w:sz w:val="20"/>
            <w:szCs w:val="20"/>
            <w:lang w:val="ro-RO" w:eastAsia="zh-CN"/>
          </w:rPr>
          <w:t>fault/files/2011-02/docl_18864_250852215.pdf</w:t>
        </w:r>
      </w:hyperlink>
    </w:p>
    <w:p w14:paraId="0689C279" w14:textId="77777777" w:rsidR="0075115C" w:rsidRDefault="0075115C">
      <w:pPr>
        <w:pStyle w:val="af5"/>
        <w:rPr>
          <w:lang w:val="ro-RO"/>
        </w:rPr>
      </w:pPr>
    </w:p>
  </w:footnote>
  <w:footnote w:id="18">
    <w:p w14:paraId="6DF647F0" w14:textId="77777777" w:rsidR="0075115C" w:rsidRDefault="00623B17">
      <w:pPr>
        <w:pStyle w:val="af5"/>
        <w:rPr>
          <w:lang w:val="ro-RO"/>
        </w:rPr>
      </w:pPr>
      <w:r>
        <w:rPr>
          <w:rStyle w:val="af7"/>
        </w:rPr>
        <w:footnoteRef/>
      </w:r>
      <w:r>
        <w:rPr>
          <w:lang w:val="ro-RO"/>
        </w:rPr>
        <w:t xml:space="preserve"> https://eur-lex.europa.eu/eli/dir/2001/55/oj</w:t>
      </w:r>
    </w:p>
  </w:footnote>
  <w:footnote w:id="19">
    <w:p w14:paraId="1C32B3EE" w14:textId="77777777" w:rsidR="0075115C" w:rsidRDefault="00623B17">
      <w:pPr>
        <w:pStyle w:val="af5"/>
        <w:jc w:val="both"/>
        <w:rPr>
          <w:lang w:val="ro-RO"/>
        </w:rPr>
      </w:pPr>
      <w:r>
        <w:rPr>
          <w:rStyle w:val="af7"/>
          <w:lang w:val="ro-RO"/>
        </w:rPr>
        <w:footnoteRef/>
      </w:r>
      <w:r>
        <w:rPr>
          <w:lang w:val="ro-RO"/>
        </w:rPr>
        <w:t xml:space="preserve"> </w:t>
      </w:r>
      <w:hyperlink r:id="rId12" w:tooltip="https://www.legis.md/cautare/getResults?doc_id=144703&amp;lang=ro" w:history="1">
        <w:r>
          <w:rPr>
            <w:rStyle w:val="af1"/>
            <w:lang w:val="ro-RO"/>
          </w:rPr>
          <w:t>Hotărârea Guvern</w:t>
        </w:r>
        <w:r>
          <w:rPr>
            <w:rStyle w:val="af1"/>
            <w:lang w:val="ro-RO"/>
          </w:rPr>
          <w:t>ului nr. 270/2014</w:t>
        </w:r>
      </w:hyperlink>
      <w:r>
        <w:rPr>
          <w:lang w:val="ro-RO"/>
        </w:rPr>
        <w:t xml:space="preserve"> cu privire la aprobarea Instrucțiunilor privind mecanismul intersectorial de cooperare pentru identificarea, evaluarea, referirea, asistenţa şi monitorizarea copiilor victime şi potenţiale victime ale violenței, neglijării, exploatării şi</w:t>
      </w:r>
      <w:r>
        <w:rPr>
          <w:lang w:val="ro-RO"/>
        </w:rPr>
        <w:t xml:space="preserve"> traficului</w:t>
      </w:r>
    </w:p>
  </w:footnote>
  <w:footnote w:id="20">
    <w:p w14:paraId="602D811C" w14:textId="77777777" w:rsidR="0075115C" w:rsidRDefault="00623B17">
      <w:pPr>
        <w:pStyle w:val="af5"/>
        <w:rPr>
          <w:lang w:val="ro-RO"/>
        </w:rPr>
      </w:pPr>
      <w:r>
        <w:rPr>
          <w:rStyle w:val="af7"/>
          <w:lang w:val="ro-RO"/>
        </w:rPr>
        <w:footnoteRef/>
      </w:r>
      <w:r>
        <w:rPr>
          <w:lang w:val="ro-RO"/>
        </w:rPr>
        <w:t xml:space="preserve"> </w:t>
      </w:r>
      <w:hyperlink r:id="rId13" w:tooltip="https://www.legis.md/cautare/getResults?doc_id=110518&amp;lang=ro" w:history="1">
        <w:r>
          <w:rPr>
            <w:rStyle w:val="af1"/>
            <w:lang w:val="ro-RO"/>
          </w:rPr>
          <w:t>Lege nr. 140/2013</w:t>
        </w:r>
      </w:hyperlink>
      <w:r>
        <w:rPr>
          <w:lang w:val="ro-RO"/>
        </w:rPr>
        <w:t xml:space="preserve"> privind protecția specială a copiilor aflaţi în situaţie de risc şi a copiilor separaţi de părinţi</w:t>
      </w:r>
    </w:p>
  </w:footnote>
  <w:footnote w:id="21">
    <w:p w14:paraId="4CBEEC3B" w14:textId="77777777" w:rsidR="0075115C" w:rsidRDefault="00623B17">
      <w:pPr>
        <w:pStyle w:val="af5"/>
        <w:rPr>
          <w:highlight w:val="yellow"/>
          <w:lang w:val="ro-RO"/>
        </w:rPr>
      </w:pPr>
      <w:r>
        <w:rPr>
          <w:rStyle w:val="af7"/>
          <w:lang w:val="ro-RO"/>
        </w:rPr>
        <w:footnoteRef/>
      </w:r>
      <w:r>
        <w:rPr>
          <w:lang w:val="ro-RO"/>
        </w:rPr>
        <w:t xml:space="preserve"> Hotîrârea Guvernului nr. 164/2024 cu privire la aprobarea Programului național privind asigurarea respectării drepturilor omului pentru anii 2024-2027</w:t>
      </w:r>
    </w:p>
  </w:footnote>
  <w:footnote w:id="22">
    <w:p w14:paraId="53798433" w14:textId="77777777" w:rsidR="0075115C" w:rsidRDefault="00623B17">
      <w:pPr>
        <w:pStyle w:val="af5"/>
        <w:rPr>
          <w:lang w:val="ro-RO"/>
        </w:rPr>
      </w:pPr>
      <w:r>
        <w:rPr>
          <w:rStyle w:val="af7"/>
          <w:lang w:val="ro-RO"/>
        </w:rPr>
        <w:footnoteRef/>
      </w:r>
      <w:r>
        <w:rPr>
          <w:lang w:val="ro-RO"/>
        </w:rPr>
        <w:t xml:space="preserve"> H</w:t>
      </w:r>
      <w:r>
        <w:rPr>
          <w:lang w:val="ro-RO"/>
        </w:rPr>
        <w:t>otărârea Guvernului nr. 203/2023 cu privire la aprobarea Programului de promovare și asigurare a egalității între femei și bărbați în Republica Moldova pentru anii 2023-2027</w:t>
      </w:r>
    </w:p>
  </w:footnote>
  <w:footnote w:id="23">
    <w:p w14:paraId="77D18086" w14:textId="77777777" w:rsidR="0075115C" w:rsidRDefault="00623B17">
      <w:pPr>
        <w:pStyle w:val="af5"/>
        <w:rPr>
          <w:lang w:val="ro-RO"/>
        </w:rPr>
      </w:pPr>
      <w:r>
        <w:rPr>
          <w:rStyle w:val="af7"/>
          <w:lang w:val="ro-RO"/>
        </w:rPr>
        <w:footnoteRef/>
      </w:r>
      <w:r>
        <w:rPr>
          <w:lang w:val="ro-RO"/>
        </w:rPr>
        <w:t xml:space="preserve"> Hotîrârea Guvernului nr. 347/2022 cu privire la aprobarea Programului national p</w:t>
      </w:r>
      <w:r>
        <w:rPr>
          <w:lang w:val="ro-RO"/>
        </w:rPr>
        <w:t>entru protecția copilului pe anii 2022-2026 și a Planului de acțiuni pentru implementarea acestuia</w:t>
      </w:r>
    </w:p>
  </w:footnote>
  <w:footnote w:id="24">
    <w:p w14:paraId="3B3C9961" w14:textId="77777777" w:rsidR="0075115C" w:rsidRDefault="00623B17">
      <w:pPr>
        <w:pStyle w:val="af5"/>
        <w:rPr>
          <w:lang w:val="ro-RO"/>
        </w:rPr>
      </w:pPr>
      <w:r>
        <w:rPr>
          <w:rStyle w:val="af7"/>
          <w:lang w:val="ro-RO"/>
        </w:rPr>
        <w:footnoteRef/>
      </w:r>
      <w:r>
        <w:rPr>
          <w:lang w:val="ro-RO"/>
        </w:rPr>
        <w:t xml:space="preserve"> Socio-Economic Insights Survey (SEIS) – 2024 Inclusion – Key findings presentation, November 2024, dispobibil la linkul: </w:t>
      </w:r>
      <w:hyperlink r:id="rId14" w:tooltip="https://data.unhcr.org/fr/documents/download/112282" w:history="1">
        <w:r>
          <w:rPr>
            <w:rStyle w:val="af1"/>
            <w:lang w:val="ro-RO"/>
          </w:rPr>
          <w:t>https://data.unhcr.org/fr/documents/download/112282</w:t>
        </w:r>
      </w:hyperlink>
      <w:r>
        <w:rPr>
          <w:lang w:val="ro-RO"/>
        </w:rPr>
        <w:t xml:space="preserve"> </w:t>
      </w:r>
    </w:p>
  </w:footnote>
  <w:footnote w:id="25">
    <w:p w14:paraId="1ED4EC17" w14:textId="77777777" w:rsidR="0075115C" w:rsidRDefault="00623B17">
      <w:pPr>
        <w:pStyle w:val="af5"/>
        <w:rPr>
          <w:lang w:val="ro-RO"/>
        </w:rPr>
      </w:pPr>
      <w:r>
        <w:rPr>
          <w:rStyle w:val="af7"/>
          <w:lang w:val="ro-RO"/>
        </w:rPr>
        <w:footnoteRef/>
      </w:r>
      <w:r>
        <w:rPr>
          <w:lang w:val="ro-RO"/>
        </w:rPr>
        <w:t xml:space="preserve"> Socio-Economic Insights Survey (SEIS) – 2024 Inclusion – Key findings presentation, November 2024, dispobibil </w:t>
      </w:r>
      <w:r>
        <w:rPr>
          <w:lang w:val="ro-RO"/>
        </w:rPr>
        <w:t xml:space="preserve">la linkul: </w:t>
      </w:r>
      <w:hyperlink r:id="rId15" w:tooltip="https://data.unhcr.org/fr/documents/download/112282" w:history="1">
        <w:r>
          <w:rPr>
            <w:rStyle w:val="af1"/>
            <w:lang w:val="ro-RO"/>
          </w:rPr>
          <w:t>https://data.unhcr.org/fr/documents/download/112282</w:t>
        </w:r>
      </w:hyperlink>
      <w:r>
        <w:rPr>
          <w:lang w:val="ro-RO"/>
        </w:rPr>
        <w:t xml:space="preserve"> </w:t>
      </w:r>
    </w:p>
  </w:footnote>
  <w:footnote w:id="26">
    <w:p w14:paraId="6971FDA1" w14:textId="77777777" w:rsidR="0075115C" w:rsidRDefault="00623B17">
      <w:pPr>
        <w:pStyle w:val="af5"/>
        <w:rPr>
          <w:lang w:val="ro-RO"/>
        </w:rPr>
      </w:pPr>
      <w:r>
        <w:rPr>
          <w:rStyle w:val="af7"/>
          <w:lang w:val="ro-RO"/>
        </w:rPr>
        <w:footnoteRef/>
      </w:r>
      <w:r>
        <w:rPr>
          <w:lang w:val="ro-RO"/>
        </w:rPr>
        <w:t xml:space="preserve"> MIPEX 2020, disponibil la linkul: </w:t>
      </w:r>
      <w:hyperlink r:id="rId16" w:tooltip="https://www.mipex.eu/moldova" w:history="1">
        <w:r>
          <w:rPr>
            <w:rStyle w:val="af1"/>
            <w:lang w:val="ro-RO"/>
          </w:rPr>
          <w:t>https://www.mipex.eu/moldova</w:t>
        </w:r>
      </w:hyperlink>
      <w:r>
        <w:rPr>
          <w:lang w:val="ro-RO"/>
        </w:rPr>
        <w:t xml:space="preserve"> </w:t>
      </w:r>
    </w:p>
  </w:footnote>
  <w:footnote w:id="27">
    <w:p w14:paraId="551BEA12" w14:textId="77777777" w:rsidR="0075115C" w:rsidRDefault="00623B17">
      <w:pPr>
        <w:pStyle w:val="af5"/>
        <w:rPr>
          <w:lang w:val="ro-RO"/>
        </w:rPr>
      </w:pPr>
      <w:r>
        <w:rPr>
          <w:rStyle w:val="af7"/>
          <w:lang w:val="ro-RO"/>
        </w:rPr>
        <w:footnoteRef/>
      </w:r>
      <w:r>
        <w:rPr>
          <w:lang w:val="ro-RO"/>
        </w:rPr>
        <w:t xml:space="preserve"> Codul Educației</w:t>
      </w:r>
    </w:p>
  </w:footnote>
  <w:footnote w:id="28">
    <w:p w14:paraId="2AEF938D" w14:textId="77777777" w:rsidR="0075115C" w:rsidRDefault="00623B17">
      <w:pPr>
        <w:pStyle w:val="af5"/>
        <w:rPr>
          <w:lang w:val="ro-RO"/>
        </w:rPr>
      </w:pPr>
      <w:r>
        <w:rPr>
          <w:rStyle w:val="af7"/>
          <w:lang w:val="ro-RO"/>
        </w:rPr>
        <w:footnoteRef/>
      </w:r>
      <w:r>
        <w:rPr>
          <w:lang w:val="ro-RO"/>
        </w:rPr>
        <w:t xml:space="preserve"> </w:t>
      </w:r>
      <w:hyperlink r:id="rId17" w:tooltip="https://mec.gov.md/ro/content/v-podderzhku-detey-i-molodezhi-ukrainy" w:history="1">
        <w:r>
          <w:rPr>
            <w:rStyle w:val="af1"/>
            <w:rFonts w:eastAsia="Calibri" w:cs="Times New Roman"/>
            <w:color w:val="000000" w:themeColor="text1"/>
            <w:sz w:val="24"/>
            <w:szCs w:val="24"/>
            <w:lang w:val="ro-RO"/>
          </w:rPr>
          <w:t>https://mec.gov.md/ro/content/v-podderzhku-detey-i-molodezhi-ukrainy</w:t>
        </w:r>
      </w:hyperlink>
    </w:p>
  </w:footnote>
  <w:footnote w:id="29">
    <w:p w14:paraId="43FC47FD" w14:textId="77777777" w:rsidR="0075115C" w:rsidRDefault="00623B17">
      <w:pPr>
        <w:pStyle w:val="af5"/>
        <w:rPr>
          <w:lang w:val="ro-RO"/>
        </w:rPr>
      </w:pPr>
      <w:r>
        <w:rPr>
          <w:rStyle w:val="af7"/>
          <w:lang w:val="ro-RO"/>
        </w:rPr>
        <w:footnoteRef/>
      </w:r>
      <w:r>
        <w:rPr>
          <w:lang w:val="ro-RO"/>
        </w:rPr>
        <w:t xml:space="preserve"> </w:t>
      </w:r>
      <w:hyperlink r:id="rId18" w:tooltip="https://mec.gov.md/ro/content/instructiuni-pentru-studentii-refugiati-din-ucraina-pentru-continuarea-studiilor-republica" w:history="1">
        <w:r>
          <w:rPr>
            <w:rStyle w:val="af1"/>
            <w:rFonts w:eastAsia="Calibri" w:cs="Times New Roman"/>
            <w:color w:val="000000" w:themeColor="text1"/>
            <w:sz w:val="24"/>
            <w:szCs w:val="24"/>
            <w:lang w:val="ro-RO"/>
          </w:rPr>
          <w:t>https://mec.gov.md/ro/content/instructiuni-pentru-studentii-refugiati-din-ucraina-pentru-continuarea-studiilor-republica</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5E1"/>
    <w:multiLevelType w:val="multilevel"/>
    <w:tmpl w:val="1292AD4E"/>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0557AF3"/>
    <w:multiLevelType w:val="multilevel"/>
    <w:tmpl w:val="3A9E1570"/>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21505B6"/>
    <w:multiLevelType w:val="multilevel"/>
    <w:tmpl w:val="A9BAC4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E54AF3"/>
    <w:multiLevelType w:val="multilevel"/>
    <w:tmpl w:val="1584C456"/>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F346C7C"/>
    <w:multiLevelType w:val="multilevel"/>
    <w:tmpl w:val="5B0C5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1A8D"/>
    <w:multiLevelType w:val="multilevel"/>
    <w:tmpl w:val="B01A8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FB3A06"/>
    <w:multiLevelType w:val="multilevel"/>
    <w:tmpl w:val="9104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12162"/>
    <w:multiLevelType w:val="multilevel"/>
    <w:tmpl w:val="D814F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13AC3"/>
    <w:multiLevelType w:val="multilevel"/>
    <w:tmpl w:val="001C8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013685"/>
    <w:multiLevelType w:val="multilevel"/>
    <w:tmpl w:val="964A0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A6A76"/>
    <w:multiLevelType w:val="multilevel"/>
    <w:tmpl w:val="18DE6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1B6EDC"/>
    <w:multiLevelType w:val="multilevel"/>
    <w:tmpl w:val="562C2DF6"/>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30DC26CD"/>
    <w:multiLevelType w:val="multilevel"/>
    <w:tmpl w:val="6B981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36C721F0"/>
    <w:multiLevelType w:val="multilevel"/>
    <w:tmpl w:val="340A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3930EE"/>
    <w:multiLevelType w:val="multilevel"/>
    <w:tmpl w:val="CCD0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35903"/>
    <w:multiLevelType w:val="multilevel"/>
    <w:tmpl w:val="2E62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81ACE"/>
    <w:multiLevelType w:val="multilevel"/>
    <w:tmpl w:val="2376D12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D4672EF"/>
    <w:multiLevelType w:val="multilevel"/>
    <w:tmpl w:val="32CE8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C149FA"/>
    <w:multiLevelType w:val="multilevel"/>
    <w:tmpl w:val="9EF0008C"/>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504A005B"/>
    <w:multiLevelType w:val="multilevel"/>
    <w:tmpl w:val="B03EE68E"/>
    <w:lvl w:ilvl="0">
      <w:start w:val="1"/>
      <w:numFmt w:val="decimal"/>
      <w:lvlText w:val="%1."/>
      <w:lvlJc w:val="left"/>
      <w:pPr>
        <w:ind w:left="720"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96D91"/>
    <w:multiLevelType w:val="multilevel"/>
    <w:tmpl w:val="69DA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851C5"/>
    <w:multiLevelType w:val="multilevel"/>
    <w:tmpl w:val="5CE67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76457C"/>
    <w:multiLevelType w:val="multilevel"/>
    <w:tmpl w:val="B160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E7F4E"/>
    <w:multiLevelType w:val="multilevel"/>
    <w:tmpl w:val="44F24322"/>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6DB63B2B"/>
    <w:multiLevelType w:val="multilevel"/>
    <w:tmpl w:val="65FAC298"/>
    <w:lvl w:ilvl="0">
      <w:start w:val="16"/>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96DCD"/>
    <w:multiLevelType w:val="multilevel"/>
    <w:tmpl w:val="2652A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33E57C1"/>
    <w:multiLevelType w:val="multilevel"/>
    <w:tmpl w:val="9880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B0B40"/>
    <w:multiLevelType w:val="multilevel"/>
    <w:tmpl w:val="A852C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B13474"/>
    <w:multiLevelType w:val="multilevel"/>
    <w:tmpl w:val="F93274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27"/>
  </w:num>
  <w:num w:numId="6">
    <w:abstractNumId w:val="23"/>
  </w:num>
  <w:num w:numId="7">
    <w:abstractNumId w:val="8"/>
  </w:num>
  <w:num w:numId="8">
    <w:abstractNumId w:val="20"/>
  </w:num>
  <w:num w:numId="9">
    <w:abstractNumId w:val="3"/>
  </w:num>
  <w:num w:numId="10">
    <w:abstractNumId w:val="10"/>
  </w:num>
  <w:num w:numId="11">
    <w:abstractNumId w:val="18"/>
  </w:num>
  <w:num w:numId="12">
    <w:abstractNumId w:val="12"/>
  </w:num>
  <w:num w:numId="13">
    <w:abstractNumId w:val="28"/>
  </w:num>
  <w:num w:numId="14">
    <w:abstractNumId w:val="20"/>
  </w:num>
  <w:num w:numId="15">
    <w:abstractNumId w:val="6"/>
  </w:num>
  <w:num w:numId="16">
    <w:abstractNumId w:val="4"/>
  </w:num>
  <w:num w:numId="17">
    <w:abstractNumId w:val="24"/>
  </w:num>
  <w:num w:numId="18">
    <w:abstractNumId w:val="9"/>
  </w:num>
  <w:num w:numId="19">
    <w:abstractNumId w:val="16"/>
  </w:num>
  <w:num w:numId="20">
    <w:abstractNumId w:val="7"/>
  </w:num>
  <w:num w:numId="21">
    <w:abstractNumId w:val="19"/>
  </w:num>
  <w:num w:numId="22">
    <w:abstractNumId w:val="25"/>
  </w:num>
  <w:num w:numId="23">
    <w:abstractNumId w:val="21"/>
  </w:num>
  <w:num w:numId="24">
    <w:abstractNumId w:val="17"/>
  </w:num>
  <w:num w:numId="25">
    <w:abstractNumId w:val="5"/>
  </w:num>
  <w:num w:numId="26">
    <w:abstractNumId w:val="13"/>
  </w:num>
  <w:num w:numId="27">
    <w:abstractNumId w:val="22"/>
  </w:num>
  <w:num w:numId="28">
    <w:abstractNumId w:val="14"/>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5C"/>
    <w:rsid w:val="005163B9"/>
    <w:rsid w:val="00623B17"/>
    <w:rsid w:val="006C41D2"/>
    <w:rsid w:val="0075115C"/>
    <w:rsid w:val="00895507"/>
    <w:rsid w:val="00C5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4601"/>
  <w15:docId w15:val="{A7F02F97-9E38-46A1-9223-C272589D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heme="minorHAnsi" w:hAnsi="Times New Roman"/>
      <w:color w:val="000000" w:themeColor="text1"/>
      <w:sz w:val="24"/>
      <w:lang w:eastAsia="en-US"/>
    </w:rPr>
  </w:style>
  <w:style w:type="paragraph" w:styleId="1">
    <w:name w:val="heading 1"/>
    <w:basedOn w:val="a"/>
    <w:next w:val="a"/>
    <w:link w:val="10"/>
    <w:uiPriority w:val="9"/>
    <w:qFormat/>
    <w:pPr>
      <w:keepNext/>
      <w:keepLines/>
      <w:spacing w:before="360" w:after="360" w:line="276" w:lineRule="auto"/>
      <w:ind w:left="720"/>
      <w:contextualSpacing/>
      <w:jc w:val="center"/>
      <w:outlineLvl w:val="0"/>
    </w:pPr>
    <w:rPr>
      <w:rFonts w:eastAsiaTheme="majorEastAsia" w:cs="Times New Roman"/>
      <w:b/>
      <w:color w:val="4472C4" w:themeColor="accent5"/>
      <w:sz w:val="32"/>
      <w:szCs w:val="26"/>
    </w:rPr>
  </w:style>
  <w:style w:type="paragraph" w:styleId="2">
    <w:name w:val="heading 2"/>
    <w:basedOn w:val="a"/>
    <w:next w:val="a"/>
    <w:link w:val="20"/>
    <w:uiPriority w:val="9"/>
    <w:unhideWhenUsed/>
    <w:qFormat/>
    <w:pPr>
      <w:keepNext/>
      <w:keepLines/>
      <w:spacing w:before="360" w:after="360" w:line="240" w:lineRule="auto"/>
      <w:contextualSpacing/>
      <w:jc w:val="both"/>
      <w:outlineLvl w:val="1"/>
    </w:pPr>
    <w:rPr>
      <w:rFonts w:eastAsiaTheme="majorEastAsia" w:cs="Times New Roman"/>
      <w:b/>
      <w:bCs/>
      <w:i/>
      <w:iCs/>
      <w:color w:val="4472C4" w:themeColor="accent5"/>
      <w:sz w:val="28"/>
      <w:szCs w:val="28"/>
      <w:lang w:eastAsia="zh-CN"/>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0">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0">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0">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0">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0">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0">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0">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0">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0">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0">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0">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0">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0">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0">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0">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0">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0">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0">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pPr>
      <w:spacing w:after="0" w:line="240" w:lineRule="auto"/>
    </w:pPr>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pPr>
      <w:spacing w:after="0"/>
    </w:pPr>
  </w:style>
  <w:style w:type="character" w:customStyle="1" w:styleId="20">
    <w:name w:val="Заголовок 2 Знак"/>
    <w:basedOn w:val="a0"/>
    <w:link w:val="2"/>
    <w:uiPriority w:val="9"/>
    <w:rPr>
      <w:rFonts w:ascii="Times New Roman" w:eastAsiaTheme="majorEastAsia" w:hAnsi="Times New Roman" w:cs="Times New Roman"/>
      <w:b/>
      <w:bCs/>
      <w:i/>
      <w:iCs/>
      <w:color w:val="4472C4" w:themeColor="accent5"/>
      <w:sz w:val="28"/>
      <w:szCs w:val="28"/>
      <w:lang w:eastAsia="zh-CN"/>
    </w:rPr>
  </w:style>
  <w:style w:type="paragraph" w:styleId="aa">
    <w:name w:val="header"/>
    <w:basedOn w:val="a"/>
    <w:link w:val="ab"/>
    <w:uiPriority w:val="99"/>
    <w:unhideWhenUsed/>
    <w:pPr>
      <w:tabs>
        <w:tab w:val="center" w:pos="4513"/>
        <w:tab w:val="right" w:pos="9026"/>
      </w:tabs>
      <w:spacing w:after="0" w:line="240" w:lineRule="auto"/>
    </w:pPr>
  </w:style>
  <w:style w:type="character" w:customStyle="1" w:styleId="ab">
    <w:name w:val="Верхний колонтитул Знак"/>
    <w:basedOn w:val="a0"/>
    <w:link w:val="aa"/>
    <w:uiPriority w:val="99"/>
    <w:rPr>
      <w:rFonts w:ascii="Times New Roman" w:eastAsiaTheme="minorHAnsi" w:hAnsi="Times New Roman"/>
      <w:color w:val="000000" w:themeColor="text1"/>
      <w:sz w:val="24"/>
      <w:lang w:eastAsia="en-US"/>
    </w:rPr>
  </w:style>
  <w:style w:type="paragraph" w:styleId="ac">
    <w:name w:val="footer"/>
    <w:basedOn w:val="a"/>
    <w:link w:val="ad"/>
    <w:uiPriority w:val="99"/>
    <w:unhideWhenUsed/>
    <w:pPr>
      <w:tabs>
        <w:tab w:val="center" w:pos="4513"/>
        <w:tab w:val="right" w:pos="9026"/>
      </w:tabs>
      <w:spacing w:after="0" w:line="240" w:lineRule="auto"/>
    </w:pPr>
  </w:style>
  <w:style w:type="character" w:customStyle="1" w:styleId="ad">
    <w:name w:val="Нижний колонтитул Знак"/>
    <w:basedOn w:val="a0"/>
    <w:link w:val="ac"/>
    <w:uiPriority w:val="99"/>
    <w:rPr>
      <w:rFonts w:ascii="Times New Roman" w:eastAsiaTheme="minorHAnsi" w:hAnsi="Times New Roman"/>
      <w:color w:val="000000" w:themeColor="text1"/>
      <w:sz w:val="24"/>
      <w:lang w:eastAsia="en-US"/>
    </w:rPr>
  </w:style>
  <w:style w:type="paragraph" w:styleId="ae">
    <w:name w:val="List Paragraph"/>
    <w:basedOn w:val="a"/>
    <w:link w:val="af"/>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imes New Roman"/>
      <w:b/>
      <w:color w:val="4472C4" w:themeColor="accent5"/>
      <w:sz w:val="32"/>
      <w:szCs w:val="26"/>
      <w:lang w:eastAsia="en-US"/>
    </w:rPr>
  </w:style>
  <w:style w:type="paragraph" w:styleId="af0">
    <w:name w:val="TOC Heading"/>
    <w:basedOn w:val="1"/>
    <w:next w:val="a"/>
    <w:uiPriority w:val="39"/>
    <w:unhideWhenUsed/>
    <w:qFormat/>
    <w:pPr>
      <w:outlineLvl w:val="9"/>
    </w:pPr>
    <w:rPr>
      <w:lang w:eastAsia="zh-CN"/>
    </w:rPr>
  </w:style>
  <w:style w:type="paragraph" w:styleId="24">
    <w:name w:val="toc 2"/>
    <w:basedOn w:val="a"/>
    <w:next w:val="a"/>
    <w:uiPriority w:val="39"/>
    <w:unhideWhenUsed/>
    <w:pPr>
      <w:spacing w:after="100"/>
      <w:ind w:left="220"/>
    </w:pPr>
    <w:rPr>
      <w:rFonts w:asciiTheme="minorHAnsi" w:eastAsiaTheme="minorEastAsia" w:hAnsiTheme="minorHAnsi" w:cs="Times New Roman"/>
      <w:color w:val="auto"/>
      <w:sz w:val="22"/>
      <w:lang w:eastAsia="zh-CN"/>
    </w:rPr>
  </w:style>
  <w:style w:type="paragraph" w:styleId="12">
    <w:name w:val="toc 1"/>
    <w:basedOn w:val="a"/>
    <w:next w:val="a"/>
    <w:uiPriority w:val="39"/>
    <w:unhideWhenUsed/>
    <w:pPr>
      <w:spacing w:after="100"/>
    </w:pPr>
    <w:rPr>
      <w:rFonts w:asciiTheme="minorHAnsi" w:eastAsiaTheme="minorEastAsia" w:hAnsiTheme="minorHAnsi" w:cs="Times New Roman"/>
      <w:color w:val="auto"/>
      <w:sz w:val="22"/>
      <w:lang w:eastAsia="zh-CN"/>
    </w:rPr>
  </w:style>
  <w:style w:type="paragraph" w:styleId="32">
    <w:name w:val="toc 3"/>
    <w:basedOn w:val="a"/>
    <w:next w:val="a"/>
    <w:uiPriority w:val="39"/>
    <w:unhideWhenUsed/>
    <w:pPr>
      <w:spacing w:after="100"/>
      <w:ind w:left="440"/>
    </w:pPr>
    <w:rPr>
      <w:rFonts w:asciiTheme="minorHAnsi" w:eastAsiaTheme="minorEastAsia" w:hAnsiTheme="minorHAnsi" w:cs="Times New Roman"/>
      <w:color w:val="auto"/>
      <w:sz w:val="22"/>
      <w:lang w:eastAsia="zh-CN"/>
    </w:rPr>
  </w:style>
  <w:style w:type="character" w:styleId="af1">
    <w:name w:val="Hyperlink"/>
    <w:basedOn w:val="a0"/>
    <w:uiPriority w:val="99"/>
    <w:unhideWhenUsed/>
    <w:rPr>
      <w:color w:val="0563C1" w:themeColor="hyperlink"/>
      <w:u w:val="single"/>
    </w:rPr>
  </w:style>
  <w:style w:type="table" w:styleId="a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pPr>
      <w:spacing w:before="100" w:beforeAutospacing="1" w:after="100" w:afterAutospacing="1" w:line="240" w:lineRule="auto"/>
    </w:pPr>
    <w:rPr>
      <w:rFonts w:eastAsia="Times New Roman" w:cs="Times New Roman"/>
      <w:color w:val="auto"/>
      <w:szCs w:val="24"/>
      <w:lang w:eastAsia="zh-CN"/>
    </w:rPr>
  </w:style>
  <w:style w:type="character" w:styleId="af4">
    <w:name w:val="Strong"/>
    <w:basedOn w:val="a0"/>
    <w:uiPriority w:val="22"/>
    <w:qFormat/>
    <w:rPr>
      <w:b/>
      <w:bCs/>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rFonts w:ascii="Times New Roman" w:eastAsiaTheme="minorHAnsi" w:hAnsi="Times New Roman"/>
      <w:color w:val="000000" w:themeColor="text1"/>
      <w:sz w:val="20"/>
      <w:szCs w:val="20"/>
      <w:lang w:eastAsia="en-US"/>
    </w:rPr>
  </w:style>
  <w:style w:type="character" w:styleId="af7">
    <w:name w:val="footnote reference"/>
    <w:basedOn w:val="a0"/>
    <w:uiPriority w:val="99"/>
    <w:semiHidden/>
    <w:unhideWhenUsed/>
    <w:rPr>
      <w:vertAlign w:val="superscript"/>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lang w:eastAsia="en-US"/>
    </w:rPr>
  </w:style>
  <w:style w:type="character" w:customStyle="1" w:styleId="af">
    <w:name w:val="Абзац списка Знак"/>
    <w:link w:val="ae"/>
    <w:uiPriority w:val="34"/>
    <w:qFormat/>
    <w:rPr>
      <w:rFonts w:ascii="Times New Roman" w:eastAsiaTheme="minorHAnsi" w:hAnsi="Times New Roman"/>
      <w:color w:val="000000" w:themeColor="text1"/>
      <w:sz w:val="24"/>
      <w:lang w:eastAsia="en-US"/>
    </w:rPr>
  </w:style>
  <w:style w:type="paragraph" w:customStyle="1" w:styleId="Frspaiere1">
    <w:name w:val="Fără spațiere1"/>
    <w:qFormat/>
    <w:pPr>
      <w:spacing w:after="0" w:line="240" w:lineRule="auto"/>
    </w:pPr>
    <w:rPr>
      <w:rFonts w:ascii="Calibri" w:eastAsia="Calibri" w:hAnsi="Calibri" w:cs="Times New Roman"/>
      <w:lang w:eastAsia="en-US"/>
    </w:rPr>
  </w:style>
  <w:style w:type="paragraph" w:styleId="af8">
    <w:name w:val="Title"/>
    <w:basedOn w:val="a"/>
    <w:next w:val="a"/>
    <w:link w:val="af9"/>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9">
    <w:name w:val="Заголовок Знак"/>
    <w:basedOn w:val="a0"/>
    <w:link w:val="af8"/>
    <w:uiPriority w:val="10"/>
    <w:rPr>
      <w:rFonts w:asciiTheme="majorHAnsi" w:eastAsiaTheme="majorEastAsia" w:hAnsiTheme="majorHAnsi" w:cstheme="majorBidi"/>
      <w:color w:val="323E4F" w:themeColor="text2" w:themeShade="BF"/>
      <w:spacing w:val="5"/>
      <w:sz w:val="52"/>
      <w:szCs w:val="52"/>
      <w:lang w:eastAsia="en-US"/>
    </w:rPr>
  </w:style>
  <w:style w:type="character" w:styleId="afa">
    <w:name w:val="FollowedHyperlink"/>
    <w:basedOn w:val="a0"/>
    <w:uiPriority w:val="99"/>
    <w:semiHidden/>
    <w:unhideWhenUsed/>
    <w:rPr>
      <w:color w:val="954F72" w:themeColor="followedHyperlink"/>
      <w:u w:val="single"/>
    </w:rPr>
  </w:style>
  <w:style w:type="paragraph" w:styleId="afb">
    <w:name w:val="No Spacing"/>
    <w:link w:val="afc"/>
    <w:uiPriority w:val="1"/>
    <w:qFormat/>
    <w:pPr>
      <w:spacing w:after="0" w:line="240" w:lineRule="auto"/>
    </w:pPr>
  </w:style>
  <w:style w:type="character" w:customStyle="1" w:styleId="afc">
    <w:name w:val="Без интервала Знак"/>
    <w:basedOn w:val="a0"/>
    <w:link w:val="afb"/>
    <w:uiPriority w:val="1"/>
  </w:style>
  <w:style w:type="paragraph" w:styleId="afd">
    <w:name w:val="Subtitle"/>
    <w:basedOn w:val="a"/>
    <w:next w:val="a"/>
    <w:link w:val="afe"/>
    <w:uiPriority w:val="11"/>
    <w:qFormat/>
    <w:pPr>
      <w:numPr>
        <w:ilvl w:val="1"/>
      </w:numPr>
    </w:pPr>
    <w:rPr>
      <w:rFonts w:asciiTheme="minorHAnsi" w:eastAsiaTheme="minorEastAsia" w:hAnsiTheme="minorHAnsi" w:cs="Times New Roman"/>
      <w:color w:val="5A5A5A" w:themeColor="text1" w:themeTint="A5"/>
      <w:spacing w:val="15"/>
      <w:sz w:val="22"/>
      <w:lang w:eastAsia="zh-CN"/>
    </w:rPr>
  </w:style>
  <w:style w:type="character" w:customStyle="1" w:styleId="afe">
    <w:name w:val="Подзаголовок Знак"/>
    <w:basedOn w:val="a0"/>
    <w:link w:val="afd"/>
    <w:uiPriority w:val="11"/>
    <w:rPr>
      <w:rFonts w:cs="Times New Roman"/>
      <w:color w:val="5A5A5A" w:themeColor="text1" w:themeTint="A5"/>
      <w:spacing w:val="15"/>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en-US"/>
    </w:r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unhideWhenUsed/>
    <w:pPr>
      <w:spacing w:line="240" w:lineRule="auto"/>
    </w:pPr>
    <w:rPr>
      <w:sz w:val="20"/>
      <w:szCs w:val="20"/>
    </w:rPr>
  </w:style>
  <w:style w:type="character" w:customStyle="1" w:styleId="aff1">
    <w:name w:val="Текст примечания Знак"/>
    <w:basedOn w:val="a0"/>
    <w:link w:val="aff0"/>
    <w:uiPriority w:val="99"/>
    <w:rPr>
      <w:rFonts w:ascii="Times New Roman" w:eastAsiaTheme="minorHAnsi" w:hAnsi="Times New Roman"/>
      <w:color w:val="000000" w:themeColor="text1"/>
      <w:sz w:val="20"/>
      <w:szCs w:val="20"/>
      <w:lang w:eastAsia="en-US"/>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rFonts w:ascii="Times New Roman" w:eastAsiaTheme="minorHAnsi" w:hAnsi="Times New Roman"/>
      <w:b/>
      <w:bCs/>
      <w:color w:val="000000" w:themeColor="text1"/>
      <w:sz w:val="20"/>
      <w:szCs w:val="20"/>
      <w:lang w:eastAsia="en-US"/>
    </w:rPr>
  </w:style>
  <w:style w:type="paragraph" w:styleId="aff4">
    <w:name w:val="Revision"/>
    <w:hidden/>
    <w:uiPriority w:val="99"/>
    <w:semiHidden/>
    <w:pPr>
      <w:spacing w:after="0" w:line="240" w:lineRule="auto"/>
    </w:pPr>
    <w:rPr>
      <w:rFonts w:ascii="Times New Roman" w:eastAsiaTheme="minorHAnsi" w:hAnsi="Times New Roman"/>
      <w:color w:val="000000" w:themeColor="text1"/>
      <w:sz w:val="24"/>
      <w:lang w:eastAsia="en-US"/>
    </w:rPr>
  </w:style>
  <w:style w:type="character" w:styleId="aff5">
    <w:name w:val="Emphasis"/>
    <w:basedOn w:val="a0"/>
    <w:uiPriority w:val="20"/>
    <w:qFormat/>
    <w:rPr>
      <w:i/>
      <w:iCs/>
    </w:rPr>
  </w:style>
  <w:style w:type="paragraph" w:styleId="aff6">
    <w:name w:val="Balloon Text"/>
    <w:basedOn w:val="a"/>
    <w:link w:val="aff7"/>
    <w:uiPriority w:val="99"/>
    <w:semiHidden/>
    <w:unhideWhenUsed/>
    <w:pPr>
      <w:spacing w:after="0" w:line="240" w:lineRule="auto"/>
    </w:pPr>
    <w:rPr>
      <w:rFonts w:ascii="Tahoma" w:hAnsi="Tahoma" w:cs="Tahoma"/>
      <w:color w:val="auto"/>
      <w:sz w:val="16"/>
      <w:szCs w:val="16"/>
      <w:lang w:val="ro-RO"/>
    </w:rPr>
  </w:style>
  <w:style w:type="character" w:customStyle="1" w:styleId="aff7">
    <w:name w:val="Текст выноски Знак"/>
    <w:basedOn w:val="a0"/>
    <w:link w:val="aff6"/>
    <w:uiPriority w:val="99"/>
    <w:semiHidden/>
    <w:rPr>
      <w:rFonts w:ascii="Tahoma" w:eastAsiaTheme="minorHAnsi" w:hAnsi="Tahoma" w:cs="Tahoma"/>
      <w:sz w:val="16"/>
      <w:szCs w:val="16"/>
      <w:lang w:val="ro-RO" w:eastAsia="en-US"/>
    </w:rPr>
  </w:style>
  <w:style w:type="paragraph" w:customStyle="1" w:styleId="TableContents">
    <w:name w:val="Table Contents"/>
    <w:basedOn w:val="a"/>
    <w:qFormat/>
    <w:pPr>
      <w:suppressLineNumbers/>
      <w:spacing w:after="0" w:line="240" w:lineRule="auto"/>
    </w:pPr>
    <w:rPr>
      <w:rFonts w:ascii="Liberation Serif" w:eastAsia="Noto Sans CJK SC" w:hAnsi="Liberation Serif" w:cs="Lohit Devanagari"/>
      <w:color w:val="auto"/>
      <w:szCs w:val="24"/>
      <w:lang w:eastAsia="zh-CN" w:bidi="hi-IN"/>
    </w:rPr>
  </w:style>
  <w:style w:type="paragraph" w:styleId="aff8">
    <w:name w:val="Body Text"/>
    <w:basedOn w:val="a"/>
    <w:link w:val="aff9"/>
    <w:uiPriority w:val="1"/>
    <w:qFormat/>
    <w:pPr>
      <w:widowControl w:val="0"/>
      <w:spacing w:after="0" w:line="240" w:lineRule="auto"/>
      <w:ind w:left="113" w:firstLine="708"/>
      <w:jc w:val="both"/>
    </w:pPr>
    <w:rPr>
      <w:rFonts w:eastAsia="Times New Roman" w:cs="Times New Roman"/>
      <w:color w:val="auto"/>
      <w:szCs w:val="24"/>
    </w:rPr>
  </w:style>
  <w:style w:type="character" w:customStyle="1" w:styleId="aff9">
    <w:name w:val="Основной текст Знак"/>
    <w:basedOn w:val="a0"/>
    <w:link w:val="aff8"/>
    <w:uiPriority w:val="1"/>
    <w:rPr>
      <w:rFonts w:ascii="Times New Roman" w:eastAsia="Times New Roman" w:hAnsi="Times New Roman" w:cs="Times New Roman"/>
      <w:sz w:val="24"/>
      <w:szCs w:val="24"/>
      <w:lang w:eastAsia="en-US"/>
    </w:rPr>
  </w:style>
  <w:style w:type="character" w:customStyle="1" w:styleId="fontstyle01">
    <w:name w:val="fontstyle01"/>
    <w:basedOn w:val="a0"/>
    <w:rPr>
      <w:rFonts w:ascii="TimesNewRomanPS-BoldMT" w:hAnsi="TimesNewRomanPS-BoldMT" w:hint="default"/>
      <w:b/>
      <w:bCs/>
      <w:i w:val="0"/>
      <w:iCs w:val="0"/>
      <w:color w:val="000000"/>
      <w:sz w:val="20"/>
      <w:szCs w:val="20"/>
    </w:rPr>
  </w:style>
  <w:style w:type="character" w:customStyle="1" w:styleId="UnresolvedMention">
    <w:name w:val="Unresolved Mention"/>
    <w:basedOn w:val="a0"/>
    <w:uiPriority w:val="99"/>
    <w:semiHidden/>
    <w:unhideWhenUsed/>
    <w:rPr>
      <w:color w:val="605E5C"/>
      <w:shd w:val="clear" w:color="auto" w:fill="E1DFDD"/>
    </w:rPr>
  </w:style>
  <w:style w:type="character" w:styleId="affa">
    <w:name w:val="Intense Emphasis"/>
    <w:basedOn w:val="a0"/>
    <w:uiPriority w:val="21"/>
    <w:qFormat/>
    <w:rPr>
      <w:i/>
      <w:iCs/>
      <w:color w:val="2E74B5" w:themeColor="accent1" w:themeShade="BF"/>
    </w:rPr>
  </w:style>
  <w:style w:type="character" w:styleId="affb">
    <w:name w:val="Intense Reference"/>
    <w:basedOn w:val="a0"/>
    <w:uiPriority w:val="32"/>
    <w:qFormat/>
    <w:rPr>
      <w:b/>
      <w:bCs/>
      <w:smallCaps/>
      <w:color w:val="2E74B5" w:themeColor="accent1" w:themeShade="BF"/>
      <w:spacing w:val="5"/>
    </w:rPr>
  </w:style>
  <w:style w:type="paragraph" w:customStyle="1" w:styleId="msonormal0">
    <w:name w:val="msonormal"/>
    <w:basedOn w:val="a"/>
    <w:pPr>
      <w:spacing w:before="100" w:beforeAutospacing="1" w:after="100" w:afterAutospacing="1" w:line="240" w:lineRule="auto"/>
    </w:pPr>
    <w:rPr>
      <w:rFonts w:eastAsia="Times New Roman" w:cs="Times New Roman"/>
      <w:color w:val="auto"/>
      <w:szCs w:val="24"/>
      <w:lang w:eastAsia="ru-RU"/>
    </w:rPr>
  </w:style>
  <w:style w:type="paragraph" w:customStyle="1" w:styleId="xl65">
    <w:name w:val="xl65"/>
    <w:basedOn w:val="a"/>
    <w:pPr>
      <w:spacing w:before="100" w:beforeAutospacing="1" w:after="100" w:afterAutospacing="1" w:line="240" w:lineRule="auto"/>
    </w:pPr>
    <w:rPr>
      <w:rFonts w:eastAsia="Times New Roman" w:cs="Times New Roman"/>
      <w:color w:val="auto"/>
      <w:szCs w:val="24"/>
      <w:lang w:eastAsia="ru-RU"/>
    </w:rPr>
  </w:style>
  <w:style w:type="paragraph" w:customStyle="1" w:styleId="xl66">
    <w:name w:val="xl66"/>
    <w:basedOn w:val="a"/>
    <w:pPr>
      <w:shd w:val="clear" w:color="000000" w:fill="DAE9F8"/>
      <w:spacing w:before="100" w:beforeAutospacing="1" w:after="100" w:afterAutospacing="1" w:line="240" w:lineRule="auto"/>
    </w:pPr>
    <w:rPr>
      <w:rFonts w:eastAsia="Times New Roman" w:cs="Times New Roman"/>
      <w:color w:val="auto"/>
      <w:szCs w:val="24"/>
      <w:lang w:eastAsia="ru-RU"/>
    </w:rPr>
  </w:style>
  <w:style w:type="paragraph" w:customStyle="1" w:styleId="xl67">
    <w:name w:val="xl67"/>
    <w:basedOn w:val="a"/>
    <w:pPr>
      <w:spacing w:before="100" w:beforeAutospacing="1" w:after="100" w:afterAutospacing="1" w:line="240" w:lineRule="auto"/>
    </w:pPr>
    <w:rPr>
      <w:rFonts w:ascii="Aptos Narrow" w:eastAsia="Times New Roman" w:hAnsi="Aptos Narrow" w:cs="Times New Roman"/>
      <w:b/>
      <w:bCs/>
      <w:color w:val="auto"/>
      <w:szCs w:val="24"/>
      <w:lang w:eastAsia="ru-RU"/>
    </w:rPr>
  </w:style>
  <w:style w:type="paragraph" w:customStyle="1" w:styleId="xl68">
    <w:name w:val="xl68"/>
    <w:basedOn w:val="a"/>
    <w:pPr>
      <w:spacing w:before="100" w:beforeAutospacing="1" w:after="100" w:afterAutospacing="1" w:line="240" w:lineRule="auto"/>
    </w:pPr>
    <w:rPr>
      <w:rFonts w:eastAsia="Times New Roman" w:cs="Times New Roman"/>
      <w:color w:val="auto"/>
      <w:szCs w:val="24"/>
      <w:lang w:eastAsia="ru-RU"/>
    </w:rPr>
  </w:style>
  <w:style w:type="paragraph" w:customStyle="1" w:styleId="xl69">
    <w:name w:val="xl69"/>
    <w:basedOn w:val="a"/>
    <w:pPr>
      <w:spacing w:before="100" w:beforeAutospacing="1" w:after="100" w:afterAutospacing="1" w:line="240" w:lineRule="auto"/>
    </w:pPr>
    <w:rPr>
      <w:rFonts w:eastAsia="Times New Roman" w:cs="Times New Roman"/>
      <w:color w:val="auto"/>
      <w:szCs w:val="24"/>
      <w:lang w:eastAsia="ru-RU"/>
    </w:rPr>
  </w:style>
  <w:style w:type="paragraph" w:customStyle="1" w:styleId="xl70">
    <w:name w:val="xl70"/>
    <w:basedOn w:val="a"/>
    <w:pPr>
      <w:shd w:val="clear" w:color="000000" w:fill="DAE9F8"/>
      <w:spacing w:before="100" w:beforeAutospacing="1" w:after="100" w:afterAutospacing="1" w:line="240" w:lineRule="auto"/>
    </w:pPr>
    <w:rPr>
      <w:rFonts w:eastAsia="Times New Roman" w:cs="Times New Roman"/>
      <w:color w:val="auto"/>
      <w:szCs w:val="24"/>
      <w:lang w:eastAsia="ru-RU"/>
    </w:rPr>
  </w:style>
  <w:style w:type="paragraph" w:customStyle="1" w:styleId="xl71">
    <w:name w:val="xl71"/>
    <w:basedOn w:val="a"/>
    <w:pPr>
      <w:shd w:val="clear" w:color="000000" w:fill="DAE9F8"/>
      <w:spacing w:before="100" w:beforeAutospacing="1" w:after="100" w:afterAutospacing="1" w:line="240" w:lineRule="auto"/>
    </w:pPr>
    <w:rPr>
      <w:rFonts w:eastAsia="Times New Roman" w:cs="Times New Roman"/>
      <w:color w:val="auto"/>
      <w:szCs w:val="24"/>
      <w:lang w:eastAsia="ru-RU"/>
    </w:rPr>
  </w:style>
  <w:style w:type="paragraph" w:customStyle="1" w:styleId="xl72">
    <w:name w:val="xl72"/>
    <w:basedOn w:val="a"/>
    <w:pPr>
      <w:shd w:val="clear" w:color="000000" w:fill="DAE9F8"/>
      <w:spacing w:before="100" w:beforeAutospacing="1" w:after="100" w:afterAutospacing="1" w:line="240" w:lineRule="auto"/>
    </w:pPr>
    <w:rPr>
      <w:rFonts w:ascii="Aptos Narrow" w:eastAsia="Times New Roman" w:hAnsi="Aptos Narrow" w:cs="Times New Roman"/>
      <w:b/>
      <w:bCs/>
      <w:color w:val="auto"/>
      <w:szCs w:val="24"/>
      <w:lang w:eastAsia="ru-RU"/>
    </w:rPr>
  </w:style>
  <w:style w:type="paragraph" w:customStyle="1" w:styleId="xl73">
    <w:name w:val="xl73"/>
    <w:basedOn w:val="a"/>
    <w:pPr>
      <w:shd w:val="clear" w:color="000000" w:fill="4D93D9"/>
      <w:spacing w:before="100" w:beforeAutospacing="1" w:after="100" w:afterAutospacing="1" w:line="240" w:lineRule="auto"/>
    </w:pPr>
    <w:rPr>
      <w:rFonts w:ascii="Aptos Narrow" w:eastAsia="Times New Roman" w:hAnsi="Aptos Narrow" w:cs="Times New Roman"/>
      <w:i/>
      <w:iCs/>
      <w:color w:val="auto"/>
      <w:szCs w:val="24"/>
      <w:lang w:eastAsia="ru-RU"/>
    </w:rPr>
  </w:style>
  <w:style w:type="paragraph" w:customStyle="1" w:styleId="xl74">
    <w:name w:val="xl74"/>
    <w:basedOn w:val="a"/>
    <w:pPr>
      <w:shd w:val="clear" w:color="000000" w:fill="4D93D9"/>
      <w:spacing w:before="100" w:beforeAutospacing="1" w:after="100" w:afterAutospacing="1" w:line="240" w:lineRule="auto"/>
    </w:pPr>
    <w:rPr>
      <w:rFonts w:ascii="Aptos Narrow" w:eastAsia="Times New Roman" w:hAnsi="Aptos Narrow" w:cs="Times New Roman"/>
      <w:i/>
      <w:iCs/>
      <w:color w:val="auto"/>
      <w:szCs w:val="24"/>
      <w:lang w:eastAsia="ru-RU"/>
    </w:rPr>
  </w:style>
  <w:style w:type="paragraph" w:customStyle="1" w:styleId="xl75">
    <w:name w:val="xl75"/>
    <w:basedOn w:val="a"/>
    <w:pPr>
      <w:shd w:val="clear" w:color="000000" w:fill="4D93D9"/>
      <w:spacing w:before="100" w:beforeAutospacing="1" w:after="100" w:afterAutospacing="1" w:line="240" w:lineRule="auto"/>
    </w:pPr>
    <w:rPr>
      <w:rFonts w:ascii="Aptos Narrow" w:eastAsia="Times New Roman" w:hAnsi="Aptos Narrow" w:cs="Times New Roman"/>
      <w:i/>
      <w:iCs/>
      <w:color w:val="auto"/>
      <w:szCs w:val="24"/>
      <w:lang w:eastAsia="ru-RU"/>
    </w:rPr>
  </w:style>
  <w:style w:type="paragraph" w:customStyle="1" w:styleId="xl76">
    <w:name w:val="xl76"/>
    <w:basedOn w:val="a"/>
    <w:pPr>
      <w:shd w:val="clear" w:color="000000" w:fill="4D93D9"/>
      <w:spacing w:before="100" w:beforeAutospacing="1" w:after="100" w:afterAutospacing="1" w:line="240" w:lineRule="auto"/>
    </w:pPr>
    <w:rPr>
      <w:rFonts w:eastAsia="Times New Roman" w:cs="Times New Roman"/>
      <w:color w:val="auto"/>
      <w:szCs w:val="24"/>
      <w:lang w:eastAsia="ru-RU"/>
    </w:rPr>
  </w:style>
  <w:style w:type="paragraph" w:customStyle="1" w:styleId="xl77">
    <w:name w:val="xl77"/>
    <w:basedOn w:val="a"/>
    <w:pPr>
      <w:shd w:val="clear" w:color="000000" w:fill="E8E8E8"/>
      <w:spacing w:before="100" w:beforeAutospacing="1" w:after="100" w:afterAutospacing="1" w:line="240" w:lineRule="auto"/>
    </w:pPr>
    <w:rPr>
      <w:rFonts w:ascii="Aptos Narrow" w:eastAsia="Times New Roman" w:hAnsi="Aptos Narrow" w:cs="Times New Roman"/>
      <w:b/>
      <w:bCs/>
      <w:color w:val="auto"/>
      <w:szCs w:val="24"/>
      <w:lang w:eastAsia="ru-RU"/>
    </w:rPr>
  </w:style>
  <w:style w:type="paragraph" w:customStyle="1" w:styleId="xl78">
    <w:name w:val="xl78"/>
    <w:basedOn w:val="a"/>
    <w:pPr>
      <w:shd w:val="clear" w:color="000000" w:fill="E8E8E8"/>
      <w:spacing w:before="100" w:beforeAutospacing="1" w:after="100" w:afterAutospacing="1" w:line="240" w:lineRule="auto"/>
    </w:pPr>
    <w:rPr>
      <w:rFonts w:ascii="Aptos Narrow" w:eastAsia="Times New Roman" w:hAnsi="Aptos Narrow" w:cs="Times New Roman"/>
      <w:b/>
      <w:bCs/>
      <w:color w:val="auto"/>
      <w:szCs w:val="24"/>
      <w:lang w:eastAsia="ru-RU"/>
    </w:rPr>
  </w:style>
  <w:style w:type="paragraph" w:customStyle="1" w:styleId="xl79">
    <w:name w:val="xl79"/>
    <w:basedOn w:val="a"/>
    <w:pPr>
      <w:shd w:val="clear" w:color="000000" w:fill="E8E8E8"/>
      <w:spacing w:before="100" w:beforeAutospacing="1" w:after="100" w:afterAutospacing="1" w:line="240" w:lineRule="auto"/>
    </w:pPr>
    <w:rPr>
      <w:rFonts w:ascii="Aptos Narrow" w:eastAsia="Times New Roman" w:hAnsi="Aptos Narrow" w:cs="Times New Roman"/>
      <w:b/>
      <w:bCs/>
      <w:color w:val="auto"/>
      <w:szCs w:val="24"/>
      <w:lang w:eastAsia="ru-RU"/>
    </w:rPr>
  </w:style>
  <w:style w:type="paragraph" w:customStyle="1" w:styleId="xl80">
    <w:name w:val="xl80"/>
    <w:basedOn w:val="a"/>
    <w:pPr>
      <w:shd w:val="clear" w:color="000000" w:fill="DAE9F8"/>
      <w:spacing w:before="100" w:beforeAutospacing="1" w:after="100" w:afterAutospacing="1" w:line="240" w:lineRule="auto"/>
      <w:jc w:val="center"/>
    </w:pPr>
    <w:rPr>
      <w:rFonts w:eastAsia="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md/cautare/getResults?doc_id=136582&amp;lang=ro"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0.jp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md/cautare/getResults?doc_id=136582&amp;lang=ro" TargetMode="External"/><Relationship Id="rId13" Type="http://schemas.openxmlformats.org/officeDocument/2006/relationships/hyperlink" Target="https://www.legis.md/cautare/getResults?doc_id=110518&amp;lang=ro" TargetMode="External"/><Relationship Id="rId18" Type="http://schemas.openxmlformats.org/officeDocument/2006/relationships/hyperlink" Target="https://mec.gov.md/ro/content/instructiuni-pentru-studentii-refugiati-din-ucraina-pentru-continuarea-studiilor-republica" TargetMode="External"/><Relationship Id="rId3" Type="http://schemas.openxmlformats.org/officeDocument/2006/relationships/hyperlink" Target="https://www.legis.md/cautare/getResults?doc_id=133800&amp;lang=ro" TargetMode="External"/><Relationship Id="rId7" Type="http://schemas.openxmlformats.org/officeDocument/2006/relationships/hyperlink" Target="https://eur-lex.europa.eu/legal-content/RO/TXT/HTML/?uri=CELEX:52020DC0758" TargetMode="External"/><Relationship Id="rId12" Type="http://schemas.openxmlformats.org/officeDocument/2006/relationships/hyperlink" Target="https://www.legis.md/cautare/getResults?doc_id=144703&amp;lang=ro" TargetMode="External"/><Relationship Id="rId17" Type="http://schemas.openxmlformats.org/officeDocument/2006/relationships/hyperlink" Target="https://mec.gov.md/ro/content/v-podderzhku-detey-i-molodezhi-ukrainy" TargetMode="External"/><Relationship Id="rId2" Type="http://schemas.openxmlformats.org/officeDocument/2006/relationships/hyperlink" Target="https://www.legis.md/cautare/getResults?doc_id=143540&amp;lang=ro" TargetMode="External"/><Relationship Id="rId16" Type="http://schemas.openxmlformats.org/officeDocument/2006/relationships/hyperlink" Target="https://www.mipex.eu/moldova" TargetMode="External"/><Relationship Id="rId1" Type="http://schemas.openxmlformats.org/officeDocument/2006/relationships/hyperlink" Target="https://www.legis.md/cautare/getResults?doc_id=134582&amp;lang=ro" TargetMode="External"/><Relationship Id="rId6" Type="http://schemas.openxmlformats.org/officeDocument/2006/relationships/hyperlink" Target="https://drive.google.com/file/d/1_WIHXIN1_akIGNePmX9NmD1MrR7xcfOH/view" TargetMode="External"/><Relationship Id="rId11" Type="http://schemas.openxmlformats.org/officeDocument/2006/relationships/hyperlink" Target="https://migrant-integration.ec.europa.eu/sites/default/files/2011-02/docl_18864_250852215.pdf" TargetMode="External"/><Relationship Id="rId5" Type="http://schemas.openxmlformats.org/officeDocument/2006/relationships/hyperlink" Target="https://www.unhcr.org/media/global-compact-refugees-booklet" TargetMode="External"/><Relationship Id="rId15" Type="http://schemas.openxmlformats.org/officeDocument/2006/relationships/hyperlink" Target="https://data.unhcr.org/fr/documents/download/112282" TargetMode="External"/><Relationship Id="rId10" Type="http://schemas.openxmlformats.org/officeDocument/2006/relationships/hyperlink" Target="https://www.legis.md/cautare/getResults?doc_id=142062&amp;lang=ro" TargetMode="External"/><Relationship Id="rId4" Type="http://schemas.openxmlformats.org/officeDocument/2006/relationships/hyperlink" Target="https://www.unhcr.org/ro/wp-content/uploads/sites/23/2016/12/1951_Convention_ROM.pdf" TargetMode="External"/><Relationship Id="rId9" Type="http://schemas.openxmlformats.org/officeDocument/2006/relationships/hyperlink" Target="https://www.legis.md/cautare/getResults?doc_id=144620&amp;lang=ro" TargetMode="External"/><Relationship Id="rId14" Type="http://schemas.openxmlformats.org/officeDocument/2006/relationships/hyperlink" Target="https://data.unhcr.org/fr/documents/download/11228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prstGeom prst="rect">
          <a:avLst/>
        </a:prstGeom>
        <a:noFill/>
        <a:ln>
          <a:noFill/>
        </a:ln>
        <a:effectLst/>
      </c:spPr>
    </c:floor>
    <c:sideWall>
      <c:thickness val="0"/>
      <c:spPr>
        <a:prstGeom prst="rect">
          <a:avLst/>
        </a:prstGeom>
        <a:noFill/>
        <a:ln>
          <a:noFill/>
        </a:ln>
        <a:effectLst/>
      </c:spPr>
    </c:sideWall>
    <c:backWall>
      <c:thickness val="0"/>
      <c:spPr>
        <a:prstGeom prst="rect">
          <a:avLst/>
        </a:prstGeom>
        <a:noFill/>
        <a:ln>
          <a:noFill/>
        </a:ln>
        <a:effectLst/>
      </c:spPr>
    </c:backWall>
    <c:plotArea>
      <c:layout/>
      <c:pie3DChart>
        <c:varyColors val="1"/>
        <c:ser>
          <c:idx val="0"/>
          <c:order val="0"/>
          <c:tx>
            <c:strRef>
              <c:f>Sheet1!$B$1</c:f>
              <c:strCache>
                <c:ptCount val="1"/>
                <c:pt idx="0">
                  <c:v>Column2</c:v>
                </c:pt>
              </c:strCache>
            </c:strRef>
          </c:tx>
          <c:dPt>
            <c:idx val="0"/>
            <c:bubble3D val="0"/>
            <c:explosion val="7"/>
            <c:spPr>
              <a:prstGeom prst="rect">
                <a:avLst/>
              </a:prstGeom>
              <a:solidFill>
                <a:srgbClr val="FFC000"/>
              </a:solidFill>
              <a:ln w="25400">
                <a:solidFill>
                  <a:schemeClr val="lt1"/>
                </a:solidFill>
              </a:ln>
              <a:effectLst/>
            </c:spPr>
            <c:extLst>
              <c:ext xmlns:c16="http://schemas.microsoft.com/office/drawing/2014/chart" uri="{C3380CC4-5D6E-409C-BE32-E72D297353CC}">
                <c16:uniqueId val="{00000001-4849-48C9-8C24-A6BC5E4AD935}"/>
              </c:ext>
            </c:extLst>
          </c:dPt>
          <c:dPt>
            <c:idx val="1"/>
            <c:bubble3D val="0"/>
            <c:explosion val="6"/>
            <c:spPr>
              <a:prstGeom prst="rect">
                <a:avLst/>
              </a:prstGeom>
              <a:solidFill>
                <a:srgbClr val="00B050"/>
              </a:solidFill>
              <a:ln w="25400">
                <a:solidFill>
                  <a:schemeClr val="lt1"/>
                </a:solidFill>
                <a:miter/>
              </a:ln>
              <a:effectLst/>
            </c:spPr>
            <c:extLst>
              <c:ext xmlns:c16="http://schemas.microsoft.com/office/drawing/2014/chart" uri="{C3380CC4-5D6E-409C-BE32-E72D297353CC}">
                <c16:uniqueId val="{00000003-4849-48C9-8C24-A6BC5E4AD935}"/>
              </c:ext>
            </c:extLst>
          </c:dPt>
          <c:dPt>
            <c:idx val="2"/>
            <c:bubble3D val="0"/>
            <c:explosion val="12"/>
            <c:spPr>
              <a:prstGeom prst="rect">
                <a:avLst/>
              </a:prstGeom>
              <a:solidFill>
                <a:schemeClr val="accent1">
                  <a:lumMod val="75000"/>
                </a:schemeClr>
              </a:solidFill>
              <a:ln w="25400">
                <a:solidFill>
                  <a:schemeClr val="accent2"/>
                </a:solidFill>
              </a:ln>
              <a:effectLst/>
            </c:spPr>
            <c:extLst>
              <c:ext xmlns:c16="http://schemas.microsoft.com/office/drawing/2014/chart" uri="{C3380CC4-5D6E-409C-BE32-E72D297353CC}">
                <c16:uniqueId val="{00000005-4849-48C9-8C24-A6BC5E4AD935}"/>
              </c:ext>
            </c:extLst>
          </c:dPt>
          <c:dPt>
            <c:idx val="3"/>
            <c:bubble3D val="0"/>
            <c:spPr>
              <a:prstGeom prst="rect">
                <a:avLst/>
              </a:prstGeom>
              <a:solidFill>
                <a:srgbClr val="FFFF00"/>
              </a:solidFill>
              <a:ln w="25400">
                <a:solidFill>
                  <a:schemeClr val="lt1"/>
                </a:solidFill>
              </a:ln>
              <a:effectLst/>
            </c:spPr>
            <c:extLst>
              <c:ext xmlns:c16="http://schemas.microsoft.com/office/drawing/2014/chart" uri="{C3380CC4-5D6E-409C-BE32-E72D297353CC}">
                <c16:uniqueId val="{00000007-4849-48C9-8C24-A6BC5E4AD93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ext>
            </c:extLst>
          </c:dLbls>
          <c:cat>
            <c:strRef>
              <c:f>Sheet1!$A$2:$A$5</c:f>
              <c:strCache>
                <c:ptCount val="4"/>
                <c:pt idx="0">
                  <c:v>Ședere provozorie</c:v>
                </c:pt>
                <c:pt idx="1">
                  <c:v>Ședere permanentă</c:v>
                </c:pt>
                <c:pt idx="2">
                  <c:v>Protecție temporară</c:v>
                </c:pt>
                <c:pt idx="3">
                  <c:v>Sistemul de azil</c:v>
                </c:pt>
              </c:strCache>
            </c:strRef>
          </c:cat>
          <c:val>
            <c:numRef>
              <c:f>Sheet1!$B$2:$B$5</c:f>
              <c:numCache>
                <c:formatCode>General</c:formatCode>
                <c:ptCount val="4"/>
                <c:pt idx="0">
                  <c:v>15970</c:v>
                </c:pt>
                <c:pt idx="1">
                  <c:v>5892</c:v>
                </c:pt>
                <c:pt idx="2">
                  <c:v>66457</c:v>
                </c:pt>
                <c:pt idx="3">
                  <c:v>1601</c:v>
                </c:pt>
              </c:numCache>
            </c:numRef>
          </c:val>
          <c:extLst>
            <c:ext xmlns:c16="http://schemas.microsoft.com/office/drawing/2014/chart" uri="{C3380CC4-5D6E-409C-BE32-E72D297353CC}">
              <c16:uniqueId val="{00000008-4849-48C9-8C24-A6BC5E4AD935}"/>
            </c:ext>
          </c:extLst>
        </c:ser>
        <c:dLbls>
          <c:showLegendKey val="0"/>
          <c:showVal val="0"/>
          <c:showCatName val="0"/>
          <c:showSerName val="0"/>
          <c:showPercent val="0"/>
          <c:showBubbleSize val="0"/>
          <c:showLeaderLines val="0"/>
        </c:dLbls>
      </c:pie3DChart>
      <c:spPr>
        <a:prstGeom prst="rect">
          <a:avLst/>
        </a:prstGeom>
        <a:noFill/>
        <a:ln>
          <a:noFill/>
        </a:ln>
        <a:effectLst/>
      </c:spPr>
    </c:plotArea>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Foaie1!$B$1</c:f>
              <c:strCache>
                <c:ptCount val="1"/>
                <c:pt idx="0">
                  <c:v>Mediul rural</c:v>
                </c:pt>
              </c:strCache>
            </c:strRef>
          </c:tx>
          <c:spPr>
            <a:prstGeom prst="rect">
              <a:avLst/>
            </a:prstGeom>
            <a:solidFill>
              <a:schemeClr val="accent1"/>
            </a:solidFill>
            <a:ln w="19050">
              <a:solidFill>
                <a:schemeClr val="lt1"/>
              </a:solidFill>
            </a:ln>
            <a:effectLst/>
          </c:spPr>
          <c:invertIfNegative val="0"/>
          <c:dLbls>
            <c:numFmt formatCode="General" sourceLinked="0"/>
            <c:spPr>
              <a:noFill/>
              <a:ln>
                <a:noFill/>
              </a:ln>
              <a:effectLst/>
            </c:spPr>
            <c:txPr>
              <a:bodyPr rot="0" spcFirstLastPara="1" vertOverflow="ellipsis" vert="horz" wrap="square" anchor="ctr" anchorCtr="1"/>
              <a:lstStyle/>
              <a:p>
                <a:pPr>
                  <a:defRPr sz="1100" b="0" i="0" u="none" strike="noStrike">
                    <a:solidFill>
                      <a:sysClr val="windowText" lastClr="000000"/>
                    </a:solidFill>
                    <a:latin typeface="Times New Roman"/>
                    <a:ea typeface="Tahoma"/>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Foaie1!$A$2:$A$5</c:f>
              <c:strCache>
                <c:ptCount val="4"/>
                <c:pt idx="0">
                  <c:v>Aleg să nu plătească</c:v>
                </c:pt>
                <c:pt idx="1">
                  <c:v>Nu sunt angajați și nu își permit</c:v>
                </c:pt>
                <c:pt idx="2">
                  <c:v>Nu sunt eligibili pentru a se înscrie în sistemul de asigurări de sănătate guvernamental</c:v>
                </c:pt>
                <c:pt idx="3">
                  <c:v>Lucrează pe cont propriu sau sunt angajați fără contract și nu își permit</c:v>
                </c:pt>
              </c:strCache>
            </c:strRef>
          </c:cat>
          <c:val>
            <c:numRef>
              <c:f>Foaie1!$B$2:$B$5</c:f>
              <c:numCache>
                <c:formatCode>General</c:formatCode>
                <c:ptCount val="4"/>
                <c:pt idx="0">
                  <c:v>49</c:v>
                </c:pt>
                <c:pt idx="1">
                  <c:v>51</c:v>
                </c:pt>
                <c:pt idx="2">
                  <c:v>11</c:v>
                </c:pt>
                <c:pt idx="3">
                  <c:v>5</c:v>
                </c:pt>
              </c:numCache>
            </c:numRef>
          </c:val>
          <c:extLst>
            <c:ext xmlns:c16="http://schemas.microsoft.com/office/drawing/2014/chart" uri="{C3380CC4-5D6E-409C-BE32-E72D297353CC}">
              <c16:uniqueId val="{00000000-B54F-4890-9890-F28A95F59F5C}"/>
            </c:ext>
          </c:extLst>
        </c:ser>
        <c:ser>
          <c:idx val="1"/>
          <c:order val="1"/>
          <c:tx>
            <c:strRef>
              <c:f>Foaie1!$C$1</c:f>
              <c:strCache>
                <c:ptCount val="1"/>
                <c:pt idx="0">
                  <c:v>Mediul urban</c:v>
                </c:pt>
              </c:strCache>
            </c:strRef>
          </c:tx>
          <c:spPr>
            <a:prstGeom prst="rect">
              <a:avLst/>
            </a:prstGeom>
            <a:solidFill>
              <a:schemeClr val="accent2"/>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a:solidFill>
                      <a:sysClr val="windowText" lastClr="000000"/>
                    </a:solidFill>
                    <a:latin typeface="Times New Roman"/>
                    <a:ea typeface="Tahoma"/>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Foaie1!$A$2:$A$5</c:f>
              <c:strCache>
                <c:ptCount val="4"/>
                <c:pt idx="0">
                  <c:v>Aleg să nu plătească</c:v>
                </c:pt>
                <c:pt idx="1">
                  <c:v>Nu sunt angajați și nu își permit</c:v>
                </c:pt>
                <c:pt idx="2">
                  <c:v>Nu sunt eligibili pentru a se înscrie în sistemul de asigurări de sănătate guvernamental</c:v>
                </c:pt>
                <c:pt idx="3">
                  <c:v>Lucrează pe cont propriu sau sunt angajați fără contract și nu își permit</c:v>
                </c:pt>
              </c:strCache>
            </c:strRef>
          </c:cat>
          <c:val>
            <c:numRef>
              <c:f>Foaie1!$C$2:$C$5</c:f>
              <c:numCache>
                <c:formatCode>General</c:formatCode>
                <c:ptCount val="4"/>
                <c:pt idx="0">
                  <c:v>38</c:v>
                </c:pt>
                <c:pt idx="1">
                  <c:v>37</c:v>
                </c:pt>
                <c:pt idx="2">
                  <c:v>29</c:v>
                </c:pt>
                <c:pt idx="3">
                  <c:v>7</c:v>
                </c:pt>
              </c:numCache>
            </c:numRef>
          </c:val>
          <c:extLst>
            <c:ext xmlns:c16="http://schemas.microsoft.com/office/drawing/2014/chart" uri="{C3380CC4-5D6E-409C-BE32-E72D297353CC}">
              <c16:uniqueId val="{00000001-B54F-4890-9890-F28A95F59F5C}"/>
            </c:ext>
          </c:extLst>
        </c:ser>
        <c:dLbls>
          <c:showLegendKey val="0"/>
          <c:showVal val="0"/>
          <c:showCatName val="0"/>
          <c:showSerName val="0"/>
          <c:showPercent val="0"/>
          <c:showBubbleSize val="0"/>
        </c:dLbls>
        <c:gapWidth val="150"/>
        <c:axId val="562392200"/>
        <c:axId val="562393184"/>
      </c:barChart>
      <c:valAx>
        <c:axId val="562393184"/>
        <c:scaling>
          <c:orientation val="minMax"/>
        </c:scaling>
        <c:delete val="0"/>
        <c:axPos val="b"/>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out"/>
        <c:minorTickMark val="none"/>
        <c:tickLblPos val="nextTo"/>
        <c:spPr>
          <a:prstGeom prst="rect">
            <a:avLst/>
          </a:prstGeom>
          <a:noFill/>
          <a:ln>
            <a:noFill/>
          </a:ln>
          <a:effectLst/>
        </c:spPr>
        <c:txPr>
          <a:bodyPr rot="-60000000" spcFirstLastPara="1" vertOverflow="ellipsis" vert="horz" wrap="square" anchor="ctr" anchorCtr="1"/>
          <a:lstStyle/>
          <a:p>
            <a:pPr>
              <a:defRPr sz="1100" b="0" i="0" u="none" strike="noStrike">
                <a:solidFill>
                  <a:sysClr val="windowText" lastClr="000000"/>
                </a:solidFill>
                <a:latin typeface="Times New Roman"/>
                <a:ea typeface="Tahoma"/>
                <a:cs typeface="Times New Roman"/>
              </a:defRPr>
            </a:pPr>
            <a:endParaRPr lang="ru-RU"/>
          </a:p>
        </c:txPr>
        <c:crossAx val="562392200"/>
        <c:crosses val="autoZero"/>
        <c:crossBetween val="between"/>
      </c:valAx>
      <c:catAx>
        <c:axId val="562392200"/>
        <c:scaling>
          <c:orientation val="minMax"/>
        </c:scaling>
        <c:delete val="0"/>
        <c:axPos val="l"/>
        <c:numFmt formatCode="General" sourceLinked="1"/>
        <c:majorTickMark val="out"/>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a:solidFill>
                  <a:sysClr val="windowText" lastClr="000000"/>
                </a:solidFill>
                <a:latin typeface="Times New Roman"/>
                <a:ea typeface="Tahoma"/>
                <a:cs typeface="Times New Roman"/>
              </a:defRPr>
            </a:pPr>
            <a:endParaRPr lang="ru-RU"/>
          </a:p>
        </c:txPr>
        <c:crossAx val="562393184"/>
        <c:crosses val="autoZero"/>
        <c:auto val="1"/>
        <c:lblAlgn val="ctr"/>
        <c:lblOffset val="100"/>
        <c:noMultiLvlLbl val="0"/>
      </c:cat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1100" b="0" i="0" u="none" strike="noStrike">
              <a:solidFill>
                <a:sysClr val="windowText" lastClr="000000"/>
              </a:solidFill>
              <a:latin typeface="Times New Roman"/>
              <a:ea typeface="Tahoma"/>
              <a:cs typeface="Times New Roman"/>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a:ea typeface="Tahoma"/>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SimHei"/>
        <a:cs typeface="Arial"/>
      </a:majorFont>
      <a:minorFont>
        <a:latin typeface="Calibri"/>
        <a:ea typeface="SimSun"/>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35FDAA-DDE9-40C6-A588-A8BA73EA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25057</Words>
  <Characters>142830</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PROGRAMUL NAȚIONAL PRIVIND INTEGRAREA ETAPIZATĂ A STRĂINILOR ÎN REPUBLICA MOLDOVA PENTRU PERIOADA 2025-2027</vt:lpstr>
    </vt:vector>
  </TitlesOfParts>
  <Company/>
  <LinksUpToDate>false</LinksUpToDate>
  <CharactersWithSpaces>167552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NAȚIONAL PRIVIND INTEGRAREA ETAPIZATĂ A STRĂINILOR ÎN REPUBLICA MOLDOVA PENTRU PERIOADA 2025-2027</dc:title>
  <dc:subject/>
  <dc:creator>Dragalina Turcanu</dc:creator>
  <cp:keywords/>
  <dc:description/>
  <cp:lastModifiedBy>Elena Coliujco</cp:lastModifiedBy>
  <cp:revision>3</cp:revision>
  <dcterms:created xsi:type="dcterms:W3CDTF">2025-04-02T05:27:00Z</dcterms:created>
  <dcterms:modified xsi:type="dcterms:W3CDTF">2025-04-02T05:27:00Z</dcterms:modified>
</cp:coreProperties>
</file>