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D8C" w:rsidRPr="00793ABC" w:rsidRDefault="00B81D8C" w:rsidP="00936FC1">
      <w:pPr>
        <w:spacing w:line="276" w:lineRule="auto"/>
        <w:jc w:val="center"/>
        <w:rPr>
          <w:b/>
          <w:sz w:val="28"/>
          <w:szCs w:val="28"/>
          <w:u w:val="single"/>
        </w:rPr>
      </w:pPr>
      <w:r w:rsidRPr="00793ABC">
        <w:rPr>
          <w:b/>
          <w:sz w:val="28"/>
          <w:szCs w:val="28"/>
          <w:u w:val="single"/>
        </w:rPr>
        <w:t>NOT</w:t>
      </w:r>
      <w:r w:rsidR="006A51C4" w:rsidRPr="00793ABC">
        <w:rPr>
          <w:b/>
          <w:sz w:val="28"/>
          <w:szCs w:val="28"/>
          <w:u w:val="single"/>
        </w:rPr>
        <w:t>A</w:t>
      </w:r>
      <w:r w:rsidR="00314D57">
        <w:rPr>
          <w:b/>
          <w:sz w:val="28"/>
          <w:szCs w:val="28"/>
          <w:u w:val="single"/>
        </w:rPr>
        <w:t xml:space="preserve"> DE FUNDAMENTARE</w:t>
      </w:r>
    </w:p>
    <w:p w:rsidR="009C49BF" w:rsidRDefault="00DC07C7" w:rsidP="009C49BF">
      <w:pPr>
        <w:pStyle w:val="tt"/>
        <w:rPr>
          <w:b w:val="0"/>
          <w:bCs w:val="0"/>
          <w:i/>
          <w:sz w:val="28"/>
          <w:szCs w:val="28"/>
          <w:lang w:eastAsia="en-US"/>
        </w:rPr>
      </w:pPr>
      <w:r w:rsidRPr="00FD24CA">
        <w:rPr>
          <w:b w:val="0"/>
          <w:bCs w:val="0"/>
          <w:i/>
          <w:sz w:val="28"/>
          <w:szCs w:val="28"/>
          <w:lang w:eastAsia="en-US"/>
        </w:rPr>
        <w:t>la proiectul hotărârii de Guvern</w:t>
      </w:r>
      <w:r w:rsidR="00314D57">
        <w:rPr>
          <w:b w:val="0"/>
          <w:bCs w:val="0"/>
          <w:i/>
          <w:sz w:val="28"/>
          <w:szCs w:val="28"/>
          <w:lang w:eastAsia="en-US"/>
        </w:rPr>
        <w:t xml:space="preserve"> </w:t>
      </w:r>
      <w:r w:rsidR="009C49BF" w:rsidRPr="00FD24CA">
        <w:rPr>
          <w:b w:val="0"/>
          <w:bCs w:val="0"/>
          <w:i/>
          <w:sz w:val="28"/>
          <w:szCs w:val="28"/>
          <w:lang w:eastAsia="en-US"/>
        </w:rPr>
        <w:t>cu privire la alocarea mijloacelor financiare</w:t>
      </w:r>
    </w:p>
    <w:p w:rsidR="005615B6" w:rsidRDefault="00EF3982" w:rsidP="00E26E71">
      <w:pPr>
        <w:pStyle w:val="tt"/>
        <w:rPr>
          <w:b w:val="0"/>
          <w:bCs w:val="0"/>
          <w:i/>
          <w:sz w:val="28"/>
          <w:szCs w:val="28"/>
          <w:lang w:eastAsia="en-US"/>
        </w:rPr>
      </w:pPr>
      <w:r w:rsidRPr="00EF3982">
        <w:rPr>
          <w:b w:val="0"/>
          <w:bCs w:val="0"/>
          <w:i/>
          <w:sz w:val="28"/>
          <w:szCs w:val="28"/>
          <w:lang w:eastAsia="en-US"/>
        </w:rPr>
        <w:t xml:space="preserve">(majorarea capitalului autorizat la Banca Internațională pentru Reconstrucție </w:t>
      </w:r>
      <w:proofErr w:type="spellStart"/>
      <w:r w:rsidRPr="00EF3982">
        <w:rPr>
          <w:b w:val="0"/>
          <w:bCs w:val="0"/>
          <w:i/>
          <w:sz w:val="28"/>
          <w:szCs w:val="28"/>
          <w:lang w:eastAsia="en-US"/>
        </w:rPr>
        <w:t>şi</w:t>
      </w:r>
      <w:proofErr w:type="spellEnd"/>
      <w:r w:rsidRPr="00EF3982">
        <w:rPr>
          <w:b w:val="0"/>
          <w:bCs w:val="0"/>
          <w:i/>
          <w:sz w:val="28"/>
          <w:szCs w:val="28"/>
          <w:lang w:eastAsia="en-US"/>
        </w:rPr>
        <w:t xml:space="preserve"> Dezvoltare </w:t>
      </w:r>
      <w:proofErr w:type="spellStart"/>
      <w:r w:rsidRPr="00EF3982">
        <w:rPr>
          <w:b w:val="0"/>
          <w:bCs w:val="0"/>
          <w:i/>
          <w:sz w:val="28"/>
          <w:szCs w:val="28"/>
          <w:lang w:eastAsia="en-US"/>
        </w:rPr>
        <w:t>şi</w:t>
      </w:r>
      <w:proofErr w:type="spellEnd"/>
      <w:r w:rsidRPr="00EF3982">
        <w:rPr>
          <w:b w:val="0"/>
          <w:bCs w:val="0"/>
          <w:i/>
          <w:sz w:val="28"/>
          <w:szCs w:val="28"/>
          <w:lang w:eastAsia="en-US"/>
        </w:rPr>
        <w:t xml:space="preserve"> Corporația Financiară Internațională)</w:t>
      </w:r>
    </w:p>
    <w:p w:rsidR="00EF3982" w:rsidRDefault="00EF3982" w:rsidP="00E26E71">
      <w:pPr>
        <w:pStyle w:val="tt"/>
        <w:rPr>
          <w:b w:val="0"/>
          <w:bCs w:val="0"/>
          <w:i/>
          <w:sz w:val="28"/>
          <w:szCs w:val="28"/>
          <w:lang w:eastAsia="en-US"/>
        </w:rPr>
      </w:pPr>
      <w:bookmarkStart w:id="0" w:name="_GoBack"/>
      <w:bookmarkEnd w:id="0"/>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33"/>
      </w:tblGrid>
      <w:tr w:rsidR="00B81D8C" w:rsidRPr="00E26E71" w:rsidTr="00314D57">
        <w:tc>
          <w:tcPr>
            <w:tcW w:w="5000" w:type="pct"/>
          </w:tcPr>
          <w:p w:rsidR="00B81D8C" w:rsidRPr="00E26E71" w:rsidRDefault="00B81D8C" w:rsidP="00314D57">
            <w:pPr>
              <w:numPr>
                <w:ilvl w:val="3"/>
                <w:numId w:val="1"/>
              </w:numPr>
              <w:tabs>
                <w:tab w:val="clear" w:pos="2880"/>
                <w:tab w:val="left" w:pos="284"/>
                <w:tab w:val="left" w:pos="1196"/>
              </w:tabs>
              <w:spacing w:line="276" w:lineRule="auto"/>
              <w:ind w:left="0" w:firstLine="0"/>
              <w:jc w:val="both"/>
              <w:rPr>
                <w:b/>
                <w:sz w:val="26"/>
                <w:szCs w:val="26"/>
              </w:rPr>
            </w:pPr>
            <w:r w:rsidRPr="00E26E71">
              <w:rPr>
                <w:b/>
                <w:sz w:val="26"/>
                <w:szCs w:val="26"/>
              </w:rPr>
              <w:t xml:space="preserve"> Denumirea autorului </w:t>
            </w:r>
            <w:r w:rsidR="00CE00D0" w:rsidRPr="00E26E71">
              <w:rPr>
                <w:b/>
                <w:sz w:val="26"/>
                <w:szCs w:val="26"/>
              </w:rPr>
              <w:t>și</w:t>
            </w:r>
            <w:r w:rsidRPr="00E26E71">
              <w:rPr>
                <w:b/>
                <w:sz w:val="26"/>
                <w:szCs w:val="26"/>
              </w:rPr>
              <w:t>, după caz, a</w:t>
            </w:r>
            <w:r w:rsidR="00314D57" w:rsidRPr="00E26E71">
              <w:rPr>
                <w:b/>
                <w:sz w:val="26"/>
                <w:szCs w:val="26"/>
              </w:rPr>
              <w:t xml:space="preserve">/al </w:t>
            </w:r>
            <w:r w:rsidR="00793ABC" w:rsidRPr="00E26E71">
              <w:rPr>
                <w:b/>
                <w:sz w:val="26"/>
                <w:szCs w:val="26"/>
              </w:rPr>
              <w:t>participanților</w:t>
            </w:r>
            <w:r w:rsidRPr="00E26E71">
              <w:rPr>
                <w:b/>
                <w:sz w:val="26"/>
                <w:szCs w:val="26"/>
              </w:rPr>
              <w:t xml:space="preserve"> la elaborarea proiectului</w:t>
            </w:r>
            <w:r w:rsidR="00314D57" w:rsidRPr="00E26E71">
              <w:rPr>
                <w:b/>
                <w:sz w:val="26"/>
                <w:szCs w:val="26"/>
              </w:rPr>
              <w:t xml:space="preserve"> actului normativ</w:t>
            </w:r>
          </w:p>
        </w:tc>
      </w:tr>
      <w:tr w:rsidR="00B81D8C" w:rsidRPr="00E26E71" w:rsidTr="00314D57">
        <w:tc>
          <w:tcPr>
            <w:tcW w:w="5000" w:type="pct"/>
          </w:tcPr>
          <w:p w:rsidR="00B81D8C" w:rsidRPr="00E26E71" w:rsidRDefault="00B81D8C" w:rsidP="00926CA5">
            <w:pPr>
              <w:jc w:val="both"/>
              <w:rPr>
                <w:sz w:val="26"/>
                <w:szCs w:val="26"/>
              </w:rPr>
            </w:pPr>
            <w:r w:rsidRPr="00E26E71">
              <w:rPr>
                <w:sz w:val="26"/>
                <w:szCs w:val="26"/>
              </w:rPr>
              <w:t>Proiectul este elaborat de Ministerul Finanțelor.</w:t>
            </w:r>
          </w:p>
        </w:tc>
      </w:tr>
      <w:tr w:rsidR="00B81D8C" w:rsidRPr="00E26E71" w:rsidTr="00314D57">
        <w:tc>
          <w:tcPr>
            <w:tcW w:w="5000" w:type="pct"/>
          </w:tcPr>
          <w:p w:rsidR="00B81D8C" w:rsidRPr="00E26E71" w:rsidRDefault="00B81D8C" w:rsidP="00314D57">
            <w:pPr>
              <w:tabs>
                <w:tab w:val="left" w:pos="884"/>
                <w:tab w:val="left" w:pos="1196"/>
              </w:tabs>
              <w:spacing w:line="276" w:lineRule="auto"/>
              <w:jc w:val="both"/>
              <w:rPr>
                <w:b/>
                <w:sz w:val="26"/>
                <w:szCs w:val="26"/>
              </w:rPr>
            </w:pPr>
            <w:r w:rsidRPr="00E26E71">
              <w:rPr>
                <w:b/>
                <w:sz w:val="26"/>
                <w:szCs w:val="26"/>
              </w:rPr>
              <w:t xml:space="preserve">2. </w:t>
            </w:r>
            <w:r w:rsidR="00793ABC" w:rsidRPr="00E26E71">
              <w:rPr>
                <w:b/>
                <w:sz w:val="26"/>
                <w:szCs w:val="26"/>
              </w:rPr>
              <w:t>Condițiile</w:t>
            </w:r>
            <w:r w:rsidRPr="00E26E71">
              <w:rPr>
                <w:b/>
                <w:sz w:val="26"/>
                <w:szCs w:val="26"/>
              </w:rPr>
              <w:t xml:space="preserve"> ce au impus elaborarea proiectului act</w:t>
            </w:r>
            <w:r w:rsidR="00314D57" w:rsidRPr="00E26E71">
              <w:rPr>
                <w:b/>
                <w:sz w:val="26"/>
                <w:szCs w:val="26"/>
              </w:rPr>
              <w:t>ului normativ</w:t>
            </w:r>
          </w:p>
        </w:tc>
      </w:tr>
      <w:tr w:rsidR="00314D57" w:rsidRPr="00E26E71" w:rsidTr="00314D57">
        <w:tc>
          <w:tcPr>
            <w:tcW w:w="5000" w:type="pct"/>
          </w:tcPr>
          <w:p w:rsidR="00314D57" w:rsidRPr="00E26E71" w:rsidRDefault="00314D57" w:rsidP="00B97902">
            <w:pPr>
              <w:jc w:val="both"/>
              <w:rPr>
                <w:i/>
                <w:sz w:val="26"/>
                <w:szCs w:val="26"/>
              </w:rPr>
            </w:pPr>
            <w:r w:rsidRPr="00E26E71">
              <w:rPr>
                <w:i/>
                <w:sz w:val="26"/>
                <w:szCs w:val="26"/>
              </w:rPr>
              <w:t>2.1 Temeiul legal sau, după caz, sursa proiectului actului normativ</w:t>
            </w:r>
          </w:p>
        </w:tc>
      </w:tr>
      <w:tr w:rsidR="00314D57" w:rsidRPr="00E26E71" w:rsidTr="00314D57">
        <w:tc>
          <w:tcPr>
            <w:tcW w:w="5000" w:type="pct"/>
          </w:tcPr>
          <w:p w:rsidR="00314D57" w:rsidRPr="00E26E71" w:rsidRDefault="00314D57" w:rsidP="003D436D">
            <w:pPr>
              <w:jc w:val="both"/>
              <w:rPr>
                <w:sz w:val="26"/>
                <w:szCs w:val="26"/>
              </w:rPr>
            </w:pPr>
            <w:r w:rsidRPr="00E26E71">
              <w:rPr>
                <w:sz w:val="26"/>
                <w:szCs w:val="26"/>
              </w:rPr>
              <w:t>Proiectul Hotărârii Guvernului este întocmit în temeiul art.19 lit. a) din Legea finanțelor publice și responsabilității bugetar-fiscale nr.181/2014 (Monitorul Oficial al Republicii Moldova, 2014, nr.223-230, art.519) și art. 6 alin (1) lit. c) din Legea bugetului de stat pentru anul 202</w:t>
            </w:r>
            <w:r w:rsidR="003D436D">
              <w:rPr>
                <w:sz w:val="26"/>
                <w:szCs w:val="26"/>
              </w:rPr>
              <w:t>5</w:t>
            </w:r>
            <w:r w:rsidRPr="00E26E71">
              <w:rPr>
                <w:sz w:val="26"/>
                <w:szCs w:val="26"/>
              </w:rPr>
              <w:t xml:space="preserve"> nr.</w:t>
            </w:r>
            <w:r w:rsidR="003D436D">
              <w:rPr>
                <w:sz w:val="26"/>
                <w:szCs w:val="26"/>
              </w:rPr>
              <w:t>310</w:t>
            </w:r>
            <w:r w:rsidRPr="00E26E71">
              <w:rPr>
                <w:sz w:val="26"/>
                <w:szCs w:val="26"/>
              </w:rPr>
              <w:t>/202</w:t>
            </w:r>
            <w:r w:rsidR="003D436D">
              <w:rPr>
                <w:sz w:val="26"/>
                <w:szCs w:val="26"/>
              </w:rPr>
              <w:t>4</w:t>
            </w:r>
            <w:r w:rsidRPr="00E26E71">
              <w:rPr>
                <w:sz w:val="26"/>
                <w:szCs w:val="26"/>
              </w:rPr>
              <w:t xml:space="preserve"> (Monitorul Oficial al Republicii Moldova, </w:t>
            </w:r>
            <w:r w:rsidRPr="00E26E71">
              <w:rPr>
                <w:sz w:val="26"/>
                <w:szCs w:val="26"/>
                <w:lang w:val="ro-MD"/>
              </w:rPr>
              <w:t>2023, nr.510-513, art.915</w:t>
            </w:r>
            <w:r w:rsidRPr="00E26E71">
              <w:rPr>
                <w:sz w:val="26"/>
                <w:szCs w:val="26"/>
              </w:rPr>
              <w:t xml:space="preserve">). În același timp, proiectul vine să realizeze prevederile Hotărârii Parlamentului RM nr.1107-XII din 28.07.1992 cu privire la aderarea Republicii Moldova la Fondul Monetar Internațional, la Banca Internațională pentru Reconstrucție și Dezvoltare și la organizațiile afiliate, precum și a Anexei 2, lit. a), pct. 19 – 20 din Hotărârea Guvernului nr. 454/2008  cu privire la optimizarea participării organelor centrale  de specialitate ale administrației publice, precum și a altor autorități administrative centrale la executarea angajamentelor asumate față de organizațiile internaționale. Inițiativa în cauză rezidă din necesitatea onorării angajamentelor stabilite în conformitate cu documentele (tratatele) internaționale semnate și ratificate de către Republica Moldova în contextul colaborării Republicii Moldova în cadrul Grupului Băncii Mondiale. Astfel, în scopul sporirii capacității Băncii în lupta împotriva sărăciei globale și implicit creșterii accesului statelor membre la resursele acesteia, în anul 2018 acționarii Băncii Mondiale (inclusiv Republica Moldova) au aprobat decizia de majorare a capitalului cu 13,0 </w:t>
            </w:r>
            <w:proofErr w:type="spellStart"/>
            <w:r w:rsidRPr="00E26E71">
              <w:rPr>
                <w:sz w:val="26"/>
                <w:szCs w:val="26"/>
              </w:rPr>
              <w:t>mlrd</w:t>
            </w:r>
            <w:proofErr w:type="spellEnd"/>
            <w:r w:rsidRPr="00E26E71">
              <w:rPr>
                <w:sz w:val="26"/>
                <w:szCs w:val="26"/>
              </w:rPr>
              <w:t xml:space="preserve">. dolari SUA (7,5 </w:t>
            </w:r>
            <w:proofErr w:type="spellStart"/>
            <w:r w:rsidRPr="00E26E71">
              <w:rPr>
                <w:sz w:val="26"/>
                <w:szCs w:val="26"/>
              </w:rPr>
              <w:t>mlrd</w:t>
            </w:r>
            <w:proofErr w:type="spellEnd"/>
            <w:r w:rsidRPr="00E26E71">
              <w:rPr>
                <w:sz w:val="26"/>
                <w:szCs w:val="26"/>
              </w:rPr>
              <w:t xml:space="preserve">. dolari SUA vor fi alocate IBRD și 5,5 </w:t>
            </w:r>
            <w:proofErr w:type="spellStart"/>
            <w:r w:rsidRPr="00E26E71">
              <w:rPr>
                <w:sz w:val="26"/>
                <w:szCs w:val="26"/>
              </w:rPr>
              <w:t>mlrd</w:t>
            </w:r>
            <w:proofErr w:type="spellEnd"/>
            <w:r w:rsidRPr="00E26E71">
              <w:rPr>
                <w:sz w:val="26"/>
                <w:szCs w:val="26"/>
              </w:rPr>
              <w:t>. dolari SUA vor fi direcționate către IFC). Decizia dată vine peste 8 ani de la ultima subscriere de capital aplicată în anul 2010, la care Republica Moldova a participat cu 3 025 525,8 dolari SUA.</w:t>
            </w:r>
          </w:p>
        </w:tc>
      </w:tr>
      <w:tr w:rsidR="00314D57" w:rsidRPr="00E26E71" w:rsidTr="00314D57">
        <w:tc>
          <w:tcPr>
            <w:tcW w:w="5000" w:type="pct"/>
          </w:tcPr>
          <w:p w:rsidR="00314D57" w:rsidRPr="00E26E71" w:rsidRDefault="00314D57" w:rsidP="00B97902">
            <w:pPr>
              <w:jc w:val="both"/>
              <w:rPr>
                <w:i/>
                <w:sz w:val="26"/>
                <w:szCs w:val="26"/>
              </w:rPr>
            </w:pPr>
            <w:r w:rsidRPr="00E26E71">
              <w:rPr>
                <w:i/>
                <w:sz w:val="26"/>
                <w:szCs w:val="26"/>
              </w:rPr>
              <w:t>2.2. Descrierea situației actuale și a problemelor care impun intervenția, inclusiv a cadrului normativ aplicabil și a deficiențelor/lacunelor normative</w:t>
            </w:r>
          </w:p>
        </w:tc>
      </w:tr>
      <w:tr w:rsidR="00314D57" w:rsidRPr="00E26E71" w:rsidTr="00314D57">
        <w:tc>
          <w:tcPr>
            <w:tcW w:w="5000" w:type="pct"/>
          </w:tcPr>
          <w:p w:rsidR="00314D57" w:rsidRPr="00E26E71" w:rsidRDefault="00314D57" w:rsidP="00756D3C">
            <w:pPr>
              <w:tabs>
                <w:tab w:val="left" w:pos="884"/>
                <w:tab w:val="left" w:pos="1196"/>
              </w:tabs>
              <w:spacing w:line="276" w:lineRule="auto"/>
              <w:jc w:val="both"/>
              <w:rPr>
                <w:b/>
                <w:sz w:val="26"/>
                <w:szCs w:val="26"/>
              </w:rPr>
            </w:pPr>
            <w:r w:rsidRPr="00E26E71">
              <w:rPr>
                <w:sz w:val="26"/>
                <w:szCs w:val="26"/>
              </w:rPr>
              <w:t xml:space="preserve">În acest mod, conform prognozelor Băncii Mondiale suportul anual pentru dezvoltare va crește de la 59,0 </w:t>
            </w:r>
            <w:proofErr w:type="spellStart"/>
            <w:r w:rsidRPr="00E26E71">
              <w:rPr>
                <w:sz w:val="26"/>
                <w:szCs w:val="26"/>
              </w:rPr>
              <w:t>mlrd</w:t>
            </w:r>
            <w:proofErr w:type="spellEnd"/>
            <w:r w:rsidRPr="00E26E71">
              <w:rPr>
                <w:sz w:val="26"/>
                <w:szCs w:val="26"/>
              </w:rPr>
              <w:t xml:space="preserve">. dolari SUA în anul 2018 până la 100,0 </w:t>
            </w:r>
            <w:proofErr w:type="spellStart"/>
            <w:r w:rsidRPr="00E26E71">
              <w:rPr>
                <w:sz w:val="26"/>
                <w:szCs w:val="26"/>
              </w:rPr>
              <w:t>mlrd</w:t>
            </w:r>
            <w:proofErr w:type="spellEnd"/>
            <w:r w:rsidRPr="00E26E71">
              <w:rPr>
                <w:sz w:val="26"/>
                <w:szCs w:val="26"/>
              </w:rPr>
              <w:t xml:space="preserve">. dolari SUA până în anul 2030. </w:t>
            </w:r>
            <w:r w:rsidRPr="00E26E71">
              <w:rPr>
                <w:sz w:val="26"/>
                <w:szCs w:val="26"/>
                <w:lang w:val="ro-MD"/>
              </w:rPr>
              <w:t xml:space="preserve">Actual, menționăm că Republica Moldova deține 2692 de acțiuni subscrise la IBRD cu o putere de vot de 0,11%, iar </w:t>
            </w:r>
            <w:r w:rsidR="00756D3C">
              <w:rPr>
                <w:sz w:val="26"/>
                <w:szCs w:val="26"/>
                <w:lang w:val="ro-MD"/>
              </w:rPr>
              <w:t xml:space="preserve">la </w:t>
            </w:r>
            <w:r w:rsidRPr="00E26E71">
              <w:rPr>
                <w:sz w:val="26"/>
                <w:szCs w:val="26"/>
                <w:lang w:val="ro-MD"/>
              </w:rPr>
              <w:t>IFC dispune de 2012 de acțiuni subscrise cu o putere de vot de 0,07%. Totodată remarcăm că, portofoliul de asistență financiară al Băncii Mondiale pentru</w:t>
            </w:r>
            <w:r w:rsidR="00756D3C">
              <w:rPr>
                <w:sz w:val="26"/>
                <w:szCs w:val="26"/>
                <w:lang w:val="ro-MD"/>
              </w:rPr>
              <w:t xml:space="preserve"> Republica Moldova constituie 1.</w:t>
            </w:r>
            <w:r w:rsidRPr="00E26E71">
              <w:rPr>
                <w:sz w:val="26"/>
                <w:szCs w:val="26"/>
                <w:lang w:val="ro-MD"/>
              </w:rPr>
              <w:t>410,54 mil. dolari SUA, din care împrumuturi în valoare de 1</w:t>
            </w:r>
            <w:r w:rsidR="00756D3C">
              <w:rPr>
                <w:sz w:val="26"/>
                <w:szCs w:val="26"/>
                <w:lang w:val="ro-MD"/>
              </w:rPr>
              <w:t>.</w:t>
            </w:r>
            <w:r w:rsidRPr="00E26E71">
              <w:rPr>
                <w:sz w:val="26"/>
                <w:szCs w:val="26"/>
                <w:lang w:val="ro-MD"/>
              </w:rPr>
              <w:t>406,36 mil. dolari SUA și granturi în valoare de 4,18 mil. dolari SUA, fiind alocată până în prezent, prin intermediul IBRD, suma de 228,46 mil. dolari SUA. Contribuția financiară a Băncii Mondiale în Republica Moldova este realizată în diferite domenii, precum: sănătatea, educația, agricultura, energia, aprovizionare cu apă și  canalizare, guvernare electronică, protecție socială, competitivitate</w:t>
            </w:r>
            <w:r w:rsidR="00756D3C">
              <w:rPr>
                <w:sz w:val="26"/>
                <w:szCs w:val="26"/>
                <w:lang w:val="ro-MD"/>
              </w:rPr>
              <w:t>,</w:t>
            </w:r>
            <w:r w:rsidRPr="00E26E71">
              <w:rPr>
                <w:sz w:val="26"/>
                <w:szCs w:val="26"/>
                <w:lang w:val="ro-MD"/>
              </w:rPr>
              <w:t xml:space="preserve"> etc.</w:t>
            </w:r>
          </w:p>
        </w:tc>
      </w:tr>
      <w:tr w:rsidR="00314D57" w:rsidRPr="00E26E71" w:rsidTr="00314D57">
        <w:tc>
          <w:tcPr>
            <w:tcW w:w="5000" w:type="pct"/>
          </w:tcPr>
          <w:p w:rsidR="00314D57" w:rsidRPr="00E26E71" w:rsidRDefault="00314D57" w:rsidP="00CE00D0">
            <w:pPr>
              <w:jc w:val="both"/>
              <w:rPr>
                <w:b/>
                <w:i/>
                <w:sz w:val="26"/>
                <w:szCs w:val="26"/>
                <w:highlight w:val="yellow"/>
                <w:lang w:val="ro-MD"/>
              </w:rPr>
            </w:pPr>
            <w:r w:rsidRPr="00E26E71">
              <w:rPr>
                <w:b/>
                <w:sz w:val="26"/>
                <w:szCs w:val="26"/>
              </w:rPr>
              <w:t>3. Obiectivele urmărite și soluțiile propuse</w:t>
            </w:r>
          </w:p>
        </w:tc>
      </w:tr>
      <w:tr w:rsidR="00E26E71" w:rsidRPr="00E26E71" w:rsidTr="00314D57">
        <w:tc>
          <w:tcPr>
            <w:tcW w:w="5000" w:type="pct"/>
          </w:tcPr>
          <w:p w:rsidR="00E26E71" w:rsidRPr="00E26E71" w:rsidRDefault="00E26E71" w:rsidP="00CE00D0">
            <w:pPr>
              <w:jc w:val="both"/>
              <w:rPr>
                <w:b/>
                <w:i/>
                <w:sz w:val="26"/>
                <w:szCs w:val="26"/>
              </w:rPr>
            </w:pPr>
            <w:r w:rsidRPr="00E26E71">
              <w:rPr>
                <w:i/>
                <w:sz w:val="26"/>
                <w:szCs w:val="26"/>
              </w:rPr>
              <w:t>3.1. Principalele prevederi ale proiectului și evidențierea elementelor noi</w:t>
            </w:r>
          </w:p>
        </w:tc>
      </w:tr>
      <w:tr w:rsidR="00314D57" w:rsidRPr="00E26E71" w:rsidTr="00314D57">
        <w:trPr>
          <w:trHeight w:val="433"/>
        </w:trPr>
        <w:tc>
          <w:tcPr>
            <w:tcW w:w="5000" w:type="pct"/>
          </w:tcPr>
          <w:p w:rsidR="00314D57" w:rsidRPr="00E26E71" w:rsidRDefault="00314D57" w:rsidP="00926CA5">
            <w:pPr>
              <w:jc w:val="both"/>
              <w:rPr>
                <w:bCs/>
                <w:sz w:val="26"/>
                <w:szCs w:val="26"/>
              </w:rPr>
            </w:pPr>
            <w:r w:rsidRPr="00E26E71">
              <w:rPr>
                <w:sz w:val="26"/>
                <w:szCs w:val="26"/>
              </w:rPr>
              <w:lastRenderedPageBreak/>
              <w:t>Proiectul hotărârii este întocmit în scopul onorării angajamentel</w:t>
            </w:r>
            <w:r w:rsidRPr="00E26E71">
              <w:rPr>
                <w:bCs/>
                <w:sz w:val="26"/>
                <w:szCs w:val="26"/>
              </w:rPr>
              <w:t>or RM stabilite de:</w:t>
            </w:r>
          </w:p>
          <w:p w:rsidR="00314D57" w:rsidRPr="00E26E71" w:rsidRDefault="00314D57" w:rsidP="00926CA5">
            <w:pPr>
              <w:jc w:val="both"/>
              <w:rPr>
                <w:sz w:val="26"/>
                <w:szCs w:val="26"/>
                <w:lang w:val="ro-MD"/>
              </w:rPr>
            </w:pPr>
            <w:r w:rsidRPr="00E26E71">
              <w:rPr>
                <w:sz w:val="26"/>
                <w:szCs w:val="26"/>
                <w:lang w:val="ro-MD"/>
              </w:rPr>
              <w:t>1. Rezoluțiile Consiliului Guvernatorilor al Băncii Mondiale nr. 663 privind majorarea generală de capital și nr. 664 privind majorarea selectivă de capital, Republicii Moldova i-au fost alocate 435 acțiuni, dintre care 201 de acțiuni pentru creșterea generală (24 247 635 dolari SUA) și 234 de acțiuni pentru creșterea selectivă (28 228 590 dolari SUA) a capitalului autorizat al IBRD.</w:t>
            </w:r>
          </w:p>
          <w:p w:rsidR="00314D57" w:rsidRPr="00E26E71" w:rsidRDefault="00314D57" w:rsidP="00926CA5">
            <w:pPr>
              <w:jc w:val="both"/>
              <w:rPr>
                <w:sz w:val="26"/>
                <w:szCs w:val="26"/>
                <w:lang w:val="ro-MD"/>
              </w:rPr>
            </w:pPr>
            <w:r w:rsidRPr="00E26E71">
              <w:rPr>
                <w:sz w:val="26"/>
                <w:szCs w:val="26"/>
                <w:lang w:val="ro-MD"/>
              </w:rPr>
              <w:t>2. Rezoluțiile Consiliului Guvernatorilor al Băncii Mondiale nr. 272 privind creșterea generală de capital și nr. 271 privind creșterea selectivă de capital, Republicii Moldova i-au fost alocate 5 092 acțiuni (5 092 000 dolari SUA), dintre care 3 134 de acțiuni pentru creșterea generală (3 134 000 dolari SUA) și 1 958 de acțiuni pentru creșterea selectivă (1 958 000 dolari SUA) a capitalului autorizat al IFC.</w:t>
            </w:r>
          </w:p>
          <w:p w:rsidR="00314D57" w:rsidRPr="00E26E71" w:rsidRDefault="00314D57" w:rsidP="00272B39">
            <w:pPr>
              <w:tabs>
                <w:tab w:val="left" w:pos="884"/>
                <w:tab w:val="left" w:pos="1196"/>
              </w:tabs>
              <w:spacing w:line="276" w:lineRule="auto"/>
              <w:jc w:val="both"/>
              <w:rPr>
                <w:b/>
                <w:sz w:val="26"/>
                <w:szCs w:val="26"/>
              </w:rPr>
            </w:pPr>
            <w:r w:rsidRPr="000F10F4">
              <w:rPr>
                <w:i/>
                <w:sz w:val="26"/>
                <w:szCs w:val="26"/>
                <w:lang w:val="ro-MD"/>
              </w:rPr>
              <w:t>Intrarea în vigoare a hotărârii de Guvern la data publicării în Monitorul Oficial este imperativ determinată de necesitatea realizării în termen</w:t>
            </w:r>
            <w:r w:rsidR="00272B39">
              <w:rPr>
                <w:i/>
                <w:sz w:val="26"/>
                <w:szCs w:val="26"/>
                <w:lang w:val="ro-MD"/>
              </w:rPr>
              <w:t xml:space="preserve"> proxim</w:t>
            </w:r>
            <w:r w:rsidRPr="000F10F4">
              <w:rPr>
                <w:i/>
                <w:sz w:val="26"/>
                <w:szCs w:val="26"/>
                <w:lang w:val="ro-MD"/>
              </w:rPr>
              <w:t xml:space="preserve"> a angajamentelor internaționale adoptate de Republica Moldova față de Banca Mondială</w:t>
            </w:r>
            <w:r w:rsidR="003D436D" w:rsidRPr="000F10F4">
              <w:rPr>
                <w:i/>
                <w:sz w:val="26"/>
                <w:szCs w:val="26"/>
                <w:lang w:val="ro-MD"/>
              </w:rPr>
              <w:t xml:space="preserve"> (până la data de 16 aprilie 2025)</w:t>
            </w:r>
            <w:r w:rsidRPr="000F10F4">
              <w:rPr>
                <w:i/>
                <w:sz w:val="26"/>
                <w:szCs w:val="26"/>
                <w:lang w:val="ro-MD"/>
              </w:rPr>
              <w:t>.</w:t>
            </w:r>
            <w:r w:rsidRPr="00E26E71">
              <w:rPr>
                <w:i/>
                <w:sz w:val="26"/>
                <w:szCs w:val="26"/>
                <w:lang w:val="ro-MD"/>
              </w:rPr>
              <w:t xml:space="preserve"> </w:t>
            </w:r>
          </w:p>
        </w:tc>
      </w:tr>
      <w:tr w:rsidR="00E26E71" w:rsidRPr="00E26E71" w:rsidTr="00314D57">
        <w:trPr>
          <w:trHeight w:val="433"/>
        </w:trPr>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 xml:space="preserve">3.2. Opțiunile alternative analizate și motivele pentru care acestea </w:t>
            </w:r>
            <w:r>
              <w:rPr>
                <w:i/>
                <w:color w:val="000000" w:themeColor="text1"/>
                <w:sz w:val="26"/>
                <w:szCs w:val="26"/>
              </w:rPr>
              <w:t>nu au fost luate în considerare</w:t>
            </w:r>
          </w:p>
        </w:tc>
      </w:tr>
      <w:tr w:rsidR="00E26E71" w:rsidRPr="00E26E71" w:rsidTr="00314D57">
        <w:trPr>
          <w:trHeight w:val="433"/>
        </w:trPr>
        <w:tc>
          <w:tcPr>
            <w:tcW w:w="5000" w:type="pct"/>
          </w:tcPr>
          <w:p w:rsidR="00E26E71" w:rsidRDefault="00E26E71" w:rsidP="00E26E71">
            <w:pPr>
              <w:rPr>
                <w:color w:val="000000" w:themeColor="text1"/>
                <w:sz w:val="26"/>
                <w:szCs w:val="26"/>
              </w:rPr>
            </w:pPr>
            <w:r>
              <w:rPr>
                <w:color w:val="000000" w:themeColor="text1"/>
                <w:sz w:val="26"/>
                <w:szCs w:val="26"/>
              </w:rPr>
              <w:t>Opțiuni alternative nu au fost identificate.</w:t>
            </w:r>
          </w:p>
        </w:tc>
      </w:tr>
      <w:tr w:rsidR="00E26E71" w:rsidRPr="00E26E71" w:rsidTr="00314D57">
        <w:tc>
          <w:tcPr>
            <w:tcW w:w="5000" w:type="pct"/>
          </w:tcPr>
          <w:p w:rsidR="00E26E71" w:rsidRPr="00E26E71" w:rsidRDefault="00E26E71" w:rsidP="00E26E71">
            <w:pPr>
              <w:jc w:val="both"/>
              <w:rPr>
                <w:sz w:val="26"/>
                <w:szCs w:val="26"/>
                <w:lang w:val="ro-MD"/>
              </w:rPr>
            </w:pPr>
            <w:r w:rsidRPr="00E26E71">
              <w:rPr>
                <w:b/>
                <w:sz w:val="26"/>
                <w:szCs w:val="26"/>
                <w:lang w:val="ro-MD"/>
              </w:rPr>
              <w:t>4. Analiza impactului de reglementare</w:t>
            </w:r>
          </w:p>
        </w:tc>
      </w:tr>
      <w:tr w:rsidR="00E26E71" w:rsidRPr="00E26E71" w:rsidTr="00314D57">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4.1. Impactul asupra sectorului public</w:t>
            </w:r>
          </w:p>
        </w:tc>
      </w:tr>
      <w:tr w:rsidR="00E26E71" w:rsidRPr="00E26E71" w:rsidTr="00314D57">
        <w:tc>
          <w:tcPr>
            <w:tcW w:w="5000" w:type="pct"/>
          </w:tcPr>
          <w:p w:rsidR="00E26E71" w:rsidRPr="00E26E71" w:rsidRDefault="00E26E71" w:rsidP="00E26E71">
            <w:pPr>
              <w:rPr>
                <w:color w:val="000000" w:themeColor="text1"/>
                <w:sz w:val="26"/>
                <w:szCs w:val="26"/>
              </w:rPr>
            </w:pPr>
            <w:r w:rsidRPr="00E26E71">
              <w:rPr>
                <w:color w:val="000000" w:themeColor="text1"/>
                <w:sz w:val="26"/>
                <w:szCs w:val="26"/>
              </w:rPr>
              <w:t xml:space="preserve">Nu are impact. </w:t>
            </w:r>
          </w:p>
        </w:tc>
      </w:tr>
      <w:tr w:rsidR="00E26E71" w:rsidRPr="00E26E71" w:rsidTr="00314D57">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4.2. Impactul financiar și argumentarea costurilor estimative</w:t>
            </w:r>
          </w:p>
        </w:tc>
      </w:tr>
      <w:tr w:rsidR="00E26E71" w:rsidRPr="00E26E71" w:rsidTr="00314D57">
        <w:tc>
          <w:tcPr>
            <w:tcW w:w="5000" w:type="pct"/>
          </w:tcPr>
          <w:p w:rsidR="00E26E71" w:rsidRPr="00E26E71" w:rsidRDefault="00E26E71" w:rsidP="00E26E71">
            <w:pPr>
              <w:pStyle w:val="ab"/>
              <w:spacing w:before="0" w:beforeAutospacing="0" w:after="0" w:afterAutospacing="0"/>
              <w:jc w:val="both"/>
              <w:rPr>
                <w:sz w:val="26"/>
                <w:szCs w:val="26"/>
                <w:lang w:val="ro-MD"/>
              </w:rPr>
            </w:pPr>
            <w:r w:rsidRPr="00E26E71">
              <w:rPr>
                <w:sz w:val="26"/>
                <w:szCs w:val="26"/>
                <w:lang w:val="ro-MD"/>
              </w:rPr>
              <w:t>Conform rezoluțiilor adoptate, participarea RM în cadrul majorării generale și selective de capital la IBRD și IFC, atrage după sine asigurarea etapizată a transferului de mijloace financiare la conturile Băncii Mondiale a contribuției  sub formă de „</w:t>
            </w:r>
            <w:proofErr w:type="spellStart"/>
            <w:r w:rsidRPr="00E26E71">
              <w:rPr>
                <w:sz w:val="26"/>
                <w:szCs w:val="26"/>
                <w:lang w:val="ro-MD"/>
              </w:rPr>
              <w:t>paid</w:t>
            </w:r>
            <w:proofErr w:type="spellEnd"/>
            <w:r w:rsidRPr="00E26E71">
              <w:rPr>
                <w:sz w:val="26"/>
                <w:szCs w:val="26"/>
                <w:lang w:val="ro-MD"/>
              </w:rPr>
              <w:t xml:space="preserve">-in”, care constituie suma totală de </w:t>
            </w:r>
            <w:r w:rsidR="005615B6">
              <w:rPr>
                <w:sz w:val="26"/>
                <w:szCs w:val="26"/>
                <w:lang w:val="ro-MD"/>
              </w:rPr>
              <w:t xml:space="preserve">cca </w:t>
            </w:r>
            <w:r w:rsidRPr="005615B6">
              <w:rPr>
                <w:sz w:val="26"/>
                <w:szCs w:val="26"/>
                <w:lang w:val="ro-MD"/>
              </w:rPr>
              <w:t>11,6 mil. dolari SUA</w:t>
            </w:r>
            <w:r w:rsidRPr="00E26E71">
              <w:rPr>
                <w:sz w:val="26"/>
                <w:szCs w:val="26"/>
                <w:lang w:val="ro-MD"/>
              </w:rPr>
              <w:t xml:space="preserve"> (echivalent a cca. </w:t>
            </w:r>
            <w:r w:rsidRPr="00E26E71">
              <w:rPr>
                <w:b/>
                <w:sz w:val="26"/>
                <w:szCs w:val="26"/>
                <w:lang w:val="ro-MD"/>
              </w:rPr>
              <w:t>212,4 mil. lei</w:t>
            </w:r>
            <w:r w:rsidRPr="00E26E71">
              <w:rPr>
                <w:sz w:val="26"/>
                <w:szCs w:val="26"/>
                <w:lang w:val="ro-MD"/>
              </w:rPr>
              <w:t xml:space="preserve">). Achitarea </w:t>
            </w:r>
            <w:r w:rsidR="003D436D">
              <w:rPr>
                <w:sz w:val="26"/>
                <w:szCs w:val="26"/>
                <w:lang w:val="ro-MD"/>
              </w:rPr>
              <w:t>se</w:t>
            </w:r>
            <w:r w:rsidRPr="00E26E71">
              <w:rPr>
                <w:sz w:val="26"/>
                <w:szCs w:val="26"/>
                <w:lang w:val="ro-MD"/>
              </w:rPr>
              <w:t xml:space="preserve"> realizată în 3 tranșe:</w:t>
            </w:r>
          </w:p>
          <w:p w:rsidR="00E26E71" w:rsidRPr="00E26E71" w:rsidRDefault="00E26E71" w:rsidP="00E26E71">
            <w:pPr>
              <w:pStyle w:val="ab"/>
              <w:numPr>
                <w:ilvl w:val="0"/>
                <w:numId w:val="2"/>
              </w:numPr>
              <w:spacing w:before="0" w:beforeAutospacing="0" w:after="0" w:afterAutospacing="0"/>
              <w:ind w:left="306" w:hanging="142"/>
              <w:jc w:val="both"/>
              <w:rPr>
                <w:sz w:val="26"/>
                <w:szCs w:val="26"/>
                <w:lang w:val="ro-RO"/>
              </w:rPr>
            </w:pPr>
            <w:r w:rsidRPr="00E26E71">
              <w:rPr>
                <w:sz w:val="26"/>
                <w:szCs w:val="26"/>
                <w:lang w:val="ro-MD"/>
              </w:rPr>
              <w:t xml:space="preserve">anul 2023, realizat (conform HG nr.264/2023) – </w:t>
            </w:r>
            <w:r w:rsidRPr="00E26E71">
              <w:rPr>
                <w:sz w:val="26"/>
                <w:szCs w:val="26"/>
                <w:lang w:val="ro-RO"/>
              </w:rPr>
              <w:t>3,2 mil</w:t>
            </w:r>
            <w:r w:rsidRPr="00E26E71">
              <w:rPr>
                <w:sz w:val="26"/>
                <w:szCs w:val="26"/>
                <w:lang w:val="ro-MD"/>
              </w:rPr>
              <w:t xml:space="preserve"> dolari SUA (echivalent a 57,4 mil lei);</w:t>
            </w:r>
          </w:p>
          <w:p w:rsidR="00E26E71" w:rsidRPr="00E26E71" w:rsidRDefault="00E26E71" w:rsidP="00E26E71">
            <w:pPr>
              <w:pStyle w:val="ab"/>
              <w:numPr>
                <w:ilvl w:val="0"/>
                <w:numId w:val="2"/>
              </w:numPr>
              <w:spacing w:before="0" w:beforeAutospacing="0" w:after="0" w:afterAutospacing="0"/>
              <w:ind w:left="306" w:hanging="142"/>
              <w:jc w:val="both"/>
              <w:rPr>
                <w:sz w:val="26"/>
                <w:szCs w:val="26"/>
                <w:lang w:val="ro-RO"/>
              </w:rPr>
            </w:pPr>
            <w:r w:rsidRPr="00E26E71">
              <w:rPr>
                <w:sz w:val="26"/>
                <w:szCs w:val="26"/>
                <w:lang w:val="ro-MD"/>
              </w:rPr>
              <w:t>anul 2024, realizat (conform HG nr.583/2024) – 4,7 mil dolari SUA (echivalent a 85,9 mil lei);</w:t>
            </w:r>
          </w:p>
          <w:p w:rsidR="00E26E71" w:rsidRPr="005615B6" w:rsidRDefault="00E26E71" w:rsidP="00E26E71">
            <w:pPr>
              <w:pStyle w:val="ab"/>
              <w:numPr>
                <w:ilvl w:val="0"/>
                <w:numId w:val="2"/>
              </w:numPr>
              <w:spacing w:before="0" w:beforeAutospacing="0" w:after="0" w:afterAutospacing="0"/>
              <w:ind w:left="306" w:hanging="142"/>
              <w:jc w:val="both"/>
              <w:rPr>
                <w:i/>
                <w:sz w:val="26"/>
                <w:szCs w:val="26"/>
                <w:lang w:val="ro-RO"/>
              </w:rPr>
            </w:pPr>
            <w:r w:rsidRPr="005615B6">
              <w:rPr>
                <w:i/>
                <w:sz w:val="26"/>
                <w:szCs w:val="26"/>
                <w:lang w:val="ro-MD"/>
              </w:rPr>
              <w:t>anul 2025 – 3,8 mil dolari SUA (echivalent a 68,4 mil lei): IBRD – 2,2 mil dolari SUA (39,8 mil lei) și IFC - 1,6 mil. dolari SUA (28,6 mil lei).</w:t>
            </w:r>
          </w:p>
          <w:p w:rsidR="00E26E71" w:rsidRPr="00E26E71" w:rsidRDefault="00E26E71" w:rsidP="00E26E71">
            <w:pPr>
              <w:pStyle w:val="ab"/>
              <w:spacing w:before="0" w:beforeAutospacing="0" w:after="0" w:afterAutospacing="0"/>
              <w:jc w:val="both"/>
              <w:rPr>
                <w:sz w:val="26"/>
                <w:szCs w:val="26"/>
                <w:lang w:val="ro-MD"/>
              </w:rPr>
            </w:pPr>
            <w:r w:rsidRPr="00E26E71">
              <w:rPr>
                <w:sz w:val="26"/>
                <w:szCs w:val="26"/>
                <w:lang w:val="ro-MD"/>
              </w:rPr>
              <w:t>Resursele bugetare pentru anul curent sunt planificate în Legea bugetului de stat pentru anul 2025, resursele necesare pentru anul 2026 se planifică în CBTM pentru anul 2026-2028 (în proces de elaborare).</w:t>
            </w:r>
          </w:p>
        </w:tc>
      </w:tr>
      <w:tr w:rsidR="00E26E71" w:rsidRPr="00E26E71" w:rsidTr="00314D57">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4.3. Impactul asupra sectorului privat</w:t>
            </w:r>
          </w:p>
        </w:tc>
      </w:tr>
      <w:tr w:rsidR="00E26E71" w:rsidRPr="00E26E71" w:rsidTr="00314D57">
        <w:tc>
          <w:tcPr>
            <w:tcW w:w="5000" w:type="pct"/>
          </w:tcPr>
          <w:p w:rsidR="00E26E71" w:rsidRPr="00E26E71" w:rsidRDefault="00E26E71" w:rsidP="00E26E71">
            <w:pPr>
              <w:rPr>
                <w:color w:val="000000" w:themeColor="text1"/>
                <w:sz w:val="26"/>
                <w:szCs w:val="26"/>
              </w:rPr>
            </w:pPr>
            <w:r w:rsidRPr="00E26E71">
              <w:rPr>
                <w:color w:val="000000" w:themeColor="text1"/>
                <w:sz w:val="26"/>
                <w:szCs w:val="26"/>
              </w:rPr>
              <w:t>Nu are impact.</w:t>
            </w:r>
          </w:p>
        </w:tc>
      </w:tr>
      <w:tr w:rsidR="00E26E71" w:rsidRPr="00E26E71" w:rsidTr="00314D57">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4.4. Impactul social</w:t>
            </w:r>
          </w:p>
        </w:tc>
      </w:tr>
      <w:tr w:rsidR="00E26E71" w:rsidRPr="00E26E71" w:rsidTr="00314D57">
        <w:tc>
          <w:tcPr>
            <w:tcW w:w="5000" w:type="pct"/>
          </w:tcPr>
          <w:p w:rsidR="00E26E71" w:rsidRPr="00E26E71" w:rsidRDefault="00E26E71" w:rsidP="00E26E71">
            <w:pPr>
              <w:rPr>
                <w:color w:val="000000" w:themeColor="text1"/>
                <w:sz w:val="26"/>
                <w:szCs w:val="26"/>
              </w:rPr>
            </w:pPr>
            <w:r w:rsidRPr="00E26E71">
              <w:rPr>
                <w:color w:val="000000" w:themeColor="text1"/>
                <w:sz w:val="26"/>
                <w:szCs w:val="26"/>
              </w:rPr>
              <w:t>Nu este aplicabil.</w:t>
            </w:r>
          </w:p>
        </w:tc>
      </w:tr>
      <w:tr w:rsidR="00E26E71" w:rsidRPr="00E26E71" w:rsidTr="00314D57">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4.4.1. Impactul asupra datelor cu caracter personal</w:t>
            </w:r>
          </w:p>
        </w:tc>
      </w:tr>
      <w:tr w:rsidR="00E26E71" w:rsidRPr="00E26E71" w:rsidTr="00314D57">
        <w:tc>
          <w:tcPr>
            <w:tcW w:w="5000" w:type="pct"/>
          </w:tcPr>
          <w:p w:rsidR="00E26E71" w:rsidRPr="00E26E71" w:rsidRDefault="00E26E71" w:rsidP="00E26E71">
            <w:pPr>
              <w:rPr>
                <w:color w:val="000000" w:themeColor="text1"/>
                <w:sz w:val="26"/>
                <w:szCs w:val="26"/>
              </w:rPr>
            </w:pPr>
            <w:r w:rsidRPr="00E26E71">
              <w:rPr>
                <w:color w:val="000000" w:themeColor="text1"/>
                <w:sz w:val="26"/>
                <w:szCs w:val="26"/>
              </w:rPr>
              <w:t xml:space="preserve">Nu este aplicabil. </w:t>
            </w:r>
          </w:p>
          <w:p w:rsidR="00E26E71" w:rsidRPr="00E26E71" w:rsidRDefault="00E26E71" w:rsidP="00E26E71">
            <w:pPr>
              <w:rPr>
                <w:color w:val="000000" w:themeColor="text1"/>
                <w:sz w:val="26"/>
                <w:szCs w:val="26"/>
              </w:rPr>
            </w:pPr>
            <w:r w:rsidRPr="00E26E71">
              <w:rPr>
                <w:color w:val="000000" w:themeColor="text1"/>
                <w:sz w:val="26"/>
                <w:szCs w:val="26"/>
              </w:rPr>
              <w:t xml:space="preserve">Proiectul nu aduce atingere regulilor de prelucrare a datelor cu caracter personal în vigoare. </w:t>
            </w:r>
          </w:p>
        </w:tc>
      </w:tr>
      <w:tr w:rsidR="00E26E71" w:rsidRPr="00E26E71" w:rsidTr="00314D57">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4.4.2. Impactul asupra echității și egalității de gen</w:t>
            </w:r>
          </w:p>
        </w:tc>
      </w:tr>
      <w:tr w:rsidR="00E26E71" w:rsidRPr="00E26E71" w:rsidTr="00314D57">
        <w:tc>
          <w:tcPr>
            <w:tcW w:w="5000" w:type="pct"/>
          </w:tcPr>
          <w:p w:rsidR="00E26E71" w:rsidRPr="00E26E71" w:rsidRDefault="00E26E71" w:rsidP="00E26E71">
            <w:pPr>
              <w:rPr>
                <w:bCs/>
                <w:color w:val="000000" w:themeColor="text1"/>
                <w:sz w:val="26"/>
                <w:szCs w:val="26"/>
              </w:rPr>
            </w:pPr>
            <w:r w:rsidRPr="00E26E71">
              <w:rPr>
                <w:bCs/>
                <w:color w:val="000000" w:themeColor="text1"/>
                <w:sz w:val="26"/>
                <w:szCs w:val="26"/>
              </w:rPr>
              <w:t>Nu este aplicabil.</w:t>
            </w:r>
          </w:p>
          <w:p w:rsidR="00E26E71" w:rsidRPr="00E26E71" w:rsidRDefault="00E26E71" w:rsidP="00E26E71">
            <w:pPr>
              <w:rPr>
                <w:color w:val="000000" w:themeColor="text1"/>
                <w:sz w:val="26"/>
                <w:szCs w:val="26"/>
              </w:rPr>
            </w:pPr>
            <w:r w:rsidRPr="00E26E71">
              <w:rPr>
                <w:bCs/>
                <w:color w:val="000000" w:themeColor="text1"/>
                <w:sz w:val="26"/>
                <w:szCs w:val="26"/>
              </w:rPr>
              <w:t>Proiectul nu stabilește norme diferențiate în dependență de gen.</w:t>
            </w:r>
          </w:p>
        </w:tc>
      </w:tr>
      <w:tr w:rsidR="00E26E71" w:rsidRPr="00E26E71" w:rsidTr="00314D57">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4.5. Impactul asupra mediului</w:t>
            </w:r>
          </w:p>
        </w:tc>
      </w:tr>
      <w:tr w:rsidR="00E26E71" w:rsidRPr="00E26E71" w:rsidTr="00314D57">
        <w:tc>
          <w:tcPr>
            <w:tcW w:w="5000" w:type="pct"/>
          </w:tcPr>
          <w:p w:rsidR="00E26E71" w:rsidRPr="00E26E71" w:rsidRDefault="00E26E71" w:rsidP="00E26E71">
            <w:pPr>
              <w:rPr>
                <w:color w:val="000000" w:themeColor="text1"/>
                <w:sz w:val="26"/>
                <w:szCs w:val="26"/>
              </w:rPr>
            </w:pPr>
            <w:r w:rsidRPr="00E26E71">
              <w:rPr>
                <w:color w:val="000000" w:themeColor="text1"/>
                <w:sz w:val="26"/>
                <w:szCs w:val="26"/>
              </w:rPr>
              <w:t>Nu este aplicabil.</w:t>
            </w:r>
          </w:p>
        </w:tc>
      </w:tr>
      <w:tr w:rsidR="00E26E71" w:rsidRPr="00E26E71" w:rsidTr="00314D57">
        <w:tc>
          <w:tcPr>
            <w:tcW w:w="5000" w:type="pct"/>
          </w:tcPr>
          <w:p w:rsidR="00E26E71" w:rsidRPr="00E26E71" w:rsidRDefault="00E26E71" w:rsidP="00E26E71">
            <w:pPr>
              <w:rPr>
                <w:i/>
                <w:color w:val="000000" w:themeColor="text1"/>
                <w:sz w:val="26"/>
                <w:szCs w:val="26"/>
              </w:rPr>
            </w:pPr>
            <w:r w:rsidRPr="00E26E71">
              <w:rPr>
                <w:i/>
                <w:color w:val="000000" w:themeColor="text1"/>
                <w:sz w:val="26"/>
                <w:szCs w:val="26"/>
              </w:rPr>
              <w:t>4.6. Alte impacturi și informații relevante</w:t>
            </w:r>
          </w:p>
        </w:tc>
      </w:tr>
      <w:tr w:rsidR="00E26E71" w:rsidRPr="00E26E71" w:rsidTr="00314D57">
        <w:tc>
          <w:tcPr>
            <w:tcW w:w="5000" w:type="pct"/>
          </w:tcPr>
          <w:p w:rsidR="00E26E71" w:rsidRPr="00E26E71" w:rsidRDefault="00E26E71" w:rsidP="00E26E71">
            <w:pPr>
              <w:rPr>
                <w:color w:val="000000" w:themeColor="text1"/>
                <w:sz w:val="26"/>
                <w:szCs w:val="26"/>
              </w:rPr>
            </w:pPr>
            <w:r w:rsidRPr="00E26E71">
              <w:rPr>
                <w:color w:val="000000" w:themeColor="text1"/>
                <w:sz w:val="26"/>
                <w:szCs w:val="26"/>
              </w:rPr>
              <w:lastRenderedPageBreak/>
              <w:t>Nu este aplicabil.</w:t>
            </w:r>
          </w:p>
        </w:tc>
      </w:tr>
      <w:tr w:rsidR="00E26E71" w:rsidRPr="00E26E71" w:rsidTr="00314D57">
        <w:tc>
          <w:tcPr>
            <w:tcW w:w="5000" w:type="pct"/>
          </w:tcPr>
          <w:p w:rsidR="00E26E71" w:rsidRPr="00E26E71" w:rsidRDefault="00E26E71" w:rsidP="00E26E71">
            <w:pPr>
              <w:jc w:val="both"/>
              <w:rPr>
                <w:sz w:val="26"/>
                <w:szCs w:val="26"/>
              </w:rPr>
            </w:pPr>
            <w:r w:rsidRPr="00E26E71">
              <w:rPr>
                <w:b/>
                <w:bCs/>
                <w:sz w:val="26"/>
                <w:szCs w:val="26"/>
              </w:rPr>
              <w:t>5. Compatibilitatea proiectului actului normativ cu legislația UE</w:t>
            </w:r>
          </w:p>
        </w:tc>
      </w:tr>
      <w:tr w:rsidR="00E26E71" w:rsidRPr="00E26E71" w:rsidTr="00314D57">
        <w:tc>
          <w:tcPr>
            <w:tcW w:w="5000" w:type="pct"/>
          </w:tcPr>
          <w:p w:rsidR="00E26E71" w:rsidRPr="00E26E71" w:rsidRDefault="00E26E71" w:rsidP="005747B5">
            <w:pPr>
              <w:jc w:val="both"/>
              <w:rPr>
                <w:i/>
                <w:sz w:val="26"/>
                <w:szCs w:val="26"/>
              </w:rPr>
            </w:pPr>
            <w:r w:rsidRPr="00E26E71">
              <w:rPr>
                <w:i/>
                <w:sz w:val="26"/>
                <w:szCs w:val="26"/>
              </w:rPr>
              <w:t>5.1. Măsuri normative necesare pentru transpunerea actelor juridice ale UE în legislația națională</w:t>
            </w:r>
          </w:p>
        </w:tc>
      </w:tr>
      <w:tr w:rsidR="00E26E71" w:rsidRPr="00E26E71" w:rsidTr="00314D57">
        <w:tc>
          <w:tcPr>
            <w:tcW w:w="5000" w:type="pct"/>
          </w:tcPr>
          <w:p w:rsidR="00E26E71" w:rsidRPr="00E26E71" w:rsidRDefault="00E26E71" w:rsidP="005747B5">
            <w:pPr>
              <w:jc w:val="both"/>
              <w:rPr>
                <w:sz w:val="26"/>
                <w:szCs w:val="26"/>
              </w:rPr>
            </w:pPr>
            <w:r w:rsidRPr="00E26E71">
              <w:rPr>
                <w:sz w:val="26"/>
                <w:szCs w:val="26"/>
              </w:rPr>
              <w:t>Nu este aplicabil. Proiectul nu are ca scop armonizarea legislației naționale cu legislația Uniunii Europene.</w:t>
            </w:r>
          </w:p>
        </w:tc>
      </w:tr>
      <w:tr w:rsidR="00E26E71" w:rsidRPr="00E26E71" w:rsidTr="00314D57">
        <w:tc>
          <w:tcPr>
            <w:tcW w:w="5000" w:type="pct"/>
          </w:tcPr>
          <w:p w:rsidR="00E26E71" w:rsidRPr="00E26E71" w:rsidRDefault="00E26E71" w:rsidP="005747B5">
            <w:pPr>
              <w:jc w:val="both"/>
              <w:rPr>
                <w:i/>
                <w:sz w:val="26"/>
                <w:szCs w:val="26"/>
              </w:rPr>
            </w:pPr>
            <w:r w:rsidRPr="00E26E71">
              <w:rPr>
                <w:i/>
                <w:sz w:val="26"/>
                <w:szCs w:val="26"/>
              </w:rPr>
              <w:t>5.2. Măsuri normative care urmăresc crearea cadrului juridic intern necesar pentru implementarea legislației UE</w:t>
            </w:r>
          </w:p>
        </w:tc>
      </w:tr>
      <w:tr w:rsidR="00E26E71" w:rsidRPr="00E26E71" w:rsidTr="00314D57">
        <w:tc>
          <w:tcPr>
            <w:tcW w:w="5000" w:type="pct"/>
          </w:tcPr>
          <w:p w:rsidR="00E26E71" w:rsidRPr="00E26E71" w:rsidRDefault="00E26E71" w:rsidP="005747B5">
            <w:pPr>
              <w:jc w:val="both"/>
              <w:rPr>
                <w:sz w:val="26"/>
                <w:szCs w:val="26"/>
              </w:rPr>
            </w:pPr>
            <w:r w:rsidRPr="00E26E71">
              <w:rPr>
                <w:sz w:val="26"/>
                <w:szCs w:val="26"/>
              </w:rPr>
              <w:t>Nu este aplicabil. Proiectul nu are ca scop armonizarea legislației naționale cu legislația Uniunii Europene.</w:t>
            </w:r>
          </w:p>
        </w:tc>
      </w:tr>
      <w:tr w:rsidR="00E26E71" w:rsidRPr="00E26E71" w:rsidTr="00314D57">
        <w:tc>
          <w:tcPr>
            <w:tcW w:w="5000" w:type="pct"/>
          </w:tcPr>
          <w:p w:rsidR="00E26E71" w:rsidRPr="00E26E71" w:rsidRDefault="00E26E71" w:rsidP="00E26E71">
            <w:pPr>
              <w:jc w:val="both"/>
              <w:rPr>
                <w:sz w:val="26"/>
                <w:szCs w:val="26"/>
              </w:rPr>
            </w:pPr>
            <w:r w:rsidRPr="00E26E71">
              <w:rPr>
                <w:b/>
                <w:bCs/>
                <w:sz w:val="26"/>
                <w:szCs w:val="26"/>
              </w:rPr>
              <w:t>6. Avizarea și consultarea publică a proiectului actului normativ</w:t>
            </w:r>
          </w:p>
        </w:tc>
      </w:tr>
      <w:tr w:rsidR="00E26E71" w:rsidRPr="00534B44" w:rsidTr="00314D57">
        <w:tc>
          <w:tcPr>
            <w:tcW w:w="5000" w:type="pct"/>
          </w:tcPr>
          <w:p w:rsidR="00706246" w:rsidRDefault="00E26E71" w:rsidP="00706246">
            <w:pPr>
              <w:jc w:val="both"/>
              <w:rPr>
                <w:sz w:val="26"/>
                <w:szCs w:val="26"/>
              </w:rPr>
            </w:pPr>
            <w:r w:rsidRPr="00534B44">
              <w:rPr>
                <w:sz w:val="26"/>
                <w:szCs w:val="26"/>
              </w:rPr>
              <w:t>În scopul respectării prevederilor Legii nr.239/2008 privind transparența în procesul decizional, anunțul despre inițierea procesului de elaborarea a proiectului hotărârii Guvernului c</w:t>
            </w:r>
            <w:r w:rsidRPr="00534B44">
              <w:rPr>
                <w:sz w:val="26"/>
                <w:szCs w:val="26"/>
                <w:lang w:val="ro-MD" w:eastAsia="ru-RU"/>
              </w:rPr>
              <w:t>u privire la alocarea mijloacelor financiare</w:t>
            </w:r>
            <w:r w:rsidRPr="00534B44">
              <w:rPr>
                <w:sz w:val="26"/>
                <w:szCs w:val="26"/>
              </w:rPr>
              <w:t xml:space="preserve"> a fost plasat pe </w:t>
            </w:r>
            <w:r w:rsidR="00534B44" w:rsidRPr="00534B44">
              <w:rPr>
                <w:sz w:val="26"/>
                <w:szCs w:val="26"/>
              </w:rPr>
              <w:t>pagina oficială a Ministerului Finanțelor (</w:t>
            </w:r>
            <w:r w:rsidR="00534B44">
              <w:rPr>
                <w:sz w:val="26"/>
                <w:szCs w:val="26"/>
              </w:rPr>
              <w:t>www.</w:t>
            </w:r>
            <w:r w:rsidR="00534B44" w:rsidRPr="00534B44">
              <w:rPr>
                <w:sz w:val="26"/>
                <w:szCs w:val="26"/>
              </w:rPr>
              <w:t xml:space="preserve">mf.gov.md), </w:t>
            </w:r>
            <w:r w:rsidRPr="00534B44">
              <w:rPr>
                <w:sz w:val="26"/>
                <w:szCs w:val="26"/>
              </w:rPr>
              <w:t xml:space="preserve">fiind </w:t>
            </w:r>
            <w:r w:rsidR="00534B44" w:rsidRPr="00534B44">
              <w:rPr>
                <w:sz w:val="26"/>
                <w:szCs w:val="26"/>
              </w:rPr>
              <w:t>accesibile la următorul link</w:t>
            </w:r>
            <w:r w:rsidRPr="00534B44">
              <w:rPr>
                <w:sz w:val="26"/>
                <w:szCs w:val="26"/>
              </w:rPr>
              <w:t xml:space="preserve">: </w:t>
            </w:r>
            <w:hyperlink r:id="rId6" w:history="1">
              <w:r w:rsidR="00706246" w:rsidRPr="000327FA">
                <w:rPr>
                  <w:rStyle w:val="a5"/>
                  <w:sz w:val="26"/>
                  <w:szCs w:val="26"/>
                </w:rPr>
                <w:t>https://mf.gov.md/ro/content/anun%C8%9B-privind-ini%C8%9Bierea-elabor%C4%83rii-proiectului-602</w:t>
              </w:r>
            </w:hyperlink>
          </w:p>
          <w:p w:rsidR="00E26E71" w:rsidRDefault="00534B44" w:rsidP="00706246">
            <w:pPr>
              <w:jc w:val="both"/>
              <w:rPr>
                <w:sz w:val="26"/>
                <w:szCs w:val="26"/>
              </w:rPr>
            </w:pPr>
            <w:r w:rsidRPr="00534B44">
              <w:rPr>
                <w:sz w:val="26"/>
                <w:szCs w:val="26"/>
              </w:rPr>
              <w:t xml:space="preserve">Un anunț similar </w:t>
            </w:r>
            <w:r w:rsidR="00E26E71" w:rsidRPr="00534B44">
              <w:rPr>
                <w:sz w:val="26"/>
                <w:szCs w:val="26"/>
              </w:rPr>
              <w:t>a fost publicat și pe</w:t>
            </w:r>
            <w:r>
              <w:rPr>
                <w:sz w:val="26"/>
                <w:szCs w:val="26"/>
              </w:rPr>
              <w:t xml:space="preserve"> platforma </w:t>
            </w:r>
            <w:hyperlink r:id="rId7" w:history="1">
              <w:r w:rsidRPr="00883D0E">
                <w:rPr>
                  <w:rStyle w:val="a5"/>
                  <w:sz w:val="26"/>
                  <w:szCs w:val="26"/>
                </w:rPr>
                <w:t>www.particip.gov.md</w:t>
              </w:r>
            </w:hyperlink>
            <w:r>
              <w:rPr>
                <w:sz w:val="26"/>
                <w:szCs w:val="26"/>
              </w:rPr>
              <w:t xml:space="preserve"> </w:t>
            </w:r>
            <w:r w:rsidR="00E26E71" w:rsidRPr="00534B44">
              <w:rPr>
                <w:sz w:val="26"/>
                <w:szCs w:val="26"/>
              </w:rPr>
              <w:t xml:space="preserve"> </w:t>
            </w:r>
            <w:r>
              <w:rPr>
                <w:sz w:val="26"/>
                <w:szCs w:val="26"/>
              </w:rPr>
              <w:t>și poate fi accesat la următorul link:</w:t>
            </w:r>
            <w:r w:rsidR="00706246">
              <w:rPr>
                <w:sz w:val="26"/>
                <w:szCs w:val="26"/>
              </w:rPr>
              <w:t xml:space="preserve"> </w:t>
            </w:r>
            <w:hyperlink r:id="rId8" w:history="1">
              <w:r w:rsidR="00706246" w:rsidRPr="000327FA">
                <w:rPr>
                  <w:rStyle w:val="a5"/>
                  <w:sz w:val="26"/>
                  <w:szCs w:val="26"/>
                </w:rPr>
                <w:t>https://particip.gov.md/ro/document/stages/proiectul-hotararii-guvernului-cu-privire-la-alocarea-mijloacelor-financiare-majorarea-capitalului-autorizat-in-cadrul-unor-organizatii-financiare-internationale/13831</w:t>
              </w:r>
            </w:hyperlink>
          </w:p>
          <w:p w:rsidR="00706246" w:rsidRPr="00534B44" w:rsidRDefault="00706246" w:rsidP="00706246">
            <w:pPr>
              <w:jc w:val="both"/>
              <w:rPr>
                <w:sz w:val="26"/>
                <w:szCs w:val="26"/>
              </w:rPr>
            </w:pPr>
          </w:p>
        </w:tc>
      </w:tr>
      <w:tr w:rsidR="00E26E71" w:rsidRPr="00E26E71" w:rsidTr="00314D57">
        <w:tc>
          <w:tcPr>
            <w:tcW w:w="5000" w:type="pct"/>
            <w:tcBorders>
              <w:top w:val="single" w:sz="4" w:space="0" w:color="auto"/>
              <w:left w:val="single" w:sz="4" w:space="0" w:color="auto"/>
              <w:bottom w:val="single" w:sz="4" w:space="0" w:color="auto"/>
              <w:right w:val="single" w:sz="4" w:space="0" w:color="auto"/>
            </w:tcBorders>
            <w:shd w:val="clear" w:color="auto" w:fill="auto"/>
          </w:tcPr>
          <w:p w:rsidR="00E26E71" w:rsidRPr="00E26E71" w:rsidRDefault="00E26E71" w:rsidP="00E26E71">
            <w:pPr>
              <w:jc w:val="both"/>
              <w:rPr>
                <w:sz w:val="26"/>
                <w:szCs w:val="26"/>
              </w:rPr>
            </w:pPr>
            <w:r w:rsidRPr="00E26E71">
              <w:rPr>
                <w:b/>
                <w:bCs/>
                <w:sz w:val="26"/>
                <w:szCs w:val="26"/>
              </w:rPr>
              <w:t>7. Concluziile expertizelor</w:t>
            </w:r>
          </w:p>
        </w:tc>
      </w:tr>
      <w:tr w:rsidR="00E26E71" w:rsidRPr="00E26E71" w:rsidTr="00314D57">
        <w:tc>
          <w:tcPr>
            <w:tcW w:w="5000" w:type="pct"/>
            <w:tcBorders>
              <w:top w:val="single" w:sz="4" w:space="0" w:color="auto"/>
              <w:left w:val="single" w:sz="4" w:space="0" w:color="auto"/>
              <w:bottom w:val="single" w:sz="4" w:space="0" w:color="auto"/>
              <w:right w:val="single" w:sz="4" w:space="0" w:color="auto"/>
            </w:tcBorders>
          </w:tcPr>
          <w:p w:rsidR="00E26E71" w:rsidRPr="00E26E71" w:rsidRDefault="00E26E71" w:rsidP="00B170CF">
            <w:pPr>
              <w:tabs>
                <w:tab w:val="left" w:pos="884"/>
                <w:tab w:val="left" w:pos="1196"/>
              </w:tabs>
              <w:spacing w:line="276" w:lineRule="auto"/>
              <w:jc w:val="both"/>
              <w:rPr>
                <w:sz w:val="26"/>
                <w:szCs w:val="26"/>
              </w:rPr>
            </w:pPr>
            <w:r w:rsidRPr="00E26E71">
              <w:rPr>
                <w:color w:val="000000" w:themeColor="text1"/>
                <w:sz w:val="26"/>
                <w:szCs w:val="26"/>
                <w:lang w:eastAsia="ro-RO"/>
              </w:rPr>
              <w:t xml:space="preserve">Proiectul </w:t>
            </w:r>
            <w:r w:rsidR="00493EB1">
              <w:rPr>
                <w:color w:val="000000" w:themeColor="text1"/>
                <w:sz w:val="26"/>
                <w:szCs w:val="26"/>
                <w:lang w:eastAsia="ro-RO"/>
              </w:rPr>
              <w:t>a fost</w:t>
            </w:r>
            <w:r w:rsidRPr="00E26E71">
              <w:rPr>
                <w:color w:val="000000" w:themeColor="text1"/>
                <w:sz w:val="26"/>
                <w:szCs w:val="26"/>
                <w:lang w:eastAsia="ro-RO"/>
              </w:rPr>
              <w:t xml:space="preserve"> supu</w:t>
            </w:r>
            <w:r w:rsidR="00493EB1">
              <w:rPr>
                <w:color w:val="000000" w:themeColor="text1"/>
                <w:sz w:val="26"/>
                <w:szCs w:val="26"/>
                <w:lang w:eastAsia="ro-RO"/>
              </w:rPr>
              <w:t>s</w:t>
            </w:r>
            <w:r w:rsidRPr="00E26E71">
              <w:rPr>
                <w:color w:val="000000" w:themeColor="text1"/>
                <w:sz w:val="26"/>
                <w:szCs w:val="26"/>
                <w:lang w:eastAsia="ro-RO"/>
              </w:rPr>
              <w:t xml:space="preserve"> expertizei juridice </w:t>
            </w:r>
            <w:r w:rsidR="00B170CF">
              <w:rPr>
                <w:color w:val="000000" w:themeColor="text1"/>
                <w:sz w:val="26"/>
                <w:szCs w:val="26"/>
                <w:lang w:eastAsia="ro-RO"/>
              </w:rPr>
              <w:t>de către Ministerul</w:t>
            </w:r>
            <w:r w:rsidRPr="00E26E71">
              <w:rPr>
                <w:color w:val="000000" w:themeColor="text1"/>
                <w:sz w:val="26"/>
                <w:szCs w:val="26"/>
                <w:lang w:eastAsia="ro-RO"/>
              </w:rPr>
              <w:t xml:space="preserve"> Justiției și expertizei anticorupție </w:t>
            </w:r>
            <w:r w:rsidR="00B170CF">
              <w:rPr>
                <w:color w:val="000000" w:themeColor="text1"/>
                <w:sz w:val="26"/>
                <w:szCs w:val="26"/>
                <w:lang w:eastAsia="ro-RO"/>
              </w:rPr>
              <w:t>de către</w:t>
            </w:r>
            <w:r w:rsidRPr="00E26E71">
              <w:rPr>
                <w:color w:val="000000" w:themeColor="text1"/>
                <w:sz w:val="26"/>
                <w:szCs w:val="26"/>
                <w:lang w:eastAsia="ro-RO"/>
              </w:rPr>
              <w:t xml:space="preserve"> </w:t>
            </w:r>
            <w:r w:rsidRPr="00E26E71">
              <w:rPr>
                <w:sz w:val="26"/>
                <w:szCs w:val="26"/>
              </w:rPr>
              <w:t xml:space="preserve">Centrul Național Anticorupție. Rezultatele expertizelor </w:t>
            </w:r>
            <w:r w:rsidR="00493EB1">
              <w:rPr>
                <w:sz w:val="26"/>
                <w:szCs w:val="26"/>
              </w:rPr>
              <w:t>au fost suprapuse conținutului proiectului și</w:t>
            </w:r>
            <w:r w:rsidRPr="00E26E71">
              <w:rPr>
                <w:sz w:val="26"/>
                <w:szCs w:val="26"/>
              </w:rPr>
              <w:t xml:space="preserve"> generalizate în cadrul Sintezei </w:t>
            </w:r>
            <w:r w:rsidR="00B8244B">
              <w:rPr>
                <w:sz w:val="26"/>
                <w:szCs w:val="26"/>
              </w:rPr>
              <w:t>avi</w:t>
            </w:r>
            <w:r w:rsidR="00493EB1">
              <w:rPr>
                <w:sz w:val="26"/>
                <w:szCs w:val="26"/>
              </w:rPr>
              <w:t>zelor</w:t>
            </w:r>
            <w:r w:rsidRPr="00E26E71">
              <w:rPr>
                <w:sz w:val="26"/>
                <w:szCs w:val="26"/>
              </w:rPr>
              <w:t>.</w:t>
            </w:r>
          </w:p>
        </w:tc>
      </w:tr>
      <w:tr w:rsidR="00E26E71" w:rsidRPr="00E26E71" w:rsidTr="00314D57">
        <w:tc>
          <w:tcPr>
            <w:tcW w:w="5000" w:type="pct"/>
            <w:tcBorders>
              <w:top w:val="single" w:sz="4" w:space="0" w:color="auto"/>
              <w:left w:val="single" w:sz="4" w:space="0" w:color="auto"/>
              <w:bottom w:val="single" w:sz="4" w:space="0" w:color="auto"/>
              <w:right w:val="single" w:sz="4" w:space="0" w:color="auto"/>
            </w:tcBorders>
            <w:shd w:val="clear" w:color="auto" w:fill="auto"/>
          </w:tcPr>
          <w:p w:rsidR="00E26E71" w:rsidRPr="00E26E71" w:rsidRDefault="00E26E71" w:rsidP="00E26E71">
            <w:pPr>
              <w:jc w:val="both"/>
              <w:rPr>
                <w:sz w:val="26"/>
                <w:szCs w:val="26"/>
              </w:rPr>
            </w:pPr>
            <w:r w:rsidRPr="00E26E71">
              <w:rPr>
                <w:b/>
                <w:bCs/>
                <w:sz w:val="26"/>
                <w:szCs w:val="26"/>
              </w:rPr>
              <w:t>8. Modul de încorporare a actului în cadrul normativ existent</w:t>
            </w:r>
          </w:p>
        </w:tc>
      </w:tr>
      <w:tr w:rsidR="00E26E71" w:rsidRPr="00E26E71" w:rsidTr="00314D57">
        <w:tc>
          <w:tcPr>
            <w:tcW w:w="5000" w:type="pct"/>
            <w:tcBorders>
              <w:top w:val="single" w:sz="4" w:space="0" w:color="auto"/>
              <w:left w:val="single" w:sz="4" w:space="0" w:color="auto"/>
              <w:bottom w:val="single" w:sz="4" w:space="0" w:color="auto"/>
              <w:right w:val="single" w:sz="4" w:space="0" w:color="auto"/>
            </w:tcBorders>
          </w:tcPr>
          <w:p w:rsidR="00E26E71" w:rsidRPr="00E26E71" w:rsidRDefault="00E26E71" w:rsidP="00E26E71">
            <w:pPr>
              <w:tabs>
                <w:tab w:val="left" w:pos="884"/>
                <w:tab w:val="left" w:pos="1196"/>
              </w:tabs>
              <w:spacing w:line="276" w:lineRule="auto"/>
              <w:jc w:val="both"/>
              <w:rPr>
                <w:sz w:val="26"/>
                <w:szCs w:val="26"/>
              </w:rPr>
            </w:pPr>
            <w:r w:rsidRPr="00E26E71">
              <w:rPr>
                <w:sz w:val="26"/>
                <w:szCs w:val="26"/>
              </w:rPr>
              <w:t>Proiectul se integrează în sistemul legislației, este corelat cu prevederile actelor normative conexe în vigoare, iar implementarea prevederilor acestui proiect nu necesită modificarea altor acte normative.</w:t>
            </w:r>
          </w:p>
        </w:tc>
      </w:tr>
      <w:tr w:rsidR="00E26E71" w:rsidRPr="00E26E71" w:rsidTr="00314D57">
        <w:tc>
          <w:tcPr>
            <w:tcW w:w="5000" w:type="pct"/>
            <w:tcBorders>
              <w:top w:val="single" w:sz="4" w:space="0" w:color="auto"/>
              <w:left w:val="single" w:sz="4" w:space="0" w:color="auto"/>
              <w:bottom w:val="single" w:sz="4" w:space="0" w:color="auto"/>
              <w:right w:val="single" w:sz="4" w:space="0" w:color="auto"/>
            </w:tcBorders>
            <w:shd w:val="clear" w:color="auto" w:fill="auto"/>
          </w:tcPr>
          <w:p w:rsidR="00E26E71" w:rsidRPr="00E26E71" w:rsidRDefault="00E26E71" w:rsidP="00E26E71">
            <w:pPr>
              <w:jc w:val="both"/>
              <w:rPr>
                <w:sz w:val="26"/>
                <w:szCs w:val="26"/>
              </w:rPr>
            </w:pPr>
            <w:r w:rsidRPr="00E26E71">
              <w:rPr>
                <w:b/>
                <w:bCs/>
                <w:color w:val="000000" w:themeColor="text1"/>
                <w:sz w:val="26"/>
                <w:szCs w:val="26"/>
              </w:rPr>
              <w:t>9. Măsurile necesare pentru implementarea prevederilor proiectului actului normativ</w:t>
            </w:r>
          </w:p>
        </w:tc>
      </w:tr>
      <w:tr w:rsidR="00E26E71" w:rsidRPr="00E26E71" w:rsidTr="00314D57">
        <w:tc>
          <w:tcPr>
            <w:tcW w:w="5000" w:type="pct"/>
            <w:tcBorders>
              <w:top w:val="single" w:sz="4" w:space="0" w:color="auto"/>
              <w:left w:val="single" w:sz="4" w:space="0" w:color="auto"/>
              <w:bottom w:val="single" w:sz="4" w:space="0" w:color="auto"/>
              <w:right w:val="single" w:sz="4" w:space="0" w:color="auto"/>
            </w:tcBorders>
          </w:tcPr>
          <w:p w:rsidR="00E26E71" w:rsidRPr="00E26E71" w:rsidRDefault="003D436D" w:rsidP="000C4837">
            <w:pPr>
              <w:tabs>
                <w:tab w:val="left" w:pos="884"/>
                <w:tab w:val="left" w:pos="1196"/>
              </w:tabs>
              <w:spacing w:line="276" w:lineRule="auto"/>
              <w:jc w:val="both"/>
              <w:rPr>
                <w:sz w:val="26"/>
                <w:szCs w:val="26"/>
              </w:rPr>
            </w:pPr>
            <w:r>
              <w:rPr>
                <w:sz w:val="26"/>
                <w:szCs w:val="26"/>
              </w:rPr>
              <w:t xml:space="preserve">Ministerul Finanțelor urmează să execute transferul </w:t>
            </w:r>
            <w:r w:rsidR="000C4837">
              <w:rPr>
                <w:sz w:val="26"/>
                <w:szCs w:val="26"/>
              </w:rPr>
              <w:t>către IBRD și IFC conform prevederilor Hotărârii G</w:t>
            </w:r>
            <w:r w:rsidR="00272B39">
              <w:rPr>
                <w:sz w:val="26"/>
                <w:szCs w:val="26"/>
              </w:rPr>
              <w:t>uvernului în termenul stabilit de Rezoluțiile Băncii Mondiale.</w:t>
            </w:r>
          </w:p>
        </w:tc>
      </w:tr>
    </w:tbl>
    <w:p w:rsidR="0010037D" w:rsidRPr="00793ABC" w:rsidRDefault="0010037D" w:rsidP="00936FC1">
      <w:pPr>
        <w:spacing w:line="276" w:lineRule="auto"/>
        <w:rPr>
          <w:sz w:val="28"/>
          <w:szCs w:val="28"/>
        </w:rPr>
      </w:pPr>
    </w:p>
    <w:p w:rsidR="00AF1264" w:rsidRPr="00793ABC" w:rsidRDefault="00AF1264" w:rsidP="00DD517A">
      <w:pPr>
        <w:spacing w:line="276" w:lineRule="auto"/>
        <w:jc w:val="center"/>
        <w:rPr>
          <w:b/>
          <w:bCs/>
          <w:sz w:val="28"/>
          <w:szCs w:val="28"/>
        </w:rPr>
      </w:pPr>
    </w:p>
    <w:p w:rsidR="00B55D79" w:rsidRPr="00BA1DD2" w:rsidRDefault="00B55D79" w:rsidP="00B55D79">
      <w:pPr>
        <w:spacing w:line="360" w:lineRule="auto"/>
        <w:jc w:val="center"/>
        <w:rPr>
          <w:i/>
          <w:sz w:val="28"/>
          <w:szCs w:val="28"/>
        </w:rPr>
      </w:pPr>
      <w:r w:rsidRPr="00BA1DD2">
        <w:rPr>
          <w:b/>
          <w:sz w:val="28"/>
          <w:szCs w:val="28"/>
        </w:rPr>
        <w:t>Secretar general al ministerului</w:t>
      </w:r>
      <w:r w:rsidRPr="00BA1DD2">
        <w:rPr>
          <w:sz w:val="28"/>
          <w:szCs w:val="28"/>
        </w:rPr>
        <w:tab/>
      </w:r>
      <w:r w:rsidRPr="00BA1DD2">
        <w:rPr>
          <w:sz w:val="28"/>
          <w:szCs w:val="28"/>
        </w:rPr>
        <w:tab/>
      </w:r>
      <w:r>
        <w:rPr>
          <w:sz w:val="28"/>
          <w:szCs w:val="28"/>
        </w:rPr>
        <w:tab/>
      </w:r>
      <w:r w:rsidRPr="00BA1DD2">
        <w:rPr>
          <w:sz w:val="28"/>
          <w:szCs w:val="28"/>
        </w:rPr>
        <w:tab/>
      </w:r>
      <w:r w:rsidRPr="00BA1DD2">
        <w:rPr>
          <w:sz w:val="28"/>
          <w:szCs w:val="28"/>
        </w:rPr>
        <w:tab/>
        <w:t xml:space="preserve"> </w:t>
      </w:r>
      <w:r w:rsidRPr="00BA1DD2">
        <w:rPr>
          <w:b/>
          <w:sz w:val="28"/>
          <w:szCs w:val="28"/>
        </w:rPr>
        <w:t>Dina ROȘCA</w:t>
      </w:r>
    </w:p>
    <w:p w:rsidR="005E5402" w:rsidRPr="003B47E7" w:rsidRDefault="005E5402" w:rsidP="005E5402">
      <w:pPr>
        <w:spacing w:line="360" w:lineRule="auto"/>
        <w:jc w:val="center"/>
        <w:rPr>
          <w:i/>
          <w:sz w:val="28"/>
          <w:szCs w:val="28"/>
        </w:rPr>
      </w:pPr>
    </w:p>
    <w:sectPr w:rsidR="005E5402" w:rsidRPr="003B47E7" w:rsidSect="00AF1264">
      <w:pgSz w:w="12240" w:h="15840"/>
      <w:pgMar w:top="1135" w:right="758" w:bottom="993" w:left="11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13D"/>
    <w:multiLevelType w:val="hybridMultilevel"/>
    <w:tmpl w:val="442EFA5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E0D5200"/>
    <w:multiLevelType w:val="hybridMultilevel"/>
    <w:tmpl w:val="94D66892"/>
    <w:lvl w:ilvl="0" w:tplc="E9565086">
      <w:start w:val="1"/>
      <w:numFmt w:val="decimal"/>
      <w:lvlText w:val="%1)"/>
      <w:lvlJc w:val="left"/>
      <w:pPr>
        <w:ind w:left="72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30E40"/>
    <w:multiLevelType w:val="hybridMultilevel"/>
    <w:tmpl w:val="A6BC20B2"/>
    <w:lvl w:ilvl="0" w:tplc="692E71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B472BF"/>
    <w:multiLevelType w:val="hybridMultilevel"/>
    <w:tmpl w:val="2D405344"/>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8702CA"/>
    <w:multiLevelType w:val="hybridMultilevel"/>
    <w:tmpl w:val="6E981A0C"/>
    <w:lvl w:ilvl="0" w:tplc="04090017">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8C"/>
    <w:rsid w:val="000164FD"/>
    <w:rsid w:val="00024577"/>
    <w:rsid w:val="00036DCA"/>
    <w:rsid w:val="000470E4"/>
    <w:rsid w:val="00080F99"/>
    <w:rsid w:val="00086DE4"/>
    <w:rsid w:val="000A3B36"/>
    <w:rsid w:val="000A6623"/>
    <w:rsid w:val="000C4837"/>
    <w:rsid w:val="000E107C"/>
    <w:rsid w:val="000F10F4"/>
    <w:rsid w:val="0010037D"/>
    <w:rsid w:val="00142F64"/>
    <w:rsid w:val="0015094B"/>
    <w:rsid w:val="0015198C"/>
    <w:rsid w:val="001553F7"/>
    <w:rsid w:val="001709A3"/>
    <w:rsid w:val="00171E8B"/>
    <w:rsid w:val="00194189"/>
    <w:rsid w:val="001E192B"/>
    <w:rsid w:val="0020074D"/>
    <w:rsid w:val="00225617"/>
    <w:rsid w:val="00235FCE"/>
    <w:rsid w:val="0024309C"/>
    <w:rsid w:val="00254535"/>
    <w:rsid w:val="00254C8D"/>
    <w:rsid w:val="00266161"/>
    <w:rsid w:val="00272B39"/>
    <w:rsid w:val="00276157"/>
    <w:rsid w:val="00277838"/>
    <w:rsid w:val="00287BDA"/>
    <w:rsid w:val="002D49D9"/>
    <w:rsid w:val="002D7961"/>
    <w:rsid w:val="002E76C2"/>
    <w:rsid w:val="00306D95"/>
    <w:rsid w:val="00314D57"/>
    <w:rsid w:val="003C409A"/>
    <w:rsid w:val="003D29A1"/>
    <w:rsid w:val="003D436D"/>
    <w:rsid w:val="003D7324"/>
    <w:rsid w:val="003F266E"/>
    <w:rsid w:val="00400BFB"/>
    <w:rsid w:val="004165E8"/>
    <w:rsid w:val="00450CD1"/>
    <w:rsid w:val="0048094F"/>
    <w:rsid w:val="004867D9"/>
    <w:rsid w:val="00493EB1"/>
    <w:rsid w:val="004A4FB9"/>
    <w:rsid w:val="004B0171"/>
    <w:rsid w:val="004D70EA"/>
    <w:rsid w:val="004E468E"/>
    <w:rsid w:val="00525BC2"/>
    <w:rsid w:val="00534B44"/>
    <w:rsid w:val="005446D8"/>
    <w:rsid w:val="00544AC4"/>
    <w:rsid w:val="005615B6"/>
    <w:rsid w:val="005747B5"/>
    <w:rsid w:val="0059044C"/>
    <w:rsid w:val="00593DAF"/>
    <w:rsid w:val="005A11AB"/>
    <w:rsid w:val="005A3AA4"/>
    <w:rsid w:val="005A63D2"/>
    <w:rsid w:val="005C34EB"/>
    <w:rsid w:val="005D445E"/>
    <w:rsid w:val="005E5402"/>
    <w:rsid w:val="005F1AF7"/>
    <w:rsid w:val="0061111D"/>
    <w:rsid w:val="00621BF6"/>
    <w:rsid w:val="00623D23"/>
    <w:rsid w:val="0064791A"/>
    <w:rsid w:val="00692ED2"/>
    <w:rsid w:val="006A3182"/>
    <w:rsid w:val="006A51C4"/>
    <w:rsid w:val="006B112B"/>
    <w:rsid w:val="006C0E72"/>
    <w:rsid w:val="006C4A04"/>
    <w:rsid w:val="006E0DEC"/>
    <w:rsid w:val="006F0204"/>
    <w:rsid w:val="0070263B"/>
    <w:rsid w:val="00706246"/>
    <w:rsid w:val="007247DC"/>
    <w:rsid w:val="007449D0"/>
    <w:rsid w:val="007459CD"/>
    <w:rsid w:val="00750496"/>
    <w:rsid w:val="007567C9"/>
    <w:rsid w:val="00756D3C"/>
    <w:rsid w:val="00793ABC"/>
    <w:rsid w:val="007A2B83"/>
    <w:rsid w:val="007A42CF"/>
    <w:rsid w:val="007A46D9"/>
    <w:rsid w:val="007A5716"/>
    <w:rsid w:val="007B1FFA"/>
    <w:rsid w:val="007D0398"/>
    <w:rsid w:val="007D5CE7"/>
    <w:rsid w:val="007E08DF"/>
    <w:rsid w:val="00807BAE"/>
    <w:rsid w:val="0082229E"/>
    <w:rsid w:val="00827ED2"/>
    <w:rsid w:val="00835258"/>
    <w:rsid w:val="0083620B"/>
    <w:rsid w:val="008461E5"/>
    <w:rsid w:val="008613E2"/>
    <w:rsid w:val="008B3E51"/>
    <w:rsid w:val="008E70E9"/>
    <w:rsid w:val="00916D2F"/>
    <w:rsid w:val="00926CA5"/>
    <w:rsid w:val="00933918"/>
    <w:rsid w:val="00936FC1"/>
    <w:rsid w:val="00940B8A"/>
    <w:rsid w:val="00946119"/>
    <w:rsid w:val="00955BF6"/>
    <w:rsid w:val="00976D8D"/>
    <w:rsid w:val="009B5A04"/>
    <w:rsid w:val="009C2CE4"/>
    <w:rsid w:val="009C49BF"/>
    <w:rsid w:val="009D34C0"/>
    <w:rsid w:val="009E6563"/>
    <w:rsid w:val="009F26E5"/>
    <w:rsid w:val="00A0260C"/>
    <w:rsid w:val="00A47A89"/>
    <w:rsid w:val="00A61301"/>
    <w:rsid w:val="00A70584"/>
    <w:rsid w:val="00A760F0"/>
    <w:rsid w:val="00AB7C1D"/>
    <w:rsid w:val="00AC1D0A"/>
    <w:rsid w:val="00AD6F46"/>
    <w:rsid w:val="00AF1264"/>
    <w:rsid w:val="00B170CF"/>
    <w:rsid w:val="00B3439E"/>
    <w:rsid w:val="00B51255"/>
    <w:rsid w:val="00B55D79"/>
    <w:rsid w:val="00B57BFD"/>
    <w:rsid w:val="00B74237"/>
    <w:rsid w:val="00B81D8C"/>
    <w:rsid w:val="00B8244B"/>
    <w:rsid w:val="00B829BF"/>
    <w:rsid w:val="00B96074"/>
    <w:rsid w:val="00B97902"/>
    <w:rsid w:val="00BA6072"/>
    <w:rsid w:val="00BA7645"/>
    <w:rsid w:val="00BB4311"/>
    <w:rsid w:val="00BC2AA3"/>
    <w:rsid w:val="00BC550D"/>
    <w:rsid w:val="00C2393D"/>
    <w:rsid w:val="00C2403A"/>
    <w:rsid w:val="00C25983"/>
    <w:rsid w:val="00C53988"/>
    <w:rsid w:val="00C774D7"/>
    <w:rsid w:val="00C94233"/>
    <w:rsid w:val="00CD7A3D"/>
    <w:rsid w:val="00CE00D0"/>
    <w:rsid w:val="00CE6023"/>
    <w:rsid w:val="00CF6453"/>
    <w:rsid w:val="00D05E7E"/>
    <w:rsid w:val="00D11C8A"/>
    <w:rsid w:val="00D51EF5"/>
    <w:rsid w:val="00D57ECD"/>
    <w:rsid w:val="00D630E4"/>
    <w:rsid w:val="00D90ED3"/>
    <w:rsid w:val="00D96EEE"/>
    <w:rsid w:val="00DA61CC"/>
    <w:rsid w:val="00DC07C7"/>
    <w:rsid w:val="00DC197E"/>
    <w:rsid w:val="00DD517A"/>
    <w:rsid w:val="00E07F81"/>
    <w:rsid w:val="00E25FAB"/>
    <w:rsid w:val="00E26E71"/>
    <w:rsid w:val="00E4261F"/>
    <w:rsid w:val="00E460A0"/>
    <w:rsid w:val="00E64D02"/>
    <w:rsid w:val="00EB16C5"/>
    <w:rsid w:val="00EB4E8F"/>
    <w:rsid w:val="00EC0F63"/>
    <w:rsid w:val="00EC6E59"/>
    <w:rsid w:val="00ED729B"/>
    <w:rsid w:val="00EF3982"/>
    <w:rsid w:val="00F016F1"/>
    <w:rsid w:val="00F0394D"/>
    <w:rsid w:val="00F0613C"/>
    <w:rsid w:val="00F245EB"/>
    <w:rsid w:val="00F35BED"/>
    <w:rsid w:val="00F46F7F"/>
    <w:rsid w:val="00F525A1"/>
    <w:rsid w:val="00F57920"/>
    <w:rsid w:val="00F67DB5"/>
    <w:rsid w:val="00F72018"/>
    <w:rsid w:val="00F9370C"/>
    <w:rsid w:val="00FA0DD5"/>
    <w:rsid w:val="00FD0CB1"/>
    <w:rsid w:val="00FD24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58A5"/>
  <w15:docId w15:val="{CC387BA5-43B7-47C3-977B-CE281D76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D8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1D8C"/>
    <w:pPr>
      <w:jc w:val="center"/>
    </w:pPr>
    <w:rPr>
      <w:b/>
      <w:bCs/>
      <w:sz w:val="20"/>
      <w:lang w:val="ru-RU"/>
    </w:rPr>
  </w:style>
  <w:style w:type="character" w:customStyle="1" w:styleId="a4">
    <w:name w:val="Основной текст Знак"/>
    <w:basedOn w:val="a0"/>
    <w:link w:val="a3"/>
    <w:rsid w:val="00B81D8C"/>
    <w:rPr>
      <w:rFonts w:ascii="Times New Roman" w:eastAsia="Times New Roman" w:hAnsi="Times New Roman" w:cs="Times New Roman"/>
      <w:b/>
      <w:bCs/>
      <w:sz w:val="20"/>
      <w:szCs w:val="24"/>
      <w:lang w:val="ru-RU"/>
    </w:rPr>
  </w:style>
  <w:style w:type="character" w:styleId="a5">
    <w:name w:val="Hyperlink"/>
    <w:uiPriority w:val="99"/>
    <w:unhideWhenUsed/>
    <w:rsid w:val="00B81D8C"/>
    <w:rPr>
      <w:color w:val="0563C1"/>
      <w:u w:val="single"/>
    </w:rPr>
  </w:style>
  <w:style w:type="paragraph" w:customStyle="1" w:styleId="tt">
    <w:name w:val="tt"/>
    <w:basedOn w:val="a"/>
    <w:rsid w:val="00B81D8C"/>
    <w:pPr>
      <w:jc w:val="center"/>
    </w:pPr>
    <w:rPr>
      <w:b/>
      <w:bCs/>
      <w:lang w:eastAsia="ro-RO"/>
    </w:rPr>
  </w:style>
  <w:style w:type="paragraph" w:styleId="a6">
    <w:name w:val="No Spacing"/>
    <w:uiPriority w:val="1"/>
    <w:qFormat/>
    <w:rsid w:val="00B81D8C"/>
    <w:pPr>
      <w:spacing w:after="0" w:line="240" w:lineRule="auto"/>
    </w:pPr>
    <w:rPr>
      <w:rFonts w:ascii="Calibri" w:eastAsia="Calibri" w:hAnsi="Calibri" w:cs="Times New Roman"/>
      <w:lang w:val="en-US"/>
    </w:rPr>
  </w:style>
  <w:style w:type="paragraph" w:styleId="a7">
    <w:name w:val="Balloon Text"/>
    <w:basedOn w:val="a"/>
    <w:link w:val="a8"/>
    <w:uiPriority w:val="99"/>
    <w:semiHidden/>
    <w:unhideWhenUsed/>
    <w:rsid w:val="00940B8A"/>
    <w:rPr>
      <w:rFonts w:ascii="Segoe UI" w:hAnsi="Segoe UI" w:cs="Segoe UI"/>
      <w:sz w:val="18"/>
      <w:szCs w:val="18"/>
    </w:rPr>
  </w:style>
  <w:style w:type="character" w:customStyle="1" w:styleId="a8">
    <w:name w:val="Текст выноски Знак"/>
    <w:basedOn w:val="a0"/>
    <w:link w:val="a7"/>
    <w:uiPriority w:val="99"/>
    <w:semiHidden/>
    <w:rsid w:val="00940B8A"/>
    <w:rPr>
      <w:rFonts w:ascii="Segoe UI" w:eastAsia="Times New Roman" w:hAnsi="Segoe UI" w:cs="Segoe UI"/>
      <w:sz w:val="18"/>
      <w:szCs w:val="18"/>
    </w:rPr>
  </w:style>
  <w:style w:type="paragraph" w:styleId="a9">
    <w:name w:val="footer"/>
    <w:basedOn w:val="a"/>
    <w:link w:val="aa"/>
    <w:uiPriority w:val="99"/>
    <w:rsid w:val="00254535"/>
    <w:pPr>
      <w:tabs>
        <w:tab w:val="center" w:pos="4677"/>
        <w:tab w:val="right" w:pos="9355"/>
      </w:tabs>
    </w:pPr>
    <w:rPr>
      <w:lang w:val="ru-RU" w:eastAsia="ru-RU"/>
    </w:rPr>
  </w:style>
  <w:style w:type="character" w:customStyle="1" w:styleId="aa">
    <w:name w:val="Нижний колонтитул Знак"/>
    <w:basedOn w:val="a0"/>
    <w:link w:val="a9"/>
    <w:uiPriority w:val="99"/>
    <w:rsid w:val="00254535"/>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793ABC"/>
    <w:pPr>
      <w:spacing w:before="100" w:beforeAutospacing="1" w:after="100" w:afterAutospacing="1"/>
    </w:pPr>
    <w:rPr>
      <w:lang w:val="ru-RU" w:eastAsia="ru-RU"/>
    </w:rPr>
  </w:style>
  <w:style w:type="table" w:styleId="ac">
    <w:name w:val="Table Grid"/>
    <w:basedOn w:val="a1"/>
    <w:uiPriority w:val="99"/>
    <w:rsid w:val="00142F6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42F64"/>
    <w:pPr>
      <w:ind w:left="720"/>
      <w:contextualSpacing/>
    </w:pPr>
    <w:rPr>
      <w:lang w:val="ru-RU" w:eastAsia="ru-RU"/>
    </w:rPr>
  </w:style>
  <w:style w:type="character" w:styleId="ae">
    <w:name w:val="FollowedHyperlink"/>
    <w:basedOn w:val="a0"/>
    <w:uiPriority w:val="99"/>
    <w:semiHidden/>
    <w:unhideWhenUsed/>
    <w:rsid w:val="00534B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proiectul-hotararii-guvernului-cu-privire-la-alocarea-mijloacelor-financiare-majorarea-capitalului-autorizat-in-cadrul-unor-organizatii-financiare-internationale/13831" TargetMode="Externa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f.gov.md/ro/content/anun%C8%9B-privind-ini%C8%9Bierea-elabor%C4%83rii-proiectului-60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599B4-D9D1-4E36-B443-1059422F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1344</Words>
  <Characters>7664</Characters>
  <Application>Microsoft Office Word</Application>
  <DocSecurity>0</DocSecurity>
  <Lines>63</Lines>
  <Paragraphs>17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balanelale</dc:creator>
  <cp:lastModifiedBy>Balanel, Alexandru</cp:lastModifiedBy>
  <cp:revision>18</cp:revision>
  <cp:lastPrinted>2025-03-24T13:16:00Z</cp:lastPrinted>
  <dcterms:created xsi:type="dcterms:W3CDTF">2025-02-28T09:49:00Z</dcterms:created>
  <dcterms:modified xsi:type="dcterms:W3CDTF">2025-03-25T09:31:00Z</dcterms:modified>
</cp:coreProperties>
</file>