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3A4F" w14:textId="77777777" w:rsidR="00120CD7" w:rsidRPr="00D844FB"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2BFD7B13" w14:textId="77777777" w:rsidR="00120CD7" w:rsidRPr="00D844FB" w:rsidRDefault="002275FB" w:rsidP="00357988">
      <w:pPr>
        <w:jc w:val="center"/>
        <w:rPr>
          <w:sz w:val="28"/>
          <w:szCs w:val="28"/>
          <w:lang w:val="ro-RO"/>
        </w:rPr>
      </w:pPr>
      <w:r w:rsidRPr="00D844FB">
        <w:rPr>
          <w:sz w:val="28"/>
          <w:szCs w:val="28"/>
          <w:lang w:val="ro-RO"/>
        </w:rPr>
        <w:t>SINTEZA</w:t>
      </w:r>
    </w:p>
    <w:p w14:paraId="3368F260" w14:textId="4F73F7DC" w:rsidR="00120CD7" w:rsidRPr="00D844FB" w:rsidRDefault="00357988" w:rsidP="00A70269">
      <w:pPr>
        <w:ind w:firstLine="0"/>
        <w:jc w:val="center"/>
        <w:rPr>
          <w:sz w:val="28"/>
          <w:szCs w:val="28"/>
          <w:lang w:val="ro-RO" w:eastAsia="ru-RU"/>
        </w:rPr>
      </w:pPr>
      <w:r w:rsidRPr="00D844FB">
        <w:rPr>
          <w:sz w:val="28"/>
          <w:szCs w:val="28"/>
          <w:lang w:val="ro-RO"/>
        </w:rPr>
        <w:t xml:space="preserve">la proiectul </w:t>
      </w:r>
      <w:r w:rsidR="00723874" w:rsidRPr="00D844FB">
        <w:rPr>
          <w:sz w:val="28"/>
          <w:szCs w:val="28"/>
          <w:lang w:val="ro-RO"/>
        </w:rPr>
        <w:t>de Hotărâre de Guvern cu privire la modificarea unor hotărâri ale Guvernului (ajustarea cadrului normativ aferent auditului energetic și a unor măsuri de</w:t>
      </w:r>
      <w:r w:rsidR="00A70269" w:rsidRPr="00D844FB">
        <w:rPr>
          <w:sz w:val="28"/>
          <w:szCs w:val="28"/>
          <w:lang w:val="ro-RO"/>
        </w:rPr>
        <w:t xml:space="preserve"> </w:t>
      </w:r>
      <w:r w:rsidR="00723874" w:rsidRPr="00D844FB">
        <w:rPr>
          <w:sz w:val="28"/>
          <w:szCs w:val="28"/>
          <w:lang w:val="ro-RO"/>
        </w:rPr>
        <w:t>eficiență energetică implementate în cadrul unor programe de finanțare)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616"/>
        <w:gridCol w:w="6512"/>
        <w:gridCol w:w="3443"/>
      </w:tblGrid>
      <w:tr w:rsidR="00120CD7" w:rsidRPr="00D844FB" w14:paraId="74D56201" w14:textId="77777777" w:rsidTr="006779A1">
        <w:tc>
          <w:tcPr>
            <w:tcW w:w="866" w:type="pct"/>
            <w:shd w:val="clear" w:color="auto" w:fill="C6D9F1" w:themeFill="text2" w:themeFillTint="33"/>
            <w:tcMar>
              <w:top w:w="0" w:type="dxa"/>
              <w:left w:w="108" w:type="dxa"/>
              <w:bottom w:w="0" w:type="dxa"/>
              <w:right w:w="108" w:type="dxa"/>
            </w:tcMar>
            <w:vAlign w:val="center"/>
          </w:tcPr>
          <w:p w14:paraId="5C271122" w14:textId="77777777" w:rsidR="00120CD7" w:rsidRPr="00D844FB"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hAnsi="Times New Roman"/>
                <w:b/>
                <w:bCs/>
                <w:sz w:val="24"/>
                <w:szCs w:val="24"/>
                <w:lang w:val="ro-RO"/>
              </w:rPr>
              <w:t>Participantul la avizare, consultare publică, expertizare</w:t>
            </w:r>
          </w:p>
        </w:tc>
        <w:tc>
          <w:tcPr>
            <w:tcW w:w="577" w:type="pct"/>
            <w:shd w:val="clear" w:color="auto" w:fill="C6D9F1" w:themeFill="text2" w:themeFillTint="33"/>
            <w:tcMar>
              <w:top w:w="0" w:type="dxa"/>
              <w:left w:w="108" w:type="dxa"/>
              <w:bottom w:w="0" w:type="dxa"/>
              <w:right w:w="108" w:type="dxa"/>
            </w:tcMar>
            <w:vAlign w:val="center"/>
          </w:tcPr>
          <w:p w14:paraId="61C93165" w14:textId="77777777" w:rsidR="00120CD7" w:rsidRPr="00D844FB"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hAnsi="Times New Roman"/>
                <w:b/>
                <w:bCs/>
                <w:sz w:val="24"/>
                <w:szCs w:val="24"/>
                <w:lang w:val="ro-RO"/>
              </w:rPr>
              <w:t>Nr. crt.</w:t>
            </w:r>
          </w:p>
        </w:tc>
        <w:tc>
          <w:tcPr>
            <w:tcW w:w="2327" w:type="pct"/>
            <w:shd w:val="clear" w:color="auto" w:fill="C6D9F1" w:themeFill="text2" w:themeFillTint="33"/>
            <w:tcMar>
              <w:top w:w="0" w:type="dxa"/>
              <w:left w:w="108" w:type="dxa"/>
              <w:bottom w:w="0" w:type="dxa"/>
              <w:right w:w="108" w:type="dxa"/>
            </w:tcMar>
            <w:vAlign w:val="center"/>
          </w:tcPr>
          <w:p w14:paraId="7E78ED0B" w14:textId="77777777" w:rsidR="00120CD7" w:rsidRPr="00D844FB"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D844FB">
              <w:rPr>
                <w:rFonts w:ascii="Times New Roman" w:hAnsi="Times New Roman"/>
                <w:b/>
                <w:bCs/>
                <w:sz w:val="24"/>
                <w:szCs w:val="24"/>
                <w:lang w:val="ro-RO"/>
              </w:rPr>
              <w:t>Conținutul obiecției,</w:t>
            </w:r>
          </w:p>
          <w:p w14:paraId="002ABAC8" w14:textId="77777777" w:rsidR="00120CD7" w:rsidRPr="00D844FB"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hAnsi="Times New Roman"/>
                <w:b/>
                <w:bCs/>
                <w:sz w:val="24"/>
                <w:szCs w:val="24"/>
                <w:lang w:val="ro-RO"/>
              </w:rPr>
              <w:t>propunerii, recomandării, concluziei</w:t>
            </w:r>
          </w:p>
        </w:tc>
        <w:tc>
          <w:tcPr>
            <w:tcW w:w="1230" w:type="pct"/>
            <w:shd w:val="clear" w:color="auto" w:fill="C6D9F1" w:themeFill="text2" w:themeFillTint="33"/>
            <w:tcMar>
              <w:top w:w="0" w:type="dxa"/>
              <w:left w:w="108" w:type="dxa"/>
              <w:bottom w:w="0" w:type="dxa"/>
              <w:right w:w="108" w:type="dxa"/>
            </w:tcMar>
            <w:vAlign w:val="center"/>
          </w:tcPr>
          <w:p w14:paraId="024C40D5" w14:textId="77777777" w:rsidR="00120CD7" w:rsidRPr="00D844FB"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D844FB">
              <w:rPr>
                <w:rFonts w:ascii="Times New Roman" w:hAnsi="Times New Roman"/>
                <w:b/>
                <w:bCs/>
                <w:sz w:val="24"/>
                <w:szCs w:val="24"/>
                <w:lang w:val="ro-RO"/>
              </w:rPr>
              <w:t>Argumentarea</w:t>
            </w:r>
          </w:p>
          <w:p w14:paraId="425FEB5F" w14:textId="77777777" w:rsidR="00120CD7" w:rsidRPr="00D844FB"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hAnsi="Times New Roman"/>
                <w:b/>
                <w:bCs/>
                <w:sz w:val="24"/>
                <w:szCs w:val="24"/>
                <w:lang w:val="ro-RO"/>
              </w:rPr>
              <w:t>autorului proiectului</w:t>
            </w:r>
          </w:p>
        </w:tc>
      </w:tr>
      <w:tr w:rsidR="00120CD7" w:rsidRPr="00D844FB" w14:paraId="45041156" w14:textId="77777777" w:rsidTr="001602B2">
        <w:trPr>
          <w:trHeight w:val="454"/>
        </w:trPr>
        <w:tc>
          <w:tcPr>
            <w:tcW w:w="5000" w:type="pct"/>
            <w:gridSpan w:val="4"/>
            <w:tcMar>
              <w:top w:w="0" w:type="dxa"/>
              <w:left w:w="108" w:type="dxa"/>
              <w:bottom w:w="0" w:type="dxa"/>
              <w:right w:w="108" w:type="dxa"/>
            </w:tcMar>
            <w:vAlign w:val="center"/>
          </w:tcPr>
          <w:p w14:paraId="391DBDB8" w14:textId="77777777" w:rsidR="00120CD7" w:rsidRPr="00D844FB" w:rsidRDefault="002275FB" w:rsidP="001602B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eastAsia="Times New Roman" w:hAnsi="Times New Roman"/>
                <w:b/>
                <w:bCs/>
                <w:sz w:val="24"/>
                <w:szCs w:val="24"/>
                <w:lang w:val="ro-RO"/>
              </w:rPr>
              <w:t xml:space="preserve">Avizare </w:t>
            </w:r>
            <w:r w:rsidRPr="00D844FB">
              <w:rPr>
                <w:rFonts w:ascii="Times New Roman" w:hAnsi="Times New Roman"/>
                <w:b/>
                <w:bCs/>
                <w:sz w:val="24"/>
                <w:szCs w:val="24"/>
                <w:lang w:val="ro-RO"/>
              </w:rPr>
              <w:t>și consultare publică</w:t>
            </w:r>
          </w:p>
        </w:tc>
      </w:tr>
      <w:tr w:rsidR="00414AC2" w:rsidRPr="0047225B" w14:paraId="2F8E0563" w14:textId="77777777" w:rsidTr="006779A1">
        <w:tc>
          <w:tcPr>
            <w:tcW w:w="866" w:type="pct"/>
            <w:tcMar>
              <w:top w:w="0" w:type="dxa"/>
              <w:left w:w="108" w:type="dxa"/>
              <w:bottom w:w="0" w:type="dxa"/>
              <w:right w:w="108" w:type="dxa"/>
            </w:tcMar>
          </w:tcPr>
          <w:p w14:paraId="17A4E9BE" w14:textId="3C7C5ACA" w:rsidR="00414AC2" w:rsidRPr="00D844FB" w:rsidRDefault="00B002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Cancelaria de Stat, Centrul de Armonizare a Legislației</w:t>
            </w:r>
          </w:p>
        </w:tc>
        <w:tc>
          <w:tcPr>
            <w:tcW w:w="577" w:type="pct"/>
            <w:tcMar>
              <w:top w:w="0" w:type="dxa"/>
              <w:left w:w="108" w:type="dxa"/>
              <w:bottom w:w="0" w:type="dxa"/>
              <w:right w:w="108" w:type="dxa"/>
            </w:tcMar>
          </w:tcPr>
          <w:p w14:paraId="2CA7E415" w14:textId="6B0653D2" w:rsidR="00414AC2" w:rsidRPr="00D844FB" w:rsidRDefault="00723874"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Nr. 31/02-69-1685 din  14.02.2025</w:t>
            </w:r>
          </w:p>
        </w:tc>
        <w:tc>
          <w:tcPr>
            <w:tcW w:w="2327" w:type="pct"/>
            <w:tcMar>
              <w:top w:w="0" w:type="dxa"/>
              <w:left w:w="108" w:type="dxa"/>
              <w:bottom w:w="0" w:type="dxa"/>
              <w:right w:w="108" w:type="dxa"/>
            </w:tcMar>
          </w:tcPr>
          <w:p w14:paraId="1E73F7CB" w14:textId="77777777" w:rsidR="00723874" w:rsidRPr="00D844FB" w:rsidRDefault="00723874" w:rsidP="00C612CF">
            <w:pPr>
              <w:autoSpaceDE w:val="0"/>
              <w:autoSpaceDN w:val="0"/>
              <w:adjustRightInd w:val="0"/>
              <w:spacing w:before="120" w:after="120"/>
              <w:ind w:firstLine="0"/>
              <w:rPr>
                <w:rFonts w:ascii="Times New Roman" w:hAnsi="Times New Roman"/>
                <w:iCs/>
                <w:color w:val="000000" w:themeColor="text1"/>
                <w:sz w:val="24"/>
                <w:szCs w:val="28"/>
                <w:lang w:val="ro-RO"/>
              </w:rPr>
            </w:pPr>
            <w:proofErr w:type="spellStart"/>
            <w:r w:rsidRPr="00D844FB">
              <w:rPr>
                <w:rFonts w:ascii="Times New Roman" w:hAnsi="Times New Roman"/>
                <w:iCs/>
                <w:color w:val="000000" w:themeColor="text1"/>
                <w:sz w:val="24"/>
                <w:szCs w:val="28"/>
                <w:lang w:val="ro-RO"/>
              </w:rPr>
              <w:t>Ref</w:t>
            </w:r>
            <w:proofErr w:type="spellEnd"/>
            <w:r w:rsidRPr="00D844FB">
              <w:rPr>
                <w:rFonts w:ascii="Times New Roman" w:hAnsi="Times New Roman"/>
                <w:iCs/>
                <w:color w:val="000000" w:themeColor="text1"/>
                <w:sz w:val="24"/>
                <w:szCs w:val="28"/>
                <w:lang w:val="ro-RO"/>
              </w:rPr>
              <w:t xml:space="preserve">.: </w:t>
            </w:r>
            <w:r w:rsidRPr="00D844FB">
              <w:rPr>
                <w:rFonts w:ascii="Times New Roman" w:hAnsi="Times New Roman"/>
                <w:i/>
                <w:color w:val="000000" w:themeColor="text1"/>
                <w:sz w:val="24"/>
                <w:szCs w:val="28"/>
                <w:lang w:val="ro-RO"/>
              </w:rPr>
              <w:t>Scrisoarea nr. 18-69--1438 din 10 februarie 2025/ număr unic 74/</w:t>
            </w:r>
            <w:proofErr w:type="spellStart"/>
            <w:r w:rsidRPr="00D844FB">
              <w:rPr>
                <w:rFonts w:ascii="Times New Roman" w:hAnsi="Times New Roman"/>
                <w:i/>
                <w:color w:val="000000" w:themeColor="text1"/>
                <w:sz w:val="24"/>
                <w:szCs w:val="28"/>
                <w:lang w:val="ro-RO"/>
              </w:rPr>
              <w:t>MEn</w:t>
            </w:r>
            <w:proofErr w:type="spellEnd"/>
            <w:r w:rsidRPr="00D844FB">
              <w:rPr>
                <w:rFonts w:ascii="Times New Roman" w:hAnsi="Times New Roman"/>
                <w:i/>
                <w:color w:val="000000" w:themeColor="text1"/>
                <w:sz w:val="24"/>
                <w:szCs w:val="28"/>
                <w:lang w:val="ro-RO"/>
              </w:rPr>
              <w:t>/2025</w:t>
            </w:r>
            <w:r w:rsidRPr="00D844FB">
              <w:rPr>
                <w:rFonts w:ascii="Times New Roman" w:hAnsi="Times New Roman"/>
                <w:iCs/>
                <w:color w:val="000000" w:themeColor="text1"/>
                <w:sz w:val="24"/>
                <w:szCs w:val="28"/>
                <w:lang w:val="ro-RO"/>
              </w:rPr>
              <w:t xml:space="preserve">  </w:t>
            </w:r>
          </w:p>
          <w:p w14:paraId="7DD78105" w14:textId="4F7D8C16" w:rsidR="00723874" w:rsidRPr="00D844FB" w:rsidRDefault="00723874"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Centrul de armonizare a legislației a examinat </w:t>
            </w:r>
            <w:r w:rsidRPr="00D844FB">
              <w:rPr>
                <w:rFonts w:ascii="Times New Roman" w:hAnsi="Times New Roman"/>
                <w:i/>
                <w:color w:val="000000" w:themeColor="text1"/>
                <w:sz w:val="24"/>
                <w:szCs w:val="28"/>
                <w:lang w:val="ro-RO"/>
              </w:rPr>
              <w:t>proiectul de hotărâre a Guvernului cu privire la modificarea unor hotărâri ale Guvernului (ajustarea cadrului normativ aferent auditului energetic și a unor măsuri de eficiență energetică implementate în cadrul unor programe de finanțare)</w:t>
            </w:r>
            <w:r w:rsidRPr="00D844FB">
              <w:rPr>
                <w:rFonts w:ascii="Times New Roman" w:hAnsi="Times New Roman"/>
                <w:iCs/>
                <w:color w:val="000000" w:themeColor="text1"/>
                <w:sz w:val="24"/>
                <w:szCs w:val="28"/>
                <w:lang w:val="ro-RO"/>
              </w:rPr>
              <w:t xml:space="preserve"> și, în limita competențelor sale funcționale, comunică următoarele. </w:t>
            </w:r>
          </w:p>
          <w:p w14:paraId="3253D0C4" w14:textId="77777777" w:rsidR="00B00271" w:rsidRPr="00D844FB" w:rsidRDefault="00723874"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Proiectul național are drept scop modificarea Anexei 1 la Hotărârea Guvernului nr. 251/2024 cu privire la aprobarea Programului de finanțare „Fondul pentru eficiență energetică în sectorul rezidențial din Republica Moldova”; Anexei la Hotărârea Guvernului nr. 533/2024 privind aprobarea Regulamentului cu privire la modul de operare și funcționare a Programului de acordare a ajutorului financiar pentru eficientizarea consumului de resurse energetice și a Hotărârii Guvernului nr. 676/2020 pentru aprobarea Regulamentului cu privire la auditorii energetici și auditul energetic. Din punct de vedere al Dreptului UE, prezintă relevanță modificările ce se propun la Regulamentul cu privire la auditorii energetici și auditul energetic, aprobat prin HG nr, 676/2020, în speță, în ceea ce privește revizuirea condițiilor și </w:t>
            </w:r>
            <w:r w:rsidRPr="00D844FB">
              <w:rPr>
                <w:rFonts w:ascii="Times New Roman" w:hAnsi="Times New Roman"/>
                <w:iCs/>
                <w:color w:val="000000" w:themeColor="text1"/>
                <w:sz w:val="24"/>
                <w:szCs w:val="28"/>
                <w:lang w:val="ro-RO"/>
              </w:rPr>
              <w:lastRenderedPageBreak/>
              <w:t xml:space="preserve">criteriilor pentru calificarea și înregistrarea auditorilor energetici. În acest sens, menționăm că </w:t>
            </w:r>
            <w:r w:rsidRPr="00D844FB">
              <w:rPr>
                <w:rFonts w:ascii="Times New Roman" w:hAnsi="Times New Roman"/>
                <w:b/>
                <w:bCs/>
                <w:iCs/>
                <w:color w:val="000000" w:themeColor="text1"/>
                <w:sz w:val="24"/>
                <w:szCs w:val="28"/>
                <w:lang w:val="ro-RO"/>
              </w:rPr>
              <w:t>art. 8 din Directiva 2012/27/UE a Parlamentului European și a Consiliului din 25 octombrie 2012 privind eficiența energetică</w:t>
            </w:r>
            <w:r w:rsidRPr="00D844FB">
              <w:rPr>
                <w:rFonts w:ascii="Times New Roman" w:hAnsi="Times New Roman"/>
                <w:iCs/>
                <w:color w:val="000000" w:themeColor="text1"/>
                <w:sz w:val="24"/>
                <w:szCs w:val="28"/>
                <w:lang w:val="ro-RO"/>
              </w:rPr>
              <w:t>, de modificare a Directivelor 2009/125/CE și 2010/30/UE și de abrogare a Directivelor 2004/8/CE și 2006/32/CE (Text cu relevanță pentru SEE), stabilește obligația statelor membre de a promova ”disponibilitatea auditurilor energetice de înaltă calitate, rentabile și:</w:t>
            </w:r>
          </w:p>
          <w:p w14:paraId="3FE5CD19" w14:textId="63508B2E" w:rsidR="00723874" w:rsidRPr="00D844FB" w:rsidRDefault="00723874"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efectuate într-o manieră independentă de către </w:t>
            </w:r>
            <w:r w:rsidRPr="00D844FB">
              <w:rPr>
                <w:rFonts w:ascii="Times New Roman" w:hAnsi="Times New Roman"/>
                <w:b/>
                <w:bCs/>
                <w:iCs/>
                <w:color w:val="000000" w:themeColor="text1"/>
                <w:sz w:val="24"/>
                <w:szCs w:val="28"/>
                <w:lang w:val="ro-RO"/>
              </w:rPr>
              <w:t>experți calificați și/sau acreditați, în conformitate cu criteriile de calificare</w:t>
            </w:r>
            <w:r w:rsidRPr="00D844FB">
              <w:rPr>
                <w:rFonts w:ascii="Times New Roman" w:hAnsi="Times New Roman"/>
                <w:iCs/>
                <w:color w:val="000000" w:themeColor="text1"/>
                <w:sz w:val="24"/>
                <w:szCs w:val="28"/>
                <w:lang w:val="ro-RO"/>
              </w:rPr>
              <w:t xml:space="preserve">;...”. Astfel, actul UE nu stabilește expres criteriile de calificare și acreditare a auditorilor energetici, ci deleagă aceasta exclusiv statelor membre. Astfel, proiectul național extinde posibilitatea calificării și înregistrării în Registrul electronic al auditorilor energetici și a cetățenilor străini care au drept de ședere provizorie sau permanentă pe teritoriul Republicii Moldova și revizuiește criteriul calificării profesionale necesare a auditorilor energetici, prevederi care nu contravin Directivei 2012/27/UE. Astfel, comunicăm </w:t>
            </w:r>
            <w:r w:rsidRPr="00D844FB">
              <w:rPr>
                <w:rFonts w:ascii="Times New Roman" w:hAnsi="Times New Roman"/>
                <w:b/>
                <w:bCs/>
                <w:iCs/>
                <w:color w:val="000000" w:themeColor="text1"/>
                <w:sz w:val="24"/>
                <w:szCs w:val="28"/>
                <w:lang w:val="ro-RO"/>
              </w:rPr>
              <w:t>lipsa de obiecții și propuneri pe marginea proiectului</w:t>
            </w:r>
            <w:r w:rsidRPr="00D844FB">
              <w:rPr>
                <w:rFonts w:ascii="Times New Roman" w:hAnsi="Times New Roman"/>
                <w:iCs/>
                <w:color w:val="000000" w:themeColor="text1"/>
                <w:sz w:val="24"/>
                <w:szCs w:val="28"/>
                <w:lang w:val="ro-RO"/>
              </w:rPr>
              <w:t xml:space="preserve">.  </w:t>
            </w:r>
          </w:p>
        </w:tc>
        <w:tc>
          <w:tcPr>
            <w:tcW w:w="1230" w:type="pct"/>
            <w:tcMar>
              <w:top w:w="0" w:type="dxa"/>
              <w:left w:w="108" w:type="dxa"/>
              <w:bottom w:w="0" w:type="dxa"/>
              <w:right w:w="108" w:type="dxa"/>
            </w:tcMar>
          </w:tcPr>
          <w:p w14:paraId="6DFA1F41" w14:textId="45B0CBB2" w:rsidR="00414AC2" w:rsidRPr="00D844FB" w:rsidRDefault="00723874"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Se ia act de informare</w:t>
            </w:r>
          </w:p>
        </w:tc>
      </w:tr>
      <w:tr w:rsidR="00630A0D" w:rsidRPr="00D844FB" w14:paraId="44497230" w14:textId="77777777" w:rsidTr="006779A1">
        <w:tc>
          <w:tcPr>
            <w:tcW w:w="866" w:type="pct"/>
            <w:vMerge w:val="restart"/>
            <w:tcMar>
              <w:top w:w="0" w:type="dxa"/>
              <w:left w:w="108" w:type="dxa"/>
              <w:bottom w:w="0" w:type="dxa"/>
              <w:right w:w="108" w:type="dxa"/>
            </w:tcMar>
          </w:tcPr>
          <w:p w14:paraId="28507F71" w14:textId="281340F8" w:rsidR="00630A0D" w:rsidRPr="00D844FB" w:rsidRDefault="00630A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roofErr w:type="spellStart"/>
            <w:r w:rsidRPr="00D844FB">
              <w:rPr>
                <w:rFonts w:ascii="Times New Roman" w:hAnsi="Times New Roman"/>
                <w:b/>
                <w:bCs/>
                <w:sz w:val="24"/>
                <w:szCs w:val="24"/>
                <w:lang w:val="pt-BR"/>
              </w:rPr>
              <w:t>Centrul</w:t>
            </w:r>
            <w:proofErr w:type="spellEnd"/>
            <w:r w:rsidRPr="00D844FB">
              <w:rPr>
                <w:rFonts w:ascii="Times New Roman" w:hAnsi="Times New Roman"/>
                <w:b/>
                <w:bCs/>
                <w:sz w:val="24"/>
                <w:szCs w:val="24"/>
                <w:lang w:val="pt-BR"/>
              </w:rPr>
              <w:t xml:space="preserve"> Na</w:t>
            </w:r>
            <w:proofErr w:type="spellStart"/>
            <w:r w:rsidRPr="00D844FB">
              <w:rPr>
                <w:rFonts w:ascii="Times New Roman" w:hAnsi="Times New Roman"/>
                <w:b/>
                <w:bCs/>
                <w:sz w:val="24"/>
                <w:szCs w:val="24"/>
                <w:lang w:val="ro-RO"/>
              </w:rPr>
              <w:t>țional</w:t>
            </w:r>
            <w:proofErr w:type="spellEnd"/>
            <w:r w:rsidRPr="00D844FB">
              <w:rPr>
                <w:rFonts w:ascii="Times New Roman" w:hAnsi="Times New Roman"/>
                <w:b/>
                <w:bCs/>
                <w:sz w:val="24"/>
                <w:szCs w:val="24"/>
                <w:lang w:val="ro-RO"/>
              </w:rPr>
              <w:t xml:space="preserve"> pentru Energie Durabilă</w:t>
            </w:r>
          </w:p>
        </w:tc>
        <w:tc>
          <w:tcPr>
            <w:tcW w:w="577" w:type="pct"/>
            <w:vMerge w:val="restart"/>
            <w:tcMar>
              <w:top w:w="0" w:type="dxa"/>
              <w:left w:w="108" w:type="dxa"/>
              <w:bottom w:w="0" w:type="dxa"/>
              <w:right w:w="108" w:type="dxa"/>
            </w:tcMar>
          </w:tcPr>
          <w:p w14:paraId="3335EA18" w14:textId="1699BFFB" w:rsidR="00630A0D" w:rsidRPr="00D844FB" w:rsidRDefault="000B1D0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00630A0D" w:rsidRPr="00D844FB">
              <w:rPr>
                <w:rFonts w:ascii="Times New Roman" w:hAnsi="Times New Roman"/>
                <w:sz w:val="24"/>
                <w:szCs w:val="24"/>
                <w:lang w:val="ro-RO"/>
              </w:rPr>
              <w:t>15-224 din 21.02.2025</w:t>
            </w:r>
          </w:p>
        </w:tc>
        <w:tc>
          <w:tcPr>
            <w:tcW w:w="2327" w:type="pct"/>
            <w:tcMar>
              <w:top w:w="0" w:type="dxa"/>
              <w:left w:w="108" w:type="dxa"/>
              <w:bottom w:w="0" w:type="dxa"/>
              <w:right w:w="108" w:type="dxa"/>
            </w:tcMar>
          </w:tcPr>
          <w:p w14:paraId="3FC3B733" w14:textId="77777777" w:rsidR="00630A0D" w:rsidRPr="00D844FB" w:rsidRDefault="00630A0D"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cu referire la demersul Nr. 03-359 din 10 februarie 2025, privind avizarea Proiectului Hotărârii Guvernului cu privire la modificarea unor Hotărâri de Guvern (ajustarea cadrului normativ aferent auditului energetic și a unor măsuri de eficiență energetică implementate în cadrul unor </w:t>
            </w:r>
            <w:r w:rsidRPr="00D844FB">
              <w:rPr>
                <w:rFonts w:ascii="Times New Roman" w:hAnsi="Times New Roman"/>
                <w:iCs/>
                <w:color w:val="000000" w:themeColor="text1"/>
                <w:sz w:val="24"/>
                <w:szCs w:val="28"/>
                <w:lang w:val="ro-RO"/>
              </w:rPr>
              <w:lastRenderedPageBreak/>
              <w:t>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 xml:space="preserve">/2025), vă comunică următoarele propuneri: </w:t>
            </w:r>
          </w:p>
          <w:p w14:paraId="36625E9B" w14:textId="15EF455C" w:rsidR="00630A0D" w:rsidRPr="00D844FB" w:rsidRDefault="00630A0D"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Pct. 4.1., subpct.2 - sintagma „[…] sau cei care au fost calificați și înregistrați pentru una dintre categoriile prevăzute la pct. 9 și vor să fie calificați și înregistrați pentru altă categorie [...]” se propune a fi eliminată din motiv că aceasta poate crea interpretări eronate privind eligibilitatea calificării. </w:t>
            </w:r>
          </w:p>
        </w:tc>
        <w:tc>
          <w:tcPr>
            <w:tcW w:w="1230" w:type="pct"/>
            <w:tcMar>
              <w:top w:w="0" w:type="dxa"/>
              <w:left w:w="108" w:type="dxa"/>
              <w:bottom w:w="0" w:type="dxa"/>
              <w:right w:w="108" w:type="dxa"/>
            </w:tcMar>
          </w:tcPr>
          <w:p w14:paraId="76D42983" w14:textId="5FD21BC8" w:rsidR="00630A0D" w:rsidRPr="00D844FB" w:rsidRDefault="00630A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Se acceptă.</w:t>
            </w:r>
          </w:p>
        </w:tc>
      </w:tr>
      <w:tr w:rsidR="00630A0D" w:rsidRPr="00D844FB" w14:paraId="1B76DAFE" w14:textId="77777777" w:rsidTr="006779A1">
        <w:tc>
          <w:tcPr>
            <w:tcW w:w="866" w:type="pct"/>
            <w:vMerge/>
            <w:tcMar>
              <w:top w:w="0" w:type="dxa"/>
              <w:left w:w="108" w:type="dxa"/>
              <w:bottom w:w="0" w:type="dxa"/>
              <w:right w:w="108" w:type="dxa"/>
            </w:tcMar>
          </w:tcPr>
          <w:p w14:paraId="778AF3AA" w14:textId="77777777" w:rsidR="00630A0D" w:rsidRPr="00D844FB" w:rsidRDefault="00630A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8B2B799" w14:textId="77777777" w:rsidR="00630A0D" w:rsidRPr="00D844FB" w:rsidRDefault="00630A0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B3A1F5A" w14:textId="1744A281" w:rsidR="00630A0D" w:rsidRPr="00D844FB" w:rsidRDefault="00630A0D"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Pentru pct. 4.2. – 4.4. -  conjuncția „și” se propune a fi eliminată, astfel, textul punctelor menționate se va completa cu sintagma „sau a permisului de ședere provizorie sau permanentă pe teritoriul Republicii Moldova”.</w:t>
            </w:r>
          </w:p>
        </w:tc>
        <w:tc>
          <w:tcPr>
            <w:tcW w:w="1230" w:type="pct"/>
            <w:tcMar>
              <w:top w:w="0" w:type="dxa"/>
              <w:left w:w="108" w:type="dxa"/>
              <w:bottom w:w="0" w:type="dxa"/>
              <w:right w:w="108" w:type="dxa"/>
            </w:tcMar>
          </w:tcPr>
          <w:p w14:paraId="2FD1B76F" w14:textId="00FD22C1" w:rsidR="00630A0D" w:rsidRPr="00D844FB" w:rsidRDefault="00630A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 xml:space="preserve">Se acceptă. </w:t>
            </w:r>
          </w:p>
        </w:tc>
      </w:tr>
      <w:tr w:rsidR="0050619A" w:rsidRPr="0047225B" w14:paraId="5F6AED2F" w14:textId="77777777" w:rsidTr="006779A1">
        <w:tc>
          <w:tcPr>
            <w:tcW w:w="866" w:type="pct"/>
            <w:vMerge w:val="restart"/>
            <w:tcMar>
              <w:top w:w="0" w:type="dxa"/>
              <w:left w:w="108" w:type="dxa"/>
              <w:bottom w:w="0" w:type="dxa"/>
              <w:right w:w="108" w:type="dxa"/>
            </w:tcMar>
          </w:tcPr>
          <w:p w14:paraId="7AE1483C" w14:textId="59D30A07" w:rsidR="0050619A" w:rsidRPr="0050619A" w:rsidRDefault="0050619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0619A">
              <w:rPr>
                <w:rFonts w:ascii="Times New Roman" w:hAnsi="Times New Roman"/>
                <w:b/>
                <w:bCs/>
                <w:sz w:val="24"/>
                <w:szCs w:val="24"/>
                <w:lang w:val="ro-RO"/>
              </w:rPr>
              <w:t>Centrul Național pentru Energie Durabilă</w:t>
            </w:r>
          </w:p>
        </w:tc>
        <w:tc>
          <w:tcPr>
            <w:tcW w:w="577" w:type="pct"/>
            <w:vMerge w:val="restart"/>
            <w:tcMar>
              <w:top w:w="0" w:type="dxa"/>
              <w:left w:w="108" w:type="dxa"/>
              <w:bottom w:w="0" w:type="dxa"/>
              <w:right w:w="108" w:type="dxa"/>
            </w:tcMar>
          </w:tcPr>
          <w:p w14:paraId="2F9D1DC2" w14:textId="04A0AB63" w:rsidR="0050619A" w:rsidRPr="0050619A" w:rsidRDefault="0050619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0619A">
              <w:rPr>
                <w:rFonts w:ascii="Times New Roman" w:hAnsi="Times New Roman"/>
                <w:sz w:val="24"/>
                <w:szCs w:val="24"/>
                <w:lang w:val="ro-RO"/>
              </w:rPr>
              <w:t>Nr. 15-341 din 21.03.2025</w:t>
            </w:r>
          </w:p>
        </w:tc>
        <w:tc>
          <w:tcPr>
            <w:tcW w:w="2327" w:type="pct"/>
            <w:tcMar>
              <w:top w:w="0" w:type="dxa"/>
              <w:left w:w="108" w:type="dxa"/>
              <w:bottom w:w="0" w:type="dxa"/>
              <w:right w:w="108" w:type="dxa"/>
            </w:tcMar>
          </w:tcPr>
          <w:p w14:paraId="5D7B4402" w14:textId="77777777" w:rsidR="0050619A" w:rsidRPr="0050619A" w:rsidRDefault="0050619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50619A">
              <w:rPr>
                <w:rFonts w:ascii="Times New Roman" w:hAnsi="Times New Roman"/>
                <w:iCs/>
                <w:color w:val="000000" w:themeColor="text1"/>
                <w:sz w:val="24"/>
                <w:szCs w:val="28"/>
                <w:lang w:val="ro-RO"/>
              </w:rPr>
              <w:t>Prin prezenta, IP Centrul Național pentru Energie Durabilă (IP CNED), cu referire la demersul Ministerului Energiei nr. 03-678 din 10 martie 2025 privind remiterea spre expertizare a proiectului proiectul de Hotărâre cu privire la modificarea unor hotărâri ale Guvernului (ajustarea cadrului normativ aferent auditului energetic și a unor măsuri de eficiență energetică implementate în cadrul unor programe de finanțare) (număr unic 75/</w:t>
            </w:r>
            <w:proofErr w:type="spellStart"/>
            <w:r w:rsidRPr="0050619A">
              <w:rPr>
                <w:rFonts w:ascii="Times New Roman" w:hAnsi="Times New Roman"/>
                <w:iCs/>
                <w:color w:val="000000" w:themeColor="text1"/>
                <w:sz w:val="24"/>
                <w:szCs w:val="28"/>
                <w:lang w:val="ro-RO"/>
              </w:rPr>
              <w:t>MEn</w:t>
            </w:r>
            <w:proofErr w:type="spellEnd"/>
            <w:r w:rsidRPr="0050619A">
              <w:rPr>
                <w:rFonts w:ascii="Times New Roman" w:hAnsi="Times New Roman"/>
                <w:iCs/>
                <w:color w:val="000000" w:themeColor="text1"/>
                <w:sz w:val="24"/>
                <w:szCs w:val="28"/>
                <w:lang w:val="ro-RO"/>
              </w:rPr>
              <w:t xml:space="preserve">/2025), în limita competențelor funcționale, solicită respectuos operarea unei modificări esențiale la proiectul de hotărâre, și anume: </w:t>
            </w:r>
          </w:p>
          <w:p w14:paraId="094CB307" w14:textId="77777777" w:rsidR="0050619A" w:rsidRPr="0050619A" w:rsidRDefault="0050619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50619A">
              <w:rPr>
                <w:rFonts w:ascii="Times New Roman" w:hAnsi="Times New Roman"/>
                <w:iCs/>
                <w:color w:val="000000" w:themeColor="text1"/>
                <w:sz w:val="24"/>
                <w:szCs w:val="28"/>
                <w:lang w:val="ro-RO"/>
              </w:rPr>
              <w:t xml:space="preserve">De inclus un nou pct. 1.4, care să prevadă: „La punctul 6 noțiunea „alocație” se modifică și va avea următorul cuprins: </w:t>
            </w:r>
          </w:p>
          <w:p w14:paraId="398B6DF9" w14:textId="2860F779" w:rsidR="0050619A" w:rsidRPr="0050619A" w:rsidRDefault="0050619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50619A">
              <w:rPr>
                <w:rFonts w:ascii="Times New Roman" w:hAnsi="Times New Roman"/>
                <w:iCs/>
                <w:color w:val="000000" w:themeColor="text1"/>
                <w:sz w:val="24"/>
                <w:szCs w:val="28"/>
                <w:lang w:val="ro-RO"/>
              </w:rPr>
              <w:t xml:space="preserve">„Alocație – ajutor financiar pentru eficientizarea consumului de resurse energetice, acordat în conformitate cu art. 5 alin. (1) lit. b) din Legea nr. 241/2022 privind Fondul de reducere a vulnerabilității energetice, destinat gospodăriei vulnerabile pentru acoperirea parțială a costurilor, cu investiția eligibilă din contul contribuției beneficiarului.” Includerea acestei modificări în proiectul hotărâre este necesară pentru a asigura corelarea </w:t>
            </w:r>
            <w:r w:rsidRPr="0050619A">
              <w:rPr>
                <w:rFonts w:ascii="Times New Roman" w:hAnsi="Times New Roman"/>
                <w:iCs/>
                <w:color w:val="000000" w:themeColor="text1"/>
                <w:sz w:val="24"/>
                <w:szCs w:val="28"/>
                <w:lang w:val="ro-RO"/>
              </w:rPr>
              <w:lastRenderedPageBreak/>
              <w:t xml:space="preserve">terminologică și juridică a programului cu prevederile Legii nr. 241/2022 și îmbunătățește claritatea mecanismului de finanțare destinat gospodăriilor vulnerabile. </w:t>
            </w:r>
          </w:p>
        </w:tc>
        <w:tc>
          <w:tcPr>
            <w:tcW w:w="1230" w:type="pct"/>
            <w:tcMar>
              <w:top w:w="0" w:type="dxa"/>
              <w:left w:w="108" w:type="dxa"/>
              <w:bottom w:w="0" w:type="dxa"/>
              <w:right w:w="108" w:type="dxa"/>
            </w:tcMar>
          </w:tcPr>
          <w:p w14:paraId="2BEBBD6E" w14:textId="77777777" w:rsidR="0050619A" w:rsidRPr="0050619A" w:rsidRDefault="0050619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0619A">
              <w:rPr>
                <w:rFonts w:ascii="Times New Roman" w:hAnsi="Times New Roman"/>
                <w:b/>
                <w:bCs/>
                <w:sz w:val="24"/>
                <w:szCs w:val="24"/>
                <w:lang w:val="ro-RO"/>
              </w:rPr>
              <w:lastRenderedPageBreak/>
              <w:t xml:space="preserve">Se acceptă parțial. </w:t>
            </w:r>
          </w:p>
          <w:p w14:paraId="343894BD" w14:textId="77777777" w:rsidR="0050619A" w:rsidRPr="0050619A" w:rsidRDefault="0050619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0619A">
              <w:rPr>
                <w:rFonts w:ascii="Times New Roman" w:hAnsi="Times New Roman"/>
                <w:sz w:val="24"/>
                <w:szCs w:val="24"/>
                <w:lang w:val="ro-RO"/>
              </w:rPr>
              <w:t>Noțiunea de alocație a fost modificată în următoarea redacție:</w:t>
            </w:r>
          </w:p>
          <w:p w14:paraId="3506C2C6" w14:textId="0BA835E4" w:rsidR="0050619A" w:rsidRPr="0050619A" w:rsidRDefault="0050619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50619A">
              <w:rPr>
                <w:rFonts w:ascii="Times New Roman" w:hAnsi="Times New Roman"/>
                <w:sz w:val="24"/>
                <w:szCs w:val="24"/>
                <w:lang w:val="ro-MD"/>
              </w:rPr>
              <w:t xml:space="preserve">„a) alocație – ajutor financiar pentru eficientizarea consumului de resurse energetice, acordat în conformitate cu art.5 alin. (1) lit. b) din Legea nr. 241/2022 privind Fondul de reducere a vulnerabilității energetice, destinat consumatorului vulnerabil de energie pentru acoperirea parțială a costurilor, cu investiția eligibilă din contul contribuției beneficiarului”.  </w:t>
            </w:r>
          </w:p>
        </w:tc>
      </w:tr>
      <w:tr w:rsidR="0050619A" w:rsidRPr="0050619A" w14:paraId="4D03B06B" w14:textId="77777777" w:rsidTr="006779A1">
        <w:tc>
          <w:tcPr>
            <w:tcW w:w="866" w:type="pct"/>
            <w:vMerge/>
            <w:tcMar>
              <w:top w:w="0" w:type="dxa"/>
              <w:left w:w="108" w:type="dxa"/>
              <w:bottom w:w="0" w:type="dxa"/>
              <w:right w:w="108" w:type="dxa"/>
            </w:tcMar>
          </w:tcPr>
          <w:p w14:paraId="1AD1E38E" w14:textId="77777777" w:rsidR="0050619A" w:rsidRDefault="0050619A"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77" w:type="pct"/>
            <w:vMerge/>
            <w:tcMar>
              <w:top w:w="0" w:type="dxa"/>
              <w:left w:w="108" w:type="dxa"/>
              <w:bottom w:w="0" w:type="dxa"/>
              <w:right w:w="108" w:type="dxa"/>
            </w:tcMar>
          </w:tcPr>
          <w:p w14:paraId="01138373" w14:textId="77777777" w:rsidR="0050619A" w:rsidRDefault="0050619A"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27" w:type="pct"/>
            <w:tcMar>
              <w:top w:w="0" w:type="dxa"/>
              <w:left w:w="108" w:type="dxa"/>
              <w:bottom w:w="0" w:type="dxa"/>
              <w:right w:w="108" w:type="dxa"/>
            </w:tcMar>
          </w:tcPr>
          <w:p w14:paraId="64A6837B" w14:textId="2193D795" w:rsidR="0050619A" w:rsidRPr="0050619A" w:rsidRDefault="0050619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50619A">
              <w:rPr>
                <w:rFonts w:ascii="Times New Roman" w:hAnsi="Times New Roman"/>
                <w:iCs/>
                <w:color w:val="000000" w:themeColor="text1"/>
                <w:sz w:val="24"/>
                <w:szCs w:val="28"/>
                <w:lang w:val="ro-RO"/>
              </w:rPr>
              <w:t xml:space="preserve">Totodată, la </w:t>
            </w:r>
            <w:proofErr w:type="spellStart"/>
            <w:r w:rsidRPr="0050619A">
              <w:rPr>
                <w:rFonts w:ascii="Times New Roman" w:hAnsi="Times New Roman"/>
                <w:iCs/>
                <w:color w:val="000000" w:themeColor="text1"/>
                <w:sz w:val="24"/>
                <w:szCs w:val="28"/>
                <w:lang w:val="ro-RO"/>
              </w:rPr>
              <w:t>pct</w:t>
            </w:r>
            <w:proofErr w:type="spellEnd"/>
            <w:r w:rsidRPr="0050619A">
              <w:rPr>
                <w:rFonts w:ascii="Times New Roman" w:hAnsi="Times New Roman"/>
                <w:iCs/>
                <w:color w:val="000000" w:themeColor="text1"/>
                <w:sz w:val="24"/>
                <w:szCs w:val="28"/>
                <w:lang w:val="ro-RO"/>
              </w:rPr>
              <w:t xml:space="preserve"> 4.7, se propune modificarea pct. 24</w:t>
            </w:r>
            <w:r w:rsidRPr="0050619A">
              <w:rPr>
                <w:rFonts w:ascii="Times New Roman" w:hAnsi="Times New Roman"/>
                <w:iCs/>
                <w:color w:val="000000" w:themeColor="text1"/>
                <w:sz w:val="24"/>
                <w:szCs w:val="28"/>
                <w:vertAlign w:val="superscript"/>
                <w:lang w:val="ro-RO"/>
              </w:rPr>
              <w:t>2</w:t>
            </w:r>
            <w:r w:rsidRPr="0050619A">
              <w:rPr>
                <w:rFonts w:ascii="Times New Roman" w:hAnsi="Times New Roman"/>
                <w:iCs/>
                <w:color w:val="000000" w:themeColor="text1"/>
                <w:sz w:val="24"/>
                <w:szCs w:val="28"/>
                <w:lang w:val="ro-RO"/>
              </w:rPr>
              <w:t xml:space="preserve"> după cum urmează: „În cazul în care în termenul prevăzut la pct. 24</w:t>
            </w:r>
            <w:r w:rsidRPr="0050619A">
              <w:rPr>
                <w:rFonts w:ascii="Times New Roman" w:hAnsi="Times New Roman"/>
                <w:iCs/>
                <w:color w:val="000000" w:themeColor="text1"/>
                <w:sz w:val="24"/>
                <w:szCs w:val="28"/>
                <w:vertAlign w:val="superscript"/>
                <w:lang w:val="ro-RO"/>
              </w:rPr>
              <w:t>1</w:t>
            </w:r>
            <w:r w:rsidRPr="0050619A">
              <w:rPr>
                <w:rFonts w:ascii="Times New Roman" w:hAnsi="Times New Roman"/>
                <w:iCs/>
                <w:color w:val="000000" w:themeColor="text1"/>
                <w:sz w:val="24"/>
                <w:szCs w:val="28"/>
                <w:lang w:val="ro-RO"/>
              </w:rPr>
              <w:t xml:space="preserve"> sau la pct. 66, auditorul energetic nu a înlăturat neconformitățile identificate, IP CNED suspendă înregistrarea […]”, cu scopul de a evita necesitatea de a informa auditorului energetic de 2 ori privind deficiențele existente în RAE până la suspendarea înregistrării în Registrul electronic. La fel, e necesar de exclus din pct. 24</w:t>
            </w:r>
            <w:r w:rsidRPr="0050619A">
              <w:rPr>
                <w:rFonts w:ascii="Times New Roman" w:hAnsi="Times New Roman"/>
                <w:iCs/>
                <w:color w:val="000000" w:themeColor="text1"/>
                <w:sz w:val="24"/>
                <w:szCs w:val="28"/>
                <w:vertAlign w:val="superscript"/>
                <w:lang w:val="ro-RO"/>
              </w:rPr>
              <w:t>1</w:t>
            </w:r>
            <w:r w:rsidRPr="0050619A">
              <w:rPr>
                <w:rFonts w:ascii="Times New Roman" w:hAnsi="Times New Roman"/>
                <w:iCs/>
                <w:color w:val="000000" w:themeColor="text1"/>
                <w:sz w:val="24"/>
                <w:szCs w:val="28"/>
                <w:lang w:val="ro-RO"/>
              </w:rPr>
              <w:t xml:space="preserve"> sintagma: „[…] și pct. 66 […]”.</w:t>
            </w:r>
          </w:p>
        </w:tc>
        <w:tc>
          <w:tcPr>
            <w:tcW w:w="1230" w:type="pct"/>
            <w:tcMar>
              <w:top w:w="0" w:type="dxa"/>
              <w:left w:w="108" w:type="dxa"/>
              <w:bottom w:w="0" w:type="dxa"/>
              <w:right w:w="108" w:type="dxa"/>
            </w:tcMar>
          </w:tcPr>
          <w:p w14:paraId="630EE212" w14:textId="617C55FF" w:rsidR="0050619A" w:rsidRPr="0050619A" w:rsidRDefault="0050619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0619A">
              <w:rPr>
                <w:rFonts w:ascii="Times New Roman" w:hAnsi="Times New Roman"/>
                <w:b/>
                <w:bCs/>
                <w:sz w:val="24"/>
                <w:szCs w:val="24"/>
                <w:lang w:val="ro-RO"/>
              </w:rPr>
              <w:t>Se acceptă.</w:t>
            </w:r>
          </w:p>
        </w:tc>
      </w:tr>
      <w:tr w:rsidR="00966CDE" w:rsidRPr="0047225B" w14:paraId="76356B57" w14:textId="77777777" w:rsidTr="006779A1">
        <w:tc>
          <w:tcPr>
            <w:tcW w:w="866" w:type="pct"/>
            <w:tcMar>
              <w:top w:w="0" w:type="dxa"/>
              <w:left w:w="108" w:type="dxa"/>
              <w:bottom w:w="0" w:type="dxa"/>
              <w:right w:w="108" w:type="dxa"/>
            </w:tcMar>
          </w:tcPr>
          <w:p w14:paraId="4111A350" w14:textId="40308C46" w:rsidR="00966CDE" w:rsidRPr="00D844FB" w:rsidRDefault="00966C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Agenția Națională pentru Reglementare în Energetică</w:t>
            </w:r>
          </w:p>
        </w:tc>
        <w:tc>
          <w:tcPr>
            <w:tcW w:w="577" w:type="pct"/>
            <w:tcMar>
              <w:top w:w="0" w:type="dxa"/>
              <w:left w:w="108" w:type="dxa"/>
              <w:bottom w:w="0" w:type="dxa"/>
              <w:right w:w="108" w:type="dxa"/>
            </w:tcMar>
          </w:tcPr>
          <w:p w14:paraId="5CB30EB9" w14:textId="15107929" w:rsidR="00966CDE" w:rsidRPr="00D844FB" w:rsidRDefault="00966CD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Nr. 03-04/975 din 24.02.2025</w:t>
            </w:r>
          </w:p>
        </w:tc>
        <w:tc>
          <w:tcPr>
            <w:tcW w:w="2327" w:type="pct"/>
            <w:tcMar>
              <w:top w:w="0" w:type="dxa"/>
              <w:left w:w="108" w:type="dxa"/>
              <w:bottom w:w="0" w:type="dxa"/>
              <w:right w:w="108" w:type="dxa"/>
            </w:tcMar>
          </w:tcPr>
          <w:p w14:paraId="5C48C72A" w14:textId="60A5A95D" w:rsidR="00966CDE" w:rsidRPr="00D844FB" w:rsidRDefault="00966CD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Agenția National ă pentru Reglementare in Energetic , cu referire la proiectul cu privire la modificarea unor hotărâri ale Guvernului (ajustarea cadrului normativ aferent auditului energetic </w:t>
            </w:r>
            <w:proofErr w:type="spellStart"/>
            <w:r w:rsidRPr="00D844FB">
              <w:rPr>
                <w:rFonts w:ascii="Times New Roman" w:hAnsi="Times New Roman"/>
                <w:iCs/>
                <w:color w:val="000000" w:themeColor="text1"/>
                <w:sz w:val="24"/>
                <w:szCs w:val="28"/>
                <w:lang w:val="ro-RO"/>
              </w:rPr>
              <w:t>şi</w:t>
            </w:r>
            <w:proofErr w:type="spellEnd"/>
            <w:r w:rsidRPr="00D844FB">
              <w:rPr>
                <w:rFonts w:ascii="Times New Roman" w:hAnsi="Times New Roman"/>
                <w:iCs/>
                <w:color w:val="000000" w:themeColor="text1"/>
                <w:sz w:val="24"/>
                <w:szCs w:val="28"/>
                <w:lang w:val="ro-RO"/>
              </w:rPr>
              <w:t xml:space="preserve"> a unor măsuri de eficiență energetică implementate in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 xml:space="preserve">/2025), remis spre avizare de către Cancelaria de Stat, comunică despre lipsa de propuneri </w:t>
            </w:r>
            <w:proofErr w:type="spellStart"/>
            <w:r w:rsidRPr="00D844FB">
              <w:rPr>
                <w:rFonts w:ascii="Times New Roman" w:hAnsi="Times New Roman"/>
                <w:iCs/>
                <w:color w:val="000000" w:themeColor="text1"/>
                <w:sz w:val="24"/>
                <w:szCs w:val="28"/>
                <w:lang w:val="ro-RO"/>
              </w:rPr>
              <w:t>şi</w:t>
            </w:r>
            <w:proofErr w:type="spellEnd"/>
            <w:r w:rsidRPr="00D844FB">
              <w:rPr>
                <w:rFonts w:ascii="Times New Roman" w:hAnsi="Times New Roman"/>
                <w:iCs/>
                <w:color w:val="000000" w:themeColor="text1"/>
                <w:sz w:val="24"/>
                <w:szCs w:val="28"/>
                <w:lang w:val="ro-RO"/>
              </w:rPr>
              <w:t xml:space="preserve"> obiecții asupra proiectului respectiv</w:t>
            </w:r>
          </w:p>
        </w:tc>
        <w:tc>
          <w:tcPr>
            <w:tcW w:w="1230" w:type="pct"/>
            <w:tcMar>
              <w:top w:w="0" w:type="dxa"/>
              <w:left w:w="108" w:type="dxa"/>
              <w:bottom w:w="0" w:type="dxa"/>
              <w:right w:w="108" w:type="dxa"/>
            </w:tcMar>
          </w:tcPr>
          <w:p w14:paraId="6F0D8F0A" w14:textId="615F5EEF" w:rsidR="00966CDE" w:rsidRPr="00D844FB" w:rsidRDefault="00966C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ia act de informare.</w:t>
            </w:r>
          </w:p>
        </w:tc>
      </w:tr>
      <w:tr w:rsidR="00B82BCE" w:rsidRPr="0047225B" w14:paraId="2D5D50B3" w14:textId="77777777" w:rsidTr="006779A1">
        <w:tc>
          <w:tcPr>
            <w:tcW w:w="866" w:type="pct"/>
            <w:tcMar>
              <w:top w:w="0" w:type="dxa"/>
              <w:left w:w="108" w:type="dxa"/>
              <w:bottom w:w="0" w:type="dxa"/>
              <w:right w:w="108" w:type="dxa"/>
            </w:tcMar>
          </w:tcPr>
          <w:p w14:paraId="796EA106" w14:textId="08F1CD31" w:rsidR="00B82BCE" w:rsidRPr="00D844FB" w:rsidRDefault="00B82BC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Ministerul Infrastructurii și Dezvoltării Regionale</w:t>
            </w:r>
          </w:p>
        </w:tc>
        <w:tc>
          <w:tcPr>
            <w:tcW w:w="577" w:type="pct"/>
            <w:tcMar>
              <w:top w:w="0" w:type="dxa"/>
              <w:left w:w="108" w:type="dxa"/>
              <w:bottom w:w="0" w:type="dxa"/>
              <w:right w:w="108" w:type="dxa"/>
            </w:tcMar>
          </w:tcPr>
          <w:p w14:paraId="24244D48" w14:textId="66DE9D73" w:rsidR="00B82BCE" w:rsidRPr="00D844FB" w:rsidRDefault="00B82BC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Nr. 21-962 din 24.02.2025</w:t>
            </w:r>
          </w:p>
        </w:tc>
        <w:tc>
          <w:tcPr>
            <w:tcW w:w="2327" w:type="pct"/>
            <w:tcMar>
              <w:top w:w="0" w:type="dxa"/>
              <w:left w:w="108" w:type="dxa"/>
              <w:bottom w:w="0" w:type="dxa"/>
              <w:right w:w="108" w:type="dxa"/>
            </w:tcMar>
          </w:tcPr>
          <w:p w14:paraId="5FF3D38F" w14:textId="77777777"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Ca urmare a examinării proiectului de hotărâre a Guvernului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 xml:space="preserve">/2025), în limitele competențelor funcționale, comunicăm următoarele. </w:t>
            </w:r>
          </w:p>
          <w:p w14:paraId="53F8E633" w14:textId="77777777"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Prin proiectul de hotărâre înaintat, se propune modificarea a 3 acte ale Guvernului, și anume: Hotărârea Guvernului nr.251/2024 cu privire la aprobarea Programului de finanțare „Fondul pentru eficiență energetică în sectorul rezidențial din Republica </w:t>
            </w:r>
            <w:r w:rsidRPr="00D844FB">
              <w:rPr>
                <w:rFonts w:ascii="Times New Roman" w:hAnsi="Times New Roman"/>
                <w:iCs/>
                <w:color w:val="000000" w:themeColor="text1"/>
                <w:sz w:val="24"/>
                <w:szCs w:val="28"/>
                <w:lang w:val="ro-RO"/>
              </w:rPr>
              <w:lastRenderedPageBreak/>
              <w:t xml:space="preserve">Moldova”, Hotărârea Guvernului nr.533/2024 privind aprobarea Regulamentului cu privire la modul de operare și funcționare a Programului de acordare a ajutorului financiar pentru eficientizarea consumului de resurse energetice (Programul de vouchere pentru electrocasnice) și Hotărârea Guvernului nr.676/2020 pentru aprobarea Regulamentului cu privire la auditorii energetici și auditul energetic, în vederea ajustării cadrului normativ subsecvent la recentele modificări operate, la nivel primar, prin Legea nr.255/2024 pentru modificarea Legii nr.241/2022 privind Fondul de reducere a vulnerabilității energetice.  </w:t>
            </w:r>
          </w:p>
          <w:p w14:paraId="482D504B" w14:textId="77777777"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Totodată, prin modificările propuse pe marginea Hotărârii Guvernului nr.676/2020, autorul creează instrumentele necesare pentru sporirea calității rapoartelor de audit energetic, precum și a gradului de responsabilitate al auditorilor energetici, în raport cu activitatea desfășurată, deziderat pe care-l susținem, cu succinte propuneri de îmbunătățire, după cum urmează. </w:t>
            </w:r>
          </w:p>
          <w:p w14:paraId="5488380E" w14:textId="77777777"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Astfel, actuala redacție a capitolului III secțiunea a 2-a din Regulamentul cu privire la auditorii energetici și auditul energetic, aprobat prin Hotărârea Guvernului nr.676/2020, să fie completată cu un punct separat ce prevede faptul că: Pentru încălcarea prevederilor legislației cu privire la eficiența energetică, a unor norme ale Codului de conduită al auditorilor energetici, pentru prezentarea cu bună știință a unor concluzii false în raportul de audit energetic, pentru pagubele materiale cauzate, contravențiile sau infracțiunile săvârșite în urma prestării serviciilor sau în legătură cu exercitarea atribuțiilor sale, auditorul energetic sau grupul de auditori energetici poartă răspundere disciplinară, civilă, contravențională sau penală, după caz. </w:t>
            </w:r>
          </w:p>
          <w:p w14:paraId="5E85E6E6" w14:textId="77777777"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lastRenderedPageBreak/>
              <w:t xml:space="preserve">Această propunere se exprimă ca o continuitate/completare a normei prevăzute la pct.66, care stabilește sancțiunea radierii auditorului energetic din Registrul electronic al auditorilor energetici dacă se constată, de către Centru, că auditul energetic nu corespunde criteriilor și cerințelor de calitate și dacă acesta refuză să respecte și să implementeze recomandările Centrului referitor la îmbunătățirea calității raportului de audit energetic. </w:t>
            </w:r>
          </w:p>
          <w:p w14:paraId="1FB57E6D" w14:textId="08DB4229" w:rsidR="00B82BCE" w:rsidRPr="00D844FB" w:rsidRDefault="00B82BCE"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Or, este imperioasă răspunderea auditorului energetic/grupului de auditori energetici pentru încălcările comise în exercițiul atribuțiilor funcționale, în vederea responsabilizării acestora, în condițiile în care, după radiere, pentru (re)înregistrare în Registrul electronic al auditorilor energetici, auditorul energetic poate prezenta un certificat (care face dovada absolvirii unui curs de formare/perfecționare profesională continuă cu o durată minimă de 30 ore) și respectiv, acesta își poate relua sau continua activitatea.</w:t>
            </w:r>
          </w:p>
        </w:tc>
        <w:tc>
          <w:tcPr>
            <w:tcW w:w="1230" w:type="pct"/>
            <w:tcMar>
              <w:top w:w="0" w:type="dxa"/>
              <w:left w:w="108" w:type="dxa"/>
              <w:bottom w:w="0" w:type="dxa"/>
              <w:right w:w="108" w:type="dxa"/>
            </w:tcMar>
          </w:tcPr>
          <w:p w14:paraId="107CF38E" w14:textId="77777777" w:rsidR="00B82BCE" w:rsidRPr="00D844FB" w:rsidRDefault="00B82BCE"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b/>
                <w:bCs/>
                <w:sz w:val="24"/>
                <w:szCs w:val="24"/>
                <w:lang w:val="ro-RO"/>
              </w:rPr>
              <w:lastRenderedPageBreak/>
              <w:t xml:space="preserve">Nu se acceptă. </w:t>
            </w:r>
            <w:r w:rsidRPr="00D844FB">
              <w:rPr>
                <w:rFonts w:ascii="Times New Roman" w:hAnsi="Times New Roman"/>
                <w:sz w:val="24"/>
                <w:szCs w:val="24"/>
                <w:lang w:val="ro-RO"/>
              </w:rPr>
              <w:t xml:space="preserve">Conform prevederilor </w:t>
            </w:r>
            <w:r w:rsidR="002A2E4E" w:rsidRPr="00D844FB">
              <w:rPr>
                <w:rFonts w:ascii="Times New Roman" w:hAnsi="Times New Roman"/>
                <w:sz w:val="24"/>
                <w:szCs w:val="24"/>
                <w:lang w:val="ro-RO"/>
              </w:rPr>
              <w:t xml:space="preserve">art. 20 alin. (2) și (3) din Legea nr. 139/2018 cu privire la eficiența energetică serviciile de audit energetic sunt prestate în baza contractului încheiat între beneficiar și o societate comercială care a angajat unul sau mai mulți auditori energetici înregistrați în Registrul electronic al auditorilor energetici. </w:t>
            </w:r>
            <w:r w:rsidR="002A2E4E" w:rsidRPr="00D844FB">
              <w:rPr>
                <w:rFonts w:ascii="Times New Roman" w:hAnsi="Times New Roman"/>
                <w:sz w:val="24"/>
                <w:szCs w:val="24"/>
                <w:lang w:val="ro-RO"/>
              </w:rPr>
              <w:lastRenderedPageBreak/>
              <w:t>Totodată, societatea comercială care a încheiat contractul de audit energetic poartă răspundere, în raport cu beneficiarul, pentru prejudiciul cauzat prin auditul energetic efectuat, prin serviciile de consultanță neadecvate și/sau prin divulgarea informației confidențiale. Auditorul energetic poartă răspundere, în raport cu societatea comercială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w:t>
            </w:r>
          </w:p>
          <w:p w14:paraId="10BFE914" w14:textId="3EB73CB5" w:rsidR="000E0DDF" w:rsidRPr="00D844FB" w:rsidRDefault="000E0DDF"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 xml:space="preserve">Mai mult ca </w:t>
            </w:r>
            <w:proofErr w:type="spellStart"/>
            <w:r w:rsidRPr="00D844FB">
              <w:rPr>
                <w:rFonts w:ascii="Times New Roman" w:hAnsi="Times New Roman"/>
                <w:sz w:val="24"/>
                <w:szCs w:val="24"/>
                <w:lang w:val="ro-RO"/>
              </w:rPr>
              <w:t>atît</w:t>
            </w:r>
            <w:proofErr w:type="spellEnd"/>
            <w:r w:rsidRPr="00D844FB">
              <w:rPr>
                <w:rFonts w:ascii="Times New Roman" w:hAnsi="Times New Roman"/>
                <w:sz w:val="24"/>
                <w:szCs w:val="24"/>
                <w:lang w:val="ro-RO"/>
              </w:rPr>
              <w:t xml:space="preserve"> IP CNED care are atribuții de calificare și înscriere în Registru a auditorilor energetici, însă nu are atribuții de constatare și aplicare a contravențiilor, aceste atribuții fiind specifice unei autorități administrative și nicidecum unei Instituții Publice.</w:t>
            </w:r>
            <w:r w:rsidRPr="00D844FB">
              <w:rPr>
                <w:rFonts w:ascii="Times New Roman" w:hAnsi="Times New Roman"/>
                <w:sz w:val="24"/>
                <w:szCs w:val="24"/>
                <w:lang w:val="pt-BR"/>
              </w:rPr>
              <w:t xml:space="preserve">   </w:t>
            </w:r>
          </w:p>
        </w:tc>
      </w:tr>
      <w:tr w:rsidR="00B82BCE" w:rsidRPr="0047225B" w14:paraId="0E8A9631" w14:textId="77777777" w:rsidTr="006779A1">
        <w:tc>
          <w:tcPr>
            <w:tcW w:w="866" w:type="pct"/>
            <w:tcMar>
              <w:top w:w="0" w:type="dxa"/>
              <w:left w:w="108" w:type="dxa"/>
              <w:bottom w:w="0" w:type="dxa"/>
              <w:right w:w="108" w:type="dxa"/>
            </w:tcMar>
          </w:tcPr>
          <w:p w14:paraId="368A4F8F" w14:textId="204534B4" w:rsidR="00B82BCE" w:rsidRPr="00D844FB" w:rsidRDefault="00B82BC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Ministerul Mediului</w:t>
            </w:r>
          </w:p>
        </w:tc>
        <w:tc>
          <w:tcPr>
            <w:tcW w:w="577" w:type="pct"/>
            <w:tcMar>
              <w:top w:w="0" w:type="dxa"/>
              <w:left w:w="108" w:type="dxa"/>
              <w:bottom w:w="0" w:type="dxa"/>
              <w:right w:w="108" w:type="dxa"/>
            </w:tcMar>
          </w:tcPr>
          <w:p w14:paraId="731ADEFD" w14:textId="7594E679" w:rsidR="00B82BCE" w:rsidRPr="00D844FB" w:rsidRDefault="00B82BC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rPr>
              <w:t>Nr.13-05/511 din 24.02.2025</w:t>
            </w:r>
          </w:p>
        </w:tc>
        <w:tc>
          <w:tcPr>
            <w:tcW w:w="2327" w:type="pct"/>
            <w:tcMar>
              <w:top w:w="0" w:type="dxa"/>
              <w:left w:w="108" w:type="dxa"/>
              <w:bottom w:w="0" w:type="dxa"/>
              <w:right w:w="108" w:type="dxa"/>
            </w:tcMar>
          </w:tcPr>
          <w:p w14:paraId="68E97908" w14:textId="719B6A24" w:rsidR="00B82BCE" w:rsidRPr="00D844FB" w:rsidRDefault="00B82BC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În contextul examinării proiectului hotărârii Guvernului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/2025), Vă comunicăm lipsa propunerilor și obiecțiilor.</w:t>
            </w:r>
          </w:p>
        </w:tc>
        <w:tc>
          <w:tcPr>
            <w:tcW w:w="1230" w:type="pct"/>
            <w:tcMar>
              <w:top w:w="0" w:type="dxa"/>
              <w:left w:w="108" w:type="dxa"/>
              <w:bottom w:w="0" w:type="dxa"/>
              <w:right w:w="108" w:type="dxa"/>
            </w:tcMar>
          </w:tcPr>
          <w:p w14:paraId="5FD5221D" w14:textId="356BE8B1" w:rsidR="00B82BCE" w:rsidRPr="00D844FB" w:rsidRDefault="00B82BC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ia act de informare</w:t>
            </w:r>
            <w:r w:rsidR="00785F57" w:rsidRPr="00D844FB">
              <w:rPr>
                <w:rFonts w:ascii="Times New Roman" w:hAnsi="Times New Roman"/>
                <w:b/>
                <w:bCs/>
                <w:sz w:val="24"/>
                <w:szCs w:val="24"/>
                <w:lang w:val="ro-RO"/>
              </w:rPr>
              <w:t>.</w:t>
            </w:r>
          </w:p>
        </w:tc>
      </w:tr>
      <w:tr w:rsidR="00785F57" w:rsidRPr="0047225B" w14:paraId="477EFA18" w14:textId="77777777" w:rsidTr="006779A1">
        <w:tc>
          <w:tcPr>
            <w:tcW w:w="866" w:type="pct"/>
            <w:tcMar>
              <w:top w:w="0" w:type="dxa"/>
              <w:left w:w="108" w:type="dxa"/>
              <w:bottom w:w="0" w:type="dxa"/>
              <w:right w:w="108" w:type="dxa"/>
            </w:tcMar>
          </w:tcPr>
          <w:p w14:paraId="1E8CA8CC" w14:textId="0604C65E" w:rsidR="00785F57" w:rsidRPr="00D844FB" w:rsidRDefault="00785F5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Ministerul Dezvoltării Economice și Digitalizării al Republicii Moldova</w:t>
            </w:r>
          </w:p>
        </w:tc>
        <w:tc>
          <w:tcPr>
            <w:tcW w:w="577" w:type="pct"/>
            <w:tcMar>
              <w:top w:w="0" w:type="dxa"/>
              <w:left w:w="108" w:type="dxa"/>
              <w:bottom w:w="0" w:type="dxa"/>
              <w:right w:w="108" w:type="dxa"/>
            </w:tcMar>
          </w:tcPr>
          <w:p w14:paraId="15345767" w14:textId="1F4FB543" w:rsidR="00785F57" w:rsidRPr="00D844FB" w:rsidRDefault="00785F5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D844FB">
              <w:rPr>
                <w:rFonts w:ascii="Times New Roman" w:hAnsi="Times New Roman"/>
                <w:sz w:val="24"/>
                <w:szCs w:val="24"/>
              </w:rPr>
              <w:t>Nr.03-642 din 27.02.2025</w:t>
            </w:r>
          </w:p>
        </w:tc>
        <w:tc>
          <w:tcPr>
            <w:tcW w:w="2327" w:type="pct"/>
            <w:tcMar>
              <w:top w:w="0" w:type="dxa"/>
              <w:left w:w="108" w:type="dxa"/>
              <w:bottom w:w="0" w:type="dxa"/>
              <w:right w:w="108" w:type="dxa"/>
            </w:tcMar>
          </w:tcPr>
          <w:p w14:paraId="1409D43A" w14:textId="6E5C212A" w:rsidR="00785F57" w:rsidRPr="00D844FB" w:rsidRDefault="00785F57"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Cu referire la proiectul de hotărâre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/2025), în limita competențelor funcționale, comunicăm lipsa obiecțiilor și propunerilor.</w:t>
            </w:r>
          </w:p>
        </w:tc>
        <w:tc>
          <w:tcPr>
            <w:tcW w:w="1230" w:type="pct"/>
            <w:tcMar>
              <w:top w:w="0" w:type="dxa"/>
              <w:left w:w="108" w:type="dxa"/>
              <w:bottom w:w="0" w:type="dxa"/>
              <w:right w:w="108" w:type="dxa"/>
            </w:tcMar>
          </w:tcPr>
          <w:p w14:paraId="581F6553" w14:textId="11138898" w:rsidR="00785F57" w:rsidRPr="00D844FB" w:rsidRDefault="00785F5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ia act de informare.</w:t>
            </w:r>
          </w:p>
        </w:tc>
      </w:tr>
      <w:tr w:rsidR="00EE6779" w:rsidRPr="00D844FB" w14:paraId="6864D711" w14:textId="77777777" w:rsidTr="006779A1">
        <w:tc>
          <w:tcPr>
            <w:tcW w:w="866" w:type="pct"/>
            <w:vMerge w:val="restart"/>
            <w:tcMar>
              <w:top w:w="0" w:type="dxa"/>
              <w:left w:w="108" w:type="dxa"/>
              <w:bottom w:w="0" w:type="dxa"/>
              <w:right w:w="108" w:type="dxa"/>
            </w:tcMar>
          </w:tcPr>
          <w:p w14:paraId="3FCA36BE" w14:textId="635DD358" w:rsidR="00EE6779" w:rsidRPr="00D844FB" w:rsidRDefault="00EE677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Ministerul Muncii și Protecției Sociale</w:t>
            </w:r>
          </w:p>
        </w:tc>
        <w:tc>
          <w:tcPr>
            <w:tcW w:w="577" w:type="pct"/>
            <w:vMerge w:val="restart"/>
            <w:tcMar>
              <w:top w:w="0" w:type="dxa"/>
              <w:left w:w="108" w:type="dxa"/>
              <w:bottom w:w="0" w:type="dxa"/>
              <w:right w:w="108" w:type="dxa"/>
            </w:tcMar>
          </w:tcPr>
          <w:p w14:paraId="4BA2E4B9" w14:textId="02CDBB8B" w:rsidR="00EE6779" w:rsidRPr="00D844FB" w:rsidRDefault="000B1D0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proofErr w:type="spellStart"/>
            <w:r>
              <w:rPr>
                <w:rFonts w:ascii="Times New Roman" w:hAnsi="Times New Roman"/>
                <w:sz w:val="24"/>
                <w:szCs w:val="24"/>
                <w:lang w:val="pt-BR"/>
              </w:rPr>
              <w:t>Nr</w:t>
            </w:r>
            <w:proofErr w:type="spellEnd"/>
            <w:r>
              <w:rPr>
                <w:rFonts w:ascii="Times New Roman" w:hAnsi="Times New Roman"/>
                <w:sz w:val="24"/>
                <w:szCs w:val="24"/>
                <w:lang w:val="pt-BR"/>
              </w:rPr>
              <w:t xml:space="preserve">. </w:t>
            </w:r>
            <w:r w:rsidR="00EE6779" w:rsidRPr="00D844FB">
              <w:rPr>
                <w:rFonts w:ascii="Times New Roman" w:hAnsi="Times New Roman"/>
                <w:sz w:val="24"/>
                <w:szCs w:val="24"/>
                <w:lang w:val="pt-BR"/>
              </w:rPr>
              <w:t xml:space="preserve">17/1040 </w:t>
            </w:r>
            <w:proofErr w:type="spellStart"/>
            <w:r w:rsidR="00EE6779" w:rsidRPr="00D844FB">
              <w:rPr>
                <w:rFonts w:ascii="Times New Roman" w:hAnsi="Times New Roman"/>
                <w:sz w:val="24"/>
                <w:szCs w:val="24"/>
                <w:lang w:val="pt-BR"/>
              </w:rPr>
              <w:t>din</w:t>
            </w:r>
            <w:proofErr w:type="spellEnd"/>
            <w:r w:rsidR="00EE6779" w:rsidRPr="00D844FB">
              <w:rPr>
                <w:rFonts w:ascii="Times New Roman" w:hAnsi="Times New Roman"/>
                <w:sz w:val="24"/>
                <w:szCs w:val="24"/>
                <w:lang w:val="pt-BR"/>
              </w:rPr>
              <w:t xml:space="preserve"> 28.02.2025</w:t>
            </w:r>
          </w:p>
        </w:tc>
        <w:tc>
          <w:tcPr>
            <w:tcW w:w="2327" w:type="pct"/>
            <w:tcMar>
              <w:top w:w="0" w:type="dxa"/>
              <w:left w:w="108" w:type="dxa"/>
              <w:bottom w:w="0" w:type="dxa"/>
              <w:right w:w="108" w:type="dxa"/>
            </w:tcMar>
          </w:tcPr>
          <w:p w14:paraId="66002BEA"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Ministerul Muncii și Protecției Sociale a examinat demersul Cancelariei de Stat nr. 1869-1438 din 10.02.2025 cu privire la avizarea proiectului Hotărârii de Guvern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 xml:space="preserve">/2025) și în limita competenței funcționale, comunică susținerea proiectului cu unele propuneri. </w:t>
            </w:r>
          </w:p>
          <w:p w14:paraId="00869117"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La pct. 2.1 din hotărâre: la subpunctul 8.1., textul “determinată în conformitate cu Hotărârea Guvernului Nr. 816/2024 pentru aprobarea Regulamentului cu privire la acordarea compensațiilor la energie sub formă de plată monetară” se propune de exclus.</w:t>
            </w:r>
          </w:p>
          <w:p w14:paraId="56E15803"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b/>
                <w:bCs/>
                <w:iCs/>
                <w:color w:val="000000" w:themeColor="text1"/>
                <w:sz w:val="24"/>
                <w:szCs w:val="28"/>
                <w:lang w:val="ro-RO"/>
              </w:rPr>
              <w:t xml:space="preserve">Argumentare </w:t>
            </w:r>
            <w:r w:rsidRPr="00D844FB">
              <w:rPr>
                <w:rFonts w:ascii="Times New Roman" w:hAnsi="Times New Roman"/>
                <w:iCs/>
                <w:color w:val="000000" w:themeColor="text1"/>
                <w:sz w:val="24"/>
                <w:szCs w:val="28"/>
                <w:lang w:val="ro-RO"/>
              </w:rPr>
              <w:t xml:space="preserve">Valoarea compensației la energie sub formă de plată monetară achitată per consumator casnic pentru sursa principală de încălzire, prin intermediul Fondului de reducere a vulnerabilității energetice, se calculează individual potrivit formulelor de calcul aprobate prin HG 817/2024 privind aprobarea formulelor de calcul ale compensației la energie sub formă de plată monetară, stabilirea normelor pentru costul energiei în perioada rece a anului și a nivelului minimului de cheltuieli al gospodăriei casnice, pentru consumatorii casnici, pentru perioada noiembrie 2024 – ianuarie 2025. </w:t>
            </w:r>
          </w:p>
          <w:p w14:paraId="2704DB2F"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Suplimentar, menționăm că în proces de avizare se află proiectul Hotărârii Guvernului privind aprobarea formulelor de calcul ale compensației la energie sub formă de plată monetară, stabilirea normelor pentru costul energiei în perioada rece a anului și a nivelului minimului de cheltuieli al gospodăriei casnice, pentru consumatorii casnici, pentru perioada februarie - martie 2025 </w:t>
            </w:r>
            <w:r w:rsidRPr="00D844FB">
              <w:rPr>
                <w:rFonts w:ascii="Times New Roman" w:hAnsi="Times New Roman"/>
                <w:iCs/>
                <w:color w:val="000000" w:themeColor="text1"/>
                <w:sz w:val="24"/>
                <w:szCs w:val="28"/>
                <w:lang w:val="ro-RO"/>
              </w:rPr>
              <w:lastRenderedPageBreak/>
              <w:t xml:space="preserve">(acordarea compensațiilor la energie sub formă de plată monetară) (număr unic 105/MMPS/2025). </w:t>
            </w:r>
          </w:p>
          <w:p w14:paraId="432D74E8" w14:textId="1DFA5112"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Prin urmare, trimiterea la Hotărârea Guvernului nr. 816/2024 nu este posibilă. În plus, având în vedere că actul normativ a fost elaborat doar pentru perioadele aferente lunilor noiembrie 2024 - ianuarie 2025, se propune ca în prevederea respectivă să nu se facă referire directă la acest act. Totodată, textul proiectului deja precizează că datele vor fi extrase din SIVE.  </w:t>
            </w:r>
          </w:p>
        </w:tc>
        <w:tc>
          <w:tcPr>
            <w:tcW w:w="1230" w:type="pct"/>
            <w:tcMar>
              <w:top w:w="0" w:type="dxa"/>
              <w:left w:w="108" w:type="dxa"/>
              <w:bottom w:w="0" w:type="dxa"/>
              <w:right w:w="108" w:type="dxa"/>
            </w:tcMar>
          </w:tcPr>
          <w:p w14:paraId="41EAD11B" w14:textId="2A2BE64A" w:rsidR="00EE6779" w:rsidRPr="00D844FB" w:rsidRDefault="000B27B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 xml:space="preserve">Se acceptă. </w:t>
            </w:r>
          </w:p>
        </w:tc>
      </w:tr>
      <w:tr w:rsidR="00EE6779" w:rsidRPr="00D844FB" w14:paraId="33ABA09D" w14:textId="77777777" w:rsidTr="006779A1">
        <w:tc>
          <w:tcPr>
            <w:tcW w:w="866" w:type="pct"/>
            <w:vMerge/>
            <w:tcMar>
              <w:top w:w="0" w:type="dxa"/>
              <w:left w:w="108" w:type="dxa"/>
              <w:bottom w:w="0" w:type="dxa"/>
              <w:right w:w="108" w:type="dxa"/>
            </w:tcMar>
          </w:tcPr>
          <w:p w14:paraId="4E089A83" w14:textId="77777777" w:rsidR="00EE6779" w:rsidRPr="00D844FB" w:rsidRDefault="00EE677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B1C79F1" w14:textId="77777777" w:rsidR="00EE6779" w:rsidRPr="00D844FB" w:rsidRDefault="00EE677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p>
        </w:tc>
        <w:tc>
          <w:tcPr>
            <w:tcW w:w="2327" w:type="pct"/>
            <w:tcMar>
              <w:top w:w="0" w:type="dxa"/>
              <w:left w:w="108" w:type="dxa"/>
              <w:bottom w:w="0" w:type="dxa"/>
              <w:right w:w="108" w:type="dxa"/>
            </w:tcMar>
          </w:tcPr>
          <w:p w14:paraId="42614FD3"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subpunctele 8.5., 8.6., 8.7., 8.8. și 8.9. se propun de expus în următoarea redacție: </w:t>
            </w:r>
          </w:p>
          <w:p w14:paraId="7B2D4E4E"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„8.5. consumul mediu lunar de energie electrică pentru perioada rece a anului precedent în </w:t>
            </w:r>
            <w:proofErr w:type="spellStart"/>
            <w:r w:rsidRPr="00D844FB">
              <w:rPr>
                <w:rFonts w:ascii="Times New Roman" w:hAnsi="Times New Roman"/>
                <w:iCs/>
                <w:color w:val="000000" w:themeColor="text1"/>
                <w:sz w:val="24"/>
                <w:szCs w:val="28"/>
                <w:lang w:val="ro-RO"/>
              </w:rPr>
              <w:t>Kw</w:t>
            </w:r>
            <w:proofErr w:type="spellEnd"/>
            <w:r w:rsidRPr="00D844FB">
              <w:rPr>
                <w:rFonts w:ascii="Times New Roman" w:hAnsi="Times New Roman"/>
                <w:iCs/>
                <w:color w:val="000000" w:themeColor="text1"/>
                <w:sz w:val="24"/>
                <w:szCs w:val="28"/>
                <w:lang w:val="ro-RO"/>
              </w:rPr>
              <w:t xml:space="preserve">/h; </w:t>
            </w:r>
          </w:p>
          <w:p w14:paraId="75CC8B9F"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8.6. numărul de copii în cadrul gospodăriei casnice conform datelor din SIVE; </w:t>
            </w:r>
          </w:p>
          <w:p w14:paraId="2367878D"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8.7. numărul de persoane cu dizabilități severe în cadrul gospodăriei casnice conform datelor din SIVE; </w:t>
            </w:r>
          </w:p>
          <w:p w14:paraId="743615A6"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8.8. numărul de persoane cu vârsta mai mare de 63 de ani conform datelor din SIVE; </w:t>
            </w:r>
          </w:p>
          <w:p w14:paraId="4E7EF109" w14:textId="55C7FCB2"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8.9. adresa gospodăriei casnice conform datelor din SIVE.”</w:t>
            </w:r>
          </w:p>
        </w:tc>
        <w:tc>
          <w:tcPr>
            <w:tcW w:w="1230" w:type="pct"/>
            <w:tcMar>
              <w:top w:w="0" w:type="dxa"/>
              <w:left w:w="108" w:type="dxa"/>
              <w:bottom w:w="0" w:type="dxa"/>
              <w:right w:w="108" w:type="dxa"/>
            </w:tcMar>
          </w:tcPr>
          <w:p w14:paraId="76F1C1FB" w14:textId="728CF408" w:rsidR="00EE6779" w:rsidRPr="00D844FB" w:rsidRDefault="000B213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r w:rsidR="00351DD9" w:rsidRPr="00D844FB">
              <w:rPr>
                <w:rFonts w:ascii="Times New Roman" w:hAnsi="Times New Roman"/>
                <w:b/>
                <w:bCs/>
                <w:sz w:val="24"/>
                <w:szCs w:val="24"/>
                <w:lang w:val="ro-RO"/>
              </w:rPr>
              <w:t xml:space="preserve"> parțial. </w:t>
            </w:r>
            <w:r w:rsidR="00351DD9" w:rsidRPr="00D844FB">
              <w:rPr>
                <w:rFonts w:ascii="Times New Roman" w:hAnsi="Times New Roman"/>
                <w:sz w:val="24"/>
                <w:szCs w:val="24"/>
                <w:lang w:val="ro-RO"/>
              </w:rPr>
              <w:t xml:space="preserve">Propunerile de completare a </w:t>
            </w:r>
            <w:proofErr w:type="spellStart"/>
            <w:r w:rsidR="00351DD9" w:rsidRPr="00D844FB">
              <w:rPr>
                <w:rFonts w:ascii="Times New Roman" w:hAnsi="Times New Roman"/>
                <w:sz w:val="24"/>
                <w:szCs w:val="24"/>
                <w:lang w:val="ro-RO"/>
              </w:rPr>
              <w:t>subpct</w:t>
            </w:r>
            <w:proofErr w:type="spellEnd"/>
            <w:r w:rsidR="00351DD9" w:rsidRPr="00D844FB">
              <w:rPr>
                <w:rFonts w:ascii="Times New Roman" w:hAnsi="Times New Roman"/>
                <w:sz w:val="24"/>
                <w:szCs w:val="24"/>
                <w:lang w:val="ro-RO"/>
              </w:rPr>
              <w:t>. 8.5-8.9 au fost acceptate cu mici ajustări.</w:t>
            </w:r>
          </w:p>
        </w:tc>
      </w:tr>
      <w:tr w:rsidR="00EE6779" w:rsidRPr="0047225B" w14:paraId="36F1CAE7" w14:textId="77777777" w:rsidTr="006779A1">
        <w:tc>
          <w:tcPr>
            <w:tcW w:w="866" w:type="pct"/>
            <w:vMerge/>
            <w:tcMar>
              <w:top w:w="0" w:type="dxa"/>
              <w:left w:w="108" w:type="dxa"/>
              <w:bottom w:w="0" w:type="dxa"/>
              <w:right w:w="108" w:type="dxa"/>
            </w:tcMar>
          </w:tcPr>
          <w:p w14:paraId="5E76CC80" w14:textId="77777777" w:rsidR="00EE6779" w:rsidRPr="00D844FB" w:rsidRDefault="00EE677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E902D56" w14:textId="77777777" w:rsidR="00EE6779" w:rsidRPr="00D844FB" w:rsidRDefault="00EE677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p>
        </w:tc>
        <w:tc>
          <w:tcPr>
            <w:tcW w:w="2327" w:type="pct"/>
            <w:tcMar>
              <w:top w:w="0" w:type="dxa"/>
              <w:left w:w="108" w:type="dxa"/>
              <w:bottom w:w="0" w:type="dxa"/>
              <w:right w:w="108" w:type="dxa"/>
            </w:tcMar>
          </w:tcPr>
          <w:p w14:paraId="4C27EB39" w14:textId="603CC7D1"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Se propune completarea punctului 8, la final cu următorul text: „Pentru criteriile indicate la subpunctele 8.6., 8.7. și 8.8., vor fi consumate prin intermediul platformei de interoperabilitate (</w:t>
            </w:r>
            <w:proofErr w:type="spellStart"/>
            <w:r w:rsidRPr="00D844FB">
              <w:rPr>
                <w:rFonts w:ascii="Times New Roman" w:hAnsi="Times New Roman"/>
                <w:iCs/>
                <w:color w:val="000000" w:themeColor="text1"/>
                <w:sz w:val="24"/>
                <w:szCs w:val="28"/>
                <w:lang w:val="ro-RO"/>
              </w:rPr>
              <w:t>MConnect</w:t>
            </w:r>
            <w:proofErr w:type="spellEnd"/>
            <w:r w:rsidRPr="00D844FB">
              <w:rPr>
                <w:rFonts w:ascii="Times New Roman" w:hAnsi="Times New Roman"/>
                <w:iCs/>
                <w:color w:val="000000" w:themeColor="text1"/>
                <w:sz w:val="24"/>
                <w:szCs w:val="28"/>
                <w:lang w:val="ro-RO"/>
              </w:rPr>
              <w:t xml:space="preserve">) și actualizate următoarele date:  a) </w:t>
            </w:r>
            <w:bookmarkStart w:id="0" w:name="_Hlk191888835"/>
            <w:r w:rsidRPr="00D844FB">
              <w:rPr>
                <w:rFonts w:ascii="Times New Roman" w:hAnsi="Times New Roman"/>
                <w:iCs/>
                <w:color w:val="000000" w:themeColor="text1"/>
                <w:sz w:val="24"/>
                <w:szCs w:val="28"/>
                <w:lang w:val="ro-RO"/>
              </w:rPr>
              <w:t>data luna anul nașterii al solicitanților și membrii gospodăriilor; b) gradul de dizabilitate sever al solicitanților și membrii gospodăriilor</w:t>
            </w:r>
            <w:bookmarkEnd w:id="0"/>
            <w:r w:rsidRPr="00D844FB">
              <w:rPr>
                <w:rFonts w:ascii="Times New Roman" w:hAnsi="Times New Roman"/>
                <w:iCs/>
                <w:color w:val="000000" w:themeColor="text1"/>
                <w:sz w:val="24"/>
                <w:szCs w:val="28"/>
                <w:lang w:val="ro-RO"/>
              </w:rPr>
              <w:t>.”</w:t>
            </w:r>
          </w:p>
        </w:tc>
        <w:tc>
          <w:tcPr>
            <w:tcW w:w="1230" w:type="pct"/>
            <w:tcMar>
              <w:top w:w="0" w:type="dxa"/>
              <w:left w:w="108" w:type="dxa"/>
              <w:bottom w:w="0" w:type="dxa"/>
              <w:right w:w="108" w:type="dxa"/>
            </w:tcMar>
          </w:tcPr>
          <w:p w14:paraId="3277BF47" w14:textId="1F32B219" w:rsidR="00EE6779" w:rsidRPr="00D844FB" w:rsidRDefault="004E1900"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Nu s</w:t>
            </w:r>
            <w:r w:rsidR="00352B8D" w:rsidRPr="00D844FB">
              <w:rPr>
                <w:rFonts w:ascii="Times New Roman" w:hAnsi="Times New Roman"/>
                <w:b/>
                <w:bCs/>
                <w:sz w:val="24"/>
                <w:szCs w:val="24"/>
                <w:lang w:val="ro-RO"/>
              </w:rPr>
              <w:t>e acceptă.</w:t>
            </w:r>
            <w:r w:rsidR="00351DD9" w:rsidRPr="00D844FB">
              <w:rPr>
                <w:rFonts w:ascii="Times New Roman" w:hAnsi="Times New Roman"/>
                <w:b/>
                <w:bCs/>
                <w:sz w:val="24"/>
                <w:szCs w:val="24"/>
                <w:lang w:val="ro-RO"/>
              </w:rPr>
              <w:t xml:space="preserve"> </w:t>
            </w:r>
            <w:r w:rsidRPr="00D844FB">
              <w:rPr>
                <w:rFonts w:ascii="Times New Roman" w:hAnsi="Times New Roman"/>
                <w:sz w:val="24"/>
                <w:szCs w:val="24"/>
                <w:lang w:val="ro-RO"/>
              </w:rPr>
              <w:t xml:space="preserve">Selectarea potențialilor beneficiari ai programului de vouchere va fi efectuată conform datelor disponibile in sistemul informațional de vulnerabilitate energetică (SIVE) și nu vor fi necesare actualizarea datelor </w:t>
            </w:r>
            <w:r w:rsidRPr="00D844FB">
              <w:rPr>
                <w:rFonts w:ascii="Times New Roman" w:hAnsi="Times New Roman"/>
                <w:sz w:val="24"/>
                <w:szCs w:val="24"/>
                <w:lang w:val="ro-RO"/>
              </w:rPr>
              <w:lastRenderedPageBreak/>
              <w:t xml:space="preserve">pentru fiecare sesiune de vouchere lansată de IP CNED. </w:t>
            </w:r>
            <w:r w:rsidR="00351DD9" w:rsidRPr="00D844FB">
              <w:rPr>
                <w:rFonts w:ascii="Times New Roman" w:hAnsi="Times New Roman"/>
                <w:sz w:val="24"/>
                <w:szCs w:val="24"/>
                <w:lang w:val="ro-RO"/>
              </w:rPr>
              <w:t>.</w:t>
            </w:r>
          </w:p>
        </w:tc>
      </w:tr>
      <w:tr w:rsidR="00EE6779" w:rsidRPr="0047225B" w14:paraId="332C1E7E" w14:textId="77777777" w:rsidTr="006779A1">
        <w:tc>
          <w:tcPr>
            <w:tcW w:w="866" w:type="pct"/>
            <w:vMerge/>
            <w:tcMar>
              <w:top w:w="0" w:type="dxa"/>
              <w:left w:w="108" w:type="dxa"/>
              <w:bottom w:w="0" w:type="dxa"/>
              <w:right w:w="108" w:type="dxa"/>
            </w:tcMar>
          </w:tcPr>
          <w:p w14:paraId="2E2931EF" w14:textId="77777777" w:rsidR="00EE6779" w:rsidRPr="00D844FB" w:rsidRDefault="00EE677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7D6D7676" w14:textId="77777777" w:rsidR="00EE6779" w:rsidRPr="00D844FB" w:rsidRDefault="00EE677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p>
        </w:tc>
        <w:tc>
          <w:tcPr>
            <w:tcW w:w="2327" w:type="pct"/>
            <w:tcMar>
              <w:top w:w="0" w:type="dxa"/>
              <w:left w:w="108" w:type="dxa"/>
              <w:bottom w:w="0" w:type="dxa"/>
              <w:right w:w="108" w:type="dxa"/>
            </w:tcMar>
          </w:tcPr>
          <w:p w14:paraId="5DBA8630"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Nota de fundamentare:  la pct. 3, textul expus la punctul 1 pentru Hotărârea Guvernului nr. 533/2024 se propune a fi expus în următoarea redacție:  </w:t>
            </w:r>
          </w:p>
          <w:p w14:paraId="312EECCB"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„1. Introducerea criteriilor actualizate pentru selecția beneficiarilor Programului de Vouchere pentru Electrocasnice și excluderea referinței la categoriile de vulnerabilitate. Astfel, Potențialii beneficiari ai Programului de vouchere pentru electrocasnice se selectează din Sistemul informațional „Vulnerabilitatea energetică”, modulul „</w:t>
            </w:r>
            <w:proofErr w:type="spellStart"/>
            <w:r w:rsidRPr="00D844FB">
              <w:rPr>
                <w:rFonts w:ascii="Times New Roman" w:hAnsi="Times New Roman"/>
                <w:iCs/>
                <w:color w:val="000000" w:themeColor="text1"/>
                <w:sz w:val="24"/>
                <w:szCs w:val="28"/>
                <w:lang w:val="ro-RO"/>
              </w:rPr>
              <w:t>Ecovoucher</w:t>
            </w:r>
            <w:proofErr w:type="spellEnd"/>
            <w:r w:rsidRPr="00D844FB">
              <w:rPr>
                <w:rFonts w:ascii="Times New Roman" w:hAnsi="Times New Roman"/>
                <w:iCs/>
                <w:color w:val="000000" w:themeColor="text1"/>
                <w:sz w:val="24"/>
                <w:szCs w:val="28"/>
                <w:lang w:val="ro-RO"/>
              </w:rPr>
              <w:t xml:space="preserve">” (în continuare – SIVE) conform criteriilor de eligibilitate examinate de Comitetul de finanțare și risc al IP CNED (în continuare – CFR) și aprobate de Consiliul IP CNED, care se vor axa cel puțin pe un criteriu din cele enumerate mai jos:  </w:t>
            </w:r>
          </w:p>
          <w:p w14:paraId="3694E934" w14:textId="77777777" w:rsidR="000A4D8B"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mărimea compensație la energie sub formă de plată monetară; </w:t>
            </w:r>
          </w:p>
          <w:p w14:paraId="3BB9AE56" w14:textId="5F8619B4"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venitul global lunar al gospodăriei casnice determinat în conformitate cu Hotărârea Guvernului Nr. 816/2024 pentru aprobarea Regulamentului cu privire la acordarea compensațiilor la energie sub formă de plată monetară;  </w:t>
            </w:r>
          </w:p>
          <w:p w14:paraId="1360AB2A"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nivelul minimului de cheltuieli al gospodăriei casnice conform datelor din SIVE; </w:t>
            </w:r>
          </w:p>
          <w:p w14:paraId="6D6CC104"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costul energiei în perioada rece a anului al gospodăriei casnice conform datelor din SIVE; </w:t>
            </w:r>
          </w:p>
          <w:p w14:paraId="27F219AD"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consumul mediu lunar de energie electrică pentru perioada rece a anului precedent în </w:t>
            </w:r>
            <w:proofErr w:type="spellStart"/>
            <w:r w:rsidRPr="00D844FB">
              <w:rPr>
                <w:rFonts w:ascii="Times New Roman" w:hAnsi="Times New Roman"/>
                <w:iCs/>
                <w:color w:val="000000" w:themeColor="text1"/>
                <w:sz w:val="24"/>
                <w:szCs w:val="28"/>
                <w:lang w:val="ro-RO"/>
              </w:rPr>
              <w:t>Kw</w:t>
            </w:r>
            <w:proofErr w:type="spellEnd"/>
            <w:r w:rsidRPr="00D844FB">
              <w:rPr>
                <w:rFonts w:ascii="Times New Roman" w:hAnsi="Times New Roman"/>
                <w:iCs/>
                <w:color w:val="000000" w:themeColor="text1"/>
                <w:sz w:val="24"/>
                <w:szCs w:val="28"/>
                <w:lang w:val="ro-RO"/>
              </w:rPr>
              <w:t xml:space="preserve">/h;  </w:t>
            </w:r>
          </w:p>
          <w:p w14:paraId="77D30A06"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numărul de copii în cadrul gospodăriei casnice conform datelor din SIVE; </w:t>
            </w:r>
          </w:p>
          <w:p w14:paraId="546FF6AA"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lastRenderedPageBreak/>
              <w:t xml:space="preserve">• numărul de persoane cu dizabilități severe în cadrul gospodăriei casnice conform datelor din SIVE; </w:t>
            </w:r>
          </w:p>
          <w:p w14:paraId="2AE75E37" w14:textId="77777777"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 numărul de persoane cu vârsta mai mare de 63 de ani conform datelor din SIVE;  </w:t>
            </w:r>
          </w:p>
          <w:p w14:paraId="6B66887F" w14:textId="6656CC45" w:rsidR="00EE6779" w:rsidRPr="00D844FB" w:rsidRDefault="00EE6779"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adresa gospodăriei casnice conform datelor din SIVE.”</w:t>
            </w:r>
          </w:p>
        </w:tc>
        <w:tc>
          <w:tcPr>
            <w:tcW w:w="1230" w:type="pct"/>
            <w:tcMar>
              <w:top w:w="0" w:type="dxa"/>
              <w:left w:w="108" w:type="dxa"/>
              <w:bottom w:w="0" w:type="dxa"/>
              <w:right w:w="108" w:type="dxa"/>
            </w:tcMar>
          </w:tcPr>
          <w:p w14:paraId="578F6540" w14:textId="21CCCAEF" w:rsidR="00EE6779" w:rsidRPr="00D844FB" w:rsidRDefault="00351DD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 xml:space="preserve">Se acceptă parțial. </w:t>
            </w:r>
            <w:r w:rsidRPr="00D844FB">
              <w:rPr>
                <w:rFonts w:ascii="Times New Roman" w:hAnsi="Times New Roman"/>
                <w:sz w:val="24"/>
                <w:szCs w:val="24"/>
                <w:lang w:val="ro-RO"/>
              </w:rPr>
              <w:t>Propunerile de completare a Notei de fundamentare au fost acceptate cu mici ajustări.</w:t>
            </w:r>
          </w:p>
        </w:tc>
      </w:tr>
      <w:tr w:rsidR="006B3567" w:rsidRPr="0047225B" w14:paraId="3B1C078B" w14:textId="77777777" w:rsidTr="006779A1">
        <w:tc>
          <w:tcPr>
            <w:tcW w:w="866" w:type="pct"/>
            <w:tcMar>
              <w:top w:w="0" w:type="dxa"/>
              <w:left w:w="108" w:type="dxa"/>
              <w:bottom w:w="0" w:type="dxa"/>
              <w:right w:w="108" w:type="dxa"/>
            </w:tcMar>
          </w:tcPr>
          <w:p w14:paraId="2749DDD5" w14:textId="7E01E3AA" w:rsidR="006B3567" w:rsidRPr="00D844FB" w:rsidRDefault="006B356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Ministerul Finanțelor</w:t>
            </w:r>
          </w:p>
        </w:tc>
        <w:tc>
          <w:tcPr>
            <w:tcW w:w="577" w:type="pct"/>
            <w:tcMar>
              <w:top w:w="0" w:type="dxa"/>
              <w:left w:w="108" w:type="dxa"/>
              <w:bottom w:w="0" w:type="dxa"/>
              <w:right w:w="108" w:type="dxa"/>
            </w:tcMar>
          </w:tcPr>
          <w:p w14:paraId="57D00A19" w14:textId="0AD60D96" w:rsidR="006B3567" w:rsidRPr="00D844FB" w:rsidRDefault="000B1D0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w:t>
            </w:r>
            <w:r w:rsidR="006B3567" w:rsidRPr="00D844FB">
              <w:rPr>
                <w:rFonts w:ascii="Times New Roman" w:hAnsi="Times New Roman"/>
                <w:sz w:val="24"/>
                <w:szCs w:val="24"/>
                <w:lang w:val="ro-RO"/>
              </w:rPr>
              <w:t>r. 07/5-03/97/295 din 03.03.2025</w:t>
            </w:r>
          </w:p>
        </w:tc>
        <w:tc>
          <w:tcPr>
            <w:tcW w:w="2327" w:type="pct"/>
            <w:tcMar>
              <w:top w:w="0" w:type="dxa"/>
              <w:left w:w="108" w:type="dxa"/>
              <w:bottom w:w="0" w:type="dxa"/>
              <w:right w:w="108" w:type="dxa"/>
            </w:tcMar>
          </w:tcPr>
          <w:p w14:paraId="63203320" w14:textId="5C597E10" w:rsidR="006B3567" w:rsidRPr="00D844FB" w:rsidRDefault="006B3567"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La indicația Cancelariei de Stat nr.18-69-1438 din 10 februarie 2025, Ministerul Finanțelor a examinat proiectul de hotărâre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/2025), autor - Ministerul Energiei și, în limita domeniilor de competențelor, comunică lipsă de obiecții și propuneri.</w:t>
            </w:r>
          </w:p>
        </w:tc>
        <w:tc>
          <w:tcPr>
            <w:tcW w:w="1230" w:type="pct"/>
            <w:tcMar>
              <w:top w:w="0" w:type="dxa"/>
              <w:left w:w="108" w:type="dxa"/>
              <w:bottom w:w="0" w:type="dxa"/>
              <w:right w:w="108" w:type="dxa"/>
            </w:tcMar>
          </w:tcPr>
          <w:p w14:paraId="65564EDB" w14:textId="62ED047D" w:rsidR="006B3567" w:rsidRPr="00D844FB" w:rsidRDefault="006B356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ia act de informare.</w:t>
            </w:r>
          </w:p>
        </w:tc>
      </w:tr>
      <w:tr w:rsidR="00F80F75" w:rsidRPr="0047225B" w14:paraId="524729A7" w14:textId="77777777" w:rsidTr="006779A1">
        <w:tc>
          <w:tcPr>
            <w:tcW w:w="866" w:type="pct"/>
            <w:tcMar>
              <w:top w:w="0" w:type="dxa"/>
              <w:left w:w="108" w:type="dxa"/>
              <w:bottom w:w="0" w:type="dxa"/>
              <w:right w:w="108" w:type="dxa"/>
            </w:tcMar>
          </w:tcPr>
          <w:p w14:paraId="5CF943ED" w14:textId="1404B856" w:rsidR="00F80F75" w:rsidRPr="00D844FB" w:rsidRDefault="00F80F7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roofErr w:type="spellStart"/>
            <w:r w:rsidRPr="00D844FB">
              <w:rPr>
                <w:rFonts w:ascii="Times New Roman" w:hAnsi="Times New Roman"/>
                <w:b/>
                <w:bCs/>
                <w:sz w:val="24"/>
                <w:szCs w:val="24"/>
                <w:lang w:val="pt-BR"/>
              </w:rPr>
              <w:t>Ministerul</w:t>
            </w:r>
            <w:proofErr w:type="spellEnd"/>
            <w:r w:rsidRPr="00D844FB">
              <w:rPr>
                <w:rFonts w:ascii="Times New Roman" w:hAnsi="Times New Roman"/>
                <w:b/>
                <w:bCs/>
                <w:sz w:val="24"/>
                <w:szCs w:val="24"/>
                <w:lang w:val="pt-BR"/>
              </w:rPr>
              <w:t xml:space="preserve"> Educa</w:t>
            </w:r>
            <w:proofErr w:type="spellStart"/>
            <w:r w:rsidRPr="00D844FB">
              <w:rPr>
                <w:rFonts w:ascii="Times New Roman" w:hAnsi="Times New Roman"/>
                <w:b/>
                <w:bCs/>
                <w:sz w:val="24"/>
                <w:szCs w:val="24"/>
                <w:lang w:val="ro-RO"/>
              </w:rPr>
              <w:t>ției</w:t>
            </w:r>
            <w:proofErr w:type="spellEnd"/>
          </w:p>
        </w:tc>
        <w:tc>
          <w:tcPr>
            <w:tcW w:w="577" w:type="pct"/>
            <w:tcMar>
              <w:top w:w="0" w:type="dxa"/>
              <w:left w:w="108" w:type="dxa"/>
              <w:bottom w:w="0" w:type="dxa"/>
              <w:right w:w="108" w:type="dxa"/>
            </w:tcMar>
          </w:tcPr>
          <w:p w14:paraId="61AFD47B" w14:textId="572476C2" w:rsidR="00F80F75" w:rsidRPr="00D844FB" w:rsidRDefault="000B1D0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00F80F75" w:rsidRPr="00D844FB">
              <w:rPr>
                <w:rFonts w:ascii="Times New Roman" w:hAnsi="Times New Roman"/>
                <w:sz w:val="24"/>
                <w:szCs w:val="24"/>
                <w:lang w:val="ro-RO"/>
              </w:rPr>
              <w:t>08/2-09/1464 din 05.03.2025</w:t>
            </w:r>
          </w:p>
        </w:tc>
        <w:tc>
          <w:tcPr>
            <w:tcW w:w="2327" w:type="pct"/>
            <w:tcMar>
              <w:top w:w="0" w:type="dxa"/>
              <w:left w:w="108" w:type="dxa"/>
              <w:bottom w:w="0" w:type="dxa"/>
              <w:right w:w="108" w:type="dxa"/>
            </w:tcMar>
          </w:tcPr>
          <w:p w14:paraId="3177566A" w14:textId="323C663F" w:rsidR="00F80F75" w:rsidRPr="00D844FB" w:rsidRDefault="00F80F75"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Ministerul Educației Finanțelor a examinat proiectul de hotărâre cu privire la modificarea unor hotărâri ale Guvernului (ajustarea cadrului normativ aferent auditului energetic și a unor măsuri de eficiență energetică implementate în cadrul unor programe de finanțare) (număr unic 74/</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/2025) și în limita competențelor funcționale comunică lipsă de propuneri și obiecții</w:t>
            </w:r>
          </w:p>
        </w:tc>
        <w:tc>
          <w:tcPr>
            <w:tcW w:w="1230" w:type="pct"/>
            <w:tcMar>
              <w:top w:w="0" w:type="dxa"/>
              <w:left w:w="108" w:type="dxa"/>
              <w:bottom w:w="0" w:type="dxa"/>
              <w:right w:w="108" w:type="dxa"/>
            </w:tcMar>
          </w:tcPr>
          <w:p w14:paraId="4A3AF148" w14:textId="0C6C0B57" w:rsidR="00F80F75" w:rsidRPr="00D844FB" w:rsidRDefault="00F80F7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ia act de informare.</w:t>
            </w:r>
          </w:p>
        </w:tc>
      </w:tr>
      <w:tr w:rsidR="0061610E" w:rsidRPr="00D844FB" w14:paraId="7F92F55E" w14:textId="77777777" w:rsidTr="0061610E">
        <w:tc>
          <w:tcPr>
            <w:tcW w:w="5000" w:type="pct"/>
            <w:gridSpan w:val="4"/>
            <w:tcMar>
              <w:top w:w="0" w:type="dxa"/>
              <w:left w:w="108" w:type="dxa"/>
              <w:bottom w:w="0" w:type="dxa"/>
              <w:right w:w="108" w:type="dxa"/>
            </w:tcMar>
          </w:tcPr>
          <w:p w14:paraId="18E40B52" w14:textId="441C503B" w:rsidR="0061610E" w:rsidRPr="00D844FB" w:rsidRDefault="0061610E" w:rsidP="0061610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844FB">
              <w:rPr>
                <w:rFonts w:ascii="Times New Roman" w:hAnsi="Times New Roman"/>
                <w:b/>
                <w:bCs/>
                <w:sz w:val="24"/>
                <w:szCs w:val="24"/>
                <w:lang w:val="ro-RO"/>
              </w:rPr>
              <w:t>Expertize</w:t>
            </w:r>
          </w:p>
        </w:tc>
      </w:tr>
      <w:tr w:rsidR="0061610E" w:rsidRPr="0047225B" w14:paraId="3724A5F3" w14:textId="77777777" w:rsidTr="006779A1">
        <w:tc>
          <w:tcPr>
            <w:tcW w:w="866" w:type="pct"/>
            <w:vMerge w:val="restart"/>
            <w:tcMar>
              <w:top w:w="0" w:type="dxa"/>
              <w:left w:w="108" w:type="dxa"/>
              <w:bottom w:w="0" w:type="dxa"/>
              <w:right w:w="108" w:type="dxa"/>
            </w:tcMar>
          </w:tcPr>
          <w:p w14:paraId="25C7C4B7" w14:textId="74AD0762"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Ministerul Justiției</w:t>
            </w:r>
          </w:p>
        </w:tc>
        <w:tc>
          <w:tcPr>
            <w:tcW w:w="577" w:type="pct"/>
            <w:vMerge w:val="restart"/>
            <w:tcMar>
              <w:top w:w="0" w:type="dxa"/>
              <w:left w:w="108" w:type="dxa"/>
              <w:bottom w:w="0" w:type="dxa"/>
              <w:right w:w="108" w:type="dxa"/>
            </w:tcMar>
          </w:tcPr>
          <w:p w14:paraId="7BD25F58" w14:textId="3A1CD797" w:rsidR="0061610E" w:rsidRPr="00D844FB" w:rsidRDefault="000B1D0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0061610E" w:rsidRPr="00D844FB">
              <w:rPr>
                <w:rFonts w:ascii="Times New Roman" w:hAnsi="Times New Roman"/>
                <w:sz w:val="24"/>
                <w:szCs w:val="24"/>
                <w:lang w:val="ro-RO"/>
              </w:rPr>
              <w:t>04/2-2729 din 18.03.2025</w:t>
            </w:r>
          </w:p>
        </w:tc>
        <w:tc>
          <w:tcPr>
            <w:tcW w:w="2327" w:type="pct"/>
            <w:tcMar>
              <w:top w:w="0" w:type="dxa"/>
              <w:left w:w="108" w:type="dxa"/>
              <w:bottom w:w="0" w:type="dxa"/>
              <w:right w:w="108" w:type="dxa"/>
            </w:tcMar>
          </w:tcPr>
          <w:p w14:paraId="50A09C04" w14:textId="46222371"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Urmare examinării proiectului hotărârii Guvernului cu privire la modificarea unor hotărâri ale Guvernului (ajustarea cadrului normativ aferent auditului energetic și a unor măsuri de eficiență energetică implementate în cadrul unor programe de finanțare) (număr unic 75/</w:t>
            </w:r>
            <w:proofErr w:type="spellStart"/>
            <w:r w:rsidRPr="00D844FB">
              <w:rPr>
                <w:rFonts w:ascii="Times New Roman" w:hAnsi="Times New Roman"/>
                <w:iCs/>
                <w:color w:val="000000" w:themeColor="text1"/>
                <w:sz w:val="24"/>
                <w:szCs w:val="28"/>
                <w:lang w:val="ro-RO"/>
              </w:rPr>
              <w:t>MEn</w:t>
            </w:r>
            <w:proofErr w:type="spellEnd"/>
            <w:r w:rsidRPr="00D844FB">
              <w:rPr>
                <w:rFonts w:ascii="Times New Roman" w:hAnsi="Times New Roman"/>
                <w:iCs/>
                <w:color w:val="000000" w:themeColor="text1"/>
                <w:sz w:val="24"/>
                <w:szCs w:val="28"/>
                <w:lang w:val="ro-RO"/>
              </w:rPr>
              <w:t xml:space="preserve">/2025), comunicăm următoarele.        Potrivit notei de fundamentare, reglementările propuse prin proiectul prezentat sunt elaborate în temeiul art. 71 alin. (6), art. 10 alin. (2) lit. e) și art. 12 alin. (1) lit. d1) din Legea nr. 139/2018 cu privire </w:t>
            </w:r>
            <w:r w:rsidRPr="00D844FB">
              <w:rPr>
                <w:rFonts w:ascii="Times New Roman" w:hAnsi="Times New Roman"/>
                <w:iCs/>
                <w:color w:val="000000" w:themeColor="text1"/>
                <w:sz w:val="24"/>
                <w:szCs w:val="28"/>
                <w:lang w:val="ro-RO"/>
              </w:rPr>
              <w:lastRenderedPageBreak/>
              <w:t xml:space="preserve">la eficiența energetică. Implementarea proiectului va avea impact pozitiv asupra mediului prin reducerea emisiilor de CO2 ca urmare a sporirii calității rapoartelor de audit energetic, care stau la baza selectării măsurilor de eficiență energetică și valorificare a surselor regenerabile de energie ce urmează a fi implementate de potențialii beneficiari ai programelor de finanțare aferente eficienței energetice aprobate de Guvern, contribuind inclusiv la reducerea consumurilor/resurselor energetice utilizate de aceștia. În context, raționamentele expuse de inițiator în notă reflectă motivul emiterii actului normativ.   </w:t>
            </w:r>
          </w:p>
        </w:tc>
        <w:tc>
          <w:tcPr>
            <w:tcW w:w="1230" w:type="pct"/>
            <w:tcMar>
              <w:top w:w="0" w:type="dxa"/>
              <w:left w:w="108" w:type="dxa"/>
              <w:bottom w:w="0" w:type="dxa"/>
              <w:right w:w="108" w:type="dxa"/>
            </w:tcMar>
          </w:tcPr>
          <w:p w14:paraId="3C8E38C5" w14:textId="659E1B0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Se ia act de informare.</w:t>
            </w:r>
          </w:p>
        </w:tc>
      </w:tr>
      <w:tr w:rsidR="0061610E" w:rsidRPr="00D844FB" w14:paraId="2F1E3443" w14:textId="77777777" w:rsidTr="006779A1">
        <w:tc>
          <w:tcPr>
            <w:tcW w:w="866" w:type="pct"/>
            <w:vMerge/>
            <w:tcMar>
              <w:top w:w="0" w:type="dxa"/>
              <w:left w:w="108" w:type="dxa"/>
              <w:bottom w:w="0" w:type="dxa"/>
              <w:right w:w="108" w:type="dxa"/>
            </w:tcMar>
          </w:tcPr>
          <w:p w14:paraId="54840668"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67F69C58"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6AE35C7" w14:textId="77777777"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Aferent rigorilor normative, se vor reține următoarele: </w:t>
            </w:r>
          </w:p>
          <w:p w14:paraId="7AD8D0A1" w14:textId="3B18EFA4"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La pct. 1, textul „Anexa 1” se va substitui cu textul „Anexa nr. 1”.</w:t>
            </w:r>
          </w:p>
        </w:tc>
        <w:tc>
          <w:tcPr>
            <w:tcW w:w="1230" w:type="pct"/>
            <w:tcMar>
              <w:top w:w="0" w:type="dxa"/>
              <w:left w:w="108" w:type="dxa"/>
              <w:bottom w:w="0" w:type="dxa"/>
              <w:right w:w="108" w:type="dxa"/>
            </w:tcMar>
          </w:tcPr>
          <w:p w14:paraId="6AC8A992" w14:textId="03601718" w:rsidR="0061610E" w:rsidRPr="00D844FB" w:rsidRDefault="003C6A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5E441E1A" w14:textId="77777777" w:rsidTr="006779A1">
        <w:tc>
          <w:tcPr>
            <w:tcW w:w="866" w:type="pct"/>
            <w:vMerge/>
            <w:tcMar>
              <w:top w:w="0" w:type="dxa"/>
              <w:left w:w="108" w:type="dxa"/>
              <w:bottom w:w="0" w:type="dxa"/>
              <w:right w:w="108" w:type="dxa"/>
            </w:tcMar>
          </w:tcPr>
          <w:p w14:paraId="7C905FA9"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49B2C60A"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A6450E9" w14:textId="21C498E6"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1.2, prepoziția „peste” se va substitui cu prepoziția „în”.</w:t>
            </w:r>
          </w:p>
        </w:tc>
        <w:tc>
          <w:tcPr>
            <w:tcW w:w="1230" w:type="pct"/>
            <w:tcMar>
              <w:top w:w="0" w:type="dxa"/>
              <w:left w:w="108" w:type="dxa"/>
              <w:bottom w:w="0" w:type="dxa"/>
              <w:right w:w="108" w:type="dxa"/>
            </w:tcMar>
          </w:tcPr>
          <w:p w14:paraId="2580EE56" w14:textId="73E2DF5D" w:rsidR="0061610E" w:rsidRPr="00D844FB" w:rsidRDefault="003C6A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55FE1D20" w14:textId="77777777" w:rsidTr="006779A1">
        <w:tc>
          <w:tcPr>
            <w:tcW w:w="866" w:type="pct"/>
            <w:vMerge/>
            <w:tcMar>
              <w:top w:w="0" w:type="dxa"/>
              <w:left w:w="108" w:type="dxa"/>
              <w:bottom w:w="0" w:type="dxa"/>
              <w:right w:w="108" w:type="dxa"/>
            </w:tcMar>
          </w:tcPr>
          <w:p w14:paraId="7B4DDE0E"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754CB7A5"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B2E18D3" w14:textId="28833083"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pct. 2, semnalăm că modificările se propun a fi operate în Regulament, dar nu în anexă. Astfel, partea dispozitivă va fi redată în următorul mod: „Regulamentul cu privire la modul de operare și funcționare a Programului de acordare a ajutorului financiar pentru eficientizarea consumului de resurse energetice (Programul de vouchere pentru electrocasnice), aprobat prin </w:t>
            </w:r>
            <w:bookmarkStart w:id="1" w:name="_Hlk193273375"/>
            <w:r w:rsidRPr="00D844FB">
              <w:rPr>
                <w:rFonts w:ascii="Times New Roman" w:hAnsi="Times New Roman"/>
                <w:iCs/>
                <w:color w:val="000000" w:themeColor="text1"/>
                <w:sz w:val="24"/>
                <w:szCs w:val="28"/>
                <w:lang w:val="ro-RO"/>
              </w:rPr>
              <w:t>Hotărârea Guvernului nr. 533/2024</w:t>
            </w:r>
            <w:bookmarkEnd w:id="1"/>
            <w:r w:rsidRPr="00D844FB">
              <w:rPr>
                <w:rFonts w:ascii="Times New Roman" w:hAnsi="Times New Roman"/>
                <w:iCs/>
                <w:color w:val="000000" w:themeColor="text1"/>
                <w:sz w:val="24"/>
                <w:szCs w:val="28"/>
                <w:lang w:val="ro-RO"/>
              </w:rPr>
              <w:t xml:space="preserve"> (Monitorul Oficial al Republicii Moldova, 2024, nr. 347-349, art. 681), se modifică după cum urmează:”.</w:t>
            </w:r>
          </w:p>
        </w:tc>
        <w:tc>
          <w:tcPr>
            <w:tcW w:w="1230" w:type="pct"/>
            <w:tcMar>
              <w:top w:w="0" w:type="dxa"/>
              <w:left w:w="108" w:type="dxa"/>
              <w:bottom w:w="0" w:type="dxa"/>
              <w:right w:w="108" w:type="dxa"/>
            </w:tcMar>
          </w:tcPr>
          <w:p w14:paraId="527B0F13" w14:textId="569E296D" w:rsidR="0061610E" w:rsidRPr="00D844FB" w:rsidRDefault="003C6A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 xml:space="preserve">Se acceptă. </w:t>
            </w:r>
          </w:p>
        </w:tc>
      </w:tr>
      <w:tr w:rsidR="0061610E" w:rsidRPr="00D844FB" w14:paraId="60B8C4AD" w14:textId="77777777" w:rsidTr="006779A1">
        <w:tc>
          <w:tcPr>
            <w:tcW w:w="866" w:type="pct"/>
            <w:vMerge/>
            <w:tcMar>
              <w:top w:w="0" w:type="dxa"/>
              <w:left w:w="108" w:type="dxa"/>
              <w:bottom w:w="0" w:type="dxa"/>
              <w:right w:w="108" w:type="dxa"/>
            </w:tcMar>
          </w:tcPr>
          <w:p w14:paraId="07099F8F"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173AE879"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9F53449" w14:textId="19C61B3C"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Pct. 3 și 4 se referă la modificarea Hotărârii Guvernului nr. 676/2020, prin urmare, acestea urmează a fi redate într-un singur punct, structurat în subpuncte, cu expunerea separată a modificărilor în hotărâre, respectiv, în Regulament. Totodată, sursa de publicare a respectivei hotărâri se va expune în următorul </w:t>
            </w:r>
            <w:r w:rsidRPr="00D844FB">
              <w:rPr>
                <w:rFonts w:ascii="Times New Roman" w:hAnsi="Times New Roman"/>
                <w:iCs/>
                <w:color w:val="000000" w:themeColor="text1"/>
                <w:sz w:val="24"/>
                <w:szCs w:val="28"/>
                <w:lang w:val="ro-RO"/>
              </w:rPr>
              <w:lastRenderedPageBreak/>
              <w:t>mod: „(Monitorul Oficial al Republicii Moldova, 2020, nr. 235-239, art. 813)”.</w:t>
            </w:r>
          </w:p>
        </w:tc>
        <w:tc>
          <w:tcPr>
            <w:tcW w:w="1230" w:type="pct"/>
            <w:tcMar>
              <w:top w:w="0" w:type="dxa"/>
              <w:left w:w="108" w:type="dxa"/>
              <w:bottom w:w="0" w:type="dxa"/>
              <w:right w:w="108" w:type="dxa"/>
            </w:tcMar>
          </w:tcPr>
          <w:p w14:paraId="5EE3B58D" w14:textId="1060B3AA" w:rsidR="0061610E" w:rsidRPr="00D844FB" w:rsidRDefault="003D6E2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Se acceptă.</w:t>
            </w:r>
          </w:p>
        </w:tc>
      </w:tr>
      <w:tr w:rsidR="0061610E" w:rsidRPr="00D844FB" w14:paraId="7ECCD4CD" w14:textId="77777777" w:rsidTr="006779A1">
        <w:tc>
          <w:tcPr>
            <w:tcW w:w="866" w:type="pct"/>
            <w:vMerge/>
            <w:tcMar>
              <w:top w:w="0" w:type="dxa"/>
              <w:left w:w="108" w:type="dxa"/>
              <w:bottom w:w="0" w:type="dxa"/>
              <w:right w:w="108" w:type="dxa"/>
            </w:tcMar>
          </w:tcPr>
          <w:p w14:paraId="267C66C5"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D7F4C37"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79B99BE" w14:textId="4048B2FA"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3.1 și 3.2, semnalăm că, modificările propuse vor fi menționate succesiv (inițial - abrogarea punctului 2, după - expunerea cuprinsului punctului 4 în redacție nouă, ulterior, abrogarea punctelor 6 și 7).</w:t>
            </w:r>
          </w:p>
        </w:tc>
        <w:tc>
          <w:tcPr>
            <w:tcW w:w="1230" w:type="pct"/>
            <w:tcMar>
              <w:top w:w="0" w:type="dxa"/>
              <w:left w:w="108" w:type="dxa"/>
              <w:bottom w:w="0" w:type="dxa"/>
              <w:right w:w="108" w:type="dxa"/>
            </w:tcMar>
          </w:tcPr>
          <w:p w14:paraId="5765FDF7" w14:textId="1EE4E12E" w:rsidR="0061610E" w:rsidRPr="00D844FB" w:rsidRDefault="00FF389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 xml:space="preserve">Se acceptă. </w:t>
            </w:r>
          </w:p>
        </w:tc>
      </w:tr>
      <w:tr w:rsidR="0061610E" w:rsidRPr="0047225B" w14:paraId="35F7C47E" w14:textId="77777777" w:rsidTr="006779A1">
        <w:tc>
          <w:tcPr>
            <w:tcW w:w="866" w:type="pct"/>
            <w:vMerge/>
            <w:tcMar>
              <w:top w:w="0" w:type="dxa"/>
              <w:left w:w="108" w:type="dxa"/>
              <w:bottom w:w="0" w:type="dxa"/>
              <w:right w:w="108" w:type="dxa"/>
            </w:tcMar>
          </w:tcPr>
          <w:p w14:paraId="4D551292"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53B6421B"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212E233" w14:textId="5049AFC9"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xml:space="preserve">. 4.1, prin care se modifică pct. 7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xml:space="preserve">. 1) și 2) din Regulamentul cu privire la auditorii energetici și auditul energetic, aprobat prin Hotărârea Guvernului nr. 676/2020, semnalăm că una din condițiile pentru calificarea și înregistrarea auditorilor energetici, reprezintă, conform redacției în vigoare 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1), deținerea cetățeniei Republicii Moldova. Prin proiect se propune includerea, pe lângă cetățeni ai Republicii Moldova, a celor care dețin dreptul de ședere provizorie sau permanentă pe teritoriul Republicii Moldova, fapt care nu a fost argumentat de către autorul proiectului. În context, considerăm necesară argumentarea de către autor a motivelor ce impun astfel de modificare, cu analiza impactului în acest sens. Mai mult, propunerea respectivă se va reexamina prin prisma art. 20 alin. (3) din Legea nr. 139/2018, conform căruia „Auditorul energetic poartă răspundere, în raport cu societatea comercială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w:t>
            </w:r>
          </w:p>
        </w:tc>
        <w:tc>
          <w:tcPr>
            <w:tcW w:w="1230" w:type="pct"/>
            <w:tcMar>
              <w:top w:w="0" w:type="dxa"/>
              <w:left w:w="108" w:type="dxa"/>
              <w:bottom w:w="0" w:type="dxa"/>
              <w:right w:w="108" w:type="dxa"/>
            </w:tcMar>
          </w:tcPr>
          <w:p w14:paraId="15BB5B3B" w14:textId="77777777" w:rsidR="0061610E" w:rsidRPr="00D844FB" w:rsidRDefault="00FF389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b/>
                <w:bCs/>
                <w:sz w:val="24"/>
                <w:szCs w:val="24"/>
                <w:lang w:val="ro-RO"/>
              </w:rPr>
              <w:t xml:space="preserve">Se acceptă parțial. </w:t>
            </w:r>
            <w:r w:rsidRPr="00D844FB">
              <w:rPr>
                <w:rFonts w:ascii="Times New Roman" w:hAnsi="Times New Roman"/>
                <w:sz w:val="24"/>
                <w:szCs w:val="24"/>
                <w:lang w:val="ro-RO"/>
              </w:rPr>
              <w:t xml:space="preserve">Conform prevederilor art. 20 alin 2) din Legea nr. 139/2018 cu privire la eficiența energetică, </w:t>
            </w:r>
            <w:r w:rsidR="00176542" w:rsidRPr="00D844FB">
              <w:rPr>
                <w:rFonts w:ascii="Times New Roman" w:hAnsi="Times New Roman"/>
                <w:sz w:val="24"/>
                <w:szCs w:val="24"/>
                <w:lang w:val="ro-RO"/>
              </w:rPr>
              <w:t xml:space="preserve">este menționat că „(2) Serviciile de audit energetic </w:t>
            </w:r>
            <w:proofErr w:type="spellStart"/>
            <w:r w:rsidR="00176542" w:rsidRPr="00D844FB">
              <w:rPr>
                <w:rFonts w:ascii="Times New Roman" w:hAnsi="Times New Roman"/>
                <w:sz w:val="24"/>
                <w:szCs w:val="24"/>
                <w:lang w:val="ro-RO"/>
              </w:rPr>
              <w:t>sînt</w:t>
            </w:r>
            <w:proofErr w:type="spellEnd"/>
            <w:r w:rsidR="00176542" w:rsidRPr="00D844FB">
              <w:rPr>
                <w:rFonts w:ascii="Times New Roman" w:hAnsi="Times New Roman"/>
                <w:sz w:val="24"/>
                <w:szCs w:val="24"/>
                <w:lang w:val="ro-RO"/>
              </w:rPr>
              <w:t xml:space="preserve"> prestate în baza contractului încheiat între beneficiar și o societate comercială care a angajat unul sau mai mulți auditori energetici înregistrați în Registrul electronic al auditorilor energetici, iar prețul ce va fi achitat de către beneficiar se determină în mod liber, în limitele normelor imperative de drept și în funcție de complexitatea lucrărilor efectuate.” Astfel, răspunderea pentru serviciile de audit prestate urmează să o poarte compania în baza contractului semnat pentru prestarea acestor servicii. Totodată, conform prevederilor pct. 30 din HG 676/2020 la </w:t>
            </w:r>
            <w:r w:rsidR="00176542" w:rsidRPr="00D844FB">
              <w:rPr>
                <w:rFonts w:ascii="Times New Roman" w:hAnsi="Times New Roman"/>
                <w:sz w:val="24"/>
                <w:szCs w:val="24"/>
                <w:lang w:val="ro-RO"/>
              </w:rPr>
              <w:lastRenderedPageBreak/>
              <w:t>solicitare, IP CNED, în temeiul prevederilor din secțiunea 4, inițiază 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p w14:paraId="40E6AB83" w14:textId="1D5F263B" w:rsidR="00B1263E" w:rsidRPr="00D844FB" w:rsidRDefault="00176542"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 xml:space="preserve">Prin urmare, </w:t>
            </w:r>
            <w:r w:rsidR="00B1263E" w:rsidRPr="00D844FB">
              <w:rPr>
                <w:rFonts w:ascii="Times New Roman" w:hAnsi="Times New Roman"/>
                <w:sz w:val="24"/>
                <w:szCs w:val="24"/>
                <w:lang w:val="ro-RO"/>
              </w:rPr>
              <w:t>având</w:t>
            </w:r>
            <w:r w:rsidRPr="00D844FB">
              <w:rPr>
                <w:rFonts w:ascii="Times New Roman" w:hAnsi="Times New Roman"/>
                <w:sz w:val="24"/>
                <w:szCs w:val="24"/>
                <w:lang w:val="ro-RO"/>
              </w:rPr>
              <w:t xml:space="preserve"> în </w:t>
            </w:r>
            <w:r w:rsidR="00B1263E" w:rsidRPr="00D844FB">
              <w:rPr>
                <w:rFonts w:ascii="Times New Roman" w:hAnsi="Times New Roman"/>
                <w:sz w:val="24"/>
                <w:szCs w:val="24"/>
                <w:lang w:val="ro-RO"/>
              </w:rPr>
              <w:t>v</w:t>
            </w:r>
            <w:r w:rsidRPr="00D844FB">
              <w:rPr>
                <w:rFonts w:ascii="Times New Roman" w:hAnsi="Times New Roman"/>
                <w:sz w:val="24"/>
                <w:szCs w:val="24"/>
                <w:lang w:val="ro-RO"/>
              </w:rPr>
              <w:t xml:space="preserve">edere </w:t>
            </w:r>
            <w:r w:rsidR="00B1263E" w:rsidRPr="00D844FB">
              <w:rPr>
                <w:rFonts w:ascii="Times New Roman" w:hAnsi="Times New Roman"/>
                <w:sz w:val="24"/>
                <w:szCs w:val="24"/>
                <w:lang w:val="ro-RO"/>
              </w:rPr>
              <w:t xml:space="preserve">prevederile art.20 alin.(3) din legea nr. 139/2018 cu privire la eficiența energetică unde este menționat că </w:t>
            </w:r>
          </w:p>
          <w:p w14:paraId="7EB15B36" w14:textId="77777777" w:rsidR="00176542" w:rsidRPr="00D844FB" w:rsidRDefault="00B1263E"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844FB">
              <w:rPr>
                <w:rFonts w:ascii="Times New Roman" w:hAnsi="Times New Roman"/>
                <w:sz w:val="24"/>
                <w:szCs w:val="24"/>
                <w:lang w:val="ro-RO"/>
              </w:rPr>
              <w:t xml:space="preserve">„Auditorul energetic poartă răspundere, în raport cu societatea comercială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 în proiectul </w:t>
            </w:r>
            <w:r w:rsidRPr="00D844FB">
              <w:rPr>
                <w:rFonts w:ascii="Times New Roman" w:hAnsi="Times New Roman"/>
                <w:sz w:val="24"/>
                <w:szCs w:val="24"/>
                <w:lang w:val="ro-RO"/>
              </w:rPr>
              <w:lastRenderedPageBreak/>
              <w:t>de modificare a HG s-a propus ca condițiile și criteriile pentru calificarea și înregistrarea auditorilor energetici în registrul electronic al auditorilor energetici să fie completate cu cerința ca pentru persoanele care solicită recunoașterea reciprocă a certificatelor de audit energetic să facă dovada deținerii dreptului de ședere provizorie sau permanentă pe teritoriul Republicii Moldova.</w:t>
            </w:r>
          </w:p>
          <w:p w14:paraId="797C7094" w14:textId="510B997F" w:rsidR="00B1263E" w:rsidRPr="00D844FB" w:rsidRDefault="00B1263E"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sidRPr="00D844FB">
              <w:rPr>
                <w:rFonts w:ascii="Times New Roman" w:hAnsi="Times New Roman"/>
                <w:sz w:val="24"/>
                <w:szCs w:val="24"/>
                <w:lang w:val="ro-RO"/>
              </w:rPr>
              <w:t xml:space="preserve">Totodată, Nota de fundamentare la proiectul de Hotărâre a fost completată cu informația </w:t>
            </w:r>
            <w:r w:rsidR="000077AE" w:rsidRPr="00D844FB">
              <w:rPr>
                <w:rFonts w:ascii="Times New Roman" w:hAnsi="Times New Roman"/>
                <w:sz w:val="24"/>
                <w:szCs w:val="24"/>
                <w:lang w:val="ro-RO"/>
              </w:rPr>
              <w:t xml:space="preserve">privind </w:t>
            </w:r>
            <w:r w:rsidR="000077AE" w:rsidRPr="00D844FB">
              <w:rPr>
                <w:rFonts w:ascii="Times New Roman" w:hAnsi="Times New Roman"/>
                <w:iCs/>
                <w:color w:val="000000" w:themeColor="text1"/>
                <w:sz w:val="24"/>
                <w:szCs w:val="28"/>
                <w:lang w:val="ro-RO"/>
              </w:rPr>
              <w:t>motivelor ce impun astfel de modificare.</w:t>
            </w:r>
            <w:r w:rsidRPr="00D844FB">
              <w:rPr>
                <w:rFonts w:ascii="Times New Roman" w:hAnsi="Times New Roman"/>
                <w:sz w:val="24"/>
                <w:szCs w:val="24"/>
                <w:lang w:val="ro-RO"/>
              </w:rPr>
              <w:t xml:space="preserve"> </w:t>
            </w:r>
          </w:p>
        </w:tc>
      </w:tr>
      <w:tr w:rsidR="0061610E" w:rsidRPr="00D844FB" w14:paraId="41C91DE4" w14:textId="77777777" w:rsidTr="006779A1">
        <w:tc>
          <w:tcPr>
            <w:tcW w:w="866" w:type="pct"/>
            <w:vMerge/>
            <w:tcMar>
              <w:top w:w="0" w:type="dxa"/>
              <w:left w:w="108" w:type="dxa"/>
              <w:bottom w:w="0" w:type="dxa"/>
              <w:right w:w="108" w:type="dxa"/>
            </w:tcMar>
          </w:tcPr>
          <w:p w14:paraId="0563FA13"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677D5370"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DF6D3CB" w14:textId="464F792B"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Sub aspect redacțional, în partea dispozitivă, cuvântul „subpunctul” se va substitui cu cuvântul „subpunctele”.</w:t>
            </w:r>
          </w:p>
        </w:tc>
        <w:tc>
          <w:tcPr>
            <w:tcW w:w="1230" w:type="pct"/>
            <w:tcMar>
              <w:top w:w="0" w:type="dxa"/>
              <w:left w:w="108" w:type="dxa"/>
              <w:bottom w:w="0" w:type="dxa"/>
              <w:right w:w="108" w:type="dxa"/>
            </w:tcMar>
          </w:tcPr>
          <w:p w14:paraId="1127E000" w14:textId="42365B3E"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4E6988D6" w14:textId="77777777" w:rsidTr="006779A1">
        <w:tc>
          <w:tcPr>
            <w:tcW w:w="866" w:type="pct"/>
            <w:vMerge/>
            <w:tcMar>
              <w:top w:w="0" w:type="dxa"/>
              <w:left w:w="108" w:type="dxa"/>
              <w:bottom w:w="0" w:type="dxa"/>
              <w:right w:w="108" w:type="dxa"/>
            </w:tcMar>
          </w:tcPr>
          <w:p w14:paraId="2A1303D0"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686076C"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ED7914D" w14:textId="2CD0530F"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4.2 – 4.4, sugerăm substituirea cuvintelor „se va completa” cu cuvintele „se completează”.</w:t>
            </w:r>
          </w:p>
        </w:tc>
        <w:tc>
          <w:tcPr>
            <w:tcW w:w="1230" w:type="pct"/>
            <w:tcMar>
              <w:top w:w="0" w:type="dxa"/>
              <w:left w:w="108" w:type="dxa"/>
              <w:bottom w:w="0" w:type="dxa"/>
              <w:right w:w="108" w:type="dxa"/>
            </w:tcMar>
          </w:tcPr>
          <w:p w14:paraId="3EEE135C" w14:textId="0D128031"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 xml:space="preserve">Se acceptă. </w:t>
            </w:r>
          </w:p>
        </w:tc>
      </w:tr>
      <w:tr w:rsidR="0061610E" w:rsidRPr="00D844FB" w14:paraId="78D84974" w14:textId="77777777" w:rsidTr="006779A1">
        <w:tc>
          <w:tcPr>
            <w:tcW w:w="866" w:type="pct"/>
            <w:vMerge/>
            <w:tcMar>
              <w:top w:w="0" w:type="dxa"/>
              <w:left w:w="108" w:type="dxa"/>
              <w:bottom w:w="0" w:type="dxa"/>
              <w:right w:w="108" w:type="dxa"/>
            </w:tcMar>
          </w:tcPr>
          <w:p w14:paraId="2A793267"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68F725D"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822FE33" w14:textId="024DBACB"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xml:space="preserve">. 4.5 și 4.6, termenii „cuvintele” și „sintagma”, se vor substitui, în cazul dat, cu cuvântul „textul”. Se va reține că, la formularea amendamentelor, în conformitate cu uzanțele de tehnică legislativă, cuvântul „sintagma” se utilizează cu referire la un grup de două sau mai multe cuvinte între care există raporturi de subordonare. Cuvântul „textul” se folosește pentru individualizarea unor cuvinte și cifre, cuvinte și semne de punctuație, cifre și semne de punctuație, iar în celelalte cazuri, </w:t>
            </w:r>
            <w:r w:rsidRPr="00D844FB">
              <w:rPr>
                <w:rFonts w:ascii="Times New Roman" w:hAnsi="Times New Roman"/>
                <w:iCs/>
                <w:color w:val="000000" w:themeColor="text1"/>
                <w:sz w:val="24"/>
                <w:szCs w:val="28"/>
                <w:lang w:val="ro-RO"/>
              </w:rPr>
              <w:lastRenderedPageBreak/>
              <w:t xml:space="preserve">pentru formularea dispozițiilor de modificare, se utilizează termenii „cuvântul”/„cuvintele”, după caz, termenii „cifra”/„cifrele”.  </w:t>
            </w:r>
          </w:p>
        </w:tc>
        <w:tc>
          <w:tcPr>
            <w:tcW w:w="1230" w:type="pct"/>
            <w:tcMar>
              <w:top w:w="0" w:type="dxa"/>
              <w:left w:w="108" w:type="dxa"/>
              <w:bottom w:w="0" w:type="dxa"/>
              <w:right w:w="108" w:type="dxa"/>
            </w:tcMar>
          </w:tcPr>
          <w:p w14:paraId="017ECF03" w14:textId="18BC9DB0"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lastRenderedPageBreak/>
              <w:t>Se acceptă.</w:t>
            </w:r>
          </w:p>
        </w:tc>
      </w:tr>
      <w:tr w:rsidR="0061610E" w:rsidRPr="00D844FB" w14:paraId="0CCBF534" w14:textId="77777777" w:rsidTr="006779A1">
        <w:tc>
          <w:tcPr>
            <w:tcW w:w="866" w:type="pct"/>
            <w:vMerge/>
            <w:tcMar>
              <w:top w:w="0" w:type="dxa"/>
              <w:left w:w="108" w:type="dxa"/>
              <w:bottom w:w="0" w:type="dxa"/>
              <w:right w:w="108" w:type="dxa"/>
            </w:tcMar>
          </w:tcPr>
          <w:p w14:paraId="205372FB"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C6EB93C"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EC51985" w14:textId="1427F039"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4.7, partea dispozitivă se va reda după cum urmează: „se completează cu Secțiunea 2</w:t>
            </w:r>
            <w:r w:rsidRPr="00D844FB">
              <w:rPr>
                <w:rFonts w:ascii="Times New Roman" w:hAnsi="Times New Roman"/>
                <w:iCs/>
                <w:color w:val="000000" w:themeColor="text1"/>
                <w:sz w:val="24"/>
                <w:szCs w:val="28"/>
                <w:vertAlign w:val="superscript"/>
                <w:lang w:val="ro-RO"/>
              </w:rPr>
              <w:t>1</w:t>
            </w:r>
            <w:r w:rsidRPr="00D844FB">
              <w:rPr>
                <w:rFonts w:ascii="Times New Roman" w:hAnsi="Times New Roman"/>
                <w:iCs/>
                <w:color w:val="000000" w:themeColor="text1"/>
                <w:sz w:val="24"/>
                <w:szCs w:val="28"/>
                <w:lang w:val="ro-RO"/>
              </w:rPr>
              <w:t xml:space="preserve"> cu următorul cuprins:”.</w:t>
            </w:r>
          </w:p>
        </w:tc>
        <w:tc>
          <w:tcPr>
            <w:tcW w:w="1230" w:type="pct"/>
            <w:tcMar>
              <w:top w:w="0" w:type="dxa"/>
              <w:left w:w="108" w:type="dxa"/>
              <w:bottom w:w="0" w:type="dxa"/>
              <w:right w:w="108" w:type="dxa"/>
            </w:tcMar>
          </w:tcPr>
          <w:p w14:paraId="6A7104A4" w14:textId="69941A32"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 xml:space="preserve">Se acceptă. </w:t>
            </w:r>
          </w:p>
        </w:tc>
      </w:tr>
      <w:tr w:rsidR="0061610E" w:rsidRPr="00D844FB" w14:paraId="30EC6369" w14:textId="77777777" w:rsidTr="006779A1">
        <w:tc>
          <w:tcPr>
            <w:tcW w:w="866" w:type="pct"/>
            <w:vMerge/>
            <w:tcMar>
              <w:top w:w="0" w:type="dxa"/>
              <w:left w:w="108" w:type="dxa"/>
              <w:bottom w:w="0" w:type="dxa"/>
              <w:right w:w="108" w:type="dxa"/>
            </w:tcMar>
          </w:tcPr>
          <w:p w14:paraId="7378AB36"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774D3551"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8036A9F" w14:textId="7FAFB813"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Totodată, în redacția propusă a pct. 24</w:t>
            </w:r>
            <w:r w:rsidRPr="00D844FB">
              <w:rPr>
                <w:rFonts w:ascii="Times New Roman" w:hAnsi="Times New Roman"/>
                <w:iCs/>
                <w:color w:val="000000" w:themeColor="text1"/>
                <w:sz w:val="24"/>
                <w:szCs w:val="28"/>
                <w:vertAlign w:val="superscript"/>
                <w:lang w:val="ro-RO"/>
              </w:rPr>
              <w:t>1</w:t>
            </w:r>
            <w:r w:rsidRPr="00D844FB">
              <w:rPr>
                <w:rFonts w:ascii="Times New Roman" w:hAnsi="Times New Roman"/>
                <w:iCs/>
                <w:color w:val="000000" w:themeColor="text1"/>
                <w:sz w:val="24"/>
                <w:szCs w:val="28"/>
                <w:lang w:val="ro-RO"/>
              </w:rPr>
              <w:t xml:space="preserve"> se vor exclude cuvintele „din prezentul Regulament” pentru a asigura conformitatea cu art. 55 alin. (4) din Legea nr. 100/2017 cu privire la actele normative, potrivit căruia, în cazul în care se face trimitere la o normă juridică care este stabilită în </w:t>
            </w:r>
            <w:proofErr w:type="spellStart"/>
            <w:r w:rsidRPr="00D844FB">
              <w:rPr>
                <w:rFonts w:ascii="Times New Roman" w:hAnsi="Times New Roman"/>
                <w:iCs/>
                <w:color w:val="000000" w:themeColor="text1"/>
                <w:sz w:val="24"/>
                <w:szCs w:val="28"/>
                <w:lang w:val="ro-RO"/>
              </w:rPr>
              <w:t>acelaşi</w:t>
            </w:r>
            <w:proofErr w:type="spellEnd"/>
            <w:r w:rsidRPr="00D844FB">
              <w:rPr>
                <w:rFonts w:ascii="Times New Roman" w:hAnsi="Times New Roman"/>
                <w:iCs/>
                <w:color w:val="000000" w:themeColor="text1"/>
                <w:sz w:val="24"/>
                <w:szCs w:val="28"/>
                <w:lang w:val="ro-RO"/>
              </w:rPr>
              <w:t xml:space="preserve"> act normativ, pentru evitarea reproducerii acesteia, se face trimitere la elementul structural sau constitutiv respectiv, fără a se indica că elementul respectiv face parte din același act normativ. Observația dată este valabilă pentru toate cazurile similare din proiect.</w:t>
            </w:r>
          </w:p>
        </w:tc>
        <w:tc>
          <w:tcPr>
            <w:tcW w:w="1230" w:type="pct"/>
            <w:tcMar>
              <w:top w:w="0" w:type="dxa"/>
              <w:left w:w="108" w:type="dxa"/>
              <w:bottom w:w="0" w:type="dxa"/>
              <w:right w:w="108" w:type="dxa"/>
            </w:tcMar>
          </w:tcPr>
          <w:p w14:paraId="661E3BE3" w14:textId="662D9539"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17DDDBA8" w14:textId="77777777" w:rsidTr="006779A1">
        <w:tc>
          <w:tcPr>
            <w:tcW w:w="866" w:type="pct"/>
            <w:vMerge/>
            <w:tcMar>
              <w:top w:w="0" w:type="dxa"/>
              <w:left w:w="108" w:type="dxa"/>
              <w:bottom w:w="0" w:type="dxa"/>
              <w:right w:w="108" w:type="dxa"/>
            </w:tcMar>
          </w:tcPr>
          <w:p w14:paraId="0B14B58C"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4856A9E"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D57F00F" w14:textId="5BA3FA0B"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4.8 și 4.9 se referă la modificarea pct. 25, respectiv, se vor expune în următorul mod: „la punctul 25: subpunctul 4) va avea următorul cuprins: (urmat de redarea acestuia); se completează cu subpunctele 6) și 7) cu următorul cuprins: (urmate de redarea acestora)”.</w:t>
            </w:r>
          </w:p>
        </w:tc>
        <w:tc>
          <w:tcPr>
            <w:tcW w:w="1230" w:type="pct"/>
            <w:tcMar>
              <w:top w:w="0" w:type="dxa"/>
              <w:left w:w="108" w:type="dxa"/>
              <w:bottom w:w="0" w:type="dxa"/>
              <w:right w:w="108" w:type="dxa"/>
            </w:tcMar>
          </w:tcPr>
          <w:p w14:paraId="31A16649" w14:textId="2824C73C"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2C037D68" w14:textId="77777777" w:rsidTr="006779A1">
        <w:tc>
          <w:tcPr>
            <w:tcW w:w="866" w:type="pct"/>
            <w:vMerge/>
            <w:tcMar>
              <w:top w:w="0" w:type="dxa"/>
              <w:left w:w="108" w:type="dxa"/>
              <w:bottom w:w="0" w:type="dxa"/>
              <w:right w:w="108" w:type="dxa"/>
            </w:tcMar>
          </w:tcPr>
          <w:p w14:paraId="44A2BE84"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273A8D8"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A21269C" w14:textId="3D0CDD3C"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xml:space="preserve">. 4.11, dispoziția se va expune în următorul mod: „În denumirea Secțiunii a 4-a cuvântul ,,reciprocă” se exclude.”.  </w:t>
            </w:r>
          </w:p>
        </w:tc>
        <w:tc>
          <w:tcPr>
            <w:tcW w:w="1230" w:type="pct"/>
            <w:tcMar>
              <w:top w:w="0" w:type="dxa"/>
              <w:left w:w="108" w:type="dxa"/>
              <w:bottom w:w="0" w:type="dxa"/>
              <w:right w:w="108" w:type="dxa"/>
            </w:tcMar>
          </w:tcPr>
          <w:p w14:paraId="04D2F4BC" w14:textId="650A6F28"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4A04675D" w14:textId="77777777" w:rsidTr="006779A1">
        <w:tc>
          <w:tcPr>
            <w:tcW w:w="866" w:type="pct"/>
            <w:vMerge/>
            <w:tcMar>
              <w:top w:w="0" w:type="dxa"/>
              <w:left w:w="108" w:type="dxa"/>
              <w:bottom w:w="0" w:type="dxa"/>
              <w:right w:w="108" w:type="dxa"/>
            </w:tcMar>
          </w:tcPr>
          <w:p w14:paraId="466D6722"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6E1A57F1"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3ACBB88" w14:textId="26E66738"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4.12, pentru rigoare normativă, expresia „se adaugă” va fi substituită cu cuvintele „se completează”.</w:t>
            </w:r>
          </w:p>
        </w:tc>
        <w:tc>
          <w:tcPr>
            <w:tcW w:w="1230" w:type="pct"/>
            <w:tcMar>
              <w:top w:w="0" w:type="dxa"/>
              <w:left w:w="108" w:type="dxa"/>
              <w:bottom w:w="0" w:type="dxa"/>
              <w:right w:w="108" w:type="dxa"/>
            </w:tcMar>
          </w:tcPr>
          <w:p w14:paraId="14A2F101" w14:textId="14A288D4"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2C221626" w14:textId="77777777" w:rsidTr="006779A1">
        <w:tc>
          <w:tcPr>
            <w:tcW w:w="866" w:type="pct"/>
            <w:vMerge/>
            <w:tcMar>
              <w:top w:w="0" w:type="dxa"/>
              <w:left w:w="108" w:type="dxa"/>
              <w:bottom w:w="0" w:type="dxa"/>
              <w:right w:w="108" w:type="dxa"/>
            </w:tcMar>
          </w:tcPr>
          <w:p w14:paraId="14248C1E"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59201B30"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FBFD46F" w14:textId="1A5ECA09"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xml:space="preserve">. 4.13, semnalăm că redacția propusă a punctului 31 urmează a fi expusă din alineat și cu numerotare.  </w:t>
            </w:r>
          </w:p>
        </w:tc>
        <w:tc>
          <w:tcPr>
            <w:tcW w:w="1230" w:type="pct"/>
            <w:tcMar>
              <w:top w:w="0" w:type="dxa"/>
              <w:left w:w="108" w:type="dxa"/>
              <w:bottom w:w="0" w:type="dxa"/>
              <w:right w:w="108" w:type="dxa"/>
            </w:tcMar>
          </w:tcPr>
          <w:p w14:paraId="3D45718D" w14:textId="056D69D8"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46F50601" w14:textId="77777777" w:rsidTr="006779A1">
        <w:tc>
          <w:tcPr>
            <w:tcW w:w="866" w:type="pct"/>
            <w:vMerge/>
            <w:tcMar>
              <w:top w:w="0" w:type="dxa"/>
              <w:left w:w="108" w:type="dxa"/>
              <w:bottom w:w="0" w:type="dxa"/>
              <w:right w:w="108" w:type="dxa"/>
            </w:tcMar>
          </w:tcPr>
          <w:p w14:paraId="080AF86E"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7E937A1"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907E0A6" w14:textId="75020B7B"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 xml:space="preserve">La </w:t>
            </w: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4.14, semnalăm că expresia „se omite” nu reprezintă o exprimare specifică stilului normativ și se va substitui cu cuvintele „se exclude”. Observația dată este valabilă pentru toate situațiile similare din proiect.</w:t>
            </w:r>
          </w:p>
        </w:tc>
        <w:tc>
          <w:tcPr>
            <w:tcW w:w="1230" w:type="pct"/>
            <w:tcMar>
              <w:top w:w="0" w:type="dxa"/>
              <w:left w:w="108" w:type="dxa"/>
              <w:bottom w:w="0" w:type="dxa"/>
              <w:right w:w="108" w:type="dxa"/>
            </w:tcMar>
          </w:tcPr>
          <w:p w14:paraId="7E420CE1" w14:textId="747C0F10"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3B40A997" w14:textId="77777777" w:rsidTr="006779A1">
        <w:tc>
          <w:tcPr>
            <w:tcW w:w="866" w:type="pct"/>
            <w:vMerge/>
            <w:tcMar>
              <w:top w:w="0" w:type="dxa"/>
              <w:left w:w="108" w:type="dxa"/>
              <w:bottom w:w="0" w:type="dxa"/>
              <w:right w:w="108" w:type="dxa"/>
            </w:tcMar>
          </w:tcPr>
          <w:p w14:paraId="1646852B"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A6F78DF"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17CC9F9" w14:textId="5FED104A"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proofErr w:type="spellStart"/>
            <w:r w:rsidRPr="00D844FB">
              <w:rPr>
                <w:rFonts w:ascii="Times New Roman" w:hAnsi="Times New Roman"/>
                <w:iCs/>
                <w:color w:val="000000" w:themeColor="text1"/>
                <w:sz w:val="24"/>
                <w:szCs w:val="28"/>
                <w:lang w:val="ro-RO"/>
              </w:rPr>
              <w:t>Sbp</w:t>
            </w:r>
            <w:proofErr w:type="spellEnd"/>
            <w:r w:rsidRPr="00D844FB">
              <w:rPr>
                <w:rFonts w:ascii="Times New Roman" w:hAnsi="Times New Roman"/>
                <w:iCs/>
                <w:color w:val="000000" w:themeColor="text1"/>
                <w:sz w:val="24"/>
                <w:szCs w:val="28"/>
                <w:lang w:val="ro-RO"/>
              </w:rPr>
              <w:t>. 4.22 și 4.23 vor fi unificate, iar dispoziția de modificare se va expune în felul următor: „la punctul 78 subpunctele 7) și 8) vor avea următorul cuprins:”, urmate de redarea acestora.</w:t>
            </w:r>
          </w:p>
        </w:tc>
        <w:tc>
          <w:tcPr>
            <w:tcW w:w="1230" w:type="pct"/>
            <w:tcMar>
              <w:top w:w="0" w:type="dxa"/>
              <w:left w:w="108" w:type="dxa"/>
              <w:bottom w:w="0" w:type="dxa"/>
              <w:right w:w="108" w:type="dxa"/>
            </w:tcMar>
          </w:tcPr>
          <w:p w14:paraId="7B5D0974" w14:textId="2C4956E4" w:rsidR="0061610E" w:rsidRPr="00D844FB" w:rsidRDefault="00EA130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1610E" w:rsidRPr="00D844FB" w14:paraId="57E37EC8" w14:textId="77777777" w:rsidTr="006779A1">
        <w:tc>
          <w:tcPr>
            <w:tcW w:w="866" w:type="pct"/>
            <w:vMerge/>
            <w:tcMar>
              <w:top w:w="0" w:type="dxa"/>
              <w:left w:w="108" w:type="dxa"/>
              <w:bottom w:w="0" w:type="dxa"/>
              <w:right w:w="108" w:type="dxa"/>
            </w:tcMar>
          </w:tcPr>
          <w:p w14:paraId="3A70DDA0" w14:textId="77777777" w:rsidR="0061610E" w:rsidRPr="00D844FB" w:rsidRDefault="0061610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16F326B5" w14:textId="77777777" w:rsidR="0061610E" w:rsidRPr="00D844FB" w:rsidRDefault="0061610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920B098" w14:textId="51F62072" w:rsidR="0061610E" w:rsidRPr="00D844FB" w:rsidRDefault="0061610E"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D844FB">
              <w:rPr>
                <w:rFonts w:ascii="Times New Roman" w:hAnsi="Times New Roman"/>
                <w:iCs/>
                <w:color w:val="000000" w:themeColor="text1"/>
                <w:sz w:val="24"/>
                <w:szCs w:val="28"/>
                <w:lang w:val="ro-RO"/>
              </w:rPr>
              <w:t>Subsidiar, în cazul în care se modifică mai multe acte normative, modificările se expun în ordinea cronologică a datei adoptării/aprobării actelor normative modificate.</w:t>
            </w:r>
          </w:p>
        </w:tc>
        <w:tc>
          <w:tcPr>
            <w:tcW w:w="1230" w:type="pct"/>
            <w:tcMar>
              <w:top w:w="0" w:type="dxa"/>
              <w:left w:w="108" w:type="dxa"/>
              <w:bottom w:w="0" w:type="dxa"/>
              <w:right w:w="108" w:type="dxa"/>
            </w:tcMar>
          </w:tcPr>
          <w:p w14:paraId="46236B98" w14:textId="49FA14F1" w:rsidR="0061610E" w:rsidRPr="00D844FB" w:rsidRDefault="00732AD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844FB">
              <w:rPr>
                <w:rFonts w:ascii="Times New Roman" w:hAnsi="Times New Roman"/>
                <w:b/>
                <w:bCs/>
                <w:sz w:val="24"/>
                <w:szCs w:val="24"/>
                <w:lang w:val="ro-RO"/>
              </w:rPr>
              <w:t>Se acceptă.</w:t>
            </w:r>
          </w:p>
        </w:tc>
      </w:tr>
      <w:tr w:rsidR="006779A1" w:rsidRPr="00C41418" w14:paraId="448BF6B3" w14:textId="77777777" w:rsidTr="006779A1">
        <w:tc>
          <w:tcPr>
            <w:tcW w:w="866" w:type="pct"/>
            <w:vMerge w:val="restart"/>
            <w:tcMar>
              <w:top w:w="0" w:type="dxa"/>
              <w:left w:w="108" w:type="dxa"/>
              <w:bottom w:w="0" w:type="dxa"/>
              <w:right w:w="108" w:type="dxa"/>
            </w:tcMar>
          </w:tcPr>
          <w:p w14:paraId="03845627" w14:textId="69A6A070"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41418">
              <w:rPr>
                <w:rFonts w:ascii="Times New Roman" w:hAnsi="Times New Roman"/>
                <w:b/>
                <w:bCs/>
                <w:sz w:val="24"/>
                <w:szCs w:val="24"/>
                <w:lang w:val="ro-RO"/>
              </w:rPr>
              <w:t>Centrul Național Anticorupție</w:t>
            </w:r>
          </w:p>
        </w:tc>
        <w:tc>
          <w:tcPr>
            <w:tcW w:w="577" w:type="pct"/>
            <w:vMerge w:val="restart"/>
            <w:tcMar>
              <w:top w:w="0" w:type="dxa"/>
              <w:left w:w="108" w:type="dxa"/>
              <w:bottom w:w="0" w:type="dxa"/>
              <w:right w:w="108" w:type="dxa"/>
            </w:tcMar>
          </w:tcPr>
          <w:p w14:paraId="06E9D689" w14:textId="6BAFED8E" w:rsidR="006779A1" w:rsidRPr="00C41418" w:rsidRDefault="006779A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41418">
              <w:rPr>
                <w:rFonts w:ascii="Times New Roman" w:hAnsi="Times New Roman"/>
                <w:sz w:val="24"/>
                <w:szCs w:val="24"/>
                <w:lang w:val="ro-RO"/>
              </w:rPr>
              <w:t>Raport de expertiză anticorupție nr. EHG25/10425 din 19.03.2025</w:t>
            </w:r>
          </w:p>
        </w:tc>
        <w:tc>
          <w:tcPr>
            <w:tcW w:w="2327" w:type="pct"/>
            <w:tcMar>
              <w:top w:w="0" w:type="dxa"/>
              <w:left w:w="108" w:type="dxa"/>
              <w:bottom w:w="0" w:type="dxa"/>
              <w:right w:w="108" w:type="dxa"/>
            </w:tcMar>
          </w:tcPr>
          <w:p w14:paraId="2F7E141E"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pct.3.2 </w:t>
            </w:r>
          </w:p>
          <w:p w14:paraId="4D08BEB0"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u w:val="single"/>
                <w:lang w:val="ro-RO"/>
              </w:rPr>
            </w:pPr>
            <w:r w:rsidRPr="00C41418">
              <w:rPr>
                <w:rFonts w:ascii="Times New Roman" w:hAnsi="Times New Roman"/>
                <w:iCs/>
                <w:color w:val="000000" w:themeColor="text1"/>
                <w:sz w:val="24"/>
                <w:szCs w:val="28"/>
                <w:lang w:val="ro-RO"/>
              </w:rPr>
              <w:t xml:space="preserve">3.2. punctul 4, va avea următorul cuprins: ,,4.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w:t>
            </w:r>
            <w:r w:rsidRPr="00C41418">
              <w:rPr>
                <w:rFonts w:ascii="Times New Roman" w:hAnsi="Times New Roman"/>
                <w:iCs/>
                <w:color w:val="000000" w:themeColor="text1"/>
                <w:sz w:val="24"/>
                <w:szCs w:val="28"/>
                <w:u w:val="single"/>
                <w:lang w:val="ro-RO"/>
              </w:rPr>
              <w:t>în formă electronică, într-un format simplificat.</w:t>
            </w:r>
          </w:p>
          <w:p w14:paraId="379D6172" w14:textId="77777777" w:rsidR="006779A1" w:rsidRPr="00C41418" w:rsidRDefault="006779A1" w:rsidP="00B82BCE">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C41418">
              <w:rPr>
                <w:rFonts w:ascii="Times New Roman" w:hAnsi="Times New Roman"/>
                <w:b/>
                <w:bCs/>
                <w:iCs/>
                <w:color w:val="000000" w:themeColor="text1"/>
                <w:sz w:val="24"/>
                <w:szCs w:val="28"/>
                <w:lang w:val="ro-RO"/>
              </w:rPr>
              <w:t xml:space="preserve">Obiecții: </w:t>
            </w:r>
          </w:p>
          <w:p w14:paraId="208A6C31"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Utilizarea expresiei ”într-un format simplificat” atribuie caracter ambiguu normei, fapt care denotă neîntrunirea exigențelor de tehnică legislativă statuate de prevederile art.54 alin.(1) </w:t>
            </w:r>
            <w:proofErr w:type="spellStart"/>
            <w:r w:rsidRPr="00C41418">
              <w:rPr>
                <w:rFonts w:ascii="Times New Roman" w:hAnsi="Times New Roman"/>
                <w:iCs/>
                <w:color w:val="000000" w:themeColor="text1"/>
                <w:sz w:val="24"/>
                <w:szCs w:val="28"/>
                <w:lang w:val="ro-RO"/>
              </w:rPr>
              <w:t>lit.a</w:t>
            </w:r>
            <w:proofErr w:type="spellEnd"/>
            <w:r w:rsidRPr="00C41418">
              <w:rPr>
                <w:rFonts w:ascii="Times New Roman" w:hAnsi="Times New Roman"/>
                <w:iCs/>
                <w:color w:val="000000" w:themeColor="text1"/>
                <w:sz w:val="24"/>
                <w:szCs w:val="28"/>
                <w:lang w:val="ro-RO"/>
              </w:rPr>
              <w:t xml:space="preserve">) al Legii nr. 100/2017. Deficiența prenotată, poate condiționa interpretarea restrictivă normei și nemijlocit a categoriilor de informații conținute de formatul simplificat în registrului.  </w:t>
            </w:r>
          </w:p>
          <w:p w14:paraId="4C6A737A"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p>
          <w:p w14:paraId="53D7FA5E" w14:textId="7B5EF3BB"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lastRenderedPageBreak/>
              <w:t>Recomandări:</w:t>
            </w:r>
            <w:r w:rsidRPr="00C41418">
              <w:rPr>
                <w:rFonts w:ascii="Times New Roman" w:hAnsi="Times New Roman"/>
                <w:iCs/>
                <w:color w:val="000000" w:themeColor="text1"/>
                <w:sz w:val="24"/>
                <w:szCs w:val="28"/>
                <w:lang w:val="ro-RO"/>
              </w:rPr>
              <w:t xml:space="preserve"> Reglementarea categoriilor de informații vizate de formatul simplificat în registrului asigurat de către entitatea publică până la instituirea Registrului electronic al auditorilor energetici și a Registrului electronic al auditului energetic, în conformitate cu regulile stabilite în Legea nr. 139/2018 cu privire la eficiența energetică.</w:t>
            </w:r>
          </w:p>
        </w:tc>
        <w:tc>
          <w:tcPr>
            <w:tcW w:w="1230" w:type="pct"/>
            <w:tcMar>
              <w:top w:w="0" w:type="dxa"/>
              <w:left w:w="108" w:type="dxa"/>
              <w:bottom w:w="0" w:type="dxa"/>
              <w:right w:w="108" w:type="dxa"/>
            </w:tcMar>
          </w:tcPr>
          <w:p w14:paraId="1FACD59F" w14:textId="1CD69EB1"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41418">
              <w:rPr>
                <w:rFonts w:ascii="Times New Roman" w:hAnsi="Times New Roman"/>
                <w:b/>
                <w:bCs/>
                <w:sz w:val="24"/>
                <w:szCs w:val="24"/>
                <w:lang w:val="ro-RO"/>
              </w:rPr>
              <w:lastRenderedPageBreak/>
              <w:t xml:space="preserve">Se acceptă. </w:t>
            </w:r>
          </w:p>
        </w:tc>
      </w:tr>
      <w:tr w:rsidR="006779A1" w:rsidRPr="0047225B" w14:paraId="3BAEBDFF" w14:textId="77777777" w:rsidTr="006779A1">
        <w:tc>
          <w:tcPr>
            <w:tcW w:w="866" w:type="pct"/>
            <w:vMerge/>
            <w:tcMar>
              <w:top w:w="0" w:type="dxa"/>
              <w:left w:w="108" w:type="dxa"/>
              <w:bottom w:w="0" w:type="dxa"/>
              <w:right w:w="108" w:type="dxa"/>
            </w:tcMar>
          </w:tcPr>
          <w:p w14:paraId="3A3E25EF"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7D422494" w14:textId="77777777" w:rsidR="006779A1" w:rsidRPr="00C41418" w:rsidRDefault="006779A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8C65EBD" w14:textId="0DA9F8EE"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t>pct.4.8</w:t>
            </w:r>
            <w:r w:rsidRPr="00C41418">
              <w:rPr>
                <w:rFonts w:ascii="Times New Roman" w:hAnsi="Times New Roman"/>
                <w:iCs/>
                <w:color w:val="000000" w:themeColor="text1"/>
                <w:sz w:val="24"/>
                <w:szCs w:val="28"/>
                <w:lang w:val="ro-RO"/>
              </w:rPr>
              <w:t xml:space="preserve"> 4.8. punctul 25 subpunctul 4) va avea următorul cuprins:,,4) în cazul în care în cadrul procedurii de verificare a calității auditurilor energetice se constată că un auditor energetic are </w:t>
            </w:r>
            <w:r w:rsidRPr="00C41418">
              <w:rPr>
                <w:rFonts w:ascii="Times New Roman" w:hAnsi="Times New Roman"/>
                <w:iCs/>
                <w:color w:val="000000" w:themeColor="text1"/>
                <w:sz w:val="24"/>
                <w:szCs w:val="28"/>
                <w:u w:val="single"/>
                <w:lang w:val="ro-RO"/>
              </w:rPr>
              <w:t>neconformități majore</w:t>
            </w:r>
            <w:r w:rsidRPr="00C41418">
              <w:rPr>
                <w:rFonts w:ascii="Times New Roman" w:hAnsi="Times New Roman"/>
                <w:iCs/>
                <w:color w:val="000000" w:themeColor="text1"/>
                <w:sz w:val="24"/>
                <w:szCs w:val="28"/>
                <w:lang w:val="ro-RO"/>
              </w:rPr>
              <w:t xml:space="preserve"> în cadrul rapoartelor de audit energetic elaborate, </w:t>
            </w:r>
            <w:bookmarkStart w:id="2" w:name="_Hlk193440165"/>
            <w:r w:rsidRPr="00C41418">
              <w:rPr>
                <w:rFonts w:ascii="Times New Roman" w:hAnsi="Times New Roman"/>
                <w:iCs/>
                <w:color w:val="000000" w:themeColor="text1"/>
                <w:sz w:val="24"/>
                <w:szCs w:val="28"/>
                <w:lang w:val="ro-RO"/>
              </w:rPr>
              <w:t>definite conform prevederilor ghidului privind verificarea calității auditurilor energetice</w:t>
            </w:r>
            <w:bookmarkEnd w:id="2"/>
            <w:r w:rsidRPr="00C41418">
              <w:rPr>
                <w:rFonts w:ascii="Times New Roman" w:hAnsi="Times New Roman"/>
                <w:iCs/>
                <w:color w:val="000000" w:themeColor="text1"/>
                <w:sz w:val="24"/>
                <w:szCs w:val="28"/>
                <w:lang w:val="ro-RO"/>
              </w:rPr>
              <w:t>”</w:t>
            </w:r>
            <w:r w:rsidR="00953635">
              <w:rPr>
                <w:rFonts w:ascii="Times New Roman" w:hAnsi="Times New Roman"/>
                <w:iCs/>
                <w:color w:val="000000" w:themeColor="text1"/>
                <w:sz w:val="24"/>
                <w:szCs w:val="28"/>
                <w:lang w:val="ro-RO"/>
              </w:rPr>
              <w:t>.</w:t>
            </w:r>
          </w:p>
          <w:p w14:paraId="264F3D6D"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t>Obiecții:</w:t>
            </w:r>
            <w:r w:rsidRPr="00C41418">
              <w:rPr>
                <w:rFonts w:ascii="Times New Roman" w:hAnsi="Times New Roman"/>
                <w:iCs/>
                <w:color w:val="000000" w:themeColor="text1"/>
                <w:sz w:val="24"/>
                <w:szCs w:val="28"/>
                <w:lang w:val="ro-RO"/>
              </w:rPr>
              <w:t xml:space="preserve"> </w:t>
            </w:r>
          </w:p>
          <w:p w14:paraId="35BF5D56"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Amendamentul proiectului citat supra, operează cu o formulă ambiguă, care poate determina interpretarea extensivă a gravității neconformității de către subiecții responsabili de verificarea calității auditurilor energetice/persoanele care au/susțin că au influență asupra acestora. Carența în speță, creează precondiții ce pot favoriza admiterea incidentelor de integritate/riscurilor de corupție de către subiecții prenotați și obstrucționarea atragerii la răspundere a subiecților care au admis neconformități. Totodată, ambiguitatea reglementării </w:t>
            </w:r>
            <w:proofErr w:type="spellStart"/>
            <w:r w:rsidRPr="00C41418">
              <w:rPr>
                <w:rFonts w:ascii="Times New Roman" w:hAnsi="Times New Roman"/>
                <w:iCs/>
                <w:color w:val="000000" w:themeColor="text1"/>
                <w:sz w:val="24"/>
                <w:szCs w:val="28"/>
                <w:lang w:val="ro-RO"/>
              </w:rPr>
              <w:t>responsabilităţii</w:t>
            </w:r>
            <w:proofErr w:type="spellEnd"/>
            <w:r w:rsidRPr="00C41418">
              <w:rPr>
                <w:rFonts w:ascii="Times New Roman" w:hAnsi="Times New Roman"/>
                <w:iCs/>
                <w:color w:val="000000" w:themeColor="text1"/>
                <w:sz w:val="24"/>
                <w:szCs w:val="28"/>
                <w:lang w:val="ro-RO"/>
              </w:rPr>
              <w:t xml:space="preserve"> subiectului vizat, determină  caracterul declarativ al normei și prin urmare, responsabilizarea insuficientă a subiecților vizați pentru respectarea prevederilor legale. Deficiențele prenotate, denotă neîntrunirea principiilor activității de legiferare („stabilitatea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predictibilitatea normelor juridice”) și a exigențelor de calitate a legii iterate de normele de tehnică legislativă statuate de prevederile art.3 alin.(1) </w:t>
            </w:r>
            <w:proofErr w:type="spellStart"/>
            <w:r w:rsidRPr="00C41418">
              <w:rPr>
                <w:rFonts w:ascii="Times New Roman" w:hAnsi="Times New Roman"/>
                <w:iCs/>
                <w:color w:val="000000" w:themeColor="text1"/>
                <w:sz w:val="24"/>
                <w:szCs w:val="28"/>
                <w:lang w:val="ro-RO"/>
              </w:rPr>
              <w:t>lit.d</w:t>
            </w:r>
            <w:proofErr w:type="spellEnd"/>
            <w:r w:rsidRPr="00C41418">
              <w:rPr>
                <w:rFonts w:ascii="Times New Roman" w:hAnsi="Times New Roman"/>
                <w:iCs/>
                <w:color w:val="000000" w:themeColor="text1"/>
                <w:sz w:val="24"/>
                <w:szCs w:val="28"/>
                <w:lang w:val="ro-RO"/>
              </w:rPr>
              <w:t xml:space="preserve">) și art.54 alin.(1) </w:t>
            </w:r>
            <w:proofErr w:type="spellStart"/>
            <w:r w:rsidRPr="00C41418">
              <w:rPr>
                <w:rFonts w:ascii="Times New Roman" w:hAnsi="Times New Roman"/>
                <w:iCs/>
                <w:color w:val="000000" w:themeColor="text1"/>
                <w:sz w:val="24"/>
                <w:szCs w:val="28"/>
                <w:lang w:val="ro-RO"/>
              </w:rPr>
              <w:t>lit.a</w:t>
            </w:r>
            <w:proofErr w:type="spellEnd"/>
            <w:r w:rsidRPr="00C41418">
              <w:rPr>
                <w:rFonts w:ascii="Times New Roman" w:hAnsi="Times New Roman"/>
                <w:iCs/>
                <w:color w:val="000000" w:themeColor="text1"/>
                <w:sz w:val="24"/>
                <w:szCs w:val="28"/>
                <w:lang w:val="ro-RO"/>
              </w:rPr>
              <w:t>), c) al Legii nr.100 din 22-12-2017 cu privire la actele normative („</w:t>
            </w:r>
            <w:proofErr w:type="spellStart"/>
            <w:r w:rsidRPr="00C41418">
              <w:rPr>
                <w:rFonts w:ascii="Times New Roman" w:hAnsi="Times New Roman"/>
                <w:iCs/>
                <w:color w:val="000000" w:themeColor="text1"/>
                <w:sz w:val="24"/>
                <w:szCs w:val="28"/>
                <w:lang w:val="ro-RO"/>
              </w:rPr>
              <w:t>conţinutul</w:t>
            </w:r>
            <w:proofErr w:type="spellEnd"/>
            <w:r w:rsidRPr="00C41418">
              <w:rPr>
                <w:rFonts w:ascii="Times New Roman" w:hAnsi="Times New Roman"/>
                <w:iCs/>
                <w:color w:val="000000" w:themeColor="text1"/>
                <w:sz w:val="24"/>
                <w:szCs w:val="28"/>
                <w:lang w:val="ro-RO"/>
              </w:rPr>
              <w:t xml:space="preserve"> </w:t>
            </w:r>
            <w:r w:rsidRPr="00C41418">
              <w:rPr>
                <w:rFonts w:ascii="Times New Roman" w:hAnsi="Times New Roman"/>
                <w:iCs/>
                <w:color w:val="000000" w:themeColor="text1"/>
                <w:sz w:val="24"/>
                <w:szCs w:val="28"/>
                <w:lang w:val="ro-RO"/>
              </w:rPr>
              <w:lastRenderedPageBreak/>
              <w:t xml:space="preserve">proiectului se expune într-un limbaj simplu, clar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concis, pentru a se exclude orice echivoc, […]”). În context, se remarcă faptul că prevederile art.23 alin. (2) din </w:t>
            </w:r>
            <w:proofErr w:type="spellStart"/>
            <w:r w:rsidRPr="00C41418">
              <w:rPr>
                <w:rFonts w:ascii="Times New Roman" w:hAnsi="Times New Roman"/>
                <w:iCs/>
                <w:color w:val="000000" w:themeColor="text1"/>
                <w:sz w:val="24"/>
                <w:szCs w:val="28"/>
                <w:lang w:val="ro-RO"/>
              </w:rPr>
              <w:t>Constituţie</w:t>
            </w:r>
            <w:proofErr w:type="spellEnd"/>
            <w:r w:rsidRPr="00C41418">
              <w:rPr>
                <w:rFonts w:ascii="Times New Roman" w:hAnsi="Times New Roman"/>
                <w:iCs/>
                <w:color w:val="000000" w:themeColor="text1"/>
                <w:sz w:val="24"/>
                <w:szCs w:val="28"/>
                <w:lang w:val="ro-RO"/>
              </w:rPr>
              <w:t xml:space="preserve"> implică adoptarea de către legislator a unor legi accesibile, clare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previzibile. </w:t>
            </w:r>
            <w:proofErr w:type="spellStart"/>
            <w:r w:rsidRPr="00C41418">
              <w:rPr>
                <w:rFonts w:ascii="Times New Roman" w:hAnsi="Times New Roman"/>
                <w:iCs/>
                <w:color w:val="000000" w:themeColor="text1"/>
                <w:sz w:val="24"/>
                <w:szCs w:val="28"/>
                <w:lang w:val="ro-RO"/>
              </w:rPr>
              <w:t>Condiţia</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clarităţii</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a </w:t>
            </w:r>
            <w:proofErr w:type="spellStart"/>
            <w:r w:rsidRPr="00C41418">
              <w:rPr>
                <w:rFonts w:ascii="Times New Roman" w:hAnsi="Times New Roman"/>
                <w:iCs/>
                <w:color w:val="000000" w:themeColor="text1"/>
                <w:sz w:val="24"/>
                <w:szCs w:val="28"/>
                <w:lang w:val="ro-RO"/>
              </w:rPr>
              <w:t>previzibilităţii</w:t>
            </w:r>
            <w:proofErr w:type="spellEnd"/>
            <w:r w:rsidRPr="00C41418">
              <w:rPr>
                <w:rFonts w:ascii="Times New Roman" w:hAnsi="Times New Roman"/>
                <w:iCs/>
                <w:color w:val="000000" w:themeColor="text1"/>
                <w:sz w:val="24"/>
                <w:szCs w:val="28"/>
                <w:lang w:val="ro-RO"/>
              </w:rPr>
              <w:t xml:space="preserve"> este îndeplinită atunci când </w:t>
            </w:r>
            <w:proofErr w:type="spellStart"/>
            <w:r w:rsidRPr="00C41418">
              <w:rPr>
                <w:rFonts w:ascii="Times New Roman" w:hAnsi="Times New Roman"/>
                <w:iCs/>
                <w:color w:val="000000" w:themeColor="text1"/>
                <w:sz w:val="24"/>
                <w:szCs w:val="28"/>
                <w:lang w:val="ro-RO"/>
              </w:rPr>
              <w:t>atît</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justiţiabilul</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cît</w:t>
            </w:r>
            <w:proofErr w:type="spellEnd"/>
            <w:r w:rsidRPr="00C41418">
              <w:rPr>
                <w:rFonts w:ascii="Times New Roman" w:hAnsi="Times New Roman"/>
                <w:iCs/>
                <w:color w:val="000000" w:themeColor="text1"/>
                <w:sz w:val="24"/>
                <w:szCs w:val="28"/>
                <w:lang w:val="ro-RO"/>
              </w:rPr>
              <w:t xml:space="preserve"> și nemijlocit subiectul vizat de normă, poate </w:t>
            </w:r>
            <w:proofErr w:type="spellStart"/>
            <w:r w:rsidRPr="00C41418">
              <w:rPr>
                <w:rFonts w:ascii="Times New Roman" w:hAnsi="Times New Roman"/>
                <w:iCs/>
                <w:color w:val="000000" w:themeColor="text1"/>
                <w:sz w:val="24"/>
                <w:szCs w:val="28"/>
                <w:lang w:val="ro-RO"/>
              </w:rPr>
              <w:t>cunoaşte</w:t>
            </w:r>
            <w:proofErr w:type="spellEnd"/>
            <w:r w:rsidRPr="00C41418">
              <w:rPr>
                <w:rFonts w:ascii="Times New Roman" w:hAnsi="Times New Roman"/>
                <w:iCs/>
                <w:color w:val="000000" w:themeColor="text1"/>
                <w:sz w:val="24"/>
                <w:szCs w:val="28"/>
                <w:lang w:val="ro-RO"/>
              </w:rPr>
              <w:t xml:space="preserve">, din chiar textul normei juridice pertinente, iar la nevoie cu ajutorul interpretării acesteia de către </w:t>
            </w:r>
            <w:proofErr w:type="spellStart"/>
            <w:r w:rsidRPr="00C41418">
              <w:rPr>
                <w:rFonts w:ascii="Times New Roman" w:hAnsi="Times New Roman"/>
                <w:iCs/>
                <w:color w:val="000000" w:themeColor="text1"/>
                <w:sz w:val="24"/>
                <w:szCs w:val="28"/>
                <w:lang w:val="ro-RO"/>
              </w:rPr>
              <w:t>instanţe</w:t>
            </w:r>
            <w:proofErr w:type="spellEnd"/>
            <w:r w:rsidRPr="00C41418">
              <w:rPr>
                <w:rFonts w:ascii="Times New Roman" w:hAnsi="Times New Roman"/>
                <w:iCs/>
                <w:color w:val="000000" w:themeColor="text1"/>
                <w:sz w:val="24"/>
                <w:szCs w:val="28"/>
                <w:lang w:val="ro-RO"/>
              </w:rPr>
              <w:t xml:space="preserve"> sau cu ajutorul unor </w:t>
            </w:r>
            <w:proofErr w:type="spellStart"/>
            <w:r w:rsidRPr="00C41418">
              <w:rPr>
                <w:rFonts w:ascii="Times New Roman" w:hAnsi="Times New Roman"/>
                <w:iCs/>
                <w:color w:val="000000" w:themeColor="text1"/>
                <w:sz w:val="24"/>
                <w:szCs w:val="28"/>
                <w:lang w:val="ro-RO"/>
              </w:rPr>
              <w:t>jurişti</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profesionişti</w:t>
            </w:r>
            <w:proofErr w:type="spellEnd"/>
            <w:r w:rsidRPr="00C41418">
              <w:rPr>
                <w:rFonts w:ascii="Times New Roman" w:hAnsi="Times New Roman"/>
                <w:iCs/>
                <w:color w:val="000000" w:themeColor="text1"/>
                <w:sz w:val="24"/>
                <w:szCs w:val="28"/>
                <w:lang w:val="ro-RO"/>
              </w:rPr>
              <w:t xml:space="preserve">, care sunt </w:t>
            </w:r>
            <w:proofErr w:type="spellStart"/>
            <w:r w:rsidRPr="00C41418">
              <w:rPr>
                <w:rFonts w:ascii="Times New Roman" w:hAnsi="Times New Roman"/>
                <w:iCs/>
                <w:color w:val="000000" w:themeColor="text1"/>
                <w:sz w:val="24"/>
                <w:szCs w:val="28"/>
                <w:lang w:val="ro-RO"/>
              </w:rPr>
              <w:t>acţiunile</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omisiunile ce-i pot angaja răspunderea (inclusiv penală)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care este pedeapsa care îi poate fi aplicată, în cazul încălcării acestei norme. De asemenea, pentru ca legea să îndeplinească </w:t>
            </w:r>
            <w:proofErr w:type="spellStart"/>
            <w:r w:rsidRPr="00C41418">
              <w:rPr>
                <w:rFonts w:ascii="Times New Roman" w:hAnsi="Times New Roman"/>
                <w:iCs/>
                <w:color w:val="000000" w:themeColor="text1"/>
                <w:sz w:val="24"/>
                <w:szCs w:val="28"/>
                <w:lang w:val="ro-RO"/>
              </w:rPr>
              <w:t>cerinţa</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previzibilităţii</w:t>
            </w:r>
            <w:proofErr w:type="spellEnd"/>
            <w:r w:rsidRPr="00C41418">
              <w:rPr>
                <w:rFonts w:ascii="Times New Roman" w:hAnsi="Times New Roman"/>
                <w:iCs/>
                <w:color w:val="000000" w:themeColor="text1"/>
                <w:sz w:val="24"/>
                <w:szCs w:val="28"/>
                <w:lang w:val="ro-RO"/>
              </w:rPr>
              <w:t xml:space="preserve">, ea trebuie să precizeze cu suficientă claritate întinderea </w:t>
            </w:r>
            <w:proofErr w:type="spellStart"/>
            <w:r w:rsidRPr="00C41418">
              <w:rPr>
                <w:rFonts w:ascii="Times New Roman" w:hAnsi="Times New Roman"/>
                <w:iCs/>
                <w:color w:val="000000" w:themeColor="text1"/>
                <w:sz w:val="24"/>
                <w:szCs w:val="28"/>
                <w:lang w:val="ro-RO"/>
              </w:rPr>
              <w:t>şi</w:t>
            </w:r>
            <w:proofErr w:type="spellEnd"/>
            <w:r w:rsidRPr="00C41418">
              <w:rPr>
                <w:rFonts w:ascii="Times New Roman" w:hAnsi="Times New Roman"/>
                <w:iCs/>
                <w:color w:val="000000" w:themeColor="text1"/>
                <w:sz w:val="24"/>
                <w:szCs w:val="28"/>
                <w:lang w:val="ro-RO"/>
              </w:rPr>
              <w:t xml:space="preserve"> </w:t>
            </w:r>
            <w:proofErr w:type="spellStart"/>
            <w:r w:rsidRPr="00C41418">
              <w:rPr>
                <w:rFonts w:ascii="Times New Roman" w:hAnsi="Times New Roman"/>
                <w:iCs/>
                <w:color w:val="000000" w:themeColor="text1"/>
                <w:sz w:val="24"/>
                <w:szCs w:val="28"/>
                <w:lang w:val="ro-RO"/>
              </w:rPr>
              <w:t>modalităţile</w:t>
            </w:r>
            <w:proofErr w:type="spellEnd"/>
            <w:r w:rsidRPr="00C41418">
              <w:rPr>
                <w:rFonts w:ascii="Times New Roman" w:hAnsi="Times New Roman"/>
                <w:iCs/>
                <w:color w:val="000000" w:themeColor="text1"/>
                <w:sz w:val="24"/>
                <w:szCs w:val="28"/>
                <w:lang w:val="ro-RO"/>
              </w:rPr>
              <w:t xml:space="preserve"> de exercitare a puterii de apreciere a agenților publici în domeniul respectiv, </w:t>
            </w:r>
            <w:proofErr w:type="spellStart"/>
            <w:r w:rsidRPr="00C41418">
              <w:rPr>
                <w:rFonts w:ascii="Times New Roman" w:hAnsi="Times New Roman"/>
                <w:iCs/>
                <w:color w:val="000000" w:themeColor="text1"/>
                <w:sz w:val="24"/>
                <w:szCs w:val="28"/>
                <w:lang w:val="ro-RO"/>
              </w:rPr>
              <w:t>ţinând</w:t>
            </w:r>
            <w:proofErr w:type="spellEnd"/>
            <w:r w:rsidRPr="00C41418">
              <w:rPr>
                <w:rFonts w:ascii="Times New Roman" w:hAnsi="Times New Roman"/>
                <w:iCs/>
                <w:color w:val="000000" w:themeColor="text1"/>
                <w:sz w:val="24"/>
                <w:szCs w:val="28"/>
                <w:lang w:val="ro-RO"/>
              </w:rPr>
              <w:t xml:space="preserve"> cont de scopul legitim urmărit, or o putere </w:t>
            </w:r>
            <w:proofErr w:type="spellStart"/>
            <w:r w:rsidRPr="00C41418">
              <w:rPr>
                <w:rFonts w:ascii="Times New Roman" w:hAnsi="Times New Roman"/>
                <w:iCs/>
                <w:color w:val="000000" w:themeColor="text1"/>
                <w:sz w:val="24"/>
                <w:szCs w:val="28"/>
                <w:lang w:val="ro-RO"/>
              </w:rPr>
              <w:t>discreţionară</w:t>
            </w:r>
            <w:proofErr w:type="spellEnd"/>
            <w:r w:rsidRPr="00C41418">
              <w:rPr>
                <w:rFonts w:ascii="Times New Roman" w:hAnsi="Times New Roman"/>
                <w:iCs/>
                <w:color w:val="000000" w:themeColor="text1"/>
                <w:sz w:val="24"/>
                <w:szCs w:val="28"/>
                <w:lang w:val="ro-RO"/>
              </w:rPr>
              <w:t xml:space="preserve"> care nu este delimitată, chiar dacă face obiectul controlului judiciar din punct de vedere formal, nu trece de testul </w:t>
            </w:r>
            <w:proofErr w:type="spellStart"/>
            <w:r w:rsidRPr="00C41418">
              <w:rPr>
                <w:rFonts w:ascii="Times New Roman" w:hAnsi="Times New Roman"/>
                <w:iCs/>
                <w:color w:val="000000" w:themeColor="text1"/>
                <w:sz w:val="24"/>
                <w:szCs w:val="28"/>
                <w:lang w:val="ro-RO"/>
              </w:rPr>
              <w:t>previzibilităţii</w:t>
            </w:r>
            <w:proofErr w:type="spellEnd"/>
            <w:r w:rsidRPr="00C41418">
              <w:rPr>
                <w:rFonts w:ascii="Times New Roman" w:hAnsi="Times New Roman"/>
                <w:iCs/>
                <w:color w:val="000000" w:themeColor="text1"/>
                <w:sz w:val="24"/>
                <w:szCs w:val="28"/>
                <w:lang w:val="ro-RO"/>
              </w:rPr>
              <w:t>.</w:t>
            </w:r>
          </w:p>
          <w:p w14:paraId="6D822B0A" w14:textId="033C6E04"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t>Recomandări:</w:t>
            </w:r>
            <w:r w:rsidRPr="00C41418">
              <w:rPr>
                <w:rFonts w:ascii="Times New Roman" w:hAnsi="Times New Roman"/>
                <w:iCs/>
                <w:color w:val="000000" w:themeColor="text1"/>
                <w:sz w:val="24"/>
                <w:szCs w:val="28"/>
                <w:lang w:val="ro-RO"/>
              </w:rPr>
              <w:t xml:space="preserve"> Evidențierea categoriilor de neconformități care sunt catalogate drept majore.</w:t>
            </w:r>
          </w:p>
        </w:tc>
        <w:tc>
          <w:tcPr>
            <w:tcW w:w="1230" w:type="pct"/>
            <w:tcMar>
              <w:top w:w="0" w:type="dxa"/>
              <w:left w:w="108" w:type="dxa"/>
              <w:bottom w:w="0" w:type="dxa"/>
              <w:right w:w="108" w:type="dxa"/>
            </w:tcMar>
          </w:tcPr>
          <w:p w14:paraId="46111185" w14:textId="3102467C" w:rsidR="000428D3" w:rsidRPr="0047225B" w:rsidRDefault="000428D3" w:rsidP="00953635">
            <w:pPr>
              <w:autoSpaceDE w:val="0"/>
              <w:autoSpaceDN w:val="0"/>
              <w:adjustRightInd w:val="0"/>
              <w:spacing w:before="120" w:after="120"/>
              <w:ind w:firstLine="0"/>
              <w:rPr>
                <w:rFonts w:ascii="Times New Roman" w:hAnsi="Times New Roman"/>
                <w:sz w:val="24"/>
                <w:szCs w:val="24"/>
                <w:lang w:val="ro-RO"/>
              </w:rPr>
            </w:pPr>
            <w:r w:rsidRPr="0047225B">
              <w:rPr>
                <w:rFonts w:ascii="Times New Roman" w:hAnsi="Times New Roman"/>
                <w:b/>
                <w:bCs/>
                <w:sz w:val="24"/>
                <w:szCs w:val="24"/>
                <w:lang w:val="ro-RO"/>
              </w:rPr>
              <w:lastRenderedPageBreak/>
              <w:t xml:space="preserve">Se acceptă parțial. </w:t>
            </w:r>
            <w:r w:rsidR="0047225B" w:rsidRPr="0047225B">
              <w:rPr>
                <w:rFonts w:ascii="Times New Roman" w:hAnsi="Times New Roman"/>
                <w:sz w:val="24"/>
                <w:szCs w:val="24"/>
                <w:lang w:val="ro-RO"/>
              </w:rPr>
              <w:t xml:space="preserve">Prevederea de la pct. 25 </w:t>
            </w:r>
            <w:proofErr w:type="spellStart"/>
            <w:r w:rsidR="0047225B" w:rsidRPr="0047225B">
              <w:rPr>
                <w:rFonts w:ascii="Times New Roman" w:hAnsi="Times New Roman"/>
                <w:sz w:val="24"/>
                <w:szCs w:val="24"/>
                <w:lang w:val="ro-RO"/>
              </w:rPr>
              <w:t>subpct</w:t>
            </w:r>
            <w:proofErr w:type="spellEnd"/>
            <w:r w:rsidR="0047225B" w:rsidRPr="0047225B">
              <w:rPr>
                <w:rFonts w:ascii="Times New Roman" w:hAnsi="Times New Roman"/>
                <w:sz w:val="24"/>
                <w:szCs w:val="24"/>
                <w:lang w:val="ro-RO"/>
              </w:rPr>
              <w:t>. 4 a fost completată cu o frază care clarifică semnificația neconformităților majore.</w:t>
            </w:r>
          </w:p>
          <w:p w14:paraId="35BA006A" w14:textId="223865DF"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6779A1" w:rsidRPr="00C41418" w14:paraId="52D9EB71" w14:textId="77777777" w:rsidTr="006779A1">
        <w:tc>
          <w:tcPr>
            <w:tcW w:w="866" w:type="pct"/>
            <w:vMerge/>
            <w:tcMar>
              <w:top w:w="0" w:type="dxa"/>
              <w:left w:w="108" w:type="dxa"/>
              <w:bottom w:w="0" w:type="dxa"/>
              <w:right w:w="108" w:type="dxa"/>
            </w:tcMar>
          </w:tcPr>
          <w:p w14:paraId="273AB6AB"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127E8348" w14:textId="77777777" w:rsidR="006779A1" w:rsidRPr="00C41418" w:rsidRDefault="006779A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978221A" w14:textId="77777777" w:rsidR="006779A1" w:rsidRPr="00C41418" w:rsidRDefault="006779A1" w:rsidP="00B82BCE">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C41418">
              <w:rPr>
                <w:rFonts w:ascii="Times New Roman" w:hAnsi="Times New Roman"/>
                <w:b/>
                <w:bCs/>
                <w:iCs/>
                <w:color w:val="000000" w:themeColor="text1"/>
                <w:sz w:val="24"/>
                <w:szCs w:val="28"/>
                <w:lang w:val="ro-RO"/>
              </w:rPr>
              <w:t xml:space="preserve">pct.4.18 </w:t>
            </w:r>
          </w:p>
          <w:p w14:paraId="612F2F90"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4.18. punctul 60 va avea următorul cuprins: „60. Centrul efectuează din oficiu semestrial verificarea calității auditurilor energetice, efectuate în semestrul anterior celui de referință, pentru fiecare categorie de calificare conform pct. 9, și înregistrate în Registrul electronic al auditului energetic, [...] Auditorul energetic nu este verificat mai des decât o dată pe parcursul unui an în cazul </w:t>
            </w:r>
            <w:r w:rsidRPr="00C41418">
              <w:rPr>
                <w:rFonts w:ascii="Times New Roman" w:hAnsi="Times New Roman"/>
                <w:iCs/>
                <w:color w:val="000000" w:themeColor="text1"/>
                <w:sz w:val="24"/>
                <w:szCs w:val="28"/>
                <w:u w:val="single"/>
                <w:lang w:val="ro-RO"/>
              </w:rPr>
              <w:t>în care auditurile energetice efectuate de acesta corespund criteriilor și cerințelor de calitate</w:t>
            </w:r>
            <w:r w:rsidRPr="00C41418">
              <w:rPr>
                <w:rFonts w:ascii="Times New Roman" w:hAnsi="Times New Roman"/>
                <w:iCs/>
                <w:color w:val="000000" w:themeColor="text1"/>
                <w:sz w:val="24"/>
                <w:szCs w:val="28"/>
                <w:lang w:val="ro-RO"/>
              </w:rPr>
              <w:t xml:space="preserve">, cu excepția cazului în care verificarea auditorului energetic are loc din motiv că acesta </w:t>
            </w:r>
            <w:r w:rsidRPr="00C41418">
              <w:rPr>
                <w:rFonts w:ascii="Times New Roman" w:hAnsi="Times New Roman"/>
                <w:iCs/>
                <w:color w:val="000000" w:themeColor="text1"/>
                <w:sz w:val="24"/>
                <w:szCs w:val="28"/>
                <w:lang w:val="ro-RO"/>
              </w:rPr>
              <w:lastRenderedPageBreak/>
              <w:t>a participat la elaborarea auditului energetic în calitate de membru al echipei sau este necesar de a atinge indicatorul de 5% de audituri energetice verificate anual. [...]”</w:t>
            </w:r>
          </w:p>
          <w:p w14:paraId="6DB7CEF9"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t>Obiecții:</w:t>
            </w:r>
            <w:r w:rsidRPr="00C41418">
              <w:rPr>
                <w:rFonts w:ascii="Times New Roman" w:hAnsi="Times New Roman"/>
                <w:iCs/>
                <w:color w:val="000000" w:themeColor="text1"/>
                <w:sz w:val="24"/>
                <w:szCs w:val="28"/>
                <w:lang w:val="ro-RO"/>
              </w:rPr>
              <w:t xml:space="preserve"> </w:t>
            </w:r>
          </w:p>
          <w:p w14:paraId="7D388435"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Cu referire la utilizarea expresiei ”în care auditurile energetice efectuate de acesta corespund criteriilor și cerințelor de calitate,”, se remarcă insuficiența prevederilor propuse în contextul delimitării clare și fără echivoc a categoriilor de criterii și cerințe de calitate ce pot fi invocate în context. Carența în speță, denotă întrunirea parțială a exigențelor vizate de art.29 alin.(2) al Legii nr.100/2017 și poate condiționa interpretarea subiectivă (</w:t>
            </w:r>
            <w:proofErr w:type="spellStart"/>
            <w:r w:rsidRPr="00C41418">
              <w:rPr>
                <w:rFonts w:ascii="Times New Roman" w:hAnsi="Times New Roman"/>
                <w:iCs/>
                <w:color w:val="000000" w:themeColor="text1"/>
                <w:sz w:val="24"/>
                <w:szCs w:val="28"/>
                <w:lang w:val="ro-RO"/>
              </w:rPr>
              <w:t>atît</w:t>
            </w:r>
            <w:proofErr w:type="spellEnd"/>
            <w:r w:rsidRPr="00C41418">
              <w:rPr>
                <w:rFonts w:ascii="Times New Roman" w:hAnsi="Times New Roman"/>
                <w:iCs/>
                <w:color w:val="000000" w:themeColor="text1"/>
                <w:sz w:val="24"/>
                <w:szCs w:val="28"/>
                <w:lang w:val="ro-RO"/>
              </w:rPr>
              <w:t xml:space="preserve"> extensivă, </w:t>
            </w:r>
            <w:proofErr w:type="spellStart"/>
            <w:r w:rsidRPr="00C41418">
              <w:rPr>
                <w:rFonts w:ascii="Times New Roman" w:hAnsi="Times New Roman"/>
                <w:iCs/>
                <w:color w:val="000000" w:themeColor="text1"/>
                <w:sz w:val="24"/>
                <w:szCs w:val="28"/>
                <w:lang w:val="ro-RO"/>
              </w:rPr>
              <w:t>cît</w:t>
            </w:r>
            <w:proofErr w:type="spellEnd"/>
            <w:r w:rsidRPr="00C41418">
              <w:rPr>
                <w:rFonts w:ascii="Times New Roman" w:hAnsi="Times New Roman"/>
                <w:iCs/>
                <w:color w:val="000000" w:themeColor="text1"/>
                <w:sz w:val="24"/>
                <w:szCs w:val="28"/>
                <w:lang w:val="ro-RO"/>
              </w:rPr>
              <w:t xml:space="preserve"> și restrictivă) a categoriilor prenotate și multiple riscuri de corupție aferente delimitării acestora.</w:t>
            </w:r>
          </w:p>
          <w:p w14:paraId="484B57B7"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b/>
                <w:bCs/>
                <w:iCs/>
                <w:color w:val="000000" w:themeColor="text1"/>
                <w:sz w:val="24"/>
                <w:szCs w:val="28"/>
                <w:lang w:val="ro-RO"/>
              </w:rPr>
              <w:t>Recomandări:</w:t>
            </w:r>
            <w:r w:rsidRPr="00C41418">
              <w:rPr>
                <w:rFonts w:ascii="Times New Roman" w:hAnsi="Times New Roman"/>
                <w:iCs/>
                <w:color w:val="000000" w:themeColor="text1"/>
                <w:sz w:val="24"/>
                <w:szCs w:val="28"/>
                <w:lang w:val="ro-RO"/>
              </w:rPr>
              <w:t xml:space="preserve"> </w:t>
            </w:r>
          </w:p>
          <w:p w14:paraId="1A7F2DBC" w14:textId="5CD3E6D5"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Completarea cu o normă de trimitere ce reglementează exhaustiv criteriile vizate de către autor.</w:t>
            </w:r>
          </w:p>
        </w:tc>
        <w:tc>
          <w:tcPr>
            <w:tcW w:w="1230" w:type="pct"/>
            <w:tcMar>
              <w:top w:w="0" w:type="dxa"/>
              <w:left w:w="108" w:type="dxa"/>
              <w:bottom w:w="0" w:type="dxa"/>
              <w:right w:w="108" w:type="dxa"/>
            </w:tcMar>
          </w:tcPr>
          <w:p w14:paraId="1C0A5134" w14:textId="693FDCB0"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41418">
              <w:rPr>
                <w:rFonts w:ascii="Times New Roman" w:hAnsi="Times New Roman"/>
                <w:b/>
                <w:bCs/>
                <w:sz w:val="24"/>
                <w:szCs w:val="24"/>
                <w:lang w:val="ro-RO"/>
              </w:rPr>
              <w:lastRenderedPageBreak/>
              <w:t xml:space="preserve">Se acceptă. </w:t>
            </w:r>
            <w:r w:rsidRPr="00C41418">
              <w:rPr>
                <w:rFonts w:ascii="Times New Roman" w:hAnsi="Times New Roman"/>
                <w:sz w:val="24"/>
                <w:szCs w:val="24"/>
                <w:lang w:val="ro-RO"/>
              </w:rPr>
              <w:t xml:space="preserve">Prevederile pct. 60 a fost completat cu faptul că </w:t>
            </w:r>
            <w:r w:rsidRPr="00C41418">
              <w:rPr>
                <w:rFonts w:ascii="Times New Roman" w:hAnsi="Times New Roman"/>
                <w:iCs/>
                <w:color w:val="000000" w:themeColor="text1"/>
                <w:sz w:val="24"/>
                <w:szCs w:val="28"/>
                <w:lang w:val="ro-RO"/>
              </w:rPr>
              <w:t xml:space="preserve">criteriile și cerințele de calitate sunt </w:t>
            </w:r>
            <w:r w:rsidR="00E32E4D">
              <w:rPr>
                <w:rFonts w:ascii="Times New Roman" w:hAnsi="Times New Roman"/>
                <w:iCs/>
                <w:color w:val="000000" w:themeColor="text1"/>
                <w:sz w:val="24"/>
                <w:szCs w:val="28"/>
                <w:lang w:val="ro-RO"/>
              </w:rPr>
              <w:t>prevăzute la pct. 64</w:t>
            </w:r>
            <w:r w:rsidRPr="00C41418">
              <w:rPr>
                <w:rFonts w:ascii="Times New Roman" w:hAnsi="Times New Roman"/>
                <w:iCs/>
                <w:color w:val="000000" w:themeColor="text1"/>
                <w:sz w:val="24"/>
                <w:szCs w:val="28"/>
                <w:lang w:val="ro-RO"/>
              </w:rPr>
              <w:t>.</w:t>
            </w:r>
          </w:p>
        </w:tc>
      </w:tr>
      <w:tr w:rsidR="006779A1" w:rsidRPr="0047225B" w14:paraId="0426CE44" w14:textId="77777777" w:rsidTr="006779A1">
        <w:tc>
          <w:tcPr>
            <w:tcW w:w="866" w:type="pct"/>
            <w:vMerge/>
            <w:tcMar>
              <w:top w:w="0" w:type="dxa"/>
              <w:left w:w="108" w:type="dxa"/>
              <w:bottom w:w="0" w:type="dxa"/>
              <w:right w:w="108" w:type="dxa"/>
            </w:tcMar>
          </w:tcPr>
          <w:p w14:paraId="3508E5CA"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16441FD" w14:textId="77777777" w:rsidR="006779A1" w:rsidRPr="00C41418" w:rsidRDefault="006779A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E4F5D35"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Potrivit notei de fundamentare, proiectul are drept scop:- Ajustarea, începând cu anul 2025 a criteriilor de identificare a beneficiarilor programelor de finanțare în domeniul eficienței energetice la noile prevederi ale cadrului normativ aferent stabilirii vulnerabilității energetice a gospodăriilor casnice; și - Sporirea calității rapoartelor de audit energetic prin îmbunătățirea mecanismului de verificare a acestora și sporirea competitivității pe piața aferentă serviciilor de audit energetic din Republica Moldova. </w:t>
            </w:r>
          </w:p>
          <w:p w14:paraId="347BCC0C"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Autorul a prezentat Sinteza avizelor parvenite în cadrul procesului de consultare publică a proiectului de către autoritățile responsabile de implementarea prevederilor </w:t>
            </w:r>
            <w:proofErr w:type="spellStart"/>
            <w:r w:rsidRPr="00C41418">
              <w:rPr>
                <w:rFonts w:ascii="Times New Roman" w:hAnsi="Times New Roman"/>
                <w:iCs/>
                <w:color w:val="000000" w:themeColor="text1"/>
                <w:sz w:val="24"/>
                <w:szCs w:val="28"/>
                <w:lang w:val="ro-RO"/>
              </w:rPr>
              <w:t>conţinute</w:t>
            </w:r>
            <w:proofErr w:type="spellEnd"/>
            <w:r w:rsidRPr="00C41418">
              <w:rPr>
                <w:rFonts w:ascii="Times New Roman" w:hAnsi="Times New Roman"/>
                <w:iCs/>
                <w:color w:val="000000" w:themeColor="text1"/>
                <w:sz w:val="24"/>
                <w:szCs w:val="28"/>
                <w:lang w:val="ro-RO"/>
              </w:rPr>
              <w:t xml:space="preserve"> în proiect/</w:t>
            </w:r>
            <w:proofErr w:type="spellStart"/>
            <w:r w:rsidRPr="00C41418">
              <w:rPr>
                <w:rFonts w:ascii="Times New Roman" w:hAnsi="Times New Roman"/>
                <w:iCs/>
                <w:color w:val="000000" w:themeColor="text1"/>
                <w:sz w:val="24"/>
                <w:szCs w:val="28"/>
                <w:lang w:val="ro-RO"/>
              </w:rPr>
              <w:t>instituţiilor</w:t>
            </w:r>
            <w:proofErr w:type="spellEnd"/>
            <w:r w:rsidRPr="00C41418">
              <w:rPr>
                <w:rFonts w:ascii="Times New Roman" w:hAnsi="Times New Roman"/>
                <w:iCs/>
                <w:color w:val="000000" w:themeColor="text1"/>
                <w:sz w:val="24"/>
                <w:szCs w:val="28"/>
                <w:lang w:val="ro-RO"/>
              </w:rPr>
              <w:t xml:space="preserve"> interesate, fapt ce denotă aspectul definitivat al </w:t>
            </w:r>
            <w:r w:rsidRPr="00C41418">
              <w:rPr>
                <w:rFonts w:ascii="Times New Roman" w:hAnsi="Times New Roman"/>
                <w:iCs/>
                <w:color w:val="000000" w:themeColor="text1"/>
                <w:sz w:val="24"/>
                <w:szCs w:val="28"/>
                <w:lang w:val="ro-RO"/>
              </w:rPr>
              <w:lastRenderedPageBreak/>
              <w:t xml:space="preserve">acestuia și întrunirea condițiilor stabilite de prevederile art.36 al Legii nr.100/2017, coroborat art.28 al Legii nr.82/2017 - pentru efectuarea expertizei anticorupție. </w:t>
            </w:r>
          </w:p>
          <w:p w14:paraId="6A2A9816" w14:textId="77777777"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În procesul de promovare a proiectului, au fost respectate rigorile de asigurare a </w:t>
            </w:r>
            <w:proofErr w:type="spellStart"/>
            <w:r w:rsidRPr="00C41418">
              <w:rPr>
                <w:rFonts w:ascii="Times New Roman" w:hAnsi="Times New Roman"/>
                <w:iCs/>
                <w:color w:val="000000" w:themeColor="text1"/>
                <w:sz w:val="24"/>
                <w:szCs w:val="28"/>
                <w:lang w:val="ro-RO"/>
              </w:rPr>
              <w:t>transparenţei</w:t>
            </w:r>
            <w:proofErr w:type="spellEnd"/>
            <w:r w:rsidRPr="00C41418">
              <w:rPr>
                <w:rFonts w:ascii="Times New Roman" w:hAnsi="Times New Roman"/>
                <w:iCs/>
                <w:color w:val="000000" w:themeColor="text1"/>
                <w:sz w:val="24"/>
                <w:szCs w:val="28"/>
                <w:lang w:val="ro-RO"/>
              </w:rPr>
              <w:t xml:space="preserve"> decizionale statuate de prevederile art.8 </w:t>
            </w:r>
            <w:proofErr w:type="spellStart"/>
            <w:r w:rsidRPr="00C41418">
              <w:rPr>
                <w:rFonts w:ascii="Times New Roman" w:hAnsi="Times New Roman"/>
                <w:iCs/>
                <w:color w:val="000000" w:themeColor="text1"/>
                <w:sz w:val="24"/>
                <w:szCs w:val="28"/>
                <w:lang w:val="ro-RO"/>
              </w:rPr>
              <w:t>lit.a</w:t>
            </w:r>
            <w:proofErr w:type="spellEnd"/>
            <w:r w:rsidRPr="00C41418">
              <w:rPr>
                <w:rFonts w:ascii="Times New Roman" w:hAnsi="Times New Roman"/>
                <w:iCs/>
                <w:color w:val="000000" w:themeColor="text1"/>
                <w:sz w:val="24"/>
                <w:szCs w:val="28"/>
                <w:lang w:val="ro-RO"/>
              </w:rPr>
              <w:t xml:space="preserve">)-d) al Legii nr. 239-XVI din 13 noiembrie 2008 privind </w:t>
            </w:r>
            <w:proofErr w:type="spellStart"/>
            <w:r w:rsidRPr="00C41418">
              <w:rPr>
                <w:rFonts w:ascii="Times New Roman" w:hAnsi="Times New Roman"/>
                <w:iCs/>
                <w:color w:val="000000" w:themeColor="text1"/>
                <w:sz w:val="24"/>
                <w:szCs w:val="28"/>
                <w:lang w:val="ro-RO"/>
              </w:rPr>
              <w:t>transparenţa</w:t>
            </w:r>
            <w:proofErr w:type="spellEnd"/>
            <w:r w:rsidRPr="00C41418">
              <w:rPr>
                <w:rFonts w:ascii="Times New Roman" w:hAnsi="Times New Roman"/>
                <w:iCs/>
                <w:color w:val="000000" w:themeColor="text1"/>
                <w:sz w:val="24"/>
                <w:szCs w:val="28"/>
                <w:lang w:val="ro-RO"/>
              </w:rPr>
              <w:t xml:space="preserve"> în procesul decizional. Nota de fundamentare a proiectului a fost întocmită cu respectarea exigențelor de tehnică legislativă statuate de prevederile art.30 </w:t>
            </w:r>
            <w:proofErr w:type="spellStart"/>
            <w:r w:rsidRPr="00C41418">
              <w:rPr>
                <w:rFonts w:ascii="Times New Roman" w:hAnsi="Times New Roman"/>
                <w:iCs/>
                <w:color w:val="000000" w:themeColor="text1"/>
                <w:sz w:val="24"/>
                <w:szCs w:val="28"/>
                <w:lang w:val="ro-RO"/>
              </w:rPr>
              <w:t>lit.a</w:t>
            </w:r>
            <w:proofErr w:type="spellEnd"/>
            <w:r w:rsidRPr="00C41418">
              <w:rPr>
                <w:rFonts w:ascii="Times New Roman" w:hAnsi="Times New Roman"/>
                <w:iCs/>
                <w:color w:val="000000" w:themeColor="text1"/>
                <w:sz w:val="24"/>
                <w:szCs w:val="28"/>
                <w:lang w:val="ro-RO"/>
              </w:rPr>
              <w:t xml:space="preserve">)-f) al Legii cu privire la actele normative nr.100 din 22 decembrie 2017. </w:t>
            </w:r>
          </w:p>
          <w:p w14:paraId="6E4444F3" w14:textId="7F197295"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Implementarea prevederilor propuse, poate contribui la realizarea interesului public vizat de proiect, fapt care nu este detrimentul interesului public general (în sensul prevăzut de prevederile Legii </w:t>
            </w:r>
            <w:proofErr w:type="spellStart"/>
            <w:r w:rsidRPr="00C41418">
              <w:rPr>
                <w:rFonts w:ascii="Times New Roman" w:hAnsi="Times New Roman"/>
                <w:iCs/>
                <w:color w:val="000000" w:themeColor="text1"/>
                <w:sz w:val="24"/>
                <w:szCs w:val="28"/>
                <w:lang w:val="ro-RO"/>
              </w:rPr>
              <w:t>integrităţii</w:t>
            </w:r>
            <w:proofErr w:type="spellEnd"/>
            <w:r w:rsidRPr="00C41418">
              <w:rPr>
                <w:rFonts w:ascii="Times New Roman" w:hAnsi="Times New Roman"/>
                <w:iCs/>
                <w:color w:val="000000" w:themeColor="text1"/>
                <w:sz w:val="24"/>
                <w:szCs w:val="28"/>
                <w:lang w:val="ro-RO"/>
              </w:rPr>
              <w:t xml:space="preserve"> nr.82 din 25 mai 2017) în condițiile reconsiderării prin prisma riscurilor delimitate potrivit compartimentului III al prezentului raport de expertiză anticorupție.</w:t>
            </w:r>
          </w:p>
        </w:tc>
        <w:tc>
          <w:tcPr>
            <w:tcW w:w="1230" w:type="pct"/>
            <w:tcMar>
              <w:top w:w="0" w:type="dxa"/>
              <w:left w:w="108" w:type="dxa"/>
              <w:bottom w:w="0" w:type="dxa"/>
              <w:right w:w="108" w:type="dxa"/>
            </w:tcMar>
          </w:tcPr>
          <w:p w14:paraId="5CB9A139"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41418">
              <w:rPr>
                <w:rFonts w:ascii="Times New Roman" w:hAnsi="Times New Roman"/>
                <w:b/>
                <w:bCs/>
                <w:sz w:val="24"/>
                <w:szCs w:val="24"/>
                <w:lang w:val="ro-RO"/>
              </w:rPr>
              <w:lastRenderedPageBreak/>
              <w:t>Se ia act de informare.</w:t>
            </w:r>
          </w:p>
          <w:p w14:paraId="1B7A7A12"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143FDC0"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9B37E47"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3C7C8AB"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E57B883"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48D7B07"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884810F"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7413D3F"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55C203F"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72D7608"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131DAB1"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0D68D5E"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54B2059"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109CB0"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FB7A237"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7A69DE4"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8A7CEAA"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717ECC4"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63F84F9"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33CC52F"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738B164"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78C23AE"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C160767" w14:textId="6C111D28"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6779A1" w:rsidRPr="0047225B" w14:paraId="439C932B" w14:textId="77777777" w:rsidTr="006779A1">
        <w:tc>
          <w:tcPr>
            <w:tcW w:w="866" w:type="pct"/>
            <w:vMerge/>
            <w:tcMar>
              <w:top w:w="0" w:type="dxa"/>
              <w:left w:w="108" w:type="dxa"/>
              <w:bottom w:w="0" w:type="dxa"/>
              <w:right w:w="108" w:type="dxa"/>
            </w:tcMar>
          </w:tcPr>
          <w:p w14:paraId="37DAEB2A" w14:textId="77777777"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647C708A" w14:textId="77777777" w:rsidR="006779A1" w:rsidRPr="00C41418" w:rsidRDefault="006779A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4F64683" w14:textId="27606592" w:rsidR="006779A1" w:rsidRPr="00C41418" w:rsidRDefault="006779A1" w:rsidP="00B82BCE">
            <w:pPr>
              <w:autoSpaceDE w:val="0"/>
              <w:autoSpaceDN w:val="0"/>
              <w:adjustRightInd w:val="0"/>
              <w:spacing w:before="120" w:after="120"/>
              <w:ind w:firstLine="0"/>
              <w:rPr>
                <w:rFonts w:ascii="Times New Roman" w:hAnsi="Times New Roman"/>
                <w:iCs/>
                <w:color w:val="000000" w:themeColor="text1"/>
                <w:sz w:val="24"/>
                <w:szCs w:val="28"/>
                <w:lang w:val="ro-RO"/>
              </w:rPr>
            </w:pPr>
            <w:r w:rsidRPr="00C41418">
              <w:rPr>
                <w:rFonts w:ascii="Times New Roman" w:hAnsi="Times New Roman"/>
                <w:iCs/>
                <w:color w:val="000000" w:themeColor="text1"/>
                <w:sz w:val="24"/>
                <w:szCs w:val="28"/>
                <w:lang w:val="ro-RO"/>
              </w:rPr>
              <w:t xml:space="preserve">Redacția propusă de către autor, operează cu formulări ambigui (”într-un format simplificat”, ” neconformități majore”, ”în care auditurile energetice efectuate de acesta corespund criteriilor și cerințelor de calitate,”), care pot determina interpretarea subiectivă a normei și multiple riscuri de corupție aferente proceselor reglementate. </w:t>
            </w:r>
          </w:p>
        </w:tc>
        <w:tc>
          <w:tcPr>
            <w:tcW w:w="1230" w:type="pct"/>
            <w:tcMar>
              <w:top w:w="0" w:type="dxa"/>
              <w:left w:w="108" w:type="dxa"/>
              <w:bottom w:w="0" w:type="dxa"/>
              <w:right w:w="108" w:type="dxa"/>
            </w:tcMar>
          </w:tcPr>
          <w:p w14:paraId="46FBC40A" w14:textId="5DFF0ED9" w:rsidR="006779A1" w:rsidRPr="00C41418" w:rsidRDefault="006779A1"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41418">
              <w:rPr>
                <w:rFonts w:ascii="Times New Roman" w:hAnsi="Times New Roman"/>
                <w:sz w:val="24"/>
                <w:szCs w:val="24"/>
                <w:lang w:val="ro-RO"/>
              </w:rPr>
              <w:t xml:space="preserve">Proiectul de hotărâre a fost completat cu prevederi conform recomandărilor prezentate. </w:t>
            </w:r>
          </w:p>
        </w:tc>
      </w:tr>
    </w:tbl>
    <w:p w14:paraId="34BFF4D2" w14:textId="77777777" w:rsidR="00120CD7" w:rsidRPr="00C41418" w:rsidRDefault="00120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7953BF6" w14:textId="77777777" w:rsidR="00A032C2" w:rsidRPr="00D844FB"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6D9E507" w14:textId="77777777" w:rsidR="00A032C2" w:rsidRPr="00D844FB"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0D29519F" w14:textId="77777777" w:rsidR="00A032C2" w:rsidRPr="00D844FB"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bCs/>
          <w:sz w:val="24"/>
          <w:szCs w:val="24"/>
          <w:lang w:val="ro-RO"/>
        </w:rPr>
      </w:pPr>
    </w:p>
    <w:p w14:paraId="2C8AF907" w14:textId="6DB0395A" w:rsidR="00A032C2" w:rsidRPr="00D844FB" w:rsidRDefault="00A032C2" w:rsidP="00A032C2">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MD"/>
        </w:rPr>
      </w:pPr>
      <w:r w:rsidRPr="00D844FB">
        <w:rPr>
          <w:b/>
          <w:bCs/>
          <w:sz w:val="28"/>
          <w:szCs w:val="28"/>
          <w:lang w:val="ro-RO"/>
        </w:rPr>
        <w:t xml:space="preserve">                                        </w:t>
      </w:r>
      <w:r w:rsidR="006069DF">
        <w:rPr>
          <w:b/>
          <w:bCs/>
          <w:sz w:val="28"/>
          <w:szCs w:val="28"/>
          <w:lang w:val="ro-RO"/>
        </w:rPr>
        <w:t>Ministrul Energiei</w:t>
      </w:r>
      <w:r w:rsidRPr="00D844FB">
        <w:rPr>
          <w:b/>
          <w:bCs/>
          <w:sz w:val="28"/>
          <w:szCs w:val="28"/>
          <w:lang w:val="ro-RO"/>
        </w:rPr>
        <w:t xml:space="preserve">                   </w:t>
      </w:r>
      <w:r w:rsidRPr="00D844FB">
        <w:rPr>
          <w:sz w:val="28"/>
          <w:szCs w:val="28"/>
          <w:lang w:val="ro-RO"/>
        </w:rPr>
        <w:t xml:space="preserve"> </w:t>
      </w:r>
      <w:r w:rsidR="003D62B5" w:rsidRPr="00D844FB">
        <w:rPr>
          <w:sz w:val="28"/>
          <w:szCs w:val="28"/>
          <w:lang w:val="ro-RO"/>
        </w:rPr>
        <w:t>/semnat electronic/</w:t>
      </w:r>
      <w:r w:rsidRPr="00D844FB">
        <w:rPr>
          <w:sz w:val="28"/>
          <w:szCs w:val="28"/>
          <w:lang w:val="ro-RO"/>
        </w:rPr>
        <w:t xml:space="preserve">                                                </w:t>
      </w:r>
      <w:r w:rsidR="006069DF">
        <w:rPr>
          <w:b/>
          <w:bCs/>
          <w:sz w:val="28"/>
          <w:szCs w:val="28"/>
          <w:lang w:val="ro-RO"/>
        </w:rPr>
        <w:t>Dorin</w:t>
      </w:r>
      <w:r w:rsidR="009831D6" w:rsidRPr="00D844FB">
        <w:rPr>
          <w:b/>
          <w:bCs/>
          <w:sz w:val="28"/>
          <w:szCs w:val="28"/>
          <w:lang w:val="ro-RO"/>
        </w:rPr>
        <w:t xml:space="preserve"> </w:t>
      </w:r>
      <w:r w:rsidR="006069DF">
        <w:rPr>
          <w:b/>
          <w:bCs/>
          <w:sz w:val="28"/>
          <w:szCs w:val="28"/>
          <w:lang w:val="ro-RO"/>
        </w:rPr>
        <w:t>JUNGHIETU</w:t>
      </w:r>
    </w:p>
    <w:p w14:paraId="32922B11" w14:textId="77777777" w:rsidR="00A032C2" w:rsidRPr="00D844FB"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A032C2" w:rsidRPr="00D844FB" w:rsidSect="00170441">
      <w:headerReference w:type="default" r:id="rId11"/>
      <w:headerReference w:type="first" r:id="rId12"/>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A73B" w14:textId="77777777" w:rsidR="00FA75E0" w:rsidRDefault="00FA75E0">
      <w:r>
        <w:separator/>
      </w:r>
    </w:p>
  </w:endnote>
  <w:endnote w:type="continuationSeparator" w:id="0">
    <w:p w14:paraId="250E0BEA" w14:textId="77777777" w:rsidR="00FA75E0" w:rsidRDefault="00F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D540" w14:textId="77777777" w:rsidR="00FA75E0" w:rsidRDefault="00FA75E0">
      <w:r>
        <w:separator/>
      </w:r>
    </w:p>
  </w:footnote>
  <w:footnote w:type="continuationSeparator" w:id="0">
    <w:p w14:paraId="57E2298E" w14:textId="77777777" w:rsidR="00FA75E0" w:rsidRDefault="00FA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0750" w14:textId="77777777" w:rsidR="00365521" w:rsidRDefault="00365521">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25A76" w:rsidRPr="00025A76">
      <w:rPr>
        <w:noProof/>
        <w:sz w:val="28"/>
        <w:szCs w:val="28"/>
        <w:lang w:val="ro-RO"/>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829" w14:textId="77777777" w:rsidR="00365521" w:rsidRDefault="0036552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8"/>
    <w:multiLevelType w:val="multilevel"/>
    <w:tmpl w:val="1F2C5F44"/>
    <w:lvl w:ilvl="0">
      <w:start w:val="19"/>
      <w:numFmt w:val="decimal"/>
      <w:lvlText w:val="%1."/>
      <w:lvlJc w:val="left"/>
      <w:pPr>
        <w:ind w:left="5070" w:hanging="480"/>
      </w:pPr>
      <w:rPr>
        <w:rFonts w:hint="default"/>
      </w:rPr>
    </w:lvl>
    <w:lvl w:ilvl="1">
      <w:start w:val="1"/>
      <w:numFmt w:val="decimal"/>
      <w:lvlText w:val="%1.%2."/>
      <w:lvlJc w:val="left"/>
      <w:pPr>
        <w:ind w:left="5070" w:hanging="480"/>
      </w:pPr>
      <w:rPr>
        <w:rFonts w:hint="default"/>
      </w:rPr>
    </w:lvl>
    <w:lvl w:ilvl="2">
      <w:start w:val="1"/>
      <w:numFmt w:val="decimal"/>
      <w:lvlText w:val="%1.%2.%3."/>
      <w:lvlJc w:val="left"/>
      <w:pPr>
        <w:ind w:left="531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5670" w:hanging="108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030" w:hanging="1440"/>
      </w:pPr>
      <w:rPr>
        <w:rFonts w:hint="default"/>
      </w:rPr>
    </w:lvl>
    <w:lvl w:ilvl="8">
      <w:start w:val="1"/>
      <w:numFmt w:val="decimal"/>
      <w:lvlText w:val="%1.%2.%3.%4.%5.%6.%7.%8.%9."/>
      <w:lvlJc w:val="left"/>
      <w:pPr>
        <w:ind w:left="6390" w:hanging="1800"/>
      </w:pPr>
      <w:rPr>
        <w:rFonts w:hint="default"/>
      </w:rPr>
    </w:lvl>
  </w:abstractNum>
  <w:abstractNum w:abstractNumId="1"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3496F"/>
    <w:multiLevelType w:val="hybridMultilevel"/>
    <w:tmpl w:val="C520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74BB0"/>
    <w:multiLevelType w:val="hybridMultilevel"/>
    <w:tmpl w:val="5016C6F4"/>
    <w:lvl w:ilvl="0" w:tplc="AD261E2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C1A77"/>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B7A1ADD"/>
    <w:multiLevelType w:val="hybridMultilevel"/>
    <w:tmpl w:val="F37CA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B4646"/>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447EF"/>
    <w:multiLevelType w:val="hybridMultilevel"/>
    <w:tmpl w:val="86BAF772"/>
    <w:lvl w:ilvl="0" w:tplc="C18A668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24A53"/>
    <w:multiLevelType w:val="hybridMultilevel"/>
    <w:tmpl w:val="B89C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7E5658"/>
    <w:multiLevelType w:val="hybridMultilevel"/>
    <w:tmpl w:val="CF5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25AA8"/>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62841AF7"/>
    <w:multiLevelType w:val="hybridMultilevel"/>
    <w:tmpl w:val="47D635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065F42"/>
    <w:multiLevelType w:val="multilevel"/>
    <w:tmpl w:val="5E38F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3E1894"/>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50348BF"/>
    <w:multiLevelType w:val="hybridMultilevel"/>
    <w:tmpl w:val="1EE2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94573">
    <w:abstractNumId w:val="8"/>
  </w:num>
  <w:num w:numId="2" w16cid:durableId="165442870">
    <w:abstractNumId w:val="5"/>
  </w:num>
  <w:num w:numId="3" w16cid:durableId="564995373">
    <w:abstractNumId w:val="1"/>
  </w:num>
  <w:num w:numId="4" w16cid:durableId="1697922130">
    <w:abstractNumId w:val="3"/>
  </w:num>
  <w:num w:numId="5" w16cid:durableId="1830900559">
    <w:abstractNumId w:val="6"/>
  </w:num>
  <w:num w:numId="6" w16cid:durableId="770206637">
    <w:abstractNumId w:val="13"/>
  </w:num>
  <w:num w:numId="7" w16cid:durableId="1942684953">
    <w:abstractNumId w:val="11"/>
  </w:num>
  <w:num w:numId="8" w16cid:durableId="1300265324">
    <w:abstractNumId w:val="14"/>
  </w:num>
  <w:num w:numId="9" w16cid:durableId="148909689">
    <w:abstractNumId w:val="0"/>
  </w:num>
  <w:num w:numId="10" w16cid:durableId="26608591">
    <w:abstractNumId w:val="10"/>
  </w:num>
  <w:num w:numId="11" w16cid:durableId="2029212785">
    <w:abstractNumId w:val="4"/>
  </w:num>
  <w:num w:numId="12" w16cid:durableId="1577280917">
    <w:abstractNumId w:val="12"/>
  </w:num>
  <w:num w:numId="13" w16cid:durableId="1413239269">
    <w:abstractNumId w:val="2"/>
  </w:num>
  <w:num w:numId="14" w16cid:durableId="1426611388">
    <w:abstractNumId w:val="9"/>
  </w:num>
  <w:num w:numId="15" w16cid:durableId="1577739166">
    <w:abstractNumId w:val="15"/>
  </w:num>
  <w:num w:numId="16" w16cid:durableId="14811876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077AE"/>
    <w:rsid w:val="00007BA6"/>
    <w:rsid w:val="00011466"/>
    <w:rsid w:val="000135AC"/>
    <w:rsid w:val="00016975"/>
    <w:rsid w:val="0001699D"/>
    <w:rsid w:val="00025A76"/>
    <w:rsid w:val="00026818"/>
    <w:rsid w:val="00030628"/>
    <w:rsid w:val="000428D3"/>
    <w:rsid w:val="000500C7"/>
    <w:rsid w:val="00063358"/>
    <w:rsid w:val="00071977"/>
    <w:rsid w:val="00073D20"/>
    <w:rsid w:val="00076B4E"/>
    <w:rsid w:val="00081F58"/>
    <w:rsid w:val="00093E90"/>
    <w:rsid w:val="000A4D8B"/>
    <w:rsid w:val="000B1D0C"/>
    <w:rsid w:val="000B2133"/>
    <w:rsid w:val="000B27B2"/>
    <w:rsid w:val="000B6E41"/>
    <w:rsid w:val="000C78AF"/>
    <w:rsid w:val="000D1E97"/>
    <w:rsid w:val="000D4192"/>
    <w:rsid w:val="000E0DDF"/>
    <w:rsid w:val="000E539E"/>
    <w:rsid w:val="000F56EA"/>
    <w:rsid w:val="00120984"/>
    <w:rsid w:val="00120CD7"/>
    <w:rsid w:val="001358D9"/>
    <w:rsid w:val="00135C7E"/>
    <w:rsid w:val="00141211"/>
    <w:rsid w:val="00145403"/>
    <w:rsid w:val="00153C58"/>
    <w:rsid w:val="001562A7"/>
    <w:rsid w:val="001602B2"/>
    <w:rsid w:val="00162FF5"/>
    <w:rsid w:val="0016681B"/>
    <w:rsid w:val="00170441"/>
    <w:rsid w:val="00176542"/>
    <w:rsid w:val="00186D4A"/>
    <w:rsid w:val="001A1C7E"/>
    <w:rsid w:val="001A730F"/>
    <w:rsid w:val="001B24EE"/>
    <w:rsid w:val="001B35B3"/>
    <w:rsid w:val="001C1829"/>
    <w:rsid w:val="001C3A5A"/>
    <w:rsid w:val="001C4578"/>
    <w:rsid w:val="001D0E9D"/>
    <w:rsid w:val="001D226B"/>
    <w:rsid w:val="001D3ECC"/>
    <w:rsid w:val="001D4A44"/>
    <w:rsid w:val="001E6FA0"/>
    <w:rsid w:val="001F5872"/>
    <w:rsid w:val="001F5D57"/>
    <w:rsid w:val="002148CD"/>
    <w:rsid w:val="00214E75"/>
    <w:rsid w:val="00221D4C"/>
    <w:rsid w:val="0022492C"/>
    <w:rsid w:val="002275FB"/>
    <w:rsid w:val="00230BA2"/>
    <w:rsid w:val="00234686"/>
    <w:rsid w:val="00237654"/>
    <w:rsid w:val="00237FA8"/>
    <w:rsid w:val="00240DF4"/>
    <w:rsid w:val="00241179"/>
    <w:rsid w:val="00241C09"/>
    <w:rsid w:val="00242EC7"/>
    <w:rsid w:val="00257862"/>
    <w:rsid w:val="00257E5C"/>
    <w:rsid w:val="002659C4"/>
    <w:rsid w:val="00271508"/>
    <w:rsid w:val="00277381"/>
    <w:rsid w:val="00280909"/>
    <w:rsid w:val="00287ED7"/>
    <w:rsid w:val="002A0BD6"/>
    <w:rsid w:val="002A2E4E"/>
    <w:rsid w:val="002A655C"/>
    <w:rsid w:val="002B404A"/>
    <w:rsid w:val="002B5842"/>
    <w:rsid w:val="002B7F1D"/>
    <w:rsid w:val="002D2756"/>
    <w:rsid w:val="002D66CD"/>
    <w:rsid w:val="002E4B8D"/>
    <w:rsid w:val="002F32C7"/>
    <w:rsid w:val="002F5F39"/>
    <w:rsid w:val="002F748D"/>
    <w:rsid w:val="00322786"/>
    <w:rsid w:val="0033369C"/>
    <w:rsid w:val="0034765B"/>
    <w:rsid w:val="00351251"/>
    <w:rsid w:val="00351DD9"/>
    <w:rsid w:val="00352B8D"/>
    <w:rsid w:val="00357988"/>
    <w:rsid w:val="00365521"/>
    <w:rsid w:val="00365C62"/>
    <w:rsid w:val="00372A48"/>
    <w:rsid w:val="00384DB3"/>
    <w:rsid w:val="003901E3"/>
    <w:rsid w:val="00397B1A"/>
    <w:rsid w:val="003B027E"/>
    <w:rsid w:val="003C1A0F"/>
    <w:rsid w:val="003C22FE"/>
    <w:rsid w:val="003C6A71"/>
    <w:rsid w:val="003D182C"/>
    <w:rsid w:val="003D2AA6"/>
    <w:rsid w:val="003D62B5"/>
    <w:rsid w:val="003D6E28"/>
    <w:rsid w:val="003E4752"/>
    <w:rsid w:val="003F3568"/>
    <w:rsid w:val="003F6D2A"/>
    <w:rsid w:val="00404321"/>
    <w:rsid w:val="00411D55"/>
    <w:rsid w:val="00414813"/>
    <w:rsid w:val="00414AC2"/>
    <w:rsid w:val="00415FAD"/>
    <w:rsid w:val="00417CD7"/>
    <w:rsid w:val="00417EB4"/>
    <w:rsid w:val="0042025C"/>
    <w:rsid w:val="00423148"/>
    <w:rsid w:val="00424AAA"/>
    <w:rsid w:val="004269E8"/>
    <w:rsid w:val="00426F97"/>
    <w:rsid w:val="0043131C"/>
    <w:rsid w:val="00431EE2"/>
    <w:rsid w:val="00442EF2"/>
    <w:rsid w:val="004555DF"/>
    <w:rsid w:val="004557D0"/>
    <w:rsid w:val="00455D75"/>
    <w:rsid w:val="00460D47"/>
    <w:rsid w:val="00464C9C"/>
    <w:rsid w:val="00465AB8"/>
    <w:rsid w:val="0047225B"/>
    <w:rsid w:val="00473238"/>
    <w:rsid w:val="00484B19"/>
    <w:rsid w:val="00484FAA"/>
    <w:rsid w:val="00486FA8"/>
    <w:rsid w:val="004A021D"/>
    <w:rsid w:val="004B1A84"/>
    <w:rsid w:val="004B2124"/>
    <w:rsid w:val="004B3EED"/>
    <w:rsid w:val="004C3D76"/>
    <w:rsid w:val="004C786B"/>
    <w:rsid w:val="004E1900"/>
    <w:rsid w:val="004E207E"/>
    <w:rsid w:val="004F0C52"/>
    <w:rsid w:val="004F5FFA"/>
    <w:rsid w:val="00500C5A"/>
    <w:rsid w:val="00501AF4"/>
    <w:rsid w:val="0050246A"/>
    <w:rsid w:val="0050619A"/>
    <w:rsid w:val="00516F2C"/>
    <w:rsid w:val="00517D1A"/>
    <w:rsid w:val="00517FCC"/>
    <w:rsid w:val="005204AC"/>
    <w:rsid w:val="00521471"/>
    <w:rsid w:val="005258A1"/>
    <w:rsid w:val="0054104F"/>
    <w:rsid w:val="00544995"/>
    <w:rsid w:val="00546A2C"/>
    <w:rsid w:val="00556095"/>
    <w:rsid w:val="00583BF2"/>
    <w:rsid w:val="005953C6"/>
    <w:rsid w:val="00595E7B"/>
    <w:rsid w:val="005A2B2C"/>
    <w:rsid w:val="005A3D05"/>
    <w:rsid w:val="005C1D1C"/>
    <w:rsid w:val="005D3665"/>
    <w:rsid w:val="005E44FF"/>
    <w:rsid w:val="005F78B5"/>
    <w:rsid w:val="00600D7F"/>
    <w:rsid w:val="006069DF"/>
    <w:rsid w:val="0061610E"/>
    <w:rsid w:val="00620616"/>
    <w:rsid w:val="00622865"/>
    <w:rsid w:val="00627FB8"/>
    <w:rsid w:val="00630A0D"/>
    <w:rsid w:val="00634344"/>
    <w:rsid w:val="006445CE"/>
    <w:rsid w:val="006479EF"/>
    <w:rsid w:val="006601CD"/>
    <w:rsid w:val="0067241B"/>
    <w:rsid w:val="00672D3E"/>
    <w:rsid w:val="006779A1"/>
    <w:rsid w:val="00680273"/>
    <w:rsid w:val="00680CB8"/>
    <w:rsid w:val="00692116"/>
    <w:rsid w:val="00693ADC"/>
    <w:rsid w:val="006A0DC9"/>
    <w:rsid w:val="006B056B"/>
    <w:rsid w:val="006B2FEF"/>
    <w:rsid w:val="006B3567"/>
    <w:rsid w:val="006F51C8"/>
    <w:rsid w:val="007016D6"/>
    <w:rsid w:val="007051CB"/>
    <w:rsid w:val="00716C1D"/>
    <w:rsid w:val="00716D08"/>
    <w:rsid w:val="0072262D"/>
    <w:rsid w:val="00723874"/>
    <w:rsid w:val="00732AD5"/>
    <w:rsid w:val="00740B22"/>
    <w:rsid w:val="00745504"/>
    <w:rsid w:val="0074621D"/>
    <w:rsid w:val="007467C6"/>
    <w:rsid w:val="0075177A"/>
    <w:rsid w:val="007638DE"/>
    <w:rsid w:val="007640B1"/>
    <w:rsid w:val="0076468D"/>
    <w:rsid w:val="007670A3"/>
    <w:rsid w:val="00785F57"/>
    <w:rsid w:val="00790773"/>
    <w:rsid w:val="007923D8"/>
    <w:rsid w:val="007A12CE"/>
    <w:rsid w:val="007A232F"/>
    <w:rsid w:val="007A4976"/>
    <w:rsid w:val="007A6FD1"/>
    <w:rsid w:val="007C27B4"/>
    <w:rsid w:val="007C3F50"/>
    <w:rsid w:val="007C5C1F"/>
    <w:rsid w:val="007C71D8"/>
    <w:rsid w:val="007D2493"/>
    <w:rsid w:val="007D51CE"/>
    <w:rsid w:val="007E0168"/>
    <w:rsid w:val="007E29CD"/>
    <w:rsid w:val="007F095E"/>
    <w:rsid w:val="007F6CB1"/>
    <w:rsid w:val="0080030E"/>
    <w:rsid w:val="0080298A"/>
    <w:rsid w:val="00802B29"/>
    <w:rsid w:val="00810184"/>
    <w:rsid w:val="00815C79"/>
    <w:rsid w:val="008218B4"/>
    <w:rsid w:val="00830851"/>
    <w:rsid w:val="00837F48"/>
    <w:rsid w:val="00841CFC"/>
    <w:rsid w:val="008677DC"/>
    <w:rsid w:val="008742B1"/>
    <w:rsid w:val="00895AE3"/>
    <w:rsid w:val="008A0DB3"/>
    <w:rsid w:val="008A35F6"/>
    <w:rsid w:val="008C39FC"/>
    <w:rsid w:val="008C6904"/>
    <w:rsid w:val="008C7097"/>
    <w:rsid w:val="008D344B"/>
    <w:rsid w:val="008D72ED"/>
    <w:rsid w:val="008E1BC5"/>
    <w:rsid w:val="008E5E79"/>
    <w:rsid w:val="008F00F1"/>
    <w:rsid w:val="008F037A"/>
    <w:rsid w:val="00904173"/>
    <w:rsid w:val="009153E9"/>
    <w:rsid w:val="009178EA"/>
    <w:rsid w:val="00917F4B"/>
    <w:rsid w:val="00923CEE"/>
    <w:rsid w:val="0092680D"/>
    <w:rsid w:val="00933A4A"/>
    <w:rsid w:val="00934DC1"/>
    <w:rsid w:val="00941A69"/>
    <w:rsid w:val="009504AD"/>
    <w:rsid w:val="00953635"/>
    <w:rsid w:val="00957549"/>
    <w:rsid w:val="009577A4"/>
    <w:rsid w:val="00957A8E"/>
    <w:rsid w:val="00966CDE"/>
    <w:rsid w:val="00967469"/>
    <w:rsid w:val="00974D4C"/>
    <w:rsid w:val="00980A1A"/>
    <w:rsid w:val="009831D6"/>
    <w:rsid w:val="00996F8A"/>
    <w:rsid w:val="009A1D98"/>
    <w:rsid w:val="009B1609"/>
    <w:rsid w:val="009B63BE"/>
    <w:rsid w:val="009C1DFD"/>
    <w:rsid w:val="009C3898"/>
    <w:rsid w:val="009C5C98"/>
    <w:rsid w:val="009C77EB"/>
    <w:rsid w:val="009D282A"/>
    <w:rsid w:val="009F468E"/>
    <w:rsid w:val="00A032C2"/>
    <w:rsid w:val="00A03C50"/>
    <w:rsid w:val="00A053C0"/>
    <w:rsid w:val="00A0686E"/>
    <w:rsid w:val="00A1127C"/>
    <w:rsid w:val="00A1345D"/>
    <w:rsid w:val="00A16A95"/>
    <w:rsid w:val="00A21440"/>
    <w:rsid w:val="00A31213"/>
    <w:rsid w:val="00A32ADD"/>
    <w:rsid w:val="00A34EF6"/>
    <w:rsid w:val="00A42F1E"/>
    <w:rsid w:val="00A51863"/>
    <w:rsid w:val="00A56158"/>
    <w:rsid w:val="00A66A41"/>
    <w:rsid w:val="00A70269"/>
    <w:rsid w:val="00A70FCB"/>
    <w:rsid w:val="00A72102"/>
    <w:rsid w:val="00A8583E"/>
    <w:rsid w:val="00A94C8A"/>
    <w:rsid w:val="00A96E4A"/>
    <w:rsid w:val="00AA1849"/>
    <w:rsid w:val="00AA7189"/>
    <w:rsid w:val="00AB6442"/>
    <w:rsid w:val="00AC584B"/>
    <w:rsid w:val="00AC65D9"/>
    <w:rsid w:val="00AD2405"/>
    <w:rsid w:val="00AE346A"/>
    <w:rsid w:val="00AE7407"/>
    <w:rsid w:val="00AF43D6"/>
    <w:rsid w:val="00B00271"/>
    <w:rsid w:val="00B01C68"/>
    <w:rsid w:val="00B1263E"/>
    <w:rsid w:val="00B20DBE"/>
    <w:rsid w:val="00B27953"/>
    <w:rsid w:val="00B34841"/>
    <w:rsid w:val="00B370F7"/>
    <w:rsid w:val="00B419D6"/>
    <w:rsid w:val="00B421BC"/>
    <w:rsid w:val="00B44B88"/>
    <w:rsid w:val="00B52D77"/>
    <w:rsid w:val="00B80C63"/>
    <w:rsid w:val="00B816FC"/>
    <w:rsid w:val="00B82BCE"/>
    <w:rsid w:val="00B8621C"/>
    <w:rsid w:val="00B86827"/>
    <w:rsid w:val="00BA1B0F"/>
    <w:rsid w:val="00BA5685"/>
    <w:rsid w:val="00BB360A"/>
    <w:rsid w:val="00BB5812"/>
    <w:rsid w:val="00BC11EB"/>
    <w:rsid w:val="00BC74C5"/>
    <w:rsid w:val="00BC7A09"/>
    <w:rsid w:val="00BD4B2A"/>
    <w:rsid w:val="00BE15F8"/>
    <w:rsid w:val="00BF6C98"/>
    <w:rsid w:val="00C0499E"/>
    <w:rsid w:val="00C05064"/>
    <w:rsid w:val="00C13977"/>
    <w:rsid w:val="00C241D4"/>
    <w:rsid w:val="00C31A26"/>
    <w:rsid w:val="00C41418"/>
    <w:rsid w:val="00C43250"/>
    <w:rsid w:val="00C51AE6"/>
    <w:rsid w:val="00C53665"/>
    <w:rsid w:val="00C612CF"/>
    <w:rsid w:val="00C61EC0"/>
    <w:rsid w:val="00C6273F"/>
    <w:rsid w:val="00C75EED"/>
    <w:rsid w:val="00C8408A"/>
    <w:rsid w:val="00C84899"/>
    <w:rsid w:val="00C96C62"/>
    <w:rsid w:val="00CA69EB"/>
    <w:rsid w:val="00CB2600"/>
    <w:rsid w:val="00CC4571"/>
    <w:rsid w:val="00CC4B83"/>
    <w:rsid w:val="00CC57D4"/>
    <w:rsid w:val="00CE41EA"/>
    <w:rsid w:val="00D025B1"/>
    <w:rsid w:val="00D071C2"/>
    <w:rsid w:val="00D212D7"/>
    <w:rsid w:val="00D2217E"/>
    <w:rsid w:val="00D27CA3"/>
    <w:rsid w:val="00D30FE8"/>
    <w:rsid w:val="00D3309A"/>
    <w:rsid w:val="00D4041D"/>
    <w:rsid w:val="00D40AC1"/>
    <w:rsid w:val="00D64765"/>
    <w:rsid w:val="00D844FB"/>
    <w:rsid w:val="00D875CF"/>
    <w:rsid w:val="00D87F46"/>
    <w:rsid w:val="00D9242D"/>
    <w:rsid w:val="00D97385"/>
    <w:rsid w:val="00DA1EAF"/>
    <w:rsid w:val="00DC3B29"/>
    <w:rsid w:val="00DC49D0"/>
    <w:rsid w:val="00DD15B6"/>
    <w:rsid w:val="00DD1DD6"/>
    <w:rsid w:val="00DD24D0"/>
    <w:rsid w:val="00DD3691"/>
    <w:rsid w:val="00DD4A16"/>
    <w:rsid w:val="00DD5334"/>
    <w:rsid w:val="00DE45DC"/>
    <w:rsid w:val="00DF4287"/>
    <w:rsid w:val="00E06239"/>
    <w:rsid w:val="00E10B4C"/>
    <w:rsid w:val="00E12297"/>
    <w:rsid w:val="00E151C0"/>
    <w:rsid w:val="00E32E4D"/>
    <w:rsid w:val="00E46BD3"/>
    <w:rsid w:val="00E53FAF"/>
    <w:rsid w:val="00E54952"/>
    <w:rsid w:val="00E620CB"/>
    <w:rsid w:val="00E660AC"/>
    <w:rsid w:val="00E7027D"/>
    <w:rsid w:val="00E71F69"/>
    <w:rsid w:val="00E76627"/>
    <w:rsid w:val="00E84A79"/>
    <w:rsid w:val="00E85366"/>
    <w:rsid w:val="00E86302"/>
    <w:rsid w:val="00E868C3"/>
    <w:rsid w:val="00E86E58"/>
    <w:rsid w:val="00E87839"/>
    <w:rsid w:val="00E92BFA"/>
    <w:rsid w:val="00EA1305"/>
    <w:rsid w:val="00EB628A"/>
    <w:rsid w:val="00EB632C"/>
    <w:rsid w:val="00EC0B1D"/>
    <w:rsid w:val="00EC5D5B"/>
    <w:rsid w:val="00EC71AA"/>
    <w:rsid w:val="00EC7C71"/>
    <w:rsid w:val="00EC7D14"/>
    <w:rsid w:val="00ED75E9"/>
    <w:rsid w:val="00EE66FC"/>
    <w:rsid w:val="00EE6779"/>
    <w:rsid w:val="00EF35C5"/>
    <w:rsid w:val="00EF401D"/>
    <w:rsid w:val="00F007B3"/>
    <w:rsid w:val="00F04191"/>
    <w:rsid w:val="00F07944"/>
    <w:rsid w:val="00F107BD"/>
    <w:rsid w:val="00F225B8"/>
    <w:rsid w:val="00F32D4D"/>
    <w:rsid w:val="00F42DDB"/>
    <w:rsid w:val="00F56822"/>
    <w:rsid w:val="00F57BB1"/>
    <w:rsid w:val="00F62019"/>
    <w:rsid w:val="00F666CA"/>
    <w:rsid w:val="00F71E5E"/>
    <w:rsid w:val="00F72127"/>
    <w:rsid w:val="00F762D1"/>
    <w:rsid w:val="00F80F75"/>
    <w:rsid w:val="00F82CF9"/>
    <w:rsid w:val="00F8374F"/>
    <w:rsid w:val="00F84DB0"/>
    <w:rsid w:val="00F86ABC"/>
    <w:rsid w:val="00FA140E"/>
    <w:rsid w:val="00FA1A71"/>
    <w:rsid w:val="00FA6537"/>
    <w:rsid w:val="00FA75E0"/>
    <w:rsid w:val="00FB3AD7"/>
    <w:rsid w:val="00FB54AE"/>
    <w:rsid w:val="00FC213C"/>
    <w:rsid w:val="00FC3031"/>
    <w:rsid w:val="00FD18AD"/>
    <w:rsid w:val="00FD4452"/>
    <w:rsid w:val="00FD5243"/>
    <w:rsid w:val="00FD61F5"/>
    <w:rsid w:val="00FD7428"/>
    <w:rsid w:val="00FE0D04"/>
    <w:rsid w:val="00FF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848"/>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uiPriority w:val="9"/>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7F6CB1"/>
    <w:rPr>
      <w:lang w:val="en-US" w:eastAsia="en-US"/>
    </w:rPr>
  </w:style>
  <w:style w:type="paragraph" w:customStyle="1" w:styleId="CharChar1CharCharChar">
    <w:name w:val="Char Char1 Char Знак Знак Char Знак Знак Char"/>
    <w:basedOn w:val="Normal"/>
    <w:rsid w:val="00FC213C"/>
    <w:pPr>
      <w:spacing w:after="160" w:line="240" w:lineRule="exact"/>
      <w:ind w:firstLine="0"/>
      <w:jc w:val="left"/>
    </w:pPr>
    <w:rPr>
      <w:rFonts w:ascii="Arial" w:eastAsia="Batang" w:hAnsi="Arial" w:cs="Arial"/>
      <w:lang w:val="ro-MD"/>
    </w:rPr>
  </w:style>
  <w:style w:type="paragraph" w:styleId="BodyText">
    <w:name w:val="Body Text"/>
    <w:basedOn w:val="Normal"/>
    <w:link w:val="BodyTextChar1"/>
    <w:rsid w:val="00120984"/>
    <w:pPr>
      <w:suppressAutoHyphens/>
      <w:spacing w:before="120"/>
      <w:ind w:firstLine="0"/>
      <w:jc w:val="left"/>
    </w:pPr>
    <w:rPr>
      <w:rFonts w:ascii="Cambria" w:hAnsi="Cambria"/>
      <w:sz w:val="24"/>
      <w:szCs w:val="24"/>
      <w:lang w:val="ru-RU" w:eastAsia="ar-SA"/>
    </w:rPr>
  </w:style>
  <w:style w:type="character" w:customStyle="1" w:styleId="BodyTextChar">
    <w:name w:val="Body Text Char"/>
    <w:basedOn w:val="DefaultParagraphFont"/>
    <w:uiPriority w:val="99"/>
    <w:semiHidden/>
    <w:rsid w:val="00120984"/>
    <w:rPr>
      <w:lang w:val="en-US" w:eastAsia="en-US"/>
    </w:rPr>
  </w:style>
  <w:style w:type="character" w:customStyle="1" w:styleId="BodyTextChar1">
    <w:name w:val="Body Text Char1"/>
    <w:basedOn w:val="DefaultParagraphFont"/>
    <w:link w:val="BodyText"/>
    <w:rsid w:val="00120984"/>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927">
      <w:bodyDiv w:val="1"/>
      <w:marLeft w:val="0"/>
      <w:marRight w:val="0"/>
      <w:marTop w:val="0"/>
      <w:marBottom w:val="0"/>
      <w:divBdr>
        <w:top w:val="none" w:sz="0" w:space="0" w:color="auto"/>
        <w:left w:val="none" w:sz="0" w:space="0" w:color="auto"/>
        <w:bottom w:val="none" w:sz="0" w:space="0" w:color="auto"/>
        <w:right w:val="none" w:sz="0" w:space="0" w:color="auto"/>
      </w:divBdr>
    </w:div>
    <w:div w:id="125054231">
      <w:bodyDiv w:val="1"/>
      <w:marLeft w:val="0"/>
      <w:marRight w:val="0"/>
      <w:marTop w:val="0"/>
      <w:marBottom w:val="0"/>
      <w:divBdr>
        <w:top w:val="none" w:sz="0" w:space="0" w:color="auto"/>
        <w:left w:val="none" w:sz="0" w:space="0" w:color="auto"/>
        <w:bottom w:val="none" w:sz="0" w:space="0" w:color="auto"/>
        <w:right w:val="none" w:sz="0" w:space="0" w:color="auto"/>
      </w:divBdr>
    </w:div>
    <w:div w:id="323823878">
      <w:bodyDiv w:val="1"/>
      <w:marLeft w:val="0"/>
      <w:marRight w:val="0"/>
      <w:marTop w:val="0"/>
      <w:marBottom w:val="0"/>
      <w:divBdr>
        <w:top w:val="none" w:sz="0" w:space="0" w:color="auto"/>
        <w:left w:val="none" w:sz="0" w:space="0" w:color="auto"/>
        <w:bottom w:val="none" w:sz="0" w:space="0" w:color="auto"/>
        <w:right w:val="none" w:sz="0" w:space="0" w:color="auto"/>
      </w:divBdr>
    </w:div>
    <w:div w:id="333186700">
      <w:bodyDiv w:val="1"/>
      <w:marLeft w:val="0"/>
      <w:marRight w:val="0"/>
      <w:marTop w:val="0"/>
      <w:marBottom w:val="0"/>
      <w:divBdr>
        <w:top w:val="none" w:sz="0" w:space="0" w:color="auto"/>
        <w:left w:val="none" w:sz="0" w:space="0" w:color="auto"/>
        <w:bottom w:val="none" w:sz="0" w:space="0" w:color="auto"/>
        <w:right w:val="none" w:sz="0" w:space="0" w:color="auto"/>
      </w:divBdr>
    </w:div>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415135237">
      <w:bodyDiv w:val="1"/>
      <w:marLeft w:val="0"/>
      <w:marRight w:val="0"/>
      <w:marTop w:val="0"/>
      <w:marBottom w:val="0"/>
      <w:divBdr>
        <w:top w:val="none" w:sz="0" w:space="0" w:color="auto"/>
        <w:left w:val="none" w:sz="0" w:space="0" w:color="auto"/>
        <w:bottom w:val="none" w:sz="0" w:space="0" w:color="auto"/>
        <w:right w:val="none" w:sz="0" w:space="0" w:color="auto"/>
      </w:divBdr>
    </w:div>
    <w:div w:id="540173631">
      <w:bodyDiv w:val="1"/>
      <w:marLeft w:val="0"/>
      <w:marRight w:val="0"/>
      <w:marTop w:val="0"/>
      <w:marBottom w:val="0"/>
      <w:divBdr>
        <w:top w:val="none" w:sz="0" w:space="0" w:color="auto"/>
        <w:left w:val="none" w:sz="0" w:space="0" w:color="auto"/>
        <w:bottom w:val="none" w:sz="0" w:space="0" w:color="auto"/>
        <w:right w:val="none" w:sz="0" w:space="0" w:color="auto"/>
      </w:divBdr>
    </w:div>
    <w:div w:id="549418236">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650061986">
      <w:bodyDiv w:val="1"/>
      <w:marLeft w:val="0"/>
      <w:marRight w:val="0"/>
      <w:marTop w:val="0"/>
      <w:marBottom w:val="0"/>
      <w:divBdr>
        <w:top w:val="none" w:sz="0" w:space="0" w:color="auto"/>
        <w:left w:val="none" w:sz="0" w:space="0" w:color="auto"/>
        <w:bottom w:val="none" w:sz="0" w:space="0" w:color="auto"/>
        <w:right w:val="none" w:sz="0" w:space="0" w:color="auto"/>
      </w:divBdr>
    </w:div>
    <w:div w:id="660547890">
      <w:bodyDiv w:val="1"/>
      <w:marLeft w:val="0"/>
      <w:marRight w:val="0"/>
      <w:marTop w:val="0"/>
      <w:marBottom w:val="0"/>
      <w:divBdr>
        <w:top w:val="none" w:sz="0" w:space="0" w:color="auto"/>
        <w:left w:val="none" w:sz="0" w:space="0" w:color="auto"/>
        <w:bottom w:val="none" w:sz="0" w:space="0" w:color="auto"/>
        <w:right w:val="none" w:sz="0" w:space="0" w:color="auto"/>
      </w:divBdr>
    </w:div>
    <w:div w:id="841629461">
      <w:bodyDiv w:val="1"/>
      <w:marLeft w:val="0"/>
      <w:marRight w:val="0"/>
      <w:marTop w:val="0"/>
      <w:marBottom w:val="0"/>
      <w:divBdr>
        <w:top w:val="none" w:sz="0" w:space="0" w:color="auto"/>
        <w:left w:val="none" w:sz="0" w:space="0" w:color="auto"/>
        <w:bottom w:val="none" w:sz="0" w:space="0" w:color="auto"/>
        <w:right w:val="none" w:sz="0" w:space="0" w:color="auto"/>
      </w:divBdr>
    </w:div>
    <w:div w:id="863516453">
      <w:bodyDiv w:val="1"/>
      <w:marLeft w:val="0"/>
      <w:marRight w:val="0"/>
      <w:marTop w:val="0"/>
      <w:marBottom w:val="0"/>
      <w:divBdr>
        <w:top w:val="none" w:sz="0" w:space="0" w:color="auto"/>
        <w:left w:val="none" w:sz="0" w:space="0" w:color="auto"/>
        <w:bottom w:val="none" w:sz="0" w:space="0" w:color="auto"/>
        <w:right w:val="none" w:sz="0" w:space="0" w:color="auto"/>
      </w:divBdr>
    </w:div>
    <w:div w:id="926500164">
      <w:bodyDiv w:val="1"/>
      <w:marLeft w:val="0"/>
      <w:marRight w:val="0"/>
      <w:marTop w:val="0"/>
      <w:marBottom w:val="0"/>
      <w:divBdr>
        <w:top w:val="none" w:sz="0" w:space="0" w:color="auto"/>
        <w:left w:val="none" w:sz="0" w:space="0" w:color="auto"/>
        <w:bottom w:val="none" w:sz="0" w:space="0" w:color="auto"/>
        <w:right w:val="none" w:sz="0" w:space="0" w:color="auto"/>
      </w:divBdr>
    </w:div>
    <w:div w:id="926961064">
      <w:bodyDiv w:val="1"/>
      <w:marLeft w:val="0"/>
      <w:marRight w:val="0"/>
      <w:marTop w:val="0"/>
      <w:marBottom w:val="0"/>
      <w:divBdr>
        <w:top w:val="none" w:sz="0" w:space="0" w:color="auto"/>
        <w:left w:val="none" w:sz="0" w:space="0" w:color="auto"/>
        <w:bottom w:val="none" w:sz="0" w:space="0" w:color="auto"/>
        <w:right w:val="none" w:sz="0" w:space="0" w:color="auto"/>
      </w:divBdr>
    </w:div>
    <w:div w:id="941491294">
      <w:bodyDiv w:val="1"/>
      <w:marLeft w:val="0"/>
      <w:marRight w:val="0"/>
      <w:marTop w:val="0"/>
      <w:marBottom w:val="0"/>
      <w:divBdr>
        <w:top w:val="none" w:sz="0" w:space="0" w:color="auto"/>
        <w:left w:val="none" w:sz="0" w:space="0" w:color="auto"/>
        <w:bottom w:val="none" w:sz="0" w:space="0" w:color="auto"/>
        <w:right w:val="none" w:sz="0" w:space="0" w:color="auto"/>
      </w:divBdr>
    </w:div>
    <w:div w:id="953635747">
      <w:bodyDiv w:val="1"/>
      <w:marLeft w:val="0"/>
      <w:marRight w:val="0"/>
      <w:marTop w:val="0"/>
      <w:marBottom w:val="0"/>
      <w:divBdr>
        <w:top w:val="none" w:sz="0" w:space="0" w:color="auto"/>
        <w:left w:val="none" w:sz="0" w:space="0" w:color="auto"/>
        <w:bottom w:val="none" w:sz="0" w:space="0" w:color="auto"/>
        <w:right w:val="none" w:sz="0" w:space="0" w:color="auto"/>
      </w:divBdr>
    </w:div>
    <w:div w:id="977302551">
      <w:bodyDiv w:val="1"/>
      <w:marLeft w:val="0"/>
      <w:marRight w:val="0"/>
      <w:marTop w:val="0"/>
      <w:marBottom w:val="0"/>
      <w:divBdr>
        <w:top w:val="none" w:sz="0" w:space="0" w:color="auto"/>
        <w:left w:val="none" w:sz="0" w:space="0" w:color="auto"/>
        <w:bottom w:val="none" w:sz="0" w:space="0" w:color="auto"/>
        <w:right w:val="none" w:sz="0" w:space="0" w:color="auto"/>
      </w:divBdr>
    </w:div>
    <w:div w:id="1010371139">
      <w:bodyDiv w:val="1"/>
      <w:marLeft w:val="0"/>
      <w:marRight w:val="0"/>
      <w:marTop w:val="0"/>
      <w:marBottom w:val="0"/>
      <w:divBdr>
        <w:top w:val="none" w:sz="0" w:space="0" w:color="auto"/>
        <w:left w:val="none" w:sz="0" w:space="0" w:color="auto"/>
        <w:bottom w:val="none" w:sz="0" w:space="0" w:color="auto"/>
        <w:right w:val="none" w:sz="0" w:space="0" w:color="auto"/>
      </w:divBdr>
    </w:div>
    <w:div w:id="1046875745">
      <w:bodyDiv w:val="1"/>
      <w:marLeft w:val="0"/>
      <w:marRight w:val="0"/>
      <w:marTop w:val="0"/>
      <w:marBottom w:val="0"/>
      <w:divBdr>
        <w:top w:val="none" w:sz="0" w:space="0" w:color="auto"/>
        <w:left w:val="none" w:sz="0" w:space="0" w:color="auto"/>
        <w:bottom w:val="none" w:sz="0" w:space="0" w:color="auto"/>
        <w:right w:val="none" w:sz="0" w:space="0" w:color="auto"/>
      </w:divBdr>
    </w:div>
    <w:div w:id="1062947836">
      <w:bodyDiv w:val="1"/>
      <w:marLeft w:val="0"/>
      <w:marRight w:val="0"/>
      <w:marTop w:val="0"/>
      <w:marBottom w:val="0"/>
      <w:divBdr>
        <w:top w:val="none" w:sz="0" w:space="0" w:color="auto"/>
        <w:left w:val="none" w:sz="0" w:space="0" w:color="auto"/>
        <w:bottom w:val="none" w:sz="0" w:space="0" w:color="auto"/>
        <w:right w:val="none" w:sz="0" w:space="0" w:color="auto"/>
      </w:divBdr>
    </w:div>
    <w:div w:id="1084109944">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258751975">
      <w:bodyDiv w:val="1"/>
      <w:marLeft w:val="0"/>
      <w:marRight w:val="0"/>
      <w:marTop w:val="0"/>
      <w:marBottom w:val="0"/>
      <w:divBdr>
        <w:top w:val="none" w:sz="0" w:space="0" w:color="auto"/>
        <w:left w:val="none" w:sz="0" w:space="0" w:color="auto"/>
        <w:bottom w:val="none" w:sz="0" w:space="0" w:color="auto"/>
        <w:right w:val="none" w:sz="0" w:space="0" w:color="auto"/>
      </w:divBdr>
    </w:div>
    <w:div w:id="1272276251">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 w:id="1393970011">
      <w:bodyDiv w:val="1"/>
      <w:marLeft w:val="0"/>
      <w:marRight w:val="0"/>
      <w:marTop w:val="0"/>
      <w:marBottom w:val="0"/>
      <w:divBdr>
        <w:top w:val="none" w:sz="0" w:space="0" w:color="auto"/>
        <w:left w:val="none" w:sz="0" w:space="0" w:color="auto"/>
        <w:bottom w:val="none" w:sz="0" w:space="0" w:color="auto"/>
        <w:right w:val="none" w:sz="0" w:space="0" w:color="auto"/>
      </w:divBdr>
    </w:div>
    <w:div w:id="1473208507">
      <w:bodyDiv w:val="1"/>
      <w:marLeft w:val="0"/>
      <w:marRight w:val="0"/>
      <w:marTop w:val="0"/>
      <w:marBottom w:val="0"/>
      <w:divBdr>
        <w:top w:val="none" w:sz="0" w:space="0" w:color="auto"/>
        <w:left w:val="none" w:sz="0" w:space="0" w:color="auto"/>
        <w:bottom w:val="none" w:sz="0" w:space="0" w:color="auto"/>
        <w:right w:val="none" w:sz="0" w:space="0" w:color="auto"/>
      </w:divBdr>
    </w:div>
    <w:div w:id="1477869048">
      <w:bodyDiv w:val="1"/>
      <w:marLeft w:val="0"/>
      <w:marRight w:val="0"/>
      <w:marTop w:val="0"/>
      <w:marBottom w:val="0"/>
      <w:divBdr>
        <w:top w:val="none" w:sz="0" w:space="0" w:color="auto"/>
        <w:left w:val="none" w:sz="0" w:space="0" w:color="auto"/>
        <w:bottom w:val="none" w:sz="0" w:space="0" w:color="auto"/>
        <w:right w:val="none" w:sz="0" w:space="0" w:color="auto"/>
      </w:divBdr>
    </w:div>
    <w:div w:id="1737121900">
      <w:bodyDiv w:val="1"/>
      <w:marLeft w:val="0"/>
      <w:marRight w:val="0"/>
      <w:marTop w:val="0"/>
      <w:marBottom w:val="0"/>
      <w:divBdr>
        <w:top w:val="none" w:sz="0" w:space="0" w:color="auto"/>
        <w:left w:val="none" w:sz="0" w:space="0" w:color="auto"/>
        <w:bottom w:val="none" w:sz="0" w:space="0" w:color="auto"/>
        <w:right w:val="none" w:sz="0" w:space="0" w:color="auto"/>
      </w:divBdr>
    </w:div>
    <w:div w:id="1774128141">
      <w:bodyDiv w:val="1"/>
      <w:marLeft w:val="0"/>
      <w:marRight w:val="0"/>
      <w:marTop w:val="0"/>
      <w:marBottom w:val="0"/>
      <w:divBdr>
        <w:top w:val="none" w:sz="0" w:space="0" w:color="auto"/>
        <w:left w:val="none" w:sz="0" w:space="0" w:color="auto"/>
        <w:bottom w:val="none" w:sz="0" w:space="0" w:color="auto"/>
        <w:right w:val="none" w:sz="0" w:space="0" w:color="auto"/>
      </w:divBdr>
    </w:div>
    <w:div w:id="1853061980">
      <w:bodyDiv w:val="1"/>
      <w:marLeft w:val="0"/>
      <w:marRight w:val="0"/>
      <w:marTop w:val="0"/>
      <w:marBottom w:val="0"/>
      <w:divBdr>
        <w:top w:val="none" w:sz="0" w:space="0" w:color="auto"/>
        <w:left w:val="none" w:sz="0" w:space="0" w:color="auto"/>
        <w:bottom w:val="none" w:sz="0" w:space="0" w:color="auto"/>
        <w:right w:val="none" w:sz="0" w:space="0" w:color="auto"/>
      </w:divBdr>
    </w:div>
    <w:div w:id="1922248959">
      <w:bodyDiv w:val="1"/>
      <w:marLeft w:val="0"/>
      <w:marRight w:val="0"/>
      <w:marTop w:val="0"/>
      <w:marBottom w:val="0"/>
      <w:divBdr>
        <w:top w:val="none" w:sz="0" w:space="0" w:color="auto"/>
        <w:left w:val="none" w:sz="0" w:space="0" w:color="auto"/>
        <w:bottom w:val="none" w:sz="0" w:space="0" w:color="auto"/>
        <w:right w:val="none" w:sz="0" w:space="0" w:color="auto"/>
      </w:divBdr>
    </w:div>
    <w:div w:id="1987319638">
      <w:bodyDiv w:val="1"/>
      <w:marLeft w:val="0"/>
      <w:marRight w:val="0"/>
      <w:marTop w:val="0"/>
      <w:marBottom w:val="0"/>
      <w:divBdr>
        <w:top w:val="none" w:sz="0" w:space="0" w:color="auto"/>
        <w:left w:val="none" w:sz="0" w:space="0" w:color="auto"/>
        <w:bottom w:val="none" w:sz="0" w:space="0" w:color="auto"/>
        <w:right w:val="none" w:sz="0" w:space="0" w:color="auto"/>
      </w:divBdr>
    </w:div>
    <w:div w:id="21039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C598D84D-5545-495D-AB7B-6B37301D222C}">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20</Pages>
  <Words>5411</Words>
  <Characters>30848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Valerian Colun</cp:lastModifiedBy>
  <cp:revision>158</cp:revision>
  <cp:lastPrinted>2025-01-24T12:05:00Z</cp:lastPrinted>
  <dcterms:created xsi:type="dcterms:W3CDTF">2024-06-13T04:23:00Z</dcterms:created>
  <dcterms:modified xsi:type="dcterms:W3CDTF">2025-03-24T15:18:00Z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