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3A04" w:rsidRPr="001C1B91" w:rsidRDefault="00FF3A04" w:rsidP="00F94E50">
      <w:pPr>
        <w:spacing w:after="0" w:line="240" w:lineRule="auto"/>
        <w:jc w:val="center"/>
        <w:rPr>
          <w:rFonts w:ascii="Times New Roman" w:hAnsi="Times New Roman"/>
          <w:b/>
          <w:sz w:val="26"/>
          <w:szCs w:val="26"/>
          <w:lang w:val="ro-RO"/>
        </w:rPr>
      </w:pPr>
      <w:r w:rsidRPr="001C1B91">
        <w:rPr>
          <w:rFonts w:ascii="Times New Roman" w:hAnsi="Times New Roman"/>
          <w:b/>
          <w:sz w:val="26"/>
          <w:szCs w:val="26"/>
          <w:lang w:val="ro-RO"/>
        </w:rPr>
        <w:t>Notă informativă</w:t>
      </w:r>
    </w:p>
    <w:p w:rsidR="00FF3A04" w:rsidRPr="001C1B91" w:rsidRDefault="00FF3A04" w:rsidP="001C1B91">
      <w:pPr>
        <w:pStyle w:val="tt"/>
        <w:ind w:firstLine="709"/>
        <w:rPr>
          <w:spacing w:val="-3"/>
          <w:sz w:val="26"/>
          <w:szCs w:val="26"/>
          <w:lang w:val="ro-RO"/>
        </w:rPr>
      </w:pPr>
      <w:r w:rsidRPr="001C1B91">
        <w:rPr>
          <w:sz w:val="26"/>
          <w:szCs w:val="26"/>
          <w:lang w:val="ro-RO"/>
        </w:rPr>
        <w:t xml:space="preserve">la proiectul Hotărîrii Guvernului </w:t>
      </w:r>
      <w:r w:rsidRPr="001C1B91">
        <w:rPr>
          <w:spacing w:val="-3"/>
          <w:sz w:val="26"/>
          <w:szCs w:val="26"/>
          <w:lang w:val="ro-RO"/>
        </w:rPr>
        <w:t>cu privire la aprobarea Reglementării tehnice „Maşini industriale”</w:t>
      </w:r>
    </w:p>
    <w:p w:rsidR="00FF3A04" w:rsidRPr="001C1B91" w:rsidRDefault="00FF3A04" w:rsidP="00F94E50">
      <w:pPr>
        <w:spacing w:after="0" w:line="240" w:lineRule="auto"/>
        <w:jc w:val="center"/>
        <w:rPr>
          <w:rFonts w:ascii="Times New Roman" w:hAnsi="Times New Roman"/>
          <w:b/>
          <w:sz w:val="26"/>
          <w:szCs w:val="26"/>
          <w:lang w:val="ro-RO"/>
        </w:rPr>
      </w:pPr>
    </w:p>
    <w:p w:rsidR="00FF3A04" w:rsidRPr="001C1B91" w:rsidRDefault="00FF3A04" w:rsidP="001C1B91">
      <w:pPr>
        <w:pStyle w:val="tt"/>
        <w:jc w:val="both"/>
        <w:rPr>
          <w:b w:val="0"/>
          <w:sz w:val="26"/>
          <w:szCs w:val="26"/>
          <w:lang w:val="ro-RO"/>
        </w:rPr>
      </w:pPr>
      <w:r w:rsidRPr="001C1B91">
        <w:rPr>
          <w:b w:val="0"/>
          <w:sz w:val="26"/>
          <w:szCs w:val="26"/>
          <w:lang w:val="ro-RO"/>
        </w:rPr>
        <w:t xml:space="preserve">Proiectul de Hotărîre de Guvern privind aprobarea </w:t>
      </w:r>
      <w:r w:rsidRPr="001C1B91">
        <w:rPr>
          <w:b w:val="0"/>
          <w:spacing w:val="-3"/>
          <w:sz w:val="26"/>
          <w:szCs w:val="26"/>
          <w:lang w:val="ro-RO"/>
        </w:rPr>
        <w:t>Reglementării tehnice „Maşini industriale”</w:t>
      </w:r>
      <w:r w:rsidRPr="001C1B91">
        <w:rPr>
          <w:b w:val="0"/>
          <w:sz w:val="26"/>
          <w:szCs w:val="26"/>
          <w:lang w:val="ro-RO"/>
        </w:rPr>
        <w:t xml:space="preserve"> (se mai numesc şi „echipamente tehnice” în unele surse, versiunea engleză fiind „machinery”), vine să transpună în legislaţia naţională Directiva 2006/42/CE a Parlamentului European şi a Consiliului din 17 mai 2006 privind echipamentele tehnice. </w:t>
      </w:r>
    </w:p>
    <w:p w:rsidR="00FF3A04" w:rsidRPr="00483A03" w:rsidRDefault="00FF3A04" w:rsidP="00056684">
      <w:pPr>
        <w:spacing w:after="0" w:line="240" w:lineRule="auto"/>
        <w:jc w:val="both"/>
        <w:rPr>
          <w:rFonts w:ascii="Times New Roman" w:hAnsi="Times New Roman"/>
          <w:sz w:val="26"/>
          <w:szCs w:val="26"/>
          <w:lang w:val="ro-RO"/>
        </w:rPr>
      </w:pPr>
    </w:p>
    <w:p w:rsidR="00FF3A04" w:rsidRPr="00483A03" w:rsidRDefault="00FF3A04" w:rsidP="00056684">
      <w:pPr>
        <w:spacing w:after="0" w:line="240" w:lineRule="auto"/>
        <w:jc w:val="both"/>
        <w:rPr>
          <w:rFonts w:ascii="Times New Roman" w:hAnsi="Times New Roman"/>
          <w:sz w:val="26"/>
          <w:szCs w:val="26"/>
          <w:lang w:val="ro-RO"/>
        </w:rPr>
      </w:pPr>
      <w:r w:rsidRPr="00483A03">
        <w:rPr>
          <w:rFonts w:ascii="Times New Roman" w:hAnsi="Times New Roman"/>
          <w:sz w:val="26"/>
          <w:szCs w:val="26"/>
          <w:lang w:val="ro-RO"/>
        </w:rPr>
        <w:t xml:space="preserve">Unul dintre elementele esenţiale ale proiectului este minimizarea riscului de accidente cauzate de </w:t>
      </w:r>
      <w:r w:rsidRPr="001C1B91">
        <w:rPr>
          <w:rFonts w:ascii="Times New Roman" w:hAnsi="Times New Roman"/>
          <w:sz w:val="26"/>
          <w:szCs w:val="26"/>
          <w:lang w:val="ro-RO"/>
        </w:rPr>
        <w:t xml:space="preserve">utilizarea </w:t>
      </w:r>
      <w:r>
        <w:rPr>
          <w:rFonts w:ascii="Times New Roman" w:hAnsi="Times New Roman"/>
          <w:spacing w:val="-3"/>
          <w:sz w:val="26"/>
          <w:szCs w:val="26"/>
          <w:lang w:val="ro-RO"/>
        </w:rPr>
        <w:t>m</w:t>
      </w:r>
      <w:r w:rsidRPr="001C1B91">
        <w:rPr>
          <w:rFonts w:ascii="Times New Roman" w:hAnsi="Times New Roman"/>
          <w:spacing w:val="-3"/>
          <w:sz w:val="26"/>
          <w:szCs w:val="26"/>
          <w:lang w:val="ro-RO"/>
        </w:rPr>
        <w:t>aşinilor industriale</w:t>
      </w:r>
      <w:r w:rsidRPr="00483A03">
        <w:rPr>
          <w:rFonts w:ascii="Times New Roman" w:hAnsi="Times New Roman"/>
          <w:sz w:val="26"/>
          <w:szCs w:val="26"/>
          <w:lang w:val="ro-RO"/>
        </w:rPr>
        <w:t xml:space="preserve">. Proiectul Hotărîrii Guvernului, se aplică maşinilor, echipamentului interschimbabil, componentelor de securitate pentru maşini şi dispozitivelor detaşabile de transmisie mecanică. </w:t>
      </w:r>
      <w:r w:rsidRPr="001C1B91">
        <w:rPr>
          <w:rFonts w:ascii="Times New Roman" w:hAnsi="Times New Roman"/>
          <w:spacing w:val="-3"/>
          <w:sz w:val="26"/>
          <w:szCs w:val="26"/>
          <w:lang w:val="ro-RO"/>
        </w:rPr>
        <w:t>Maşini</w:t>
      </w:r>
      <w:r>
        <w:rPr>
          <w:rFonts w:ascii="Times New Roman" w:hAnsi="Times New Roman"/>
          <w:spacing w:val="-3"/>
          <w:sz w:val="26"/>
          <w:szCs w:val="26"/>
          <w:lang w:val="ro-RO"/>
        </w:rPr>
        <w:t>le</w:t>
      </w:r>
      <w:r w:rsidRPr="001C1B91">
        <w:rPr>
          <w:rFonts w:ascii="Times New Roman" w:hAnsi="Times New Roman"/>
          <w:spacing w:val="-3"/>
          <w:sz w:val="26"/>
          <w:szCs w:val="26"/>
          <w:lang w:val="ro-RO"/>
        </w:rPr>
        <w:t xml:space="preserve"> industriale</w:t>
      </w:r>
      <w:r w:rsidRPr="00483A03">
        <w:rPr>
          <w:rFonts w:ascii="Times New Roman" w:hAnsi="Times New Roman"/>
          <w:sz w:val="26"/>
          <w:szCs w:val="26"/>
          <w:lang w:val="ro-RO"/>
        </w:rPr>
        <w:t xml:space="preserve">, în pofida utilităţii, mai antrenează şi o serie de pericole iminente pentru persoane, cum ar fi pericolul de tăiere, strivire, arsură etc. Cerinţele esenţiale de securitate şi sănătate prevăzute de proiectul Hotărîrii Guvernului se referă în principal la sănătatea şi securitatea persoanelor, inclusiv a operatorilor şi a altor persoane expuse. Prin respectarea cerinţelor menţionate, se atinge un nivel minim de risc pentru operatorii de </w:t>
      </w:r>
      <w:r>
        <w:rPr>
          <w:rFonts w:ascii="Times New Roman" w:hAnsi="Times New Roman"/>
          <w:spacing w:val="-3"/>
          <w:sz w:val="26"/>
          <w:szCs w:val="26"/>
          <w:lang w:val="ro-RO"/>
        </w:rPr>
        <w:t>m</w:t>
      </w:r>
      <w:r w:rsidRPr="001C1B91">
        <w:rPr>
          <w:rFonts w:ascii="Times New Roman" w:hAnsi="Times New Roman"/>
          <w:spacing w:val="-3"/>
          <w:sz w:val="26"/>
          <w:szCs w:val="26"/>
          <w:lang w:val="ro-RO"/>
        </w:rPr>
        <w:t>aşini industriale</w:t>
      </w:r>
      <w:r w:rsidRPr="00483A03">
        <w:rPr>
          <w:rFonts w:ascii="Times New Roman" w:hAnsi="Times New Roman"/>
          <w:sz w:val="26"/>
          <w:szCs w:val="26"/>
          <w:lang w:val="ro-RO"/>
        </w:rPr>
        <w:t xml:space="preserve"> sau</w:t>
      </w:r>
      <w:r>
        <w:rPr>
          <w:rFonts w:ascii="Times New Roman" w:hAnsi="Times New Roman"/>
          <w:sz w:val="26"/>
          <w:szCs w:val="26"/>
          <w:lang w:val="ro-RO"/>
        </w:rPr>
        <w:t>/şi</w:t>
      </w:r>
      <w:r w:rsidRPr="00483A03">
        <w:rPr>
          <w:rFonts w:ascii="Times New Roman" w:hAnsi="Times New Roman"/>
          <w:sz w:val="26"/>
          <w:szCs w:val="26"/>
          <w:lang w:val="ro-RO"/>
        </w:rPr>
        <w:t xml:space="preserve"> persoanele aflate în apropierea acestora.</w:t>
      </w:r>
    </w:p>
    <w:p w:rsidR="00FF3A04" w:rsidRPr="00483A03" w:rsidRDefault="00FF3A04" w:rsidP="00056684">
      <w:pPr>
        <w:spacing w:after="0" w:line="240" w:lineRule="auto"/>
        <w:jc w:val="both"/>
        <w:rPr>
          <w:rFonts w:ascii="Times New Roman" w:hAnsi="Times New Roman"/>
          <w:sz w:val="26"/>
          <w:szCs w:val="26"/>
          <w:lang w:val="ro-RO"/>
        </w:rPr>
      </w:pPr>
    </w:p>
    <w:p w:rsidR="00FF3A04" w:rsidRPr="00483A03" w:rsidRDefault="00FF3A04" w:rsidP="00175741">
      <w:pPr>
        <w:autoSpaceDE w:val="0"/>
        <w:autoSpaceDN w:val="0"/>
        <w:adjustRightInd w:val="0"/>
        <w:jc w:val="both"/>
        <w:rPr>
          <w:rFonts w:ascii="Times New Roman" w:hAnsi="Times New Roman"/>
          <w:sz w:val="26"/>
          <w:szCs w:val="26"/>
          <w:lang w:val="ro-RO"/>
        </w:rPr>
      </w:pPr>
      <w:r w:rsidRPr="00483A03">
        <w:rPr>
          <w:rFonts w:ascii="Times New Roman" w:hAnsi="Times New Roman"/>
          <w:iCs/>
          <w:sz w:val="26"/>
          <w:szCs w:val="26"/>
          <w:lang w:val="ro-RO"/>
        </w:rPr>
        <w:t xml:space="preserve">Sectorul maşinilor este o parte importantă a industriei constructoare de maşini şi unul din pilonii industriali principali ai oricărei economii. </w:t>
      </w:r>
      <w:r w:rsidRPr="00483A03">
        <w:rPr>
          <w:rFonts w:ascii="Times New Roman" w:hAnsi="Times New Roman"/>
          <w:sz w:val="26"/>
          <w:szCs w:val="26"/>
          <w:lang w:val="ro-RO"/>
        </w:rPr>
        <w:t xml:space="preserve">Într-un sistem de munca industrial, </w:t>
      </w:r>
      <w:r>
        <w:rPr>
          <w:rFonts w:ascii="Times New Roman" w:hAnsi="Times New Roman"/>
          <w:sz w:val="26"/>
          <w:szCs w:val="26"/>
          <w:lang w:val="ro-RO"/>
        </w:rPr>
        <w:t>m</w:t>
      </w:r>
      <w:r w:rsidRPr="001C1B91">
        <w:rPr>
          <w:rFonts w:ascii="Times New Roman" w:hAnsi="Times New Roman"/>
          <w:spacing w:val="-3"/>
          <w:sz w:val="26"/>
          <w:szCs w:val="26"/>
          <w:lang w:val="ro-RO"/>
        </w:rPr>
        <w:t>aşini</w:t>
      </w:r>
      <w:r>
        <w:rPr>
          <w:rFonts w:ascii="Times New Roman" w:hAnsi="Times New Roman"/>
          <w:spacing w:val="-3"/>
          <w:sz w:val="26"/>
          <w:szCs w:val="26"/>
          <w:lang w:val="ro-RO"/>
        </w:rPr>
        <w:t>le</w:t>
      </w:r>
      <w:r w:rsidRPr="001C1B91">
        <w:rPr>
          <w:rFonts w:ascii="Times New Roman" w:hAnsi="Times New Roman"/>
          <w:spacing w:val="-3"/>
          <w:sz w:val="26"/>
          <w:szCs w:val="26"/>
          <w:lang w:val="ro-RO"/>
        </w:rPr>
        <w:t xml:space="preserve"> industriale</w:t>
      </w:r>
      <w:r w:rsidRPr="00483A03">
        <w:rPr>
          <w:rFonts w:ascii="Times New Roman" w:hAnsi="Times New Roman"/>
          <w:sz w:val="26"/>
          <w:szCs w:val="26"/>
          <w:lang w:val="ro-RO"/>
        </w:rPr>
        <w:t xml:space="preserve"> reprezintă componenta cu procentajul riscurilor de accidentare cel mai ridicat. </w:t>
      </w:r>
    </w:p>
    <w:p w:rsidR="00FF3A04" w:rsidRPr="00483A03" w:rsidRDefault="00FF3A04" w:rsidP="00056684">
      <w:pPr>
        <w:autoSpaceDE w:val="0"/>
        <w:autoSpaceDN w:val="0"/>
        <w:adjustRightInd w:val="0"/>
        <w:jc w:val="both"/>
        <w:rPr>
          <w:rFonts w:ascii="Times New Roman" w:hAnsi="Times New Roman"/>
          <w:sz w:val="26"/>
          <w:szCs w:val="26"/>
          <w:lang w:val="ro-RO"/>
        </w:rPr>
      </w:pPr>
      <w:r>
        <w:rPr>
          <w:rFonts w:ascii="Times New Roman" w:hAnsi="Times New Roman"/>
          <w:sz w:val="26"/>
          <w:szCs w:val="26"/>
          <w:lang w:val="ro-RO"/>
        </w:rPr>
        <w:t>P</w:t>
      </w:r>
      <w:r w:rsidRPr="00483A03">
        <w:rPr>
          <w:rFonts w:ascii="Times New Roman" w:hAnsi="Times New Roman"/>
          <w:sz w:val="26"/>
          <w:szCs w:val="26"/>
          <w:lang w:val="ro-RO"/>
        </w:rPr>
        <w:t>revedere de menţinere a acestei iniţiative de transpunere a fost adoptată prin Hotărîrea Guvernului nr. 824 din 07.11.2011 (pct.6.2) şi prin Hotărîrea Guvernului nr. 1026 din 28.12.2012 cu privire la aprobarea Planului naţional de armonizare a legislaţiei pentru anul 2013 (pct. 32). Concomitent, Directiva 2006/42/CE este inclusă în Anexa la proiectul Acordului DCFTA în partea ce ţine de TBT (Bariere Tehnice în Calea Comerţului), fiind directiv</w:t>
      </w:r>
      <w:r>
        <w:rPr>
          <w:rFonts w:ascii="Times New Roman" w:hAnsi="Times New Roman"/>
          <w:sz w:val="26"/>
          <w:szCs w:val="26"/>
          <w:lang w:val="ro-RO"/>
        </w:rPr>
        <w:t>ă</w:t>
      </w:r>
      <w:r w:rsidRPr="00483A03">
        <w:rPr>
          <w:rFonts w:ascii="Times New Roman" w:hAnsi="Times New Roman"/>
          <w:sz w:val="26"/>
          <w:szCs w:val="26"/>
          <w:lang w:val="ro-RO"/>
        </w:rPr>
        <w:t xml:space="preserve"> de Nouă Abordare.</w:t>
      </w:r>
    </w:p>
    <w:p w:rsidR="00FF3A04" w:rsidRPr="00483A03" w:rsidRDefault="00FF3A04" w:rsidP="00175741">
      <w:pPr>
        <w:autoSpaceDE w:val="0"/>
        <w:autoSpaceDN w:val="0"/>
        <w:adjustRightInd w:val="0"/>
        <w:jc w:val="both"/>
        <w:rPr>
          <w:sz w:val="26"/>
          <w:szCs w:val="26"/>
          <w:lang w:val="ro-RO"/>
        </w:rPr>
      </w:pPr>
      <w:r w:rsidRPr="00483A03">
        <w:rPr>
          <w:rFonts w:ascii="Times New Roman" w:hAnsi="Times New Roman"/>
          <w:sz w:val="26"/>
          <w:szCs w:val="26"/>
          <w:lang w:val="ro-RO"/>
        </w:rPr>
        <w:t xml:space="preserve">În plus, este de menţionat că maşinile industriale </w:t>
      </w:r>
      <w:r>
        <w:rPr>
          <w:rFonts w:ascii="Times New Roman" w:hAnsi="Times New Roman"/>
          <w:sz w:val="26"/>
          <w:szCs w:val="26"/>
          <w:lang w:val="ro-RO"/>
        </w:rPr>
        <w:t>sunt</w:t>
      </w:r>
      <w:r w:rsidRPr="00483A03">
        <w:rPr>
          <w:rFonts w:ascii="Times New Roman" w:hAnsi="Times New Roman"/>
          <w:sz w:val="26"/>
          <w:szCs w:val="26"/>
          <w:lang w:val="ro-RO"/>
        </w:rPr>
        <w:t xml:space="preserve"> indicate în Lista domeniilor reglementate din Legea nr. 235 din 01.12.2011 privind activităţile de acreditare şi de evaluare a conformităţii, art. 18 şi Anexa nr. 3 (alin. 6).</w:t>
      </w:r>
      <w:r w:rsidRPr="00483A03">
        <w:rPr>
          <w:sz w:val="26"/>
          <w:szCs w:val="26"/>
          <w:lang w:val="ro-RO"/>
        </w:rPr>
        <w:t xml:space="preserve"> </w:t>
      </w:r>
    </w:p>
    <w:p w:rsidR="00FF3A04" w:rsidRPr="00483A03" w:rsidRDefault="00FF3A04" w:rsidP="00175741">
      <w:pPr>
        <w:autoSpaceDE w:val="0"/>
        <w:autoSpaceDN w:val="0"/>
        <w:adjustRightInd w:val="0"/>
        <w:jc w:val="both"/>
        <w:rPr>
          <w:rFonts w:ascii="Times New Roman" w:hAnsi="Times New Roman"/>
          <w:sz w:val="26"/>
          <w:szCs w:val="26"/>
          <w:lang w:val="ro-RO"/>
        </w:rPr>
      </w:pPr>
      <w:r w:rsidRPr="00483A03">
        <w:rPr>
          <w:rFonts w:ascii="Times New Roman" w:hAnsi="Times New Roman"/>
          <w:sz w:val="26"/>
          <w:szCs w:val="26"/>
          <w:lang w:val="ro-RO"/>
        </w:rPr>
        <w:t xml:space="preserve">Fiind elaborat proiectul Hotărîrii Guvernului </w:t>
      </w:r>
      <w:r w:rsidRPr="006B2446">
        <w:rPr>
          <w:rFonts w:ascii="Times New Roman" w:hAnsi="Times New Roman"/>
          <w:sz w:val="26"/>
          <w:szCs w:val="26"/>
          <w:lang w:val="ro-RO"/>
        </w:rPr>
        <w:t xml:space="preserve">privind aprobarea </w:t>
      </w:r>
      <w:r w:rsidRPr="006B2446">
        <w:rPr>
          <w:rFonts w:ascii="Times New Roman" w:hAnsi="Times New Roman"/>
          <w:spacing w:val="-3"/>
          <w:sz w:val="26"/>
          <w:szCs w:val="26"/>
          <w:lang w:val="ro-RO"/>
        </w:rPr>
        <w:t>Reglementării tehnice „Maşini industriale”</w:t>
      </w:r>
      <w:r w:rsidRPr="006B2446">
        <w:rPr>
          <w:rFonts w:ascii="Times New Roman" w:hAnsi="Times New Roman"/>
          <w:sz w:val="26"/>
          <w:szCs w:val="26"/>
          <w:lang w:val="ro-RO"/>
        </w:rPr>
        <w:t>, ace</w:t>
      </w:r>
      <w:r>
        <w:rPr>
          <w:rFonts w:ascii="Times New Roman" w:hAnsi="Times New Roman"/>
          <w:sz w:val="26"/>
          <w:szCs w:val="26"/>
          <w:lang w:val="ro-RO"/>
        </w:rPr>
        <w:t>a</w:t>
      </w:r>
      <w:r w:rsidRPr="006B2446">
        <w:rPr>
          <w:rFonts w:ascii="Times New Roman" w:hAnsi="Times New Roman"/>
          <w:sz w:val="26"/>
          <w:szCs w:val="26"/>
          <w:lang w:val="ro-RO"/>
        </w:rPr>
        <w:t>sta a fost corelat</w:t>
      </w:r>
      <w:r>
        <w:rPr>
          <w:rFonts w:ascii="Times New Roman" w:hAnsi="Times New Roman"/>
          <w:sz w:val="26"/>
          <w:szCs w:val="26"/>
          <w:lang w:val="ro-RO"/>
        </w:rPr>
        <w:t>ă</w:t>
      </w:r>
      <w:r w:rsidRPr="006B2446">
        <w:rPr>
          <w:rFonts w:ascii="Times New Roman" w:hAnsi="Times New Roman"/>
          <w:sz w:val="26"/>
          <w:szCs w:val="26"/>
          <w:lang w:val="ro-RO"/>
        </w:rPr>
        <w:t xml:space="preserve"> cu</w:t>
      </w:r>
      <w:r w:rsidRPr="00483A03">
        <w:rPr>
          <w:rFonts w:ascii="Times New Roman" w:hAnsi="Times New Roman"/>
          <w:sz w:val="26"/>
          <w:szCs w:val="26"/>
          <w:lang w:val="ro-RO"/>
        </w:rPr>
        <w:t xml:space="preserve"> prevederile existente şi lexicul definit de următoarele acte normative:</w:t>
      </w:r>
    </w:p>
    <w:p w:rsidR="00FF3A04" w:rsidRPr="00483A03" w:rsidRDefault="00FF3A04" w:rsidP="00483A03">
      <w:pPr>
        <w:numPr>
          <w:ilvl w:val="0"/>
          <w:numId w:val="1"/>
        </w:numPr>
        <w:tabs>
          <w:tab w:val="left" w:pos="180"/>
        </w:tabs>
        <w:autoSpaceDE w:val="0"/>
        <w:autoSpaceDN w:val="0"/>
        <w:adjustRightInd w:val="0"/>
        <w:spacing w:after="0" w:line="240" w:lineRule="auto"/>
        <w:ind w:left="0" w:firstLine="0"/>
        <w:jc w:val="both"/>
        <w:rPr>
          <w:rFonts w:ascii="Times New Roman" w:hAnsi="Times New Roman"/>
          <w:sz w:val="26"/>
          <w:szCs w:val="26"/>
          <w:lang w:val="ro-RO"/>
        </w:rPr>
      </w:pPr>
      <w:r w:rsidRPr="00483A03">
        <w:rPr>
          <w:rFonts w:ascii="Times New Roman" w:hAnsi="Times New Roman"/>
          <w:sz w:val="26"/>
          <w:szCs w:val="26"/>
          <w:lang w:val="ro-RO"/>
        </w:rPr>
        <w:t>Legea nr. 235 din 01.12.2011 privind activităţile de acreditare şi de evaluare a conformităţii;</w:t>
      </w:r>
    </w:p>
    <w:p w:rsidR="00FF3A04" w:rsidRPr="00483A03" w:rsidRDefault="00FF3A04" w:rsidP="00483A03">
      <w:pPr>
        <w:numPr>
          <w:ilvl w:val="0"/>
          <w:numId w:val="1"/>
        </w:numPr>
        <w:tabs>
          <w:tab w:val="left" w:pos="180"/>
        </w:tabs>
        <w:autoSpaceDE w:val="0"/>
        <w:autoSpaceDN w:val="0"/>
        <w:adjustRightInd w:val="0"/>
        <w:spacing w:after="0" w:line="240" w:lineRule="auto"/>
        <w:ind w:left="0" w:firstLine="0"/>
        <w:jc w:val="both"/>
        <w:rPr>
          <w:rFonts w:ascii="Times New Roman" w:hAnsi="Times New Roman"/>
          <w:sz w:val="26"/>
          <w:szCs w:val="26"/>
          <w:lang w:val="ro-RO"/>
        </w:rPr>
      </w:pPr>
      <w:r w:rsidRPr="00483A03">
        <w:rPr>
          <w:rFonts w:ascii="Times New Roman" w:hAnsi="Times New Roman"/>
          <w:sz w:val="26"/>
          <w:szCs w:val="26"/>
          <w:lang w:val="ro-RO"/>
        </w:rPr>
        <w:t>Legea nr. 420 din 22.12.2006 privind activitatea de reglementare tehnică;</w:t>
      </w:r>
    </w:p>
    <w:p w:rsidR="00FF3A04" w:rsidRPr="00483A03" w:rsidRDefault="00FF3A04" w:rsidP="00483A03">
      <w:pPr>
        <w:numPr>
          <w:ilvl w:val="0"/>
          <w:numId w:val="1"/>
        </w:numPr>
        <w:tabs>
          <w:tab w:val="left" w:pos="180"/>
        </w:tabs>
        <w:autoSpaceDE w:val="0"/>
        <w:autoSpaceDN w:val="0"/>
        <w:adjustRightInd w:val="0"/>
        <w:spacing w:after="0" w:line="240" w:lineRule="auto"/>
        <w:ind w:left="0" w:firstLine="0"/>
        <w:jc w:val="both"/>
        <w:rPr>
          <w:rFonts w:ascii="Times New Roman" w:hAnsi="Times New Roman"/>
          <w:sz w:val="26"/>
          <w:szCs w:val="26"/>
          <w:lang w:val="ro-RO"/>
        </w:rPr>
      </w:pPr>
      <w:r w:rsidRPr="00483A03">
        <w:rPr>
          <w:rFonts w:ascii="Times New Roman" w:hAnsi="Times New Roman"/>
          <w:sz w:val="26"/>
          <w:szCs w:val="26"/>
          <w:lang w:val="ro-RO"/>
        </w:rPr>
        <w:t>Legea nr. 590 din 22.09.1995 cu privire la standardizare;</w:t>
      </w:r>
    </w:p>
    <w:p w:rsidR="00FF3A04" w:rsidRPr="00483A03" w:rsidRDefault="00FF3A04" w:rsidP="00483A03">
      <w:pPr>
        <w:numPr>
          <w:ilvl w:val="0"/>
          <w:numId w:val="1"/>
        </w:numPr>
        <w:tabs>
          <w:tab w:val="left" w:pos="180"/>
        </w:tabs>
        <w:autoSpaceDE w:val="0"/>
        <w:autoSpaceDN w:val="0"/>
        <w:adjustRightInd w:val="0"/>
        <w:spacing w:after="0" w:line="240" w:lineRule="auto"/>
        <w:ind w:left="0" w:firstLine="0"/>
        <w:jc w:val="both"/>
        <w:rPr>
          <w:rFonts w:ascii="Times New Roman" w:hAnsi="Times New Roman"/>
          <w:sz w:val="26"/>
          <w:szCs w:val="26"/>
          <w:lang w:val="ro-RO"/>
        </w:rPr>
      </w:pPr>
      <w:r w:rsidRPr="00483A03">
        <w:rPr>
          <w:rFonts w:ascii="Times New Roman" w:hAnsi="Times New Roman"/>
          <w:sz w:val="26"/>
          <w:szCs w:val="26"/>
          <w:lang w:val="ro-RO"/>
        </w:rPr>
        <w:t>Hotărîrea Guvernului nr. 49 din 15.01.2013 cu privire la aprobarea Regulamentului privind procedurile de evaluare a conformităţii produselor industriale din domeniul reglementat (module).</w:t>
      </w:r>
    </w:p>
    <w:p w:rsidR="00FF3A04" w:rsidRPr="00483A03" w:rsidRDefault="00FF3A04" w:rsidP="00175741">
      <w:pPr>
        <w:autoSpaceDE w:val="0"/>
        <w:autoSpaceDN w:val="0"/>
        <w:adjustRightInd w:val="0"/>
        <w:jc w:val="both"/>
        <w:rPr>
          <w:rFonts w:ascii="Times New Roman" w:hAnsi="Times New Roman"/>
          <w:sz w:val="26"/>
          <w:szCs w:val="26"/>
          <w:lang w:val="ro-RO"/>
        </w:rPr>
      </w:pPr>
    </w:p>
    <w:p w:rsidR="00FF3A04" w:rsidRPr="00483A03" w:rsidRDefault="00FF3A04" w:rsidP="00175741">
      <w:pPr>
        <w:autoSpaceDE w:val="0"/>
        <w:autoSpaceDN w:val="0"/>
        <w:adjustRightInd w:val="0"/>
        <w:jc w:val="both"/>
        <w:rPr>
          <w:rFonts w:ascii="Times New Roman" w:hAnsi="Times New Roman"/>
          <w:sz w:val="26"/>
          <w:szCs w:val="26"/>
          <w:lang w:val="ro-RO"/>
        </w:rPr>
      </w:pPr>
      <w:r w:rsidRPr="00483A03">
        <w:rPr>
          <w:rFonts w:ascii="Times New Roman" w:hAnsi="Times New Roman"/>
          <w:sz w:val="26"/>
          <w:szCs w:val="26"/>
          <w:lang w:val="ro-RO"/>
        </w:rPr>
        <w:t xml:space="preserve">Proiectul Hotărîrii examinate se aplică atît maşinilor destinate utilizării de către personal la locul de muncă, cît şi maşinilor destinate utilizării de către consumatori sau care furnizează un serviciu consumatorilor. În general, proiectarea şi construcţia maşinilor trebuie să ia în considerare destinaţia prevăzută, adică trebuie să se ia în considerare dacă maşina este destinată utilizării de către un operator profesionist sau neprofesionist sau este destinată furnizării unui serviciu către consumatori. </w:t>
      </w:r>
    </w:p>
    <w:p w:rsidR="00FF3A04" w:rsidRPr="00483A03" w:rsidRDefault="00FF3A04" w:rsidP="00175741">
      <w:pPr>
        <w:autoSpaceDE w:val="0"/>
        <w:autoSpaceDN w:val="0"/>
        <w:adjustRightInd w:val="0"/>
        <w:jc w:val="both"/>
        <w:rPr>
          <w:rFonts w:ascii="Times New Roman" w:hAnsi="Times New Roman"/>
          <w:sz w:val="26"/>
          <w:szCs w:val="26"/>
          <w:lang w:val="ro-RO"/>
        </w:rPr>
      </w:pPr>
      <w:r w:rsidRPr="00483A03">
        <w:rPr>
          <w:rFonts w:ascii="Times New Roman" w:hAnsi="Times New Roman"/>
          <w:sz w:val="26"/>
          <w:szCs w:val="26"/>
          <w:lang w:val="ro-RO"/>
        </w:rPr>
        <w:t>Proiectul Hotărîrii de Guvern, similar Directivei ”Maşini”, ca atare nu se aplică componentelor separate ale maşinii, ca de exemplu, etanşări, rulmenţi cu bile, scripeţi, cuplaje elastice, electrovalve, cilindri hidraulici, cutii de viteză conectate cu flanşe şi alte componente similare care nu au o aplicaţie specifică ci sunt destinate încorporării în maşină. Maşina finală care are încorporate astfel de componente trebuie să îndeplinească cerinţele esenţiale de securitate şi sănătate aplicabile. Producătorul maşinii trebuie aşadar să aleagă componente cu specificaţii şi caracteristici adecvate pentru a asigura securitatea întregii maşini.</w:t>
      </w:r>
    </w:p>
    <w:p w:rsidR="00FF3A04" w:rsidRPr="00483A03" w:rsidRDefault="00FF3A04" w:rsidP="00056684">
      <w:pPr>
        <w:autoSpaceDE w:val="0"/>
        <w:autoSpaceDN w:val="0"/>
        <w:adjustRightInd w:val="0"/>
        <w:jc w:val="both"/>
        <w:rPr>
          <w:rFonts w:ascii="Times New Roman" w:hAnsi="Times New Roman"/>
          <w:sz w:val="26"/>
          <w:szCs w:val="26"/>
          <w:lang w:val="ro-RO"/>
        </w:rPr>
      </w:pPr>
      <w:r w:rsidRPr="00483A03">
        <w:rPr>
          <w:rFonts w:ascii="Times New Roman" w:hAnsi="Times New Roman"/>
          <w:sz w:val="26"/>
          <w:szCs w:val="26"/>
          <w:lang w:val="ro-RO"/>
        </w:rPr>
        <w:t xml:space="preserve">Proiectul Hotărîrii de Guvern vine să definească cadrul general cu cerinţele esenţiale de securitate şi sănătate, precum şi riscurile asociate utilizării maşinilor industriale, iar respectarea prevederilor stabilite va reduce cazurile de traumatisme şi afectare a sănătăţii utilizatorilor de maşini. </w:t>
      </w:r>
    </w:p>
    <w:p w:rsidR="00FF3A04" w:rsidRPr="00483A03" w:rsidRDefault="00FF3A04" w:rsidP="00056684">
      <w:pPr>
        <w:spacing w:after="0" w:line="240" w:lineRule="auto"/>
        <w:jc w:val="both"/>
        <w:rPr>
          <w:rFonts w:ascii="Times New Roman" w:hAnsi="Times New Roman"/>
          <w:sz w:val="26"/>
          <w:szCs w:val="26"/>
          <w:lang w:val="ro-RO"/>
        </w:rPr>
      </w:pPr>
    </w:p>
    <w:p w:rsidR="00FF3A04" w:rsidRPr="00483A03" w:rsidRDefault="00FF3A04" w:rsidP="00056684">
      <w:pPr>
        <w:spacing w:after="0" w:line="240" w:lineRule="auto"/>
        <w:jc w:val="both"/>
        <w:rPr>
          <w:rFonts w:ascii="Times New Roman" w:hAnsi="Times New Roman"/>
          <w:sz w:val="26"/>
          <w:szCs w:val="26"/>
          <w:lang w:val="ro-RO"/>
        </w:rPr>
      </w:pPr>
    </w:p>
    <w:p w:rsidR="00FF3A04" w:rsidRPr="00BB7B9C" w:rsidRDefault="00FF3A04" w:rsidP="00BB7B9C">
      <w:pPr>
        <w:spacing w:after="0" w:line="240" w:lineRule="auto"/>
        <w:jc w:val="both"/>
        <w:rPr>
          <w:rFonts w:ascii="Times New Roman" w:hAnsi="Times New Roman"/>
          <w:b/>
          <w:bCs/>
          <w:spacing w:val="10"/>
          <w:sz w:val="28"/>
          <w:szCs w:val="28"/>
          <w:lang w:val="ro-RO"/>
        </w:rPr>
      </w:pPr>
      <w:r w:rsidRPr="00BB7B9C">
        <w:rPr>
          <w:rFonts w:ascii="Times New Roman" w:hAnsi="Times New Roman"/>
          <w:b/>
          <w:bCs/>
          <w:spacing w:val="10"/>
          <w:sz w:val="28"/>
          <w:szCs w:val="28"/>
          <w:lang w:val="ro-RO"/>
        </w:rPr>
        <w:t xml:space="preserve">Viceprim-ministru, </w:t>
      </w:r>
    </w:p>
    <w:p w:rsidR="00FF3A04" w:rsidRPr="00BB7B9C" w:rsidRDefault="00FF3A04" w:rsidP="00BB7B9C">
      <w:pPr>
        <w:spacing w:after="0" w:line="240" w:lineRule="auto"/>
        <w:jc w:val="both"/>
        <w:rPr>
          <w:rFonts w:ascii="Times New Roman" w:hAnsi="Times New Roman"/>
          <w:b/>
          <w:spacing w:val="10"/>
          <w:sz w:val="28"/>
          <w:szCs w:val="28"/>
          <w:lang w:val="ro-RO"/>
        </w:rPr>
      </w:pPr>
      <w:r w:rsidRPr="00BB7B9C">
        <w:rPr>
          <w:rFonts w:ascii="Times New Roman" w:hAnsi="Times New Roman"/>
          <w:b/>
          <w:spacing w:val="10"/>
          <w:sz w:val="28"/>
          <w:szCs w:val="28"/>
          <w:lang w:val="ro-RO"/>
        </w:rPr>
        <w:t xml:space="preserve">Ministru </w:t>
      </w:r>
    </w:p>
    <w:p w:rsidR="00FF3A04" w:rsidRPr="00BB7B9C" w:rsidRDefault="00FF3A04" w:rsidP="00BB7B9C">
      <w:pPr>
        <w:spacing w:after="0" w:line="240" w:lineRule="auto"/>
        <w:jc w:val="both"/>
        <w:rPr>
          <w:rFonts w:ascii="Times New Roman" w:hAnsi="Times New Roman"/>
          <w:b/>
          <w:bCs/>
          <w:spacing w:val="10"/>
          <w:sz w:val="28"/>
          <w:szCs w:val="28"/>
          <w:lang w:val="ro-RO"/>
        </w:rPr>
      </w:pPr>
      <w:r w:rsidRPr="00BB7B9C">
        <w:rPr>
          <w:rFonts w:ascii="Times New Roman" w:hAnsi="Times New Roman"/>
          <w:b/>
          <w:bCs/>
          <w:spacing w:val="10"/>
          <w:sz w:val="28"/>
          <w:szCs w:val="28"/>
          <w:lang w:val="ro-RO"/>
        </w:rPr>
        <w:t>Valeriu LAZĂR</w:t>
      </w:r>
    </w:p>
    <w:p w:rsidR="00FF3A04" w:rsidRPr="00783625" w:rsidRDefault="00FF3A04" w:rsidP="00BB7B9C">
      <w:pPr>
        <w:jc w:val="both"/>
        <w:rPr>
          <w:lang w:val="ro-RO"/>
        </w:rPr>
      </w:pPr>
      <w:r w:rsidRPr="00783625">
        <w:rPr>
          <w:b/>
          <w:sz w:val="28"/>
          <w:szCs w:val="28"/>
          <w:lang w:val="ro-RO"/>
        </w:rPr>
        <w:tab/>
      </w:r>
    </w:p>
    <w:p w:rsidR="00FF3A04" w:rsidRPr="00BB1707" w:rsidRDefault="00FF3A04" w:rsidP="008659FF">
      <w:pPr>
        <w:rPr>
          <w:lang w:val="ro-RO"/>
        </w:rPr>
      </w:pPr>
    </w:p>
    <w:p w:rsidR="00FF3A04" w:rsidRPr="00712281" w:rsidRDefault="00FF3A04" w:rsidP="00056684">
      <w:pPr>
        <w:spacing w:after="0" w:line="240" w:lineRule="auto"/>
        <w:jc w:val="both"/>
        <w:rPr>
          <w:rFonts w:ascii="Times New Roman" w:hAnsi="Times New Roman"/>
          <w:b/>
          <w:sz w:val="26"/>
          <w:szCs w:val="26"/>
          <w:lang w:val="ro-RO"/>
        </w:rPr>
      </w:pPr>
    </w:p>
    <w:sectPr w:rsidR="00FF3A04" w:rsidRPr="00712281" w:rsidSect="00AC222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3A04" w:rsidRDefault="00FF3A04" w:rsidP="00056684">
      <w:pPr>
        <w:spacing w:after="0" w:line="240" w:lineRule="auto"/>
      </w:pPr>
      <w:r>
        <w:separator/>
      </w:r>
    </w:p>
  </w:endnote>
  <w:endnote w:type="continuationSeparator" w:id="0">
    <w:p w:rsidR="00FF3A04" w:rsidRDefault="00FF3A04" w:rsidP="000566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3A04" w:rsidRDefault="00FF3A04" w:rsidP="00056684">
      <w:pPr>
        <w:spacing w:after="0" w:line="240" w:lineRule="auto"/>
      </w:pPr>
      <w:r>
        <w:separator/>
      </w:r>
    </w:p>
  </w:footnote>
  <w:footnote w:type="continuationSeparator" w:id="0">
    <w:p w:rsidR="00FF3A04" w:rsidRDefault="00FF3A04" w:rsidP="0005668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8102BC"/>
    <w:multiLevelType w:val="hybridMultilevel"/>
    <w:tmpl w:val="EE76A606"/>
    <w:lvl w:ilvl="0" w:tplc="D42C1AC8">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13872"/>
    <w:rsid w:val="00056684"/>
    <w:rsid w:val="00094B03"/>
    <w:rsid w:val="000C29C3"/>
    <w:rsid w:val="000C4B2B"/>
    <w:rsid w:val="00143615"/>
    <w:rsid w:val="00170320"/>
    <w:rsid w:val="00175741"/>
    <w:rsid w:val="001A5F00"/>
    <w:rsid w:val="001B652A"/>
    <w:rsid w:val="001C1B91"/>
    <w:rsid w:val="001C2E8D"/>
    <w:rsid w:val="001E6D1C"/>
    <w:rsid w:val="00213872"/>
    <w:rsid w:val="00214E07"/>
    <w:rsid w:val="00242CB6"/>
    <w:rsid w:val="00286432"/>
    <w:rsid w:val="00335A52"/>
    <w:rsid w:val="00363FF4"/>
    <w:rsid w:val="00395C2C"/>
    <w:rsid w:val="0045760E"/>
    <w:rsid w:val="00483A03"/>
    <w:rsid w:val="00517603"/>
    <w:rsid w:val="00532E17"/>
    <w:rsid w:val="00551271"/>
    <w:rsid w:val="00554CF9"/>
    <w:rsid w:val="00615EC7"/>
    <w:rsid w:val="00685BB7"/>
    <w:rsid w:val="006B1684"/>
    <w:rsid w:val="006B2446"/>
    <w:rsid w:val="00712281"/>
    <w:rsid w:val="00774702"/>
    <w:rsid w:val="00783625"/>
    <w:rsid w:val="00791C8B"/>
    <w:rsid w:val="0080122E"/>
    <w:rsid w:val="008659FF"/>
    <w:rsid w:val="008E38D8"/>
    <w:rsid w:val="008F19D0"/>
    <w:rsid w:val="009C1556"/>
    <w:rsid w:val="009C710B"/>
    <w:rsid w:val="00A13CD2"/>
    <w:rsid w:val="00A42888"/>
    <w:rsid w:val="00A62816"/>
    <w:rsid w:val="00AC2220"/>
    <w:rsid w:val="00AD4961"/>
    <w:rsid w:val="00B866D8"/>
    <w:rsid w:val="00BB1707"/>
    <w:rsid w:val="00BB7B9C"/>
    <w:rsid w:val="00BF0C97"/>
    <w:rsid w:val="00C22674"/>
    <w:rsid w:val="00DE1226"/>
    <w:rsid w:val="00DF202D"/>
    <w:rsid w:val="00F10ED5"/>
    <w:rsid w:val="00F35CE6"/>
    <w:rsid w:val="00F43177"/>
    <w:rsid w:val="00F56DA5"/>
    <w:rsid w:val="00F720DD"/>
    <w:rsid w:val="00F94E50"/>
    <w:rsid w:val="00FA3D14"/>
    <w:rsid w:val="00FF3A0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220"/>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ALTS FOOTNOTE,FOOTNOTES,fn,single space,ADB,pod carou,ft Char,Fußnotentextf,Footnote Text Char1,Footnote Text Char2 Char,Footnote Text Char1 Char Char,Footnote Text Char2 Char Char Char,Footnote Text Char1 Char Char Char Char,f,F"/>
    <w:basedOn w:val="Normal"/>
    <w:link w:val="FootnoteTextChar"/>
    <w:uiPriority w:val="99"/>
    <w:rsid w:val="00056684"/>
    <w:pPr>
      <w:spacing w:after="0" w:line="240" w:lineRule="auto"/>
    </w:pPr>
    <w:rPr>
      <w:rFonts w:ascii="Times New Roman" w:eastAsia="Times New Roman" w:hAnsi="Times New Roman"/>
      <w:sz w:val="20"/>
      <w:szCs w:val="20"/>
      <w:lang w:val="ro-RO" w:eastAsia="ru-RU"/>
    </w:rPr>
  </w:style>
  <w:style w:type="character" w:customStyle="1" w:styleId="FootnoteTextChar">
    <w:name w:val="Footnote Text Char"/>
    <w:aliases w:val="ALTS FOOTNOTE Char,FOOTNOTES Char,fn Char,single space Char,ADB Char,pod carou Char,ft Char Char,Fußnotentextf Char,Footnote Text Char1 Char,Footnote Text Char2 Char Char,Footnote Text Char1 Char Char Char,f Char,F Char"/>
    <w:basedOn w:val="DefaultParagraphFont"/>
    <w:link w:val="FootnoteText"/>
    <w:uiPriority w:val="99"/>
    <w:locked/>
    <w:rsid w:val="00056684"/>
    <w:rPr>
      <w:rFonts w:ascii="Times New Roman" w:hAnsi="Times New Roman" w:cs="Times New Roman"/>
      <w:sz w:val="20"/>
      <w:szCs w:val="20"/>
      <w:lang w:val="ro-RO" w:eastAsia="ru-RU"/>
    </w:rPr>
  </w:style>
  <w:style w:type="character" w:styleId="FootnoteReference">
    <w:name w:val="footnote reference"/>
    <w:aliases w:val="Footnote symbol,Footnote,BVI fnr,Voetnootverwijzing,Times 10 Point,Exposant 3 Point,Appel note de bas de p,Footnote Reference Superscript,Footnote symboFußnotenzeichen,Footnote sign,EN Footnote Reference,fr,o"/>
    <w:basedOn w:val="DefaultParagraphFont"/>
    <w:uiPriority w:val="99"/>
    <w:rsid w:val="00056684"/>
    <w:rPr>
      <w:rFonts w:cs="Times New Roman"/>
      <w:vertAlign w:val="superscript"/>
    </w:rPr>
  </w:style>
  <w:style w:type="paragraph" w:customStyle="1" w:styleId="tt">
    <w:name w:val="tt"/>
    <w:basedOn w:val="Normal"/>
    <w:uiPriority w:val="99"/>
    <w:rsid w:val="001C1B91"/>
    <w:pPr>
      <w:spacing w:after="0" w:line="240" w:lineRule="auto"/>
      <w:jc w:val="center"/>
    </w:pPr>
    <w:rPr>
      <w:rFonts w:ascii="Times New Roman" w:eastAsia="Times New Roman" w:hAnsi="Times New Roman"/>
      <w:b/>
      <w:bCs/>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311</TotalTime>
  <Pages>2</Pages>
  <Words>660</Words>
  <Characters>3763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 BOSTAN</dc:creator>
  <cp:keywords/>
  <dc:description/>
  <cp:lastModifiedBy>Lidia Jitari</cp:lastModifiedBy>
  <cp:revision>18</cp:revision>
  <cp:lastPrinted>2013-08-08T06:07:00Z</cp:lastPrinted>
  <dcterms:created xsi:type="dcterms:W3CDTF">2013-04-25T08:12:00Z</dcterms:created>
  <dcterms:modified xsi:type="dcterms:W3CDTF">2013-08-08T07:29:00Z</dcterms:modified>
</cp:coreProperties>
</file>