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DE181" w14:textId="77777777" w:rsidR="00AD2AB4" w:rsidRPr="006A7DB1" w:rsidRDefault="00AD2AB4" w:rsidP="007F4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DB1">
        <w:rPr>
          <w:rFonts w:ascii="Times New Roman" w:hAnsi="Times New Roman" w:cs="Times New Roman"/>
          <w:b/>
          <w:bCs/>
          <w:sz w:val="28"/>
          <w:szCs w:val="28"/>
        </w:rPr>
        <w:t>Notă informativă</w:t>
      </w:r>
    </w:p>
    <w:p w14:paraId="0AD0C62B" w14:textId="2CB4DAD8" w:rsidR="00AD2AB4" w:rsidRPr="006A7DB1" w:rsidRDefault="009E6CA9" w:rsidP="009E6C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la proiectul hotărârii de Guvern </w:t>
      </w:r>
      <w:r w:rsidR="004966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„Pentru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aprobarea Regulamentului </w:t>
      </w:r>
      <w:r w:rsidR="004966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privind modul de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administrare a </w:t>
      </w:r>
      <w:r w:rsidR="00B200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Fondului Național pentru Mediu </w:t>
      </w:r>
      <w:r w:rsidR="004966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F365675" w14:textId="77777777" w:rsidR="00AD2AB4" w:rsidRPr="00A01817" w:rsidRDefault="00AD2AB4" w:rsidP="002E788B">
      <w:pPr>
        <w:spacing w:before="80" w:after="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D2AB4" w14:paraId="6151D339" w14:textId="77777777" w:rsidTr="00D92059">
        <w:tc>
          <w:tcPr>
            <w:tcW w:w="9345" w:type="dxa"/>
            <w:shd w:val="clear" w:color="auto" w:fill="B4C6E7" w:themeFill="accent1" w:themeFillTint="66"/>
          </w:tcPr>
          <w:p w14:paraId="5AA4049D" w14:textId="77777777" w:rsidR="00AD2AB4" w:rsidRPr="00E62ECC" w:rsidRDefault="00AD2AB4" w:rsidP="002E78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80" w:after="8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Denumirea autorului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ș</w:t>
            </w: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i, după caz, a participan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ț</w:t>
            </w: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ilor la elaborarea proiectului</w:t>
            </w:r>
          </w:p>
        </w:tc>
      </w:tr>
      <w:tr w:rsidR="00AD2AB4" w14:paraId="6250F727" w14:textId="77777777" w:rsidTr="00974945">
        <w:trPr>
          <w:trHeight w:val="1869"/>
        </w:trPr>
        <w:tc>
          <w:tcPr>
            <w:tcW w:w="9345" w:type="dxa"/>
          </w:tcPr>
          <w:p w14:paraId="1B2129E5" w14:textId="71F2F678" w:rsidR="008415F6" w:rsidRPr="009E6CA9" w:rsidRDefault="009E6CA9">
            <w:pPr>
              <w:spacing w:before="80" w:after="80"/>
              <w:ind w:firstLine="878"/>
              <w:jc w:val="both"/>
              <w:rPr>
                <w:rFonts w:ascii="Times New Roman" w:hAnsi="Times New Roman" w:cs="Times New Roman"/>
                <w:sz w:val="28"/>
                <w:szCs w:val="28"/>
                <w:lang w:val="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>roiectul</w:t>
            </w:r>
            <w:proofErr w:type="spellEnd"/>
            <w:r w:rsidRPr="009E6CA9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 hotărârii de Guvern privind aprobarea Regulamentului de administrare a </w:t>
            </w:r>
            <w:r w:rsidR="00B200E3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Fondului Național pentru Mediu </w:t>
            </w:r>
            <w:r w:rsidRPr="009E6CA9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 </w:t>
            </w:r>
            <w:r w:rsidR="004058B2" w:rsidRPr="004058B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"/>
              </w:rPr>
              <w:t>(în continuare - proiect)</w:t>
            </w:r>
            <w:r w:rsidR="004058B2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 </w:t>
            </w:r>
            <w:r w:rsidR="00F12036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a fost elaborat de Ministerul Mediului </w:t>
            </w:r>
            <w:r w:rsidR="004058B2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cu suportul </w:t>
            </w:r>
            <w:r w:rsidR="001B2C84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Organizației pentru </w:t>
            </w:r>
            <w:r w:rsidR="006D3FBE">
              <w:rPr>
                <w:rFonts w:ascii="Times New Roman" w:hAnsi="Times New Roman" w:cs="Times New Roman"/>
                <w:sz w:val="28"/>
                <w:szCs w:val="28"/>
                <w:lang w:val="ro"/>
              </w:rPr>
              <w:t>Cooperare Economică și Dezvoltare (OECD) în cadrul Acțiunii Pentru Mediu a Uniunii Europene (</w:t>
            </w:r>
            <w:r w:rsidR="006D3FBE" w:rsidRPr="006D3FB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EU4Environment</w:t>
            </w:r>
            <w:r w:rsidR="006D3FBE">
              <w:rPr>
                <w:rFonts w:ascii="Times New Roman" w:hAnsi="Times New Roman" w:cs="Times New Roman"/>
                <w:sz w:val="28"/>
                <w:szCs w:val="28"/>
                <w:lang w:val="ro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>.</w:t>
            </w:r>
          </w:p>
        </w:tc>
      </w:tr>
      <w:tr w:rsidR="00AD2AB4" w14:paraId="7AF6B774" w14:textId="77777777" w:rsidTr="00D92059">
        <w:tc>
          <w:tcPr>
            <w:tcW w:w="9345" w:type="dxa"/>
            <w:shd w:val="clear" w:color="auto" w:fill="B4C6E7" w:themeFill="accent1" w:themeFillTint="66"/>
          </w:tcPr>
          <w:p w14:paraId="57267F83" w14:textId="77777777" w:rsidR="00AD2AB4" w:rsidRPr="00E62ECC" w:rsidRDefault="00AD2AB4" w:rsidP="002E78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80" w:after="8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Condi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ț</w:t>
            </w: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iile ce au impus elaborarea proiectului actului normativ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ș</w:t>
            </w: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finalită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ț</w:t>
            </w: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ile urmărite</w:t>
            </w:r>
          </w:p>
        </w:tc>
      </w:tr>
      <w:tr w:rsidR="003B40CB" w14:paraId="0181267B" w14:textId="77777777" w:rsidTr="00D92059">
        <w:tc>
          <w:tcPr>
            <w:tcW w:w="9345" w:type="dxa"/>
          </w:tcPr>
          <w:p w14:paraId="30090DA4" w14:textId="77777777" w:rsidR="003B40CB" w:rsidRDefault="003B40CB" w:rsidP="003B40C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D76">
              <w:rPr>
                <w:rFonts w:ascii="Times New Roman" w:hAnsi="Times New Roman" w:cs="Times New Roman"/>
                <w:sz w:val="28"/>
                <w:szCs w:val="28"/>
              </w:rPr>
              <w:t>Strategia de mediu pentru anii 2014-2023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aprobată prin Hotărârea Guvernului nr. 301/2014 are ca obiectiv general </w:t>
            </w:r>
            <w:r w:rsidRPr="00C338F0">
              <w:rPr>
                <w:rFonts w:ascii="Times New Roman" w:hAnsi="Times New Roman" w:cs="Times New Roman"/>
                <w:sz w:val="28"/>
                <w:szCs w:val="28"/>
              </w:rPr>
              <w:t>crearea unui sistem eficient de management de mediu, care să contribuie la creșterea calității factorilor de mediu și să asigure populației dreptul la un mediu natural curat, sănătos și durabil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5D0D9D" w14:textId="77777777" w:rsidR="003B40CB" w:rsidRDefault="003B40CB" w:rsidP="003B40C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Unul dintre obiectivele specifice ale Strategiei menționate este asigurarea</w:t>
            </w:r>
            <w:r w:rsidRPr="003A634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A634D">
              <w:rPr>
                <w:rFonts w:ascii="Times New Roman" w:hAnsi="Times New Roman" w:cs="Times New Roman"/>
                <w:sz w:val="28"/>
                <w:szCs w:val="28"/>
              </w:rPr>
              <w:t>condițiilor de bună guvernare și eficientizarea potențialului instituțional și managerial în domeniul protecției mediului pentru atingerea obiectivelor de mediu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E0335A" w14:textId="77777777" w:rsidR="003B40CB" w:rsidRDefault="003B40CB" w:rsidP="003B40C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4E2">
              <w:rPr>
                <w:rFonts w:ascii="Times New Roman" w:hAnsi="Times New Roman" w:cs="Times New Roman"/>
                <w:sz w:val="28"/>
                <w:szCs w:val="28"/>
              </w:rPr>
              <w:t xml:space="preserve">Deși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în ultimii ani au fost întreprinse mai multe măsuri de consolidare a mecanismului de gestionare a resurselor financiare pentru protecția mediului, sistemul actual încă rămâne unul deficitar. </w:t>
            </w:r>
          </w:p>
          <w:p w14:paraId="261ECC14" w14:textId="6D315AAD" w:rsidR="003B40CB" w:rsidRDefault="003B40CB" w:rsidP="003B40C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C0A">
              <w:rPr>
                <w:rFonts w:ascii="Times New Roman" w:hAnsi="Times New Roman" w:cs="Times New Roman"/>
                <w:sz w:val="28"/>
                <w:szCs w:val="28"/>
              </w:rPr>
              <w:t>Principalele acte normative ce stau la baza creării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organizării</w:t>
            </w:r>
            <w:r w:rsidRPr="000E2C0A">
              <w:rPr>
                <w:rFonts w:ascii="Times New Roman" w:hAnsi="Times New Roman" w:cs="Times New Roman"/>
                <w:sz w:val="28"/>
                <w:szCs w:val="28"/>
              </w:rPr>
              <w:t xml:space="preserve"> și funcționării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Fondului Ecologic Național (</w:t>
            </w:r>
            <w:r w:rsidR="00A144C2" w:rsidRPr="00A144C2">
              <w:rPr>
                <w:rFonts w:ascii="Times New Roman" w:hAnsi="Times New Roman" w:cs="Times New Roman"/>
                <w:i/>
                <w:sz w:val="28"/>
                <w:szCs w:val="28"/>
              </w:rPr>
              <w:t>Fond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E2C0A">
              <w:rPr>
                <w:rFonts w:ascii="Times New Roman" w:hAnsi="Times New Roman" w:cs="Times New Roman"/>
                <w:sz w:val="28"/>
                <w:szCs w:val="28"/>
              </w:rPr>
              <w:t xml:space="preserve"> sunt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687E094" w14:textId="35DB507B" w:rsidR="003B40CB" w:rsidRPr="00D06D4F" w:rsidRDefault="003B40CB" w:rsidP="003B40CB">
            <w:pPr>
              <w:pStyle w:val="ListParagraph"/>
              <w:numPr>
                <w:ilvl w:val="0"/>
                <w:numId w:val="7"/>
              </w:numPr>
              <w:spacing w:before="80" w:after="80"/>
              <w:ind w:left="0" w:firstLine="87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F">
              <w:rPr>
                <w:rFonts w:ascii="Times New Roman" w:hAnsi="Times New Roman" w:cs="Times New Roman"/>
                <w:sz w:val="28"/>
                <w:szCs w:val="28"/>
              </w:rPr>
              <w:t>Legea nr.1515/1993 privind protecția mediului înconjurător, în mod deosebit capitolul VIII</w:t>
            </w:r>
            <w:r w:rsidR="007264A5">
              <w:rPr>
                <w:rFonts w:ascii="Times New Roman" w:hAnsi="Times New Roman" w:cs="Times New Roman"/>
                <w:sz w:val="28"/>
                <w:szCs w:val="28"/>
              </w:rPr>
              <w:t xml:space="preserve"> - care </w:t>
            </w:r>
            <w:r w:rsidRPr="00D06D4F">
              <w:rPr>
                <w:rFonts w:ascii="Times New Roman" w:hAnsi="Times New Roman" w:cs="Times New Roman"/>
                <w:sz w:val="28"/>
                <w:szCs w:val="28"/>
              </w:rPr>
              <w:t xml:space="preserve">cuprinde principalele norme legale primare care stau la baza formării și administrării </w:t>
            </w:r>
            <w:r w:rsidR="00A144C2">
              <w:rPr>
                <w:rFonts w:ascii="Times New Roman" w:hAnsi="Times New Roman" w:cs="Times New Roman"/>
                <w:sz w:val="28"/>
                <w:szCs w:val="28"/>
              </w:rPr>
              <w:t>Fondului</w:t>
            </w:r>
            <w:r w:rsidRPr="00D06D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BF41EB" w14:textId="39AB3F59" w:rsidR="003B40CB" w:rsidRDefault="003B40CB" w:rsidP="003B40CB">
            <w:pPr>
              <w:pStyle w:val="ListParagraph"/>
              <w:numPr>
                <w:ilvl w:val="0"/>
                <w:numId w:val="7"/>
              </w:numPr>
              <w:spacing w:before="80" w:after="80"/>
              <w:ind w:left="0" w:firstLine="87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4F"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tărârea Guvernului nr. 988/1998 d</w:t>
            </w:r>
            <w:r w:rsidRPr="00D06D4F">
              <w:rPr>
                <w:rFonts w:ascii="Times New Roman" w:hAnsi="Times New Roman" w:cs="Times New Roman"/>
                <w:sz w:val="28"/>
                <w:szCs w:val="28"/>
              </w:rPr>
              <w:t>espre aprobarea Regulamentului privind fondurile ecologice – care cuprinde reglementările subsidiare normelor legale și au ca obiectiv să asigure executarea acestor</w:t>
            </w:r>
            <w:r w:rsidR="007264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509808" w14:textId="77777777" w:rsidR="003B40CB" w:rsidRPr="00D06D4F" w:rsidRDefault="003B40CB" w:rsidP="003B40CB">
            <w:pPr>
              <w:pStyle w:val="ListParagraph"/>
              <w:numPr>
                <w:ilvl w:val="0"/>
                <w:numId w:val="7"/>
              </w:numPr>
              <w:spacing w:before="80" w:after="80"/>
              <w:ind w:left="0" w:firstLine="87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Ordinul Ministrului mediului nr. 73 din 10</w:t>
            </w:r>
            <w:r w:rsidRPr="0030146E">
              <w:rPr>
                <w:rFonts w:ascii="Times New Roman" w:eastAsia="Calibri" w:hAnsi="Times New Roman" w:cs="Times New Roman"/>
              </w:rPr>
              <w:t xml:space="preserve"> </w:t>
            </w:r>
            <w:r w:rsidRPr="0030146E">
              <w:rPr>
                <w:rFonts w:ascii="Times New Roman" w:hAnsi="Times New Roman" w:cs="Times New Roman"/>
                <w:sz w:val="28"/>
                <w:szCs w:val="28"/>
              </w:rPr>
              <w:t>septembrie 2013 cu privire la aprobarea Regulamentului privind administrarea Fondului ecologic național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E54591" w14:textId="151E4F2C" w:rsidR="003B40CB" w:rsidRDefault="003B40CB" w:rsidP="003B40C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Prin modificările operate la Legea nr. 1515/1993 prin Legea nr. 281/2016, Capitolul VIII a fost revizuit esențial. Însă </w:t>
            </w:r>
            <w:r w:rsidRPr="00D06D4F"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tărârea Guvernului nr.988/1998 d</w:t>
            </w:r>
            <w:r w:rsidRPr="00D06D4F">
              <w:rPr>
                <w:rFonts w:ascii="Times New Roman" w:hAnsi="Times New Roman" w:cs="Times New Roman"/>
                <w:sz w:val="28"/>
                <w:szCs w:val="28"/>
              </w:rPr>
              <w:t>espre aprobarea Regulamentu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lui privind fondurile ecologice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nu a fost aliniată la modificările 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respective din Legea nr. 281/2016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păstrând în continuare prevederi precum ”fondul ecologic local”, ”persoane particulare” în calitate de beneficiari, etc. </w:t>
            </w:r>
          </w:p>
          <w:p w14:paraId="49AAC3A3" w14:textId="4D866508" w:rsidR="003B40CB" w:rsidRDefault="003B40CB" w:rsidP="001211E4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Totodată, prin </w:t>
            </w:r>
            <w:r w:rsidR="001A7BBE">
              <w:rPr>
                <w:rFonts w:ascii="Times New Roman" w:hAnsi="Times New Roman" w:cs="Times New Roman"/>
                <w:sz w:val="28"/>
                <w:szCs w:val="28"/>
              </w:rPr>
              <w:t xml:space="preserve">proiectul de lege înregistrat în Parlament cu nr. </w:t>
            </w:r>
            <w:r w:rsidR="00B200E3">
              <w:rPr>
                <w:rFonts w:ascii="Times New Roman" w:hAnsi="Times New Roman" w:cs="Times New Roman"/>
                <w:sz w:val="28"/>
                <w:szCs w:val="28"/>
              </w:rPr>
              <w:t xml:space="preserve">2 din </w:t>
            </w:r>
            <w:r w:rsidR="001A7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0E3">
              <w:rPr>
                <w:rFonts w:ascii="Times New Roman" w:hAnsi="Times New Roman" w:cs="Times New Roman"/>
                <w:sz w:val="28"/>
                <w:szCs w:val="28"/>
              </w:rPr>
              <w:t xml:space="preserve">14.01.2022 </w:t>
            </w:r>
            <w:r w:rsidRPr="00FA5F26">
              <w:rPr>
                <w:rFonts w:ascii="Times New Roman" w:hAnsi="Times New Roman" w:cs="Times New Roman"/>
                <w:bCs/>
                <w:sz w:val="28"/>
                <w:szCs w:val="28"/>
              </w:rPr>
              <w:t>pentru</w:t>
            </w:r>
            <w:r w:rsidR="001211E4" w:rsidRPr="001211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modificarea unor acte normative</w:t>
            </w:r>
            <w:r w:rsidR="001211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care are drept obiectiv modificarea mai mult legi, în mod special</w:t>
            </w:r>
            <w:r w:rsidRPr="00FA5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Leg</w:t>
            </w:r>
            <w:r w:rsidR="001211E4">
              <w:rPr>
                <w:rFonts w:ascii="Times New Roman" w:hAnsi="Times New Roman" w:cs="Times New Roman"/>
                <w:bCs/>
                <w:sz w:val="28"/>
                <w:szCs w:val="28"/>
              </w:rPr>
              <w:t>ea</w:t>
            </w:r>
            <w:r w:rsidRPr="00FA5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nr. 1515/1993 privind protecția mediului înconjurător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11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unde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au fost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delimitate competențele specifice domeniul</w:t>
            </w:r>
            <w:r w:rsidR="007264A5">
              <w:rPr>
                <w:rFonts w:ascii="Times New Roman" w:hAnsi="Times New Roman" w:cs="Times New Roman"/>
                <w:sz w:val="28"/>
                <w:szCs w:val="28"/>
              </w:rPr>
              <w:t>ui formării și administrării Fondului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și stabilește următoarele competențe:</w:t>
            </w:r>
          </w:p>
          <w:p w14:paraId="372016B6" w14:textId="567DB1FC" w:rsidR="003B40CB" w:rsidRDefault="003B40CB" w:rsidP="003B40CB">
            <w:pPr>
              <w:pStyle w:val="ListParagraph"/>
              <w:numPr>
                <w:ilvl w:val="0"/>
                <w:numId w:val="9"/>
              </w:numPr>
              <w:spacing w:before="80" w:after="80"/>
              <w:ind w:left="0" w:firstLine="86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80D">
              <w:rPr>
                <w:rFonts w:ascii="Times New Roman" w:hAnsi="Times New Roman" w:cs="Times New Roman"/>
                <w:sz w:val="28"/>
                <w:szCs w:val="28"/>
              </w:rPr>
              <w:t>Guvernul, care adoptă, în baza normelor legale cadrul normativ subsidiar și instituie cadrul instituțional și funcțional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in</w:t>
            </w:r>
            <w:r w:rsidR="007264A5">
              <w:rPr>
                <w:rFonts w:ascii="Times New Roman" w:hAnsi="Times New Roman" w:cs="Times New Roman"/>
                <w:sz w:val="28"/>
                <w:szCs w:val="28"/>
              </w:rPr>
              <w:t>clusiv modul de gestionare a Fondului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modul de identificare, </w:t>
            </w:r>
            <w:r w:rsidRPr="00A4160F">
              <w:rPr>
                <w:rFonts w:ascii="Times New Roman" w:hAnsi="Times New Roman" w:cs="Times New Roman"/>
                <w:sz w:val="28"/>
                <w:szCs w:val="28"/>
              </w:rPr>
              <w:t>evaluare, selectare, aprobare, contractare și monitorizare a implementării proiectelor în domeniul protecției mediului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precum și determină structura organizațională din sistemul administrativ al autorității centrale pentru resursele naturale și mediu învestită cu competență de implementare a politicii de mediu pe dimensiunea administrării </w:t>
            </w:r>
            <w:r w:rsidR="00A144C2">
              <w:rPr>
                <w:rFonts w:ascii="Times New Roman" w:hAnsi="Times New Roman" w:cs="Times New Roman"/>
                <w:sz w:val="28"/>
                <w:szCs w:val="28"/>
              </w:rPr>
              <w:t>Fondului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141D6E" w14:textId="6B35C5D7" w:rsidR="003B40CB" w:rsidRDefault="003B40CB" w:rsidP="003B40CB">
            <w:pPr>
              <w:pStyle w:val="ListParagraph"/>
              <w:numPr>
                <w:ilvl w:val="0"/>
                <w:numId w:val="9"/>
              </w:numPr>
              <w:spacing w:before="80" w:after="80"/>
              <w:ind w:left="0" w:firstLine="86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Autoritatea centrală pentru resursele naturale și mediu (această competență fiind a Ministerului Mediului), care aprobă acte normative orientate spre punerea în executare a cadrului normativ în materie de administrare a </w:t>
            </w:r>
            <w:r w:rsidR="00A144C2">
              <w:rPr>
                <w:rFonts w:ascii="Times New Roman" w:hAnsi="Times New Roman" w:cs="Times New Roman"/>
                <w:sz w:val="28"/>
                <w:szCs w:val="28"/>
              </w:rPr>
              <w:t>Fondului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inclusiv norme metodologice, instrucțiuni, reguli și regulamente care să reglementeze în mod detaliat procedurile interne privind </w:t>
            </w:r>
            <w:r w:rsidRPr="003611DC">
              <w:rPr>
                <w:rFonts w:ascii="Times New Roman" w:hAnsi="Times New Roman" w:cs="Times New Roman"/>
                <w:sz w:val="28"/>
                <w:szCs w:val="28"/>
              </w:rPr>
              <w:t>identificare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611DC">
              <w:rPr>
                <w:rFonts w:ascii="Times New Roman" w:hAnsi="Times New Roman" w:cs="Times New Roman"/>
                <w:sz w:val="28"/>
                <w:szCs w:val="28"/>
              </w:rPr>
              <w:t>, evaluare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611DC">
              <w:rPr>
                <w:rFonts w:ascii="Times New Roman" w:hAnsi="Times New Roman" w:cs="Times New Roman"/>
                <w:sz w:val="28"/>
                <w:szCs w:val="28"/>
              </w:rPr>
              <w:t>, selectare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611DC">
              <w:rPr>
                <w:rFonts w:ascii="Times New Roman" w:hAnsi="Times New Roman" w:cs="Times New Roman"/>
                <w:sz w:val="28"/>
                <w:szCs w:val="28"/>
              </w:rPr>
              <w:t>, aprobare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611DC">
              <w:rPr>
                <w:rFonts w:ascii="Times New Roman" w:hAnsi="Times New Roman" w:cs="Times New Roman"/>
                <w:sz w:val="28"/>
                <w:szCs w:val="28"/>
              </w:rPr>
              <w:t>, contractare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611DC">
              <w:rPr>
                <w:rFonts w:ascii="Times New Roman" w:hAnsi="Times New Roman" w:cs="Times New Roman"/>
                <w:sz w:val="28"/>
                <w:szCs w:val="28"/>
              </w:rPr>
              <w:t xml:space="preserve"> și monitorizare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3611DC">
              <w:rPr>
                <w:rFonts w:ascii="Times New Roman" w:hAnsi="Times New Roman" w:cs="Times New Roman"/>
                <w:sz w:val="28"/>
                <w:szCs w:val="28"/>
              </w:rPr>
              <w:t>implementării proiectelor în domeniul protecției mediului, precum și de evaluare post-implementare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B9F295" w14:textId="60A5A382" w:rsidR="003B40CB" w:rsidRDefault="003B40CB" w:rsidP="003B40CB">
            <w:pPr>
              <w:pStyle w:val="ListParagraph"/>
              <w:numPr>
                <w:ilvl w:val="0"/>
                <w:numId w:val="9"/>
              </w:numPr>
              <w:spacing w:before="80" w:after="80"/>
              <w:ind w:left="0" w:firstLine="86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Structura organizațională din sfera de competență a autorității centrale pentru resurse naturale de mediu, responsabilă de administrarea </w:t>
            </w:r>
            <w:r w:rsidR="00A144C2">
              <w:rPr>
                <w:rFonts w:ascii="Times New Roman" w:hAnsi="Times New Roman" w:cs="Times New Roman"/>
                <w:sz w:val="28"/>
                <w:szCs w:val="28"/>
              </w:rPr>
              <w:t>Fondului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(această competență urmând a fi delegată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Instituției publice</w:t>
            </w:r>
            <w:r w:rsidRPr="006D141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„Unitatea de implementare a proiectelor în domeniul mediului”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care are ca misiune acordarea asistenței financiare proiectelor din domeniul protecției mediului, în baza unor proceduri transparente de  </w:t>
            </w:r>
            <w:r w:rsidRPr="00A60406">
              <w:rPr>
                <w:rFonts w:ascii="Times New Roman" w:hAnsi="Times New Roman" w:cs="Times New Roman"/>
                <w:sz w:val="28"/>
                <w:szCs w:val="28"/>
              </w:rPr>
              <w:t>identificare, evaluare, selectare, aprobare, contractare și monitorizare a implementării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9C0E01" w14:textId="65B34560" w:rsidR="003B40CB" w:rsidRDefault="003B40CB" w:rsidP="003B40C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Toate acestea au generat necesitatea modificării cadrului normativ secundar privind modul de administrare și gestionare a </w:t>
            </w:r>
            <w:r w:rsidR="00A144C2">
              <w:rPr>
                <w:rFonts w:ascii="Times New Roman" w:hAnsi="Times New Roman" w:cs="Times New Roman"/>
                <w:sz w:val="28"/>
                <w:szCs w:val="28"/>
              </w:rPr>
              <w:t>Fondului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și aprobarea unui noul Regulament de administrare a </w:t>
            </w:r>
            <w:r w:rsidR="00A144C2">
              <w:rPr>
                <w:rFonts w:ascii="Times New Roman" w:hAnsi="Times New Roman" w:cs="Times New Roman"/>
                <w:sz w:val="28"/>
                <w:szCs w:val="28"/>
              </w:rPr>
              <w:t>acestuia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463B448" w14:textId="77777777" w:rsidR="003B40CB" w:rsidRPr="00A01817" w:rsidRDefault="003B40CB" w:rsidP="003B40CB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3B40CB" w14:paraId="0FFC49BE" w14:textId="77777777" w:rsidTr="003B40CB">
              <w:tc>
                <w:tcPr>
                  <w:tcW w:w="9129" w:type="dxa"/>
                  <w:shd w:val="clear" w:color="auto" w:fill="B4C6E7" w:themeFill="accent1" w:themeFillTint="66"/>
                </w:tcPr>
                <w:p w14:paraId="40080D8A" w14:textId="780DCF73" w:rsidR="003B40CB" w:rsidRPr="00E62ECC" w:rsidRDefault="003B40CB" w:rsidP="00C43E0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35"/>
                    </w:tabs>
                    <w:spacing w:before="80" w:after="80"/>
                    <w:ind w:left="493"/>
                    <w:contextualSpacing w:val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B40C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Descrierea gradului de compatibilitate pentru proiectele care au ca scop armonizarea legislaţiei </w:t>
                  </w:r>
                  <w:r w:rsidR="00EB5831" w:rsidRPr="003B40C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naționale</w:t>
                  </w:r>
                  <w:r w:rsidR="00B200E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3B40C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cu legislaţia Uniunii Europene</w:t>
                  </w:r>
                </w:p>
              </w:tc>
            </w:tr>
            <w:tr w:rsidR="003B40CB" w14:paraId="5BD0CA95" w14:textId="77777777" w:rsidTr="003B40CB">
              <w:tc>
                <w:tcPr>
                  <w:tcW w:w="9129" w:type="dxa"/>
                </w:tcPr>
                <w:p w14:paraId="3015DA9E" w14:textId="77777777" w:rsidR="003B40CB" w:rsidRDefault="003B40CB" w:rsidP="003B40CB">
                  <w:pPr>
                    <w:spacing w:before="80" w:after="80"/>
                    <w:ind w:firstLine="8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o-MD"/>
                    </w:rPr>
                  </w:pPr>
                  <w:r w:rsidRPr="003B40CB">
                    <w:rPr>
                      <w:rFonts w:ascii="Times New Roman" w:hAnsi="Times New Roman" w:cs="Times New Roman"/>
                      <w:sz w:val="28"/>
                      <w:szCs w:val="28"/>
                      <w:lang w:val="ro-MD"/>
                    </w:rPr>
                    <w:t>Proiectul de hotărîre nu conține norme de armonizare a legislației naționale cu legislația Uniunii Europene.</w:t>
                  </w:r>
                </w:p>
                <w:p w14:paraId="5CA5B2FF" w14:textId="766CA0D0" w:rsidR="003B40CB" w:rsidRPr="009E6CA9" w:rsidRDefault="003B40CB" w:rsidP="003B40CB">
                  <w:pPr>
                    <w:spacing w:before="80" w:after="80"/>
                    <w:ind w:firstLine="87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o"/>
                    </w:rPr>
                  </w:pPr>
                </w:p>
              </w:tc>
            </w:tr>
          </w:tbl>
          <w:p w14:paraId="499F5B5F" w14:textId="3B1A5B0D" w:rsidR="003B40CB" w:rsidRPr="00385D31" w:rsidRDefault="003B40CB" w:rsidP="003B40C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CB" w14:paraId="731486E5" w14:textId="77777777" w:rsidTr="00D92059">
        <w:tc>
          <w:tcPr>
            <w:tcW w:w="9345" w:type="dxa"/>
            <w:shd w:val="clear" w:color="auto" w:fill="B4C6E7" w:themeFill="accent1" w:themeFillTint="66"/>
          </w:tcPr>
          <w:p w14:paraId="52ADDD6D" w14:textId="40887322" w:rsidR="003B40CB" w:rsidRPr="00E62ECC" w:rsidRDefault="003B40CB" w:rsidP="003B40C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80" w:after="80"/>
              <w:ind w:left="176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Principalele prevederi ale proiectului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ș</w:t>
            </w: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eviden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ț</w:t>
            </w: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ierea elementelor noi</w:t>
            </w:r>
          </w:p>
        </w:tc>
      </w:tr>
      <w:tr w:rsidR="003B40CB" w14:paraId="6490A07F" w14:textId="77777777" w:rsidTr="00D92059">
        <w:tc>
          <w:tcPr>
            <w:tcW w:w="9345" w:type="dxa"/>
          </w:tcPr>
          <w:p w14:paraId="5170A468" w14:textId="58A2D908" w:rsidR="003B40CB" w:rsidRDefault="003B40CB" w:rsidP="003B40CB">
            <w:pPr>
              <w:spacing w:before="80" w:after="80"/>
              <w:ind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Proiectul prevede în principal apro</w:t>
            </w:r>
            <w:r w:rsidR="008F53D3">
              <w:rPr>
                <w:rFonts w:ascii="Times New Roman" w:hAnsi="Times New Roman" w:cs="Times New Roman"/>
                <w:sz w:val="28"/>
                <w:szCs w:val="28"/>
              </w:rPr>
              <w:t xml:space="preserve">barea Regulament de administrare a </w:t>
            </w:r>
            <w:r w:rsidR="00B200E3">
              <w:rPr>
                <w:rFonts w:ascii="Times New Roman" w:hAnsi="Times New Roman" w:cs="Times New Roman"/>
                <w:sz w:val="28"/>
                <w:szCs w:val="28"/>
              </w:rPr>
              <w:t xml:space="preserve">Fondului Național pentru Mediu </w:t>
            </w:r>
            <w:r w:rsidR="008F53D3">
              <w:rPr>
                <w:rFonts w:ascii="Times New Roman" w:hAnsi="Times New Roman" w:cs="Times New Roman"/>
                <w:sz w:val="28"/>
                <w:szCs w:val="28"/>
              </w:rPr>
              <w:t xml:space="preserve">, abrogarea </w:t>
            </w:r>
            <w:r w:rsidR="008F53D3" w:rsidRPr="00D06D4F">
              <w:rPr>
                <w:rFonts w:ascii="Times New Roman" w:hAnsi="Times New Roman" w:cs="Times New Roman"/>
                <w:sz w:val="28"/>
                <w:szCs w:val="28"/>
              </w:rPr>
              <w:t xml:space="preserve">Hotărârea Guvernului nr.988/1998 </w:t>
            </w:r>
            <w:r w:rsidR="008F53D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8F53D3" w:rsidRPr="00D06D4F">
              <w:rPr>
                <w:rFonts w:ascii="Times New Roman" w:hAnsi="Times New Roman" w:cs="Times New Roman"/>
                <w:sz w:val="28"/>
                <w:szCs w:val="28"/>
              </w:rPr>
              <w:t>espre aprobarea Regulamentului privind fondurile ecologice</w:t>
            </w:r>
            <w:r w:rsidR="008F53D3">
              <w:rPr>
                <w:rFonts w:ascii="Times New Roman" w:hAnsi="Times New Roman" w:cs="Times New Roman"/>
                <w:sz w:val="28"/>
                <w:szCs w:val="28"/>
              </w:rPr>
              <w:t xml:space="preserve"> și stabilirea în responsabilitatea Ministerului Mediului de a prezenta Guvernului spre aprobare </w:t>
            </w:r>
            <w:r w:rsidR="008F5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modificările și completările la cadrul normativ conex și de a aduce actele sale administrative și normative în conformitate cu prezenta hotărâre.</w:t>
            </w:r>
          </w:p>
          <w:p w14:paraId="3F825DF6" w14:textId="0E939D91" w:rsidR="008F53D3" w:rsidRPr="007264A5" w:rsidRDefault="008F53D3" w:rsidP="007264A5">
            <w:pPr>
              <w:spacing w:before="80" w:after="80"/>
              <w:ind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3D3">
              <w:rPr>
                <w:rFonts w:ascii="Times New Roman" w:hAnsi="Times New Roman" w:cs="Times New Roman"/>
                <w:sz w:val="28"/>
                <w:szCs w:val="28"/>
              </w:rPr>
              <w:t>Astfel, Regulamentul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administrare a Fondului Ecologic Național </w:t>
            </w:r>
            <w:r w:rsidRPr="008F53D3">
              <w:rPr>
                <w:rFonts w:ascii="Times New Roman" w:hAnsi="Times New Roman" w:cs="Times New Roman"/>
                <w:sz w:val="28"/>
                <w:szCs w:val="28"/>
              </w:rPr>
              <w:t xml:space="preserve">este structurat în următoarele </w:t>
            </w:r>
            <w:r w:rsidR="00683FD7">
              <w:rPr>
                <w:rFonts w:ascii="Times New Roman" w:hAnsi="Times New Roman" w:cs="Times New Roman"/>
                <w:sz w:val="28"/>
                <w:szCs w:val="28"/>
              </w:rPr>
              <w:t>capitole</w:t>
            </w:r>
            <w:r w:rsidRPr="008F53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 Capitolul I </w:t>
            </w:r>
            <w:r w:rsidRPr="007264A5">
              <w:rPr>
                <w:rFonts w:ascii="Times New Roman" w:hAnsi="Times New Roman" w:cs="Times New Roman"/>
                <w:sz w:val="28"/>
                <w:szCs w:val="28"/>
              </w:rPr>
              <w:t>Dispoziții generale;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CF3" w:rsidRPr="00DB2CF3">
              <w:rPr>
                <w:rFonts w:ascii="Times New Roman" w:hAnsi="Times New Roman" w:cs="Times New Roman"/>
                <w:sz w:val="28"/>
                <w:szCs w:val="28"/>
              </w:rPr>
              <w:t>Capitolul I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7264A5">
              <w:rPr>
                <w:rFonts w:ascii="Times New Roman" w:hAnsi="Times New Roman" w:cs="Times New Roman"/>
                <w:sz w:val="28"/>
                <w:szCs w:val="28"/>
              </w:rPr>
              <w:t>Finanțarea fondului;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CF3" w:rsidRPr="00DB2CF3">
              <w:rPr>
                <w:rFonts w:ascii="Times New Roman" w:hAnsi="Times New Roman" w:cs="Times New Roman"/>
                <w:sz w:val="28"/>
                <w:szCs w:val="28"/>
              </w:rPr>
              <w:t>Capitolul I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7264A5">
              <w:rPr>
                <w:rFonts w:ascii="Times New Roman" w:hAnsi="Times New Roman" w:cs="Times New Roman"/>
                <w:sz w:val="28"/>
                <w:szCs w:val="28"/>
              </w:rPr>
              <w:t>Cadrul instituțional de administrare a fondului;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CF3" w:rsidRPr="00DB2CF3">
              <w:rPr>
                <w:rFonts w:ascii="Times New Roman" w:hAnsi="Times New Roman" w:cs="Times New Roman"/>
                <w:sz w:val="28"/>
                <w:szCs w:val="28"/>
              </w:rPr>
              <w:t>Capitolul I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 w:rsidRPr="007264A5">
              <w:rPr>
                <w:rFonts w:ascii="Times New Roman" w:hAnsi="Times New Roman" w:cs="Times New Roman"/>
                <w:sz w:val="28"/>
                <w:szCs w:val="28"/>
              </w:rPr>
              <w:t>Evidența utilizării mijloacelor fondului;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CF3" w:rsidRPr="00DB2CF3">
              <w:rPr>
                <w:rFonts w:ascii="Times New Roman" w:hAnsi="Times New Roman" w:cs="Times New Roman"/>
                <w:sz w:val="28"/>
                <w:szCs w:val="28"/>
              </w:rPr>
              <w:t xml:space="preserve">Capitolul 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r w:rsidRPr="007264A5">
              <w:rPr>
                <w:rFonts w:ascii="Times New Roman" w:hAnsi="Times New Roman" w:cs="Times New Roman"/>
                <w:sz w:val="28"/>
                <w:szCs w:val="28"/>
              </w:rPr>
              <w:t>Managementul proiectelor;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CF3" w:rsidRPr="00DB2CF3">
              <w:rPr>
                <w:rFonts w:ascii="Times New Roman" w:hAnsi="Times New Roman" w:cs="Times New Roman"/>
                <w:sz w:val="28"/>
                <w:szCs w:val="28"/>
              </w:rPr>
              <w:t xml:space="preserve">Capitolul 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DB2CF3" w:rsidRPr="00DB2CF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B2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4A5">
              <w:rPr>
                <w:rFonts w:ascii="Times New Roman" w:hAnsi="Times New Roman" w:cs="Times New Roman"/>
                <w:sz w:val="28"/>
                <w:szCs w:val="28"/>
              </w:rPr>
              <w:t>Transparența și caracterul public.</w:t>
            </w:r>
          </w:p>
          <w:bookmarkEnd w:id="0"/>
          <w:p w14:paraId="421E7E5B" w14:textId="50106A90" w:rsidR="00A144C2" w:rsidRDefault="00DB2CF3" w:rsidP="008F53D3">
            <w:pPr>
              <w:spacing w:before="80" w:after="80"/>
              <w:ind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Capitolul</w:t>
            </w:r>
            <w:r w:rsidR="008F53D3" w:rsidRPr="00A14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  <w:r w:rsidR="008F53D3" w:rsidRPr="008F53D3">
              <w:rPr>
                <w:rFonts w:ascii="Times New Roman" w:hAnsi="Times New Roman" w:cs="Times New Roman"/>
                <w:sz w:val="28"/>
                <w:szCs w:val="28"/>
              </w:rPr>
              <w:t>, conține reglementări generice privind</w:t>
            </w:r>
            <w:r w:rsidR="00A144C2">
              <w:rPr>
                <w:rFonts w:ascii="Times New Roman" w:hAnsi="Times New Roman" w:cs="Times New Roman"/>
                <w:sz w:val="28"/>
                <w:szCs w:val="28"/>
              </w:rPr>
              <w:t xml:space="preserve"> modul de constituire și funcționare a Fondului, domeniile care pot beneficia de finanțare în baza proiectelor, noțiunile, principiile, precum și responsabilii de administrarea și gestionarea Fondului.</w:t>
            </w:r>
          </w:p>
          <w:p w14:paraId="7F219872" w14:textId="19100F0A" w:rsidR="00B7654D" w:rsidRDefault="00B7654D" w:rsidP="008F53D3">
            <w:pPr>
              <w:spacing w:before="80" w:after="80"/>
              <w:ind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asemenea este stabilit că Ministerul Mediului aprobă Manualul operațional al Fondului, care stabilește etapele detaliate de identificare, evaluare, selectare, aprobare, contractate și monitorizare a implementării proiectelor finanțate din Fond.</w:t>
            </w:r>
          </w:p>
          <w:p w14:paraId="50C00824" w14:textId="20D4FA92" w:rsidR="00A144C2" w:rsidRDefault="00DB2CF3" w:rsidP="008F53D3">
            <w:pPr>
              <w:spacing w:before="80" w:after="80"/>
              <w:ind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Capitolul</w:t>
            </w:r>
            <w:r w:rsidRPr="00A14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44C2" w:rsidRPr="00A144C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A144C2">
              <w:rPr>
                <w:rFonts w:ascii="Times New Roman" w:hAnsi="Times New Roman" w:cs="Times New Roman"/>
                <w:sz w:val="28"/>
                <w:szCs w:val="28"/>
              </w:rPr>
              <w:t>, stabilește volumul mijloacelor fi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nanciare alocat pentru proiecte</w:t>
            </w:r>
            <w:r w:rsidR="00A144C2">
              <w:rPr>
                <w:rFonts w:ascii="Times New Roman" w:hAnsi="Times New Roman" w:cs="Times New Roman"/>
                <w:sz w:val="28"/>
                <w:szCs w:val="28"/>
              </w:rPr>
              <w:t xml:space="preserve"> și modul de </w:t>
            </w:r>
            <w:r w:rsidR="00110D59">
              <w:rPr>
                <w:rFonts w:ascii="Times New Roman" w:hAnsi="Times New Roman" w:cs="Times New Roman"/>
                <w:sz w:val="28"/>
                <w:szCs w:val="28"/>
              </w:rPr>
              <w:t>identificare</w:t>
            </w:r>
            <w:r w:rsidR="00A144C2">
              <w:rPr>
                <w:rFonts w:ascii="Times New Roman" w:hAnsi="Times New Roman" w:cs="Times New Roman"/>
                <w:sz w:val="28"/>
                <w:szCs w:val="28"/>
              </w:rPr>
              <w:t xml:space="preserve"> a priorităților de finanțare.</w:t>
            </w:r>
          </w:p>
          <w:p w14:paraId="255296BE" w14:textId="1746720D" w:rsidR="00A144C2" w:rsidRDefault="00A144C2" w:rsidP="008F53D3">
            <w:pPr>
              <w:spacing w:before="80" w:after="80"/>
              <w:ind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Astfel, p</w:t>
            </w:r>
            <w:r w:rsidR="007264A5">
              <w:rPr>
                <w:rFonts w:ascii="Times New Roman" w:hAnsi="Times New Roman" w:cs="Times New Roman"/>
                <w:sz w:val="28"/>
                <w:szCs w:val="28"/>
              </w:rPr>
              <w:t>roiectele finanțate din cadrul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ondului, odată aprobate pot fi finanțate pe parcursul a mai mulți ani, iar</w:t>
            </w:r>
            <w:r w:rsidR="001A7BBE">
              <w:rPr>
                <w:rFonts w:ascii="Times New Roman" w:hAnsi="Times New Roman" w:cs="Times New Roman"/>
                <w:sz w:val="28"/>
                <w:szCs w:val="28"/>
              </w:rPr>
              <w:t xml:space="preserve"> anual se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BBE">
              <w:rPr>
                <w:rFonts w:ascii="Times New Roman" w:hAnsi="Times New Roman" w:cs="Times New Roman"/>
                <w:sz w:val="28"/>
                <w:szCs w:val="28"/>
              </w:rPr>
              <w:t xml:space="preserve">includ mijloace pentru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proiecte noi</w:t>
            </w:r>
            <w:r w:rsidR="009625A1">
              <w:rPr>
                <w:rFonts w:ascii="Times New Roman" w:hAnsi="Times New Roman" w:cs="Times New Roman"/>
                <w:sz w:val="28"/>
                <w:szCs w:val="28"/>
              </w:rPr>
              <w:t>, ceea ce va oferi o predictibilitate și siguranță pentru proiectele în derulare că dispun de suficiente resurse financiare</w:t>
            </w:r>
            <w:r w:rsidR="007264A5">
              <w:rPr>
                <w:rFonts w:ascii="Times New Roman" w:hAnsi="Times New Roman" w:cs="Times New Roman"/>
                <w:sz w:val="28"/>
                <w:szCs w:val="28"/>
              </w:rPr>
              <w:t xml:space="preserve"> și pot realiza proiectul integral</w:t>
            </w:r>
            <w:r w:rsidR="0096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43EFAE" w14:textId="42506EEA" w:rsidR="009625A1" w:rsidRDefault="009625A1" w:rsidP="008F53D3">
            <w:pPr>
              <w:spacing w:before="80" w:after="80"/>
              <w:ind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Este prevăzută obligativitatea</w:t>
            </w:r>
            <w:r w:rsidR="001211E4">
              <w:rPr>
                <w:rFonts w:ascii="Times New Roman" w:hAnsi="Times New Roman" w:cs="Times New Roman"/>
                <w:sz w:val="28"/>
                <w:szCs w:val="28"/>
              </w:rPr>
              <w:t xml:space="preserve"> corelării strategiei sectoriale de cheltuieli a Ministerului Mediului cu planul de acțiuni al Unității, care trebuie să reflecte activitățile pentru administrarea și gestionarea Fondului, inclusiv apelurile de proiect și proiectele finanțate direct.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EEC375" w14:textId="259D67DE" w:rsidR="00B46073" w:rsidRDefault="00DB2CF3" w:rsidP="008F53D3">
            <w:pPr>
              <w:spacing w:before="80" w:after="80"/>
              <w:ind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Capitolul</w:t>
            </w:r>
            <w:r w:rsidRPr="00B46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53D3" w:rsidRPr="00B4607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="00B46073" w:rsidRPr="00B4607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8F53D3" w:rsidRPr="008F53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6073">
              <w:rPr>
                <w:rFonts w:ascii="Times New Roman" w:hAnsi="Times New Roman" w:cs="Times New Roman"/>
                <w:sz w:val="28"/>
                <w:szCs w:val="28"/>
              </w:rPr>
              <w:t>reglementează aspectele instituționale ale Fondului.</w:t>
            </w:r>
          </w:p>
          <w:p w14:paraId="6F613554" w14:textId="5DB209CF" w:rsidR="00DC6631" w:rsidRDefault="00DC6631">
            <w:pPr>
              <w:spacing w:before="80" w:after="80"/>
              <w:ind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46073">
              <w:rPr>
                <w:rFonts w:ascii="Times New Roman" w:hAnsi="Times New Roman" w:cs="Times New Roman"/>
                <w:sz w:val="28"/>
                <w:szCs w:val="28"/>
              </w:rPr>
              <w:t>e stabilește că administrarea Fondului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este asigurată de </w:t>
            </w:r>
            <w:r w:rsidRPr="00904042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Comitetul de supraveghere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al Instituției publice</w:t>
            </w:r>
            <w:r w:rsidRPr="00904042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„Unitatea de implementare a proiectelor în domeniul mediului”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(</w:t>
            </w:r>
            <w:r w:rsidRPr="00F766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de-DE"/>
              </w:rPr>
              <w:t>Comitet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)</w:t>
            </w:r>
            <w:r w:rsidR="00B460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5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care stabilește modul de luare a deciziilor, drepturile acestuia, atribuțiile și alte aspecte pentru administrarea Fondului. </w:t>
            </w:r>
          </w:p>
          <w:p w14:paraId="4699DA0A" w14:textId="22A6654D" w:rsidR="00B46073" w:rsidRDefault="00DB2CF3">
            <w:pPr>
              <w:spacing w:before="80" w:after="80"/>
              <w:ind w:firstLine="8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Capitolul</w:t>
            </w:r>
            <w:r w:rsidRPr="006D5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6D5E5A" w:rsidRPr="006D5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IV</w:t>
            </w:r>
            <w:r w:rsidR="006D5E5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, </w:t>
            </w:r>
            <w:r w:rsidR="00FC292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r w:rsidR="006D5E5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stabilește obligativitatea pentru </w:t>
            </w:r>
            <w:r w:rsidR="006D5E5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D5E5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nstituția publică</w:t>
            </w:r>
            <w:r w:rsidR="006D5E5A" w:rsidRPr="006D141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„Unitatea de implementare a proiectelor în domeniul mediului”</w:t>
            </w:r>
            <w:r w:rsidR="006D5E5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de a ține evidența contabilă a mijloacelor utilizate din cadrul Fondului și obligațiile administrative în raport cu administrarea Fondului.</w:t>
            </w:r>
          </w:p>
          <w:p w14:paraId="0510AA2E" w14:textId="4975A471" w:rsidR="006D5E5A" w:rsidRDefault="00DB2CF3" w:rsidP="006D5E5A">
            <w:pPr>
              <w:spacing w:before="80" w:after="80"/>
              <w:ind w:firstLine="8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DB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Capitolul</w:t>
            </w:r>
            <w:r w:rsidR="006D5E5A" w:rsidRPr="006D5E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V</w:t>
            </w:r>
            <w:r w:rsidR="006D5E5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 stabilește că proiectele finanțate din Fond sunt doar sub formă de grant, acesta putând acoperi</w:t>
            </w:r>
            <w:r w:rsidR="001A7BB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minim 50% și</w:t>
            </w:r>
            <w:r w:rsidR="006D5E5A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maxim 90% din costul total al proiectului, pentru restul de 10 % solicitantul urmând să asigure cofinanțare. </w:t>
            </w:r>
          </w:p>
          <w:p w14:paraId="55806BBF" w14:textId="446C1465" w:rsidR="006D5E5A" w:rsidRDefault="006D5E5A" w:rsidP="006D5E5A">
            <w:pPr>
              <w:spacing w:before="80" w:after="80"/>
              <w:ind w:firstLine="8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În calitate de solicitant poate fi orice persoană </w:t>
            </w:r>
            <w:r w:rsidR="001A7BB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juridică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de drept public sau de drept privat. Persoanele fizice nu pot avea calitatea de solicitant și implicit nu pot aplic</w:t>
            </w:r>
            <w:r w:rsidR="007264A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pentru finanțare a proiectelor din cadrul Fondului. </w:t>
            </w:r>
          </w:p>
          <w:p w14:paraId="77CA529B" w14:textId="32D2A619" w:rsidR="006D5E5A" w:rsidRDefault="006D5E5A" w:rsidP="006D5E5A">
            <w:pPr>
              <w:spacing w:before="80" w:after="80"/>
              <w:ind w:firstLine="8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De asemenea </w:t>
            </w:r>
            <w:r w:rsidR="00F27B32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sunt stabilite 6 etape ale managementului proiectelor finanțate din cadrul Fondului, după cum urmează:</w:t>
            </w:r>
          </w:p>
          <w:p w14:paraId="073CA752" w14:textId="5EAA4D12" w:rsidR="00F27B32" w:rsidRDefault="00F27B32" w:rsidP="007264A5">
            <w:pPr>
              <w:pStyle w:val="ListParagraph"/>
              <w:numPr>
                <w:ilvl w:val="0"/>
                <w:numId w:val="11"/>
              </w:numPr>
              <w:spacing w:before="80" w:after="80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F27B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lastRenderedPageBreak/>
              <w:t xml:space="preserve">Identificarea și colectarea propunerilor </w:t>
            </w:r>
            <w:r w:rsidR="00BB26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>de proiecte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. </w:t>
            </w:r>
            <w:r w:rsidR="00E008F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Sunt stabilite două modalități de colectare a propunerilor de proiecte ce vor fi finanțate din Fond. Prima modalitate prevede aplicarea pentru finanțare în cadrul apelurilor de proiecte, unde va fi un termen limită</w:t>
            </w:r>
            <w:r w:rsidR="00115458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pentru aplicare</w:t>
            </w:r>
            <w:r w:rsidR="00E008F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. Totodată</w:t>
            </w:r>
            <w:r w:rsidR="00115458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</w:t>
            </w:r>
            <w:r w:rsidR="00E008F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pentru a putea finanța anumite proiecte strategice</w:t>
            </w:r>
            <w:r w:rsidR="00B7654D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 din</w:t>
            </w:r>
            <w:r w:rsidR="00E008F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cadrul Fondului pot fi finanțate și proiecte cu finanțare directă. Pentru proiectele cu finanțare directă, potențialii beneficiari sunt invitați să aplice pentru finanțare din cadrul Fondului. Deși </w:t>
            </w:r>
            <w:r w:rsidR="00B7654D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mecanismul</w:t>
            </w:r>
            <w:r w:rsidR="00E008F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de aplicare</w:t>
            </w:r>
            <w:r w:rsidR="00B7654D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și selectare</w:t>
            </w:r>
            <w:r w:rsidR="00E008F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este diferit, ambele </w:t>
            </w:r>
            <w:r w:rsidR="00B7654D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modalități parcurg </w:t>
            </w:r>
            <w:r w:rsidR="00115458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aceleași etape</w:t>
            </w:r>
            <w:r w:rsidR="00B7654D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ale managementului proiectului.</w:t>
            </w:r>
          </w:p>
          <w:p w14:paraId="726E7097" w14:textId="54262169" w:rsidR="00E14244" w:rsidRPr="00A430DB" w:rsidRDefault="00B7654D" w:rsidP="007264A5">
            <w:pPr>
              <w:pStyle w:val="ListParagraph"/>
              <w:numPr>
                <w:ilvl w:val="0"/>
                <w:numId w:val="11"/>
              </w:numPr>
              <w:spacing w:before="80" w:after="80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B765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>Evaluarea propunerilor de proiect și st</w:t>
            </w:r>
            <w:r w:rsidR="00BB26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>abilirea eligibilității acestora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. </w:t>
            </w:r>
            <w:r w:rsidR="00E1424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Astfel, solicitanții ce urmează să aplice pentru finanțare din cadrul Fondului, completează </w:t>
            </w:r>
            <w:r w:rsidR="007264A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o propunere de proiect</w:t>
            </w:r>
            <w:r w:rsidR="00E1424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. Solicitanții ce aplică pentru finanțare directă, la </w:t>
            </w:r>
            <w:r w:rsidR="007264A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propunerea</w:t>
            </w:r>
            <w:r w:rsidR="00DC663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de proiect</w:t>
            </w:r>
            <w:r w:rsidR="00E1424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urmează să atașeze </w:t>
            </w:r>
            <w:r w:rsidR="007264A5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un aviz</w:t>
            </w:r>
            <w:r w:rsidR="00E1424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din partea Ministerului Mediului, în acest fel fiind confirmat faptul că proiectul este unul strategic pentru Guvern.</w:t>
            </w:r>
          </w:p>
          <w:p w14:paraId="73708CA4" w14:textId="72571F6B" w:rsidR="00A430DB" w:rsidRDefault="00E14244" w:rsidP="007264A5">
            <w:pPr>
              <w:pStyle w:val="ListParagraph"/>
              <w:spacing w:before="80" w:after="80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De asemenea, este prevăzută obligativitatea ca pentru solicitanții a căror proiecte au fost respinse, aceștia să fie informați, în scris, cu privire la motivele respingerii.</w:t>
            </w:r>
          </w:p>
          <w:p w14:paraId="4F215EB5" w14:textId="0DDC72BC" w:rsidR="00E14244" w:rsidRDefault="00E14244" w:rsidP="007264A5">
            <w:pPr>
              <w:pStyle w:val="ListParagraph"/>
              <w:numPr>
                <w:ilvl w:val="0"/>
                <w:numId w:val="11"/>
              </w:numPr>
              <w:spacing w:before="80" w:after="80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E142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>Evaluarea fezabilității proiectului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. Astfel, este prevăzut că proiectele care au întrunit criteriile de eligibilitatea sunt supuse unei evaluări independente, din partea </w:t>
            </w:r>
            <w:r w:rsidR="00BB265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unui comitet de evaluare</w:t>
            </w:r>
            <w:r w:rsidR="00DC663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a proiectelor</w:t>
            </w:r>
            <w:r w:rsidR="00BB265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a</w:t>
            </w:r>
            <w:r w:rsidR="00BB265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lcătuit din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3 experți. În acest fel este asigurată echidistanța și </w:t>
            </w:r>
            <w:r w:rsidR="00A430DB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imparțialitatea în procesul de evaluare a proiectelor. În baza evaluărilor realizate de </w:t>
            </w:r>
            <w:r w:rsidR="00DC663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comitetul de evaluare a proiectelor</w:t>
            </w:r>
            <w:r w:rsidR="00A430DB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 pentru proiectele selectate din cadrul apelurilor de proiect se elaborează un clasament al proiectelor.</w:t>
            </w:r>
          </w:p>
          <w:p w14:paraId="44084978" w14:textId="0333001F" w:rsidR="00A430DB" w:rsidRDefault="00A430DB" w:rsidP="007264A5">
            <w:pPr>
              <w:pStyle w:val="ListParagraph"/>
              <w:numPr>
                <w:ilvl w:val="0"/>
                <w:numId w:val="11"/>
              </w:numPr>
              <w:spacing w:before="80" w:after="80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 xml:space="preserve">Aprobarea finanțării </w:t>
            </w:r>
            <w:r w:rsidR="00C93E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>proiectului</w:t>
            </w:r>
            <w:r w:rsidR="00C93EF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. Astfel, proiectele eligibile pentru finanțare, însoțite de clasament sunt prezentate </w:t>
            </w:r>
            <w:r w:rsidR="00DC663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Comitetului</w:t>
            </w:r>
            <w:r w:rsidR="00C93EF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. Membrii </w:t>
            </w:r>
            <w:r w:rsidR="00DC663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Comitetului </w:t>
            </w:r>
            <w:r w:rsidR="00C93EF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examinează și se expun prin vot pentru fiecare proiect în parte. Decizia de finanțare sau nefinanțare a unui proiect se ia de către </w:t>
            </w:r>
            <w:r w:rsidR="00DC663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Comitet</w:t>
            </w:r>
            <w:r w:rsidR="00C93EF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. Pentru proiectele care nu sunt finanțate, fie că au fost respinse de </w:t>
            </w:r>
            <w:r w:rsidR="00DC663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Comitetul</w:t>
            </w:r>
            <w:r w:rsidR="00C93EF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 fie că nu au acoperire financiară, solicitanții sunt informați cu privire la motivele respingerii.</w:t>
            </w:r>
          </w:p>
          <w:p w14:paraId="78C9F9DC" w14:textId="569857FD" w:rsidR="00A430DB" w:rsidRDefault="00C93EF4" w:rsidP="007264A5">
            <w:pPr>
              <w:pStyle w:val="ListParagraph"/>
              <w:numPr>
                <w:ilvl w:val="0"/>
                <w:numId w:val="11"/>
              </w:numPr>
              <w:spacing w:before="80" w:after="80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C93E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>Semnarea contractului de finanțare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. Pentru proiectele selectate de </w:t>
            </w:r>
            <w:r w:rsidR="00DC663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Comitet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spre finanțare, Instituția publică</w:t>
            </w:r>
            <w:r w:rsidRPr="006D141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„Unitatea de implementare a proiectelor în domeniul mediului”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semnează cu solicitanții contractele de finanțare.</w:t>
            </w:r>
          </w:p>
          <w:p w14:paraId="2434CC55" w14:textId="2D745DA1" w:rsidR="00C93EF4" w:rsidRDefault="00BB2657" w:rsidP="007264A5">
            <w:pPr>
              <w:pStyle w:val="ListParagraph"/>
              <w:numPr>
                <w:ilvl w:val="0"/>
                <w:numId w:val="11"/>
              </w:numPr>
              <w:spacing w:before="80" w:after="80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 xml:space="preserve">Implementarea, </w:t>
            </w:r>
            <w:r w:rsidR="00C93EF4" w:rsidRPr="00C93E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>monitorizarea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 xml:space="preserve"> și raportarea implementării</w:t>
            </w:r>
            <w:r w:rsidR="00C93EF4" w:rsidRPr="00C93E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de-DE"/>
              </w:rPr>
              <w:t xml:space="preserve"> proiectului</w:t>
            </w:r>
            <w:r w:rsidR="00C93EF4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. Pentru această etapă Regulamentul prevede periodicitatea elaborării și prezentării rapoartelor </w:t>
            </w:r>
            <w:r w:rsidR="00510388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de către solicitant, și rolul Instituției publice</w:t>
            </w:r>
            <w:r w:rsidR="00510388" w:rsidRPr="006D141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„Unitatea de implementare a proiectelor în domeniul mediului”</w:t>
            </w:r>
            <w:r w:rsidR="00510388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și </w:t>
            </w:r>
            <w:r w:rsidR="00DC6631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Comitetului</w:t>
            </w:r>
            <w:r w:rsidR="00510388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în procesul de implementare și monitorizare a proiectelor.</w:t>
            </w:r>
          </w:p>
          <w:p w14:paraId="2A784F8D" w14:textId="13E3411C" w:rsidR="003B40CB" w:rsidRPr="00C86914" w:rsidRDefault="00DB2CF3" w:rsidP="007264A5">
            <w:pPr>
              <w:spacing w:before="80" w:after="80"/>
              <w:ind w:firstLine="8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Capitolul</w:t>
            </w:r>
            <w:r w:rsidR="00510388" w:rsidRPr="005103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VI</w:t>
            </w:r>
            <w:r w:rsidR="00510388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, stabilește obligativitatea asigurării transparenței în procesul de administrare și gestionare a Fondului.</w:t>
            </w:r>
          </w:p>
        </w:tc>
      </w:tr>
      <w:tr w:rsidR="003B40CB" w14:paraId="5216293A" w14:textId="77777777" w:rsidTr="00D92059">
        <w:tc>
          <w:tcPr>
            <w:tcW w:w="9345" w:type="dxa"/>
            <w:shd w:val="clear" w:color="auto" w:fill="B4C6E7" w:themeFill="accent1" w:themeFillTint="66"/>
          </w:tcPr>
          <w:p w14:paraId="1B6A24E5" w14:textId="77777777" w:rsidR="003B40CB" w:rsidRPr="00E62ECC" w:rsidRDefault="003B40CB" w:rsidP="003B40CB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spacing w:before="80" w:after="80"/>
              <w:ind w:left="0" w:hanging="28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Fundamentarea economico-financiară</w:t>
            </w:r>
          </w:p>
        </w:tc>
      </w:tr>
      <w:tr w:rsidR="003B40CB" w14:paraId="65B38BC0" w14:textId="77777777" w:rsidTr="00D92059">
        <w:tc>
          <w:tcPr>
            <w:tcW w:w="9345" w:type="dxa"/>
          </w:tcPr>
          <w:p w14:paraId="0AC293FA" w14:textId="1045819A" w:rsidR="00510388" w:rsidRPr="00331222" w:rsidRDefault="003B40CB" w:rsidP="002419E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  <w:lang w:val="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Implementarea proiectului ar putea implica anumite cheltuieli suplimentare de la bugetul de stat în situația în care va fi necesară consolidarea </w:t>
            </w: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lastRenderedPageBreak/>
              <w:t xml:space="preserve">capacităților structurii organizaționale din sfera de competență a </w:t>
            </w:r>
            <w:r w:rsidR="00510388">
              <w:rPr>
                <w:rFonts w:ascii="Times New Roman" w:hAnsi="Times New Roman" w:cs="Times New Roman"/>
                <w:sz w:val="28"/>
                <w:szCs w:val="28"/>
                <w:lang w:val="ro"/>
              </w:rPr>
              <w:t>Ministerului Mediului (aceasta fiind I</w:t>
            </w:r>
            <w:proofErr w:type="spellStart"/>
            <w:r w:rsidR="00510388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nstituția</w:t>
            </w:r>
            <w:proofErr w:type="spellEnd"/>
            <w:r w:rsidR="00510388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publică</w:t>
            </w:r>
            <w:r w:rsidR="00510388" w:rsidRPr="006D141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„Unitatea de implementare a proiectelor în domeniul mediului”</w:t>
            </w:r>
            <w:r w:rsidR="00510388">
              <w:rPr>
                <w:rFonts w:ascii="Times New Roman" w:hAnsi="Times New Roman" w:cs="Times New Roman"/>
                <w:sz w:val="28"/>
                <w:szCs w:val="28"/>
                <w:lang w:val="ro"/>
              </w:rPr>
              <w:t>), care va f</w:t>
            </w: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i învestită cu competența de administrare a Fondului. Aceste cheltuieli însă urmează a fi estimate în procesul de analiză </w:t>
            </w:r>
            <w:r w:rsidR="00510388">
              <w:rPr>
                <w:rFonts w:ascii="Times New Roman" w:hAnsi="Times New Roman" w:cs="Times New Roman"/>
                <w:sz w:val="28"/>
                <w:szCs w:val="28"/>
                <w:lang w:val="ro"/>
              </w:rPr>
              <w:t>instituțională și estimare a impactului.</w:t>
            </w:r>
          </w:p>
        </w:tc>
      </w:tr>
      <w:tr w:rsidR="003B40CB" w14:paraId="457021A3" w14:textId="77777777" w:rsidTr="00D92059">
        <w:tc>
          <w:tcPr>
            <w:tcW w:w="9345" w:type="dxa"/>
            <w:shd w:val="clear" w:color="auto" w:fill="B4C6E7" w:themeFill="accent1" w:themeFillTint="66"/>
          </w:tcPr>
          <w:p w14:paraId="34052BDA" w14:textId="77777777" w:rsidR="003B40CB" w:rsidRPr="00E62ECC" w:rsidRDefault="003B40CB" w:rsidP="003B40CB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spacing w:before="80" w:after="8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Modul de încorporare a actului în cadrul normativ în vigoare</w:t>
            </w:r>
          </w:p>
        </w:tc>
      </w:tr>
      <w:tr w:rsidR="003B40CB" w14:paraId="6C654070" w14:textId="77777777" w:rsidTr="00D92059">
        <w:tc>
          <w:tcPr>
            <w:tcW w:w="9345" w:type="dxa"/>
          </w:tcPr>
          <w:p w14:paraId="6598820A" w14:textId="186FE4AE" w:rsidR="003B40CB" w:rsidRDefault="003B40CB" w:rsidP="003B40C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  <w:lang w:val="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>Adoptarea proiectului impune autorităților și instituțiilor publice cu competențe în domeniul protecției mediului, întreprinderea măsurilor de implementare a noilor norme legale primare în materie de formare și administrare a Fondului. Măsurile ce urmează a fi întreprinse comportă un caracter atât normativ, cât și organizațional-administrativ.</w:t>
            </w:r>
          </w:p>
          <w:p w14:paraId="0A1C5236" w14:textId="7BA94373" w:rsidR="003B40CB" w:rsidRPr="00FB3093" w:rsidRDefault="003B40CB" w:rsidP="00FB3093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  <w:lang w:val="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>Astfel, pentru a asigura punerea în executare a noilor prevederi</w:t>
            </w:r>
            <w:r w:rsidR="00FB3093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 normative, Ministerul Mediului, în termen de 30 zile,</w:t>
            </w:r>
            <w:r w:rsidR="00BB2657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 de la data adoptării,</w:t>
            </w:r>
            <w:r w:rsidR="00FB3093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  urmează </w:t>
            </w: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>să propună Guv</w:t>
            </w:r>
            <w:r w:rsidR="00FB3093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ernului spre aprobare </w:t>
            </w:r>
            <w:r w:rsidRPr="00FB3093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proiectul de hotărâre a Guvernului prin care se vor opera modificări determinate de necesitatea revizuirii cadrului instituțional, atribuind funcția de administrarea </w:t>
            </w:r>
            <w:r w:rsidR="00FB3093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a Fondului </w:t>
            </w:r>
            <w:r w:rsidR="00FB309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Instituției publice</w:t>
            </w:r>
            <w:r w:rsidR="00FB3093" w:rsidRPr="006D141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„Unitatea de implementare a proiectelor în domeniul mediului”</w:t>
            </w:r>
            <w:r w:rsidRPr="00FB3093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. În cadrul acestei activități Ministerul Mediului trebuie să înainteze Guvernului propuneri nu doar de atribuire a competenței de implementare a politicilor de mediu pe dimensiunea administrării </w:t>
            </w:r>
            <w:r w:rsidR="00FB3093">
              <w:rPr>
                <w:rFonts w:ascii="Times New Roman" w:hAnsi="Times New Roman" w:cs="Times New Roman"/>
                <w:sz w:val="28"/>
                <w:szCs w:val="28"/>
                <w:lang w:val="ro"/>
              </w:rPr>
              <w:t>Fondului</w:t>
            </w:r>
            <w:r w:rsidRPr="00FB3093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, dar </w:t>
            </w:r>
            <w:r w:rsidRPr="00FB3093">
              <w:rPr>
                <w:rFonts w:ascii="Times New Roman" w:hAnsi="Times New Roman" w:cs="Times New Roman"/>
                <w:sz w:val="28"/>
                <w:szCs w:val="28"/>
              </w:rPr>
              <w:t xml:space="preserve">modificări ale structurii interne și ale statelor de personal ale </w:t>
            </w:r>
            <w:r w:rsidR="00FB309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Instituției publice</w:t>
            </w:r>
            <w:r w:rsidR="00FB3093" w:rsidRPr="006D141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„Unitatea de implementare a proiectelor în domeniul mediului”</w:t>
            </w:r>
            <w:r w:rsidRPr="00FB3093">
              <w:rPr>
                <w:rFonts w:ascii="Times New Roman" w:hAnsi="Times New Roman" w:cs="Times New Roman"/>
                <w:sz w:val="28"/>
                <w:szCs w:val="28"/>
              </w:rPr>
              <w:t xml:space="preserve">. Având în vedere că actualmente aceste atribuții sunt exercitate de personalul aparatului central al ministerului, va fi necesară, revizuirea și a structurii și statelor de personal ale </w:t>
            </w:r>
            <w:r w:rsidR="00FB3093">
              <w:rPr>
                <w:rFonts w:ascii="Times New Roman" w:hAnsi="Times New Roman" w:cs="Times New Roman"/>
                <w:sz w:val="28"/>
                <w:szCs w:val="28"/>
              </w:rPr>
              <w:t>ministerului.</w:t>
            </w:r>
          </w:p>
          <w:p w14:paraId="5D578A5E" w14:textId="0501621A" w:rsidR="003B40CB" w:rsidRDefault="003B40CB" w:rsidP="003B40CB">
            <w:pPr>
              <w:pStyle w:val="ListParagraph"/>
              <w:tabs>
                <w:tab w:val="left" w:pos="1159"/>
              </w:tabs>
              <w:spacing w:before="80" w:after="80"/>
              <w:ind w:left="0" w:firstLine="87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 asemenea, </w:t>
            </w:r>
            <w:r w:rsidR="00FB3093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r w:rsidR="00BB2657">
              <w:rPr>
                <w:rFonts w:ascii="Times New Roman" w:hAnsi="Times New Roman" w:cs="Times New Roman"/>
                <w:sz w:val="28"/>
                <w:szCs w:val="28"/>
              </w:rPr>
              <w:t>isterul Mediului, în termen de 2</w:t>
            </w:r>
            <w:r w:rsidR="00FB3093">
              <w:rPr>
                <w:rFonts w:ascii="Times New Roman" w:hAnsi="Times New Roman" w:cs="Times New Roman"/>
                <w:sz w:val="28"/>
                <w:szCs w:val="28"/>
              </w:rPr>
              <w:t>0 zile,</w:t>
            </w:r>
            <w:r w:rsidR="00BB2657">
              <w:rPr>
                <w:rFonts w:ascii="Times New Roman" w:hAnsi="Times New Roman" w:cs="Times New Roman"/>
                <w:sz w:val="28"/>
                <w:szCs w:val="28"/>
              </w:rPr>
              <w:t xml:space="preserve"> de la data intrării în vigoare a hotărârii,</w:t>
            </w:r>
            <w:r w:rsidR="00FB3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657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va aproba manualul operațional privind </w:t>
            </w:r>
            <w:r w:rsidR="00BB2657" w:rsidRPr="007D0B0B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modul de identificare, evaluare, selectare, aprobare, contractare și monitorizare a implementării proiectelor în domeniul protecției mediului, precum și de evaluare post-implementare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7910FB" w14:textId="77777777" w:rsidR="00FB3093" w:rsidRDefault="003B40CB" w:rsidP="002419EB">
            <w:pPr>
              <w:pStyle w:val="ListParagraph"/>
              <w:tabs>
                <w:tab w:val="left" w:pos="1159"/>
              </w:tabs>
              <w:spacing w:before="80" w:after="80"/>
              <w:ind w:left="0" w:firstLine="876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Totodată, reieșind din faptul excluderii domeniului </w:t>
            </w:r>
            <w:r w:rsidRPr="008D27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asigurării accesului populației la apă potabilă calitativă și sanitație</w:t>
            </w: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 din lista domeniilor pentru care pot fi utilizate mijloacele financiare ale </w:t>
            </w:r>
            <w:r w:rsidR="00FB3093">
              <w:rPr>
                <w:rFonts w:ascii="Times New Roman" w:hAnsi="Times New Roman" w:cs="Times New Roman"/>
                <w:sz w:val="28"/>
                <w:szCs w:val="28"/>
                <w:lang w:val="ro"/>
              </w:rPr>
              <w:t>Fondului</w:t>
            </w: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, precum și în vederea evitării perturbării procesului de implementare a proiectelor de mediu aflate pe rol, toate </w:t>
            </w:r>
            <w:r w:rsidRPr="001C5939">
              <w:rPr>
                <w:rFonts w:ascii="Times New Roman" w:hAnsi="Times New Roman" w:cs="Times New Roman"/>
                <w:sz w:val="28"/>
                <w:szCs w:val="28"/>
              </w:rPr>
              <w:t xml:space="preserve">proiectele în derulare finanțate din Fondul se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vor </w:t>
            </w:r>
            <w:r w:rsidRPr="001C5939">
              <w:rPr>
                <w:rFonts w:ascii="Times New Roman" w:hAnsi="Times New Roman" w:cs="Times New Roman"/>
                <w:sz w:val="28"/>
                <w:szCs w:val="28"/>
              </w:rPr>
              <w:t>transfer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C5939">
              <w:rPr>
                <w:rFonts w:ascii="Times New Roman" w:hAnsi="Times New Roman" w:cs="Times New Roman"/>
                <w:sz w:val="28"/>
                <w:szCs w:val="28"/>
              </w:rPr>
              <w:t xml:space="preserve"> în gestiunea </w:t>
            </w:r>
            <w:r w:rsidR="00FB309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Instituției</w:t>
            </w:r>
            <w:r w:rsidR="00FB3093" w:rsidRPr="006D141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public</w:t>
            </w:r>
            <w:r w:rsidR="00FB3093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>e</w:t>
            </w:r>
            <w:r w:rsidR="00FB3093" w:rsidRPr="006D141C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  <w:t xml:space="preserve"> „Unitatea de implementare a proiectelor în domeniul mediului”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Prin </w:t>
            </w:r>
            <w:r w:rsidRPr="003F379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„proiecte în derulare” </w:t>
            </w:r>
            <w:r w:rsidRPr="00631B74">
              <w:rPr>
                <w:rFonts w:ascii="Times New Roman" w:hAnsi="Times New Roman" w:cs="Times New Roman"/>
                <w:sz w:val="28"/>
                <w:szCs w:val="28"/>
              </w:rPr>
              <w:t>sunt în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țelese </w:t>
            </w:r>
            <w:r w:rsidRPr="003F3790">
              <w:rPr>
                <w:rFonts w:ascii="Times New Roman" w:hAnsi="Times New Roman" w:cs="Times New Roman"/>
                <w:sz w:val="28"/>
                <w:szCs w:val="28"/>
              </w:rPr>
              <w:t xml:space="preserve">proiectele în privința cărora există o decizie spre finanțare a Consiliului de administrare a </w:t>
            </w:r>
            <w:r w:rsidR="00FB3093">
              <w:rPr>
                <w:rFonts w:ascii="Times New Roman" w:hAnsi="Times New Roman" w:cs="Times New Roman"/>
                <w:sz w:val="28"/>
                <w:szCs w:val="28"/>
              </w:rPr>
              <w:t>Fondului</w:t>
            </w:r>
            <w:r w:rsidR="00DC6631">
              <w:rPr>
                <w:rFonts w:ascii="Times New Roman" w:hAnsi="Times New Roman" w:cs="Times New Roman"/>
                <w:sz w:val="28"/>
                <w:szCs w:val="28"/>
              </w:rPr>
              <w:t xml:space="preserve"> Ecologic Național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C74314" w14:textId="32BAFE0D" w:rsidR="00DC6631" w:rsidRPr="002419EB" w:rsidRDefault="00DC6631" w:rsidP="002419EB">
            <w:pPr>
              <w:pStyle w:val="ListParagraph"/>
              <w:tabs>
                <w:tab w:val="left" w:pos="1159"/>
              </w:tabs>
              <w:spacing w:before="80" w:after="80"/>
              <w:ind w:left="0" w:firstLine="876"/>
              <w:contextualSpacing w:val="0"/>
              <w:jc w:val="both"/>
              <w:rPr>
                <w:lang w:val="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Adițional, în 30 de zile, de la data intrării în vigoare a hotărârii, Ministerul mediului are obligația să asigure inventarierea proiectelor actuale finanțate din Fondului Ecologic Național și transmiterea acestora către Unitate.</w:t>
            </w:r>
          </w:p>
        </w:tc>
      </w:tr>
      <w:tr w:rsidR="003B40CB" w14:paraId="78E94D2E" w14:textId="77777777" w:rsidTr="00D92059">
        <w:tc>
          <w:tcPr>
            <w:tcW w:w="9345" w:type="dxa"/>
            <w:shd w:val="clear" w:color="auto" w:fill="B4C6E7" w:themeFill="accent1" w:themeFillTint="66"/>
          </w:tcPr>
          <w:p w14:paraId="0365F15E" w14:textId="77777777" w:rsidR="003B40CB" w:rsidRPr="00E62ECC" w:rsidRDefault="003B40CB" w:rsidP="003B40C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80" w:after="8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Avizarea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ș</w:t>
            </w:r>
            <w:r w:rsidRPr="00E62EC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consultarea publică a proiectului</w:t>
            </w:r>
          </w:p>
        </w:tc>
      </w:tr>
      <w:tr w:rsidR="003B40CB" w14:paraId="44B9732D" w14:textId="77777777" w:rsidTr="00D92059">
        <w:tc>
          <w:tcPr>
            <w:tcW w:w="9345" w:type="dxa"/>
          </w:tcPr>
          <w:p w14:paraId="2942DA18" w14:textId="6F2C01D7" w:rsidR="003B40CB" w:rsidRDefault="003B40CB" w:rsidP="003B40C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sz w:val="28"/>
                <w:szCs w:val="28"/>
                <w:lang w:val="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lastRenderedPageBreak/>
              <w:t>În conformitate cu prevederile art. 32 din Legea nr. 100/2017 cu privire la actele normative și pct. 190 din Regulamentul Guvernului, aprobat prin Hotărârea Guvernului nr. 610/2018 proiectul se înaintează pentru avizare și expertizare în modul stabilit.</w:t>
            </w:r>
          </w:p>
          <w:p w14:paraId="04B59247" w14:textId="792B7CD1" w:rsidR="003B40CB" w:rsidRPr="00AE0CE8" w:rsidRDefault="003B40CB" w:rsidP="003B40CB">
            <w:pPr>
              <w:spacing w:before="80" w:after="80"/>
              <w:ind w:firstLine="87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>Î</w:t>
            </w:r>
            <w:r w:rsidRPr="00AF201B">
              <w:rPr>
                <w:rFonts w:ascii="Times New Roman" w:hAnsi="Times New Roman" w:cs="Times New Roman"/>
                <w:sz w:val="28"/>
                <w:szCs w:val="28"/>
                <w:lang w:val="ro"/>
              </w:rPr>
              <w:t>n scopul respectării prevederilor</w:t>
            </w:r>
            <w:r w:rsidRPr="00AF20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"/>
              </w:rPr>
              <w:t xml:space="preserve"> Legii nr. 239 din 13 noiembrie 2008 privind transparen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"/>
              </w:rPr>
              <w:t>ț</w:t>
            </w:r>
            <w:r w:rsidRPr="00AF20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"/>
              </w:rPr>
              <w:t>a în procesul decizional,</w:t>
            </w:r>
            <w:r w:rsidRPr="00AF201B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 proiectul a fost plasat pe pagina web oficială a Ministerului </w:t>
            </w:r>
            <w:r>
              <w:rPr>
                <w:rFonts w:ascii="Times New Roman" w:hAnsi="Times New Roman" w:cs="Times New Roman"/>
                <w:sz w:val="28"/>
                <w:szCs w:val="28"/>
                <w:lang w:val="ro"/>
              </w:rPr>
              <w:t>Mediului</w:t>
            </w:r>
            <w:r w:rsidRPr="00AF201B">
              <w:rPr>
                <w:rFonts w:ascii="Times New Roman" w:hAnsi="Times New Roman" w:cs="Times New Roman"/>
                <w:sz w:val="28"/>
                <w:szCs w:val="28"/>
                <w:lang w:val="ro"/>
              </w:rPr>
              <w:t xml:space="preserve"> </w:t>
            </w:r>
            <w:hyperlink r:id="rId5" w:history="1">
              <w:r w:rsidRPr="0069586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www.mediu.gov.md</w:t>
              </w:r>
            </w:hyperlink>
            <w:r w:rsidRPr="00AF20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F201B">
              <w:rPr>
                <w:rFonts w:ascii="Times New Roman" w:hAnsi="Times New Roman" w:cs="Times New Roman"/>
                <w:sz w:val="28"/>
                <w:szCs w:val="28"/>
                <w:lang w:val="ro"/>
              </w:rPr>
              <w:t>compartimentul</w:t>
            </w:r>
            <w:r w:rsidRPr="00AF20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"/>
              </w:rPr>
              <w:t xml:space="preserve"> Transparen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"/>
              </w:rPr>
              <w:t>ț</w:t>
            </w:r>
            <w:r w:rsidRPr="00AF20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"/>
              </w:rPr>
              <w:t xml:space="preserve">a decizională, </w:t>
            </w:r>
            <w:r w:rsidRPr="00AF201B">
              <w:rPr>
                <w:rFonts w:ascii="Times New Roman" w:hAnsi="Times New Roman" w:cs="Times New Roman"/>
                <w:sz w:val="28"/>
                <w:szCs w:val="28"/>
                <w:lang w:val="ro"/>
              </w:rPr>
              <w:t>directoriul</w:t>
            </w:r>
            <w:r w:rsidRPr="00AF201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o"/>
              </w:rPr>
              <w:t xml:space="preserve"> Proiecte de acte normative remise spre coordonare.</w:t>
            </w:r>
          </w:p>
        </w:tc>
      </w:tr>
    </w:tbl>
    <w:p w14:paraId="60AADC3F" w14:textId="56A773A5" w:rsidR="00275E2E" w:rsidRDefault="00275E2E">
      <w:pPr>
        <w:rPr>
          <w:rFonts w:ascii="Times New Roman" w:hAnsi="Times New Roman" w:cs="Times New Roman"/>
          <w:sz w:val="28"/>
          <w:szCs w:val="28"/>
        </w:rPr>
      </w:pPr>
    </w:p>
    <w:p w14:paraId="198EAA83" w14:textId="77777777" w:rsidR="0003571B" w:rsidRPr="00084DC2" w:rsidRDefault="0003571B">
      <w:pPr>
        <w:rPr>
          <w:rFonts w:ascii="Times New Roman" w:hAnsi="Times New Roman" w:cs="Times New Roman"/>
          <w:sz w:val="28"/>
          <w:szCs w:val="28"/>
        </w:rPr>
      </w:pPr>
    </w:p>
    <w:p w14:paraId="409689F1" w14:textId="436C6195" w:rsidR="00084DC2" w:rsidRPr="0003571B" w:rsidRDefault="00220A84" w:rsidP="00035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Ministrul m</w:t>
      </w:r>
      <w:r w:rsidR="007A28C0" w:rsidRPr="0003571B">
        <w:rPr>
          <w:rFonts w:ascii="Times New Roman" w:hAnsi="Times New Roman" w:cs="Times New Roman"/>
          <w:b/>
          <w:sz w:val="28"/>
          <w:szCs w:val="28"/>
        </w:rPr>
        <w:t xml:space="preserve">ediului </w:t>
      </w:r>
      <w:r w:rsidR="000357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571B" w:rsidRPr="0003571B">
        <w:rPr>
          <w:rFonts w:ascii="Times New Roman" w:hAnsi="Times New Roman" w:cs="Times New Roman"/>
          <w:i/>
          <w:sz w:val="28"/>
          <w:szCs w:val="28"/>
        </w:rPr>
        <w:t>/semnat electronic/</w:t>
      </w:r>
      <w:r w:rsidR="000357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3571B" w:rsidRPr="0003571B">
        <w:rPr>
          <w:rFonts w:ascii="Times New Roman" w:hAnsi="Times New Roman" w:cs="Times New Roman"/>
          <w:b/>
          <w:sz w:val="28"/>
          <w:szCs w:val="28"/>
        </w:rPr>
        <w:t>Iuliana CANTARAGIU</w:t>
      </w:r>
    </w:p>
    <w:sectPr w:rsidR="00084DC2" w:rsidRPr="0003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C68"/>
    <w:multiLevelType w:val="hybridMultilevel"/>
    <w:tmpl w:val="2BCEF732"/>
    <w:lvl w:ilvl="0" w:tplc="C764E3A8">
      <w:start w:val="6"/>
      <w:numFmt w:val="bullet"/>
      <w:lvlText w:val="-"/>
      <w:lvlJc w:val="left"/>
      <w:pPr>
        <w:ind w:left="123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7C37559"/>
    <w:multiLevelType w:val="hybridMultilevel"/>
    <w:tmpl w:val="403A4E50"/>
    <w:lvl w:ilvl="0" w:tplc="CDCEE0F4">
      <w:start w:val="1"/>
      <w:numFmt w:val="lowerLetter"/>
      <w:lvlText w:val="%1)"/>
      <w:lvlJc w:val="left"/>
      <w:pPr>
        <w:ind w:left="1778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313" w:hanging="360"/>
      </w:pPr>
    </w:lvl>
    <w:lvl w:ilvl="2" w:tplc="0418001B" w:tentative="1">
      <w:start w:val="1"/>
      <w:numFmt w:val="lowerRoman"/>
      <w:lvlText w:val="%3."/>
      <w:lvlJc w:val="right"/>
      <w:pPr>
        <w:ind w:left="3033" w:hanging="180"/>
      </w:pPr>
    </w:lvl>
    <w:lvl w:ilvl="3" w:tplc="0418000F" w:tentative="1">
      <w:start w:val="1"/>
      <w:numFmt w:val="decimal"/>
      <w:lvlText w:val="%4."/>
      <w:lvlJc w:val="left"/>
      <w:pPr>
        <w:ind w:left="3753" w:hanging="360"/>
      </w:pPr>
    </w:lvl>
    <w:lvl w:ilvl="4" w:tplc="04180019" w:tentative="1">
      <w:start w:val="1"/>
      <w:numFmt w:val="lowerLetter"/>
      <w:lvlText w:val="%5."/>
      <w:lvlJc w:val="left"/>
      <w:pPr>
        <w:ind w:left="4473" w:hanging="360"/>
      </w:pPr>
    </w:lvl>
    <w:lvl w:ilvl="5" w:tplc="0418001B" w:tentative="1">
      <w:start w:val="1"/>
      <w:numFmt w:val="lowerRoman"/>
      <w:lvlText w:val="%6."/>
      <w:lvlJc w:val="right"/>
      <w:pPr>
        <w:ind w:left="5193" w:hanging="180"/>
      </w:pPr>
    </w:lvl>
    <w:lvl w:ilvl="6" w:tplc="0418000F" w:tentative="1">
      <w:start w:val="1"/>
      <w:numFmt w:val="decimal"/>
      <w:lvlText w:val="%7."/>
      <w:lvlJc w:val="left"/>
      <w:pPr>
        <w:ind w:left="5913" w:hanging="360"/>
      </w:pPr>
    </w:lvl>
    <w:lvl w:ilvl="7" w:tplc="04180019" w:tentative="1">
      <w:start w:val="1"/>
      <w:numFmt w:val="lowerLetter"/>
      <w:lvlText w:val="%8."/>
      <w:lvlJc w:val="left"/>
      <w:pPr>
        <w:ind w:left="6633" w:hanging="360"/>
      </w:pPr>
    </w:lvl>
    <w:lvl w:ilvl="8" w:tplc="0418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" w15:restartNumberingAfterBreak="0">
    <w:nsid w:val="128229A6"/>
    <w:multiLevelType w:val="hybridMultilevel"/>
    <w:tmpl w:val="7E1C6746"/>
    <w:lvl w:ilvl="0" w:tplc="4832111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5A211F"/>
    <w:multiLevelType w:val="hybridMultilevel"/>
    <w:tmpl w:val="3B1034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480F"/>
    <w:multiLevelType w:val="hybridMultilevel"/>
    <w:tmpl w:val="F67CA2E0"/>
    <w:lvl w:ilvl="0" w:tplc="1848C3DA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C9E0351"/>
    <w:multiLevelType w:val="hybridMultilevel"/>
    <w:tmpl w:val="0388D6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02D1"/>
    <w:multiLevelType w:val="hybridMultilevel"/>
    <w:tmpl w:val="7FFA2264"/>
    <w:lvl w:ilvl="0" w:tplc="95B85790">
      <w:start w:val="1"/>
      <w:numFmt w:val="lowerLetter"/>
      <w:lvlText w:val="%1)"/>
      <w:lvlJc w:val="left"/>
      <w:pPr>
        <w:ind w:left="123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3" w:hanging="360"/>
      </w:pPr>
    </w:lvl>
    <w:lvl w:ilvl="2" w:tplc="0418001B" w:tentative="1">
      <w:start w:val="1"/>
      <w:numFmt w:val="lowerRoman"/>
      <w:lvlText w:val="%3."/>
      <w:lvlJc w:val="right"/>
      <w:pPr>
        <w:ind w:left="2673" w:hanging="180"/>
      </w:pPr>
    </w:lvl>
    <w:lvl w:ilvl="3" w:tplc="0418000F" w:tentative="1">
      <w:start w:val="1"/>
      <w:numFmt w:val="decimal"/>
      <w:lvlText w:val="%4."/>
      <w:lvlJc w:val="left"/>
      <w:pPr>
        <w:ind w:left="3393" w:hanging="360"/>
      </w:pPr>
    </w:lvl>
    <w:lvl w:ilvl="4" w:tplc="04180019" w:tentative="1">
      <w:start w:val="1"/>
      <w:numFmt w:val="lowerLetter"/>
      <w:lvlText w:val="%5."/>
      <w:lvlJc w:val="left"/>
      <w:pPr>
        <w:ind w:left="4113" w:hanging="360"/>
      </w:pPr>
    </w:lvl>
    <w:lvl w:ilvl="5" w:tplc="0418001B" w:tentative="1">
      <w:start w:val="1"/>
      <w:numFmt w:val="lowerRoman"/>
      <w:lvlText w:val="%6."/>
      <w:lvlJc w:val="right"/>
      <w:pPr>
        <w:ind w:left="4833" w:hanging="180"/>
      </w:pPr>
    </w:lvl>
    <w:lvl w:ilvl="6" w:tplc="0418000F" w:tentative="1">
      <w:start w:val="1"/>
      <w:numFmt w:val="decimal"/>
      <w:lvlText w:val="%7."/>
      <w:lvlJc w:val="left"/>
      <w:pPr>
        <w:ind w:left="5553" w:hanging="360"/>
      </w:pPr>
    </w:lvl>
    <w:lvl w:ilvl="7" w:tplc="04180019" w:tentative="1">
      <w:start w:val="1"/>
      <w:numFmt w:val="lowerLetter"/>
      <w:lvlText w:val="%8."/>
      <w:lvlJc w:val="left"/>
      <w:pPr>
        <w:ind w:left="6273" w:hanging="360"/>
      </w:pPr>
    </w:lvl>
    <w:lvl w:ilvl="8" w:tplc="0418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7" w15:restartNumberingAfterBreak="0">
    <w:nsid w:val="523C05F8"/>
    <w:multiLevelType w:val="hybridMultilevel"/>
    <w:tmpl w:val="58423E18"/>
    <w:lvl w:ilvl="0" w:tplc="A5B0CCEC">
      <w:start w:val="1"/>
      <w:numFmt w:val="decimal"/>
      <w:lvlText w:val="%1)"/>
      <w:lvlJc w:val="left"/>
      <w:pPr>
        <w:ind w:left="122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6159556E"/>
    <w:multiLevelType w:val="hybridMultilevel"/>
    <w:tmpl w:val="8E0CD9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2383A"/>
    <w:multiLevelType w:val="hybridMultilevel"/>
    <w:tmpl w:val="1988C080"/>
    <w:lvl w:ilvl="0" w:tplc="FB42C272">
      <w:numFmt w:val="bullet"/>
      <w:lvlText w:val="-"/>
      <w:lvlJc w:val="left"/>
      <w:pPr>
        <w:ind w:left="123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0" w15:restartNumberingAfterBreak="0">
    <w:nsid w:val="6DD67BEC"/>
    <w:multiLevelType w:val="hybridMultilevel"/>
    <w:tmpl w:val="3DDC7CE6"/>
    <w:lvl w:ilvl="0" w:tplc="E4B824A4">
      <w:start w:val="1"/>
      <w:numFmt w:val="lowerLetter"/>
      <w:lvlText w:val="%1)"/>
      <w:lvlJc w:val="left"/>
      <w:pPr>
        <w:ind w:left="1222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2E"/>
    <w:rsid w:val="00013524"/>
    <w:rsid w:val="000241CD"/>
    <w:rsid w:val="00027A06"/>
    <w:rsid w:val="0003571B"/>
    <w:rsid w:val="00056ECE"/>
    <w:rsid w:val="0006796B"/>
    <w:rsid w:val="00077286"/>
    <w:rsid w:val="0008433C"/>
    <w:rsid w:val="00084DC2"/>
    <w:rsid w:val="000D2307"/>
    <w:rsid w:val="000E2C0A"/>
    <w:rsid w:val="000E2F78"/>
    <w:rsid w:val="000F0E9A"/>
    <w:rsid w:val="000F13FE"/>
    <w:rsid w:val="000F6669"/>
    <w:rsid w:val="00107369"/>
    <w:rsid w:val="00107F39"/>
    <w:rsid w:val="00110D59"/>
    <w:rsid w:val="00111D62"/>
    <w:rsid w:val="00112699"/>
    <w:rsid w:val="001132DF"/>
    <w:rsid w:val="00115458"/>
    <w:rsid w:val="00115B3F"/>
    <w:rsid w:val="001211E4"/>
    <w:rsid w:val="00141429"/>
    <w:rsid w:val="00143FC8"/>
    <w:rsid w:val="001625CD"/>
    <w:rsid w:val="001652F0"/>
    <w:rsid w:val="00171BE7"/>
    <w:rsid w:val="00174D02"/>
    <w:rsid w:val="001A7BBE"/>
    <w:rsid w:val="001B2C84"/>
    <w:rsid w:val="001B5AFF"/>
    <w:rsid w:val="001C5939"/>
    <w:rsid w:val="001C709D"/>
    <w:rsid w:val="001D12C2"/>
    <w:rsid w:val="001D3FA9"/>
    <w:rsid w:val="001E52FF"/>
    <w:rsid w:val="001E6D9E"/>
    <w:rsid w:val="00205144"/>
    <w:rsid w:val="00215552"/>
    <w:rsid w:val="00220A84"/>
    <w:rsid w:val="002419EB"/>
    <w:rsid w:val="002445AC"/>
    <w:rsid w:val="002534EF"/>
    <w:rsid w:val="002566EA"/>
    <w:rsid w:val="00275E2E"/>
    <w:rsid w:val="00276F6E"/>
    <w:rsid w:val="00284784"/>
    <w:rsid w:val="002B60A8"/>
    <w:rsid w:val="002C4342"/>
    <w:rsid w:val="002C6DE6"/>
    <w:rsid w:val="002D3398"/>
    <w:rsid w:val="002D76A7"/>
    <w:rsid w:val="002E788B"/>
    <w:rsid w:val="002F393D"/>
    <w:rsid w:val="0030146E"/>
    <w:rsid w:val="00307360"/>
    <w:rsid w:val="00307B72"/>
    <w:rsid w:val="0031500D"/>
    <w:rsid w:val="0032109B"/>
    <w:rsid w:val="00325249"/>
    <w:rsid w:val="00326351"/>
    <w:rsid w:val="0032673C"/>
    <w:rsid w:val="0033467A"/>
    <w:rsid w:val="00346C07"/>
    <w:rsid w:val="00353885"/>
    <w:rsid w:val="003611DC"/>
    <w:rsid w:val="00364644"/>
    <w:rsid w:val="003672D2"/>
    <w:rsid w:val="00373A9D"/>
    <w:rsid w:val="00385D31"/>
    <w:rsid w:val="00394213"/>
    <w:rsid w:val="003A634D"/>
    <w:rsid w:val="003A7A72"/>
    <w:rsid w:val="003B180D"/>
    <w:rsid w:val="003B1C8F"/>
    <w:rsid w:val="003B40CB"/>
    <w:rsid w:val="003C6284"/>
    <w:rsid w:val="003E1525"/>
    <w:rsid w:val="003E3F6B"/>
    <w:rsid w:val="003F1D3C"/>
    <w:rsid w:val="003F1D72"/>
    <w:rsid w:val="003F3790"/>
    <w:rsid w:val="004058B2"/>
    <w:rsid w:val="00424879"/>
    <w:rsid w:val="004270ED"/>
    <w:rsid w:val="00437772"/>
    <w:rsid w:val="00451424"/>
    <w:rsid w:val="00465D1F"/>
    <w:rsid w:val="00490899"/>
    <w:rsid w:val="00491789"/>
    <w:rsid w:val="004925B7"/>
    <w:rsid w:val="00495D99"/>
    <w:rsid w:val="00496646"/>
    <w:rsid w:val="004B6030"/>
    <w:rsid w:val="004C4DE8"/>
    <w:rsid w:val="004F4985"/>
    <w:rsid w:val="00501CB0"/>
    <w:rsid w:val="00510388"/>
    <w:rsid w:val="00524F62"/>
    <w:rsid w:val="00531B08"/>
    <w:rsid w:val="00567DD9"/>
    <w:rsid w:val="00576A5A"/>
    <w:rsid w:val="00597070"/>
    <w:rsid w:val="005A2803"/>
    <w:rsid w:val="005A6E4B"/>
    <w:rsid w:val="005A73FD"/>
    <w:rsid w:val="005B71F1"/>
    <w:rsid w:val="005C4F59"/>
    <w:rsid w:val="005D65F9"/>
    <w:rsid w:val="005D7561"/>
    <w:rsid w:val="005E0FA2"/>
    <w:rsid w:val="005E2CEA"/>
    <w:rsid w:val="005F1118"/>
    <w:rsid w:val="00617FED"/>
    <w:rsid w:val="00631B74"/>
    <w:rsid w:val="00636CBE"/>
    <w:rsid w:val="0064423D"/>
    <w:rsid w:val="0066168F"/>
    <w:rsid w:val="006651B5"/>
    <w:rsid w:val="00676EF0"/>
    <w:rsid w:val="00683FD7"/>
    <w:rsid w:val="00693B74"/>
    <w:rsid w:val="006B2B99"/>
    <w:rsid w:val="006B7EC6"/>
    <w:rsid w:val="006D3FBE"/>
    <w:rsid w:val="006D51DF"/>
    <w:rsid w:val="006D5E5A"/>
    <w:rsid w:val="006E6BBC"/>
    <w:rsid w:val="006E7051"/>
    <w:rsid w:val="0070176B"/>
    <w:rsid w:val="007056D8"/>
    <w:rsid w:val="007264A5"/>
    <w:rsid w:val="0075674C"/>
    <w:rsid w:val="007720F8"/>
    <w:rsid w:val="007802BD"/>
    <w:rsid w:val="00782890"/>
    <w:rsid w:val="0079768C"/>
    <w:rsid w:val="007A28C0"/>
    <w:rsid w:val="007B1B4A"/>
    <w:rsid w:val="007B4084"/>
    <w:rsid w:val="007E2114"/>
    <w:rsid w:val="007F4C4A"/>
    <w:rsid w:val="007F4DA6"/>
    <w:rsid w:val="007F55E9"/>
    <w:rsid w:val="00802504"/>
    <w:rsid w:val="0080617A"/>
    <w:rsid w:val="00807128"/>
    <w:rsid w:val="008115F6"/>
    <w:rsid w:val="00815B90"/>
    <w:rsid w:val="0082110B"/>
    <w:rsid w:val="00830C29"/>
    <w:rsid w:val="008415F6"/>
    <w:rsid w:val="00854C80"/>
    <w:rsid w:val="0086545A"/>
    <w:rsid w:val="00870272"/>
    <w:rsid w:val="0088121E"/>
    <w:rsid w:val="008C2130"/>
    <w:rsid w:val="008D2729"/>
    <w:rsid w:val="008E7E67"/>
    <w:rsid w:val="008F53D3"/>
    <w:rsid w:val="00900807"/>
    <w:rsid w:val="0093158F"/>
    <w:rsid w:val="00942836"/>
    <w:rsid w:val="00943E19"/>
    <w:rsid w:val="00955EB0"/>
    <w:rsid w:val="009625A1"/>
    <w:rsid w:val="009664A4"/>
    <w:rsid w:val="00974945"/>
    <w:rsid w:val="0098640D"/>
    <w:rsid w:val="009A3BB8"/>
    <w:rsid w:val="009B0E5E"/>
    <w:rsid w:val="009B4363"/>
    <w:rsid w:val="009C3B39"/>
    <w:rsid w:val="009E6CA9"/>
    <w:rsid w:val="00A01817"/>
    <w:rsid w:val="00A0345F"/>
    <w:rsid w:val="00A10000"/>
    <w:rsid w:val="00A144C2"/>
    <w:rsid w:val="00A25A66"/>
    <w:rsid w:val="00A34131"/>
    <w:rsid w:val="00A406B2"/>
    <w:rsid w:val="00A40C25"/>
    <w:rsid w:val="00A4160F"/>
    <w:rsid w:val="00A430DB"/>
    <w:rsid w:val="00A60406"/>
    <w:rsid w:val="00A65795"/>
    <w:rsid w:val="00A75578"/>
    <w:rsid w:val="00A76906"/>
    <w:rsid w:val="00A80AB3"/>
    <w:rsid w:val="00A9125D"/>
    <w:rsid w:val="00A918F4"/>
    <w:rsid w:val="00A91C00"/>
    <w:rsid w:val="00AA314A"/>
    <w:rsid w:val="00AD2AB4"/>
    <w:rsid w:val="00AE50DF"/>
    <w:rsid w:val="00AF6618"/>
    <w:rsid w:val="00B00579"/>
    <w:rsid w:val="00B05970"/>
    <w:rsid w:val="00B1087A"/>
    <w:rsid w:val="00B10FF4"/>
    <w:rsid w:val="00B17BF7"/>
    <w:rsid w:val="00B200E3"/>
    <w:rsid w:val="00B4561B"/>
    <w:rsid w:val="00B46073"/>
    <w:rsid w:val="00B60FDE"/>
    <w:rsid w:val="00B63754"/>
    <w:rsid w:val="00B7654D"/>
    <w:rsid w:val="00B83A03"/>
    <w:rsid w:val="00B9430F"/>
    <w:rsid w:val="00BA0675"/>
    <w:rsid w:val="00BA203E"/>
    <w:rsid w:val="00BB2657"/>
    <w:rsid w:val="00BC1812"/>
    <w:rsid w:val="00BE118A"/>
    <w:rsid w:val="00BE56A6"/>
    <w:rsid w:val="00BE72C7"/>
    <w:rsid w:val="00BF5AB0"/>
    <w:rsid w:val="00BF6361"/>
    <w:rsid w:val="00C00B16"/>
    <w:rsid w:val="00C027FF"/>
    <w:rsid w:val="00C32994"/>
    <w:rsid w:val="00C32A4F"/>
    <w:rsid w:val="00C338F0"/>
    <w:rsid w:val="00C43E07"/>
    <w:rsid w:val="00C61582"/>
    <w:rsid w:val="00C62022"/>
    <w:rsid w:val="00C77E85"/>
    <w:rsid w:val="00C814E2"/>
    <w:rsid w:val="00C83D76"/>
    <w:rsid w:val="00C93EF4"/>
    <w:rsid w:val="00CA5393"/>
    <w:rsid w:val="00CB7CEB"/>
    <w:rsid w:val="00CD6A07"/>
    <w:rsid w:val="00CD7D1B"/>
    <w:rsid w:val="00CE07E5"/>
    <w:rsid w:val="00CE2E4B"/>
    <w:rsid w:val="00CE371E"/>
    <w:rsid w:val="00CE5989"/>
    <w:rsid w:val="00CF31BE"/>
    <w:rsid w:val="00CF5D2B"/>
    <w:rsid w:val="00D06D4F"/>
    <w:rsid w:val="00D156DD"/>
    <w:rsid w:val="00D20715"/>
    <w:rsid w:val="00D31945"/>
    <w:rsid w:val="00D35BEB"/>
    <w:rsid w:val="00D60C53"/>
    <w:rsid w:val="00D8008B"/>
    <w:rsid w:val="00D801D4"/>
    <w:rsid w:val="00D87573"/>
    <w:rsid w:val="00D92059"/>
    <w:rsid w:val="00D936B0"/>
    <w:rsid w:val="00DA1922"/>
    <w:rsid w:val="00DB2CF3"/>
    <w:rsid w:val="00DC6631"/>
    <w:rsid w:val="00DE585F"/>
    <w:rsid w:val="00DF2FA3"/>
    <w:rsid w:val="00E008F1"/>
    <w:rsid w:val="00E14244"/>
    <w:rsid w:val="00E1767B"/>
    <w:rsid w:val="00E41C17"/>
    <w:rsid w:val="00E54051"/>
    <w:rsid w:val="00E57B02"/>
    <w:rsid w:val="00E635A1"/>
    <w:rsid w:val="00E70669"/>
    <w:rsid w:val="00E70A61"/>
    <w:rsid w:val="00E72BA1"/>
    <w:rsid w:val="00E91DCE"/>
    <w:rsid w:val="00EB5831"/>
    <w:rsid w:val="00EC2118"/>
    <w:rsid w:val="00EC2766"/>
    <w:rsid w:val="00EC5E1A"/>
    <w:rsid w:val="00ED0275"/>
    <w:rsid w:val="00EE1FFC"/>
    <w:rsid w:val="00F12036"/>
    <w:rsid w:val="00F27B32"/>
    <w:rsid w:val="00F33D22"/>
    <w:rsid w:val="00F40807"/>
    <w:rsid w:val="00F40B4C"/>
    <w:rsid w:val="00F4553A"/>
    <w:rsid w:val="00F5409C"/>
    <w:rsid w:val="00F56E82"/>
    <w:rsid w:val="00F636E0"/>
    <w:rsid w:val="00F7386E"/>
    <w:rsid w:val="00F75F8E"/>
    <w:rsid w:val="00F76672"/>
    <w:rsid w:val="00F81C20"/>
    <w:rsid w:val="00F90BDE"/>
    <w:rsid w:val="00F9549C"/>
    <w:rsid w:val="00FA4431"/>
    <w:rsid w:val="00FA5F26"/>
    <w:rsid w:val="00FB3093"/>
    <w:rsid w:val="00FC1E47"/>
    <w:rsid w:val="00FC2923"/>
    <w:rsid w:val="00FC3DD2"/>
    <w:rsid w:val="00FE7C1E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F941"/>
  <w15:chartTrackingRefBased/>
  <w15:docId w15:val="{3BA100C2-54FC-46BB-943B-6B8B3E1C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A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AB4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C814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4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6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3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u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6</Pages>
  <Words>2239</Words>
  <Characters>12766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125</cp:revision>
  <dcterms:created xsi:type="dcterms:W3CDTF">2021-12-16T10:21:00Z</dcterms:created>
  <dcterms:modified xsi:type="dcterms:W3CDTF">2022-03-21T14:14:00Z</dcterms:modified>
</cp:coreProperties>
</file>