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6C7" w:rsidRPr="003D3214" w:rsidRDefault="002506C7" w:rsidP="002506C7">
      <w:pPr>
        <w:jc w:val="center"/>
        <w:rPr>
          <w:b/>
          <w:sz w:val="28"/>
          <w:szCs w:val="28"/>
          <w:lang w:val="ro-RO"/>
        </w:rPr>
      </w:pPr>
      <w:r w:rsidRPr="003D3214">
        <w:rPr>
          <w:b/>
          <w:sz w:val="28"/>
          <w:szCs w:val="28"/>
          <w:lang w:val="ro-RO"/>
        </w:rPr>
        <w:t xml:space="preserve">Notă </w:t>
      </w:r>
      <w:r>
        <w:rPr>
          <w:b/>
          <w:sz w:val="28"/>
          <w:szCs w:val="28"/>
          <w:lang w:val="ro-RO"/>
        </w:rPr>
        <w:t>informativă</w:t>
      </w:r>
    </w:p>
    <w:p w:rsidR="002506C7" w:rsidRPr="003D3214" w:rsidRDefault="002506C7" w:rsidP="002506C7">
      <w:pPr>
        <w:jc w:val="center"/>
        <w:rPr>
          <w:b/>
          <w:sz w:val="28"/>
          <w:szCs w:val="28"/>
          <w:lang w:val="ro-RO"/>
        </w:rPr>
      </w:pPr>
      <w:r w:rsidRPr="003D3214">
        <w:rPr>
          <w:b/>
          <w:sz w:val="28"/>
          <w:szCs w:val="28"/>
          <w:lang w:val="ro-RO"/>
        </w:rPr>
        <w:t xml:space="preserve">la proiectul </w:t>
      </w:r>
      <w:r>
        <w:rPr>
          <w:b/>
          <w:sz w:val="28"/>
          <w:szCs w:val="28"/>
          <w:lang w:val="ro-RO"/>
        </w:rPr>
        <w:t xml:space="preserve">Legii </w:t>
      </w:r>
      <w:r w:rsidRPr="003D3214">
        <w:rPr>
          <w:b/>
          <w:sz w:val="28"/>
          <w:szCs w:val="28"/>
          <w:lang w:val="ro-RO"/>
        </w:rPr>
        <w:t xml:space="preserve"> </w:t>
      </w:r>
    </w:p>
    <w:p w:rsidR="002506C7" w:rsidRDefault="002506C7" w:rsidP="002506C7">
      <w:pPr>
        <w:jc w:val="center"/>
        <w:rPr>
          <w:b/>
          <w:sz w:val="28"/>
          <w:szCs w:val="28"/>
          <w:lang w:val="ro-RO"/>
        </w:rPr>
      </w:pPr>
      <w:r w:rsidRPr="003D3214">
        <w:rPr>
          <w:b/>
          <w:sz w:val="28"/>
          <w:szCs w:val="28"/>
          <w:lang w:val="ro-RO"/>
        </w:rPr>
        <w:t xml:space="preserve"> </w:t>
      </w:r>
      <w:r>
        <w:rPr>
          <w:b/>
          <w:sz w:val="28"/>
          <w:szCs w:val="28"/>
          <w:lang w:val="ro-RO"/>
        </w:rPr>
        <w:t>„C</w:t>
      </w:r>
      <w:r w:rsidRPr="003D3214">
        <w:rPr>
          <w:b/>
          <w:sz w:val="28"/>
          <w:szCs w:val="28"/>
          <w:lang w:val="ro-RO"/>
        </w:rPr>
        <w:t>u privire la modific</w:t>
      </w:r>
      <w:r>
        <w:rPr>
          <w:b/>
          <w:sz w:val="28"/>
          <w:szCs w:val="28"/>
          <w:lang w:val="ro-RO"/>
        </w:rPr>
        <w:t>area</w:t>
      </w:r>
      <w:r w:rsidRPr="003D3214">
        <w:rPr>
          <w:b/>
          <w:sz w:val="28"/>
          <w:szCs w:val="28"/>
          <w:lang w:val="ro-RO"/>
        </w:rPr>
        <w:t xml:space="preserve"> şi complet</w:t>
      </w:r>
      <w:r>
        <w:rPr>
          <w:b/>
          <w:sz w:val="28"/>
          <w:szCs w:val="28"/>
          <w:lang w:val="ro-RO"/>
        </w:rPr>
        <w:t>area</w:t>
      </w:r>
    </w:p>
    <w:p w:rsidR="002506C7" w:rsidRPr="003D3214" w:rsidRDefault="00FC3F5C" w:rsidP="002506C7">
      <w:pPr>
        <w:jc w:val="center"/>
        <w:rPr>
          <w:b/>
          <w:sz w:val="28"/>
          <w:szCs w:val="28"/>
          <w:lang w:val="ro-RO"/>
        </w:rPr>
      </w:pPr>
      <w:r>
        <w:rPr>
          <w:b/>
          <w:sz w:val="28"/>
          <w:szCs w:val="28"/>
          <w:lang w:val="ro-RO"/>
        </w:rPr>
        <w:t xml:space="preserve">Legii </w:t>
      </w:r>
      <w:r w:rsidR="001C2F26" w:rsidRPr="003D3214">
        <w:rPr>
          <w:b/>
          <w:sz w:val="28"/>
          <w:szCs w:val="28"/>
          <w:lang w:val="ro-RO"/>
        </w:rPr>
        <w:t>nr.</w:t>
      </w:r>
      <w:r w:rsidR="001C2F26">
        <w:rPr>
          <w:b/>
          <w:sz w:val="28"/>
          <w:szCs w:val="28"/>
          <w:lang w:val="ro-RO"/>
        </w:rPr>
        <w:t>419-XVI</w:t>
      </w:r>
      <w:r w:rsidR="001C2F26" w:rsidRPr="003D3214">
        <w:rPr>
          <w:b/>
          <w:sz w:val="28"/>
          <w:szCs w:val="28"/>
          <w:lang w:val="ro-RO"/>
        </w:rPr>
        <w:t xml:space="preserve"> din </w:t>
      </w:r>
      <w:r w:rsidR="001C2F26">
        <w:rPr>
          <w:b/>
          <w:sz w:val="28"/>
          <w:szCs w:val="28"/>
          <w:lang w:val="ro-RO"/>
        </w:rPr>
        <w:t xml:space="preserve">22 decembrie 2006 </w:t>
      </w:r>
      <w:r>
        <w:rPr>
          <w:b/>
          <w:sz w:val="28"/>
          <w:szCs w:val="28"/>
          <w:lang w:val="ro-RO"/>
        </w:rPr>
        <w:t>cu privire la datoria publică, garanțiile de stat și recreditarea de stat</w:t>
      </w:r>
      <w:r w:rsidR="002506C7">
        <w:rPr>
          <w:b/>
          <w:sz w:val="28"/>
          <w:szCs w:val="28"/>
          <w:lang w:val="ro-RO"/>
        </w:rPr>
        <w:t xml:space="preserve"> ”</w:t>
      </w:r>
      <w:r w:rsidR="002506C7" w:rsidRPr="003D3214">
        <w:rPr>
          <w:b/>
          <w:sz w:val="28"/>
          <w:szCs w:val="28"/>
          <w:lang w:val="ro-RO"/>
        </w:rPr>
        <w:t>.</w:t>
      </w:r>
    </w:p>
    <w:p w:rsidR="002506C7" w:rsidRDefault="002506C7" w:rsidP="002506C7">
      <w:pPr>
        <w:spacing w:line="360" w:lineRule="auto"/>
        <w:rPr>
          <w:sz w:val="28"/>
          <w:szCs w:val="28"/>
          <w:lang w:val="ro-RO"/>
        </w:rPr>
      </w:pPr>
    </w:p>
    <w:p w:rsidR="00912903" w:rsidRPr="004808AA" w:rsidRDefault="0051555F" w:rsidP="00C41C97">
      <w:pPr>
        <w:autoSpaceDE w:val="0"/>
        <w:autoSpaceDN w:val="0"/>
        <w:adjustRightInd w:val="0"/>
        <w:ind w:firstLine="540"/>
        <w:jc w:val="both"/>
        <w:rPr>
          <w:sz w:val="28"/>
          <w:szCs w:val="28"/>
          <w:lang w:val="ro-RO"/>
        </w:rPr>
      </w:pPr>
      <w:r>
        <w:rPr>
          <w:sz w:val="28"/>
          <w:szCs w:val="28"/>
          <w:lang w:val="ro-RO"/>
        </w:rPr>
        <w:t>Prezentul proiect de lege este elaborat în scopul îmbunătăţirii cadrului normativ aferent managementului datoriei de stat, garanţiilor de stat şi recreditării de stat.</w:t>
      </w:r>
    </w:p>
    <w:p w:rsidR="002506C7" w:rsidRPr="004808AA" w:rsidRDefault="0051555F" w:rsidP="00C41C97">
      <w:pPr>
        <w:autoSpaceDE w:val="0"/>
        <w:autoSpaceDN w:val="0"/>
        <w:adjustRightInd w:val="0"/>
        <w:ind w:firstLine="540"/>
        <w:jc w:val="both"/>
        <w:rPr>
          <w:color w:val="000000"/>
          <w:sz w:val="28"/>
          <w:szCs w:val="28"/>
          <w:lang w:val="ro-RO"/>
        </w:rPr>
      </w:pPr>
      <w:r>
        <w:rPr>
          <w:sz w:val="28"/>
          <w:szCs w:val="28"/>
          <w:lang w:val="ro-RO"/>
        </w:rPr>
        <w:t>Actualitatea introducerii modificărilor și completărilor în lege este determinată de necesitatea perfecționării reglementării naționale în domeniul datoriei publice în conformitate cu cerințele internaționale, și anume</w:t>
      </w:r>
      <w:r w:rsidRPr="0051555F">
        <w:rPr>
          <w:color w:val="000000"/>
          <w:sz w:val="28"/>
          <w:szCs w:val="28"/>
          <w:lang w:val="ro-RO"/>
        </w:rPr>
        <w:t xml:space="preserve"> în contextul recomandărilor misiunilor Băncii Mondiale folosind cadrul evaluării performanței în gestionarea datoriei, recomandărilor experților UE. </w:t>
      </w:r>
    </w:p>
    <w:p w:rsidR="00A81BBD" w:rsidRPr="004808AA" w:rsidRDefault="00A81BBD" w:rsidP="00DC1E2F">
      <w:pPr>
        <w:autoSpaceDE w:val="0"/>
        <w:autoSpaceDN w:val="0"/>
        <w:adjustRightInd w:val="0"/>
        <w:rPr>
          <w:color w:val="000000"/>
          <w:sz w:val="28"/>
          <w:szCs w:val="28"/>
          <w:lang w:val="ro-RO"/>
        </w:rPr>
      </w:pPr>
    </w:p>
    <w:p w:rsidR="00A81BBD" w:rsidRPr="004808AA" w:rsidRDefault="00A81BBD" w:rsidP="00DC1E2F">
      <w:pPr>
        <w:autoSpaceDE w:val="0"/>
        <w:autoSpaceDN w:val="0"/>
        <w:adjustRightInd w:val="0"/>
        <w:rPr>
          <w:color w:val="000000"/>
          <w:sz w:val="28"/>
          <w:szCs w:val="28"/>
          <w:lang w:val="ro-RO"/>
        </w:rPr>
      </w:pPr>
    </w:p>
    <w:p w:rsidR="008D6699" w:rsidRDefault="0051555F" w:rsidP="00A81BBD">
      <w:pPr>
        <w:spacing w:before="120"/>
        <w:ind w:firstLine="540"/>
        <w:jc w:val="both"/>
        <w:rPr>
          <w:b/>
          <w:sz w:val="28"/>
          <w:szCs w:val="28"/>
          <w:u w:val="single"/>
          <w:lang w:val="ro-RO"/>
        </w:rPr>
      </w:pPr>
      <w:r w:rsidRPr="0051555F">
        <w:rPr>
          <w:b/>
          <w:sz w:val="28"/>
          <w:szCs w:val="28"/>
          <w:u w:val="single"/>
          <w:lang w:val="ro-RO"/>
        </w:rPr>
        <w:t>Domenii de schimbare</w:t>
      </w:r>
    </w:p>
    <w:p w:rsidR="00A81BBD" w:rsidRPr="004808AA" w:rsidRDefault="0051555F" w:rsidP="00A81BBD">
      <w:pPr>
        <w:spacing w:before="120"/>
        <w:ind w:firstLine="540"/>
        <w:jc w:val="both"/>
        <w:rPr>
          <w:sz w:val="28"/>
          <w:szCs w:val="28"/>
          <w:lang w:val="ro-RO"/>
        </w:rPr>
      </w:pPr>
      <w:r w:rsidRPr="0051555F">
        <w:rPr>
          <w:sz w:val="28"/>
          <w:szCs w:val="28"/>
          <w:lang w:val="ro-RO"/>
        </w:rPr>
        <w:t>În proiectul legii se propun o serie de schimbări a conţinutului și sunt introduse unele reglementări noi.</w:t>
      </w:r>
    </w:p>
    <w:p w:rsidR="00195360" w:rsidRPr="004808AA" w:rsidRDefault="0051555F" w:rsidP="00A81BBD">
      <w:pPr>
        <w:spacing w:before="120"/>
        <w:ind w:firstLine="540"/>
        <w:jc w:val="both"/>
        <w:rPr>
          <w:sz w:val="28"/>
          <w:szCs w:val="28"/>
          <w:lang w:val="ro-RO"/>
        </w:rPr>
      </w:pPr>
      <w:r w:rsidRPr="0051555F">
        <w:rPr>
          <w:sz w:val="28"/>
          <w:szCs w:val="28"/>
          <w:lang w:val="ro-RO"/>
        </w:rPr>
        <w:t xml:space="preserve">Manualul „Statistica datoriei sectorului public: ghidul pentru compilatori şi utilizatori” elaborat în comun de către nouă organizaţii internaţionale </w:t>
      </w:r>
      <w:r w:rsidR="00E95E90">
        <w:rPr>
          <w:sz w:val="28"/>
          <w:szCs w:val="28"/>
          <w:lang w:val="ro-RO"/>
        </w:rPr>
        <w:t>conduse de către</w:t>
      </w:r>
      <w:r w:rsidRPr="0051555F">
        <w:rPr>
          <w:sz w:val="28"/>
          <w:szCs w:val="28"/>
          <w:lang w:val="ro-RO"/>
        </w:rPr>
        <w:t xml:space="preserve"> Fondul Monetar Internaţional în scopul îmbunătăţirii disponibilităţii şi comparabilităţii internaţionale a statisticii datoriei sectorului public, propune un set detaliat de clasificări, concepte şi definiţii, printre care şi termenul „datoria sectorului public”. Respectiv, legea a fost completată cu o noțiune nouă ”datoria sectorului public” care va înlocui termenul „datoria publică”, precum şi cu clasificarea instrumentelor datoriei sectorului public în conformitate cu normele internaţionale. </w:t>
      </w:r>
    </w:p>
    <w:p w:rsidR="00517223" w:rsidRPr="004808AA" w:rsidRDefault="00517223" w:rsidP="00A81BBD">
      <w:pPr>
        <w:autoSpaceDE w:val="0"/>
        <w:autoSpaceDN w:val="0"/>
        <w:adjustRightInd w:val="0"/>
        <w:rPr>
          <w:sz w:val="28"/>
          <w:szCs w:val="28"/>
          <w:u w:val="single"/>
          <w:lang w:val="ro-RO"/>
        </w:rPr>
      </w:pPr>
    </w:p>
    <w:p w:rsidR="007D2B28" w:rsidRPr="004808AA" w:rsidRDefault="0051555F" w:rsidP="002506C7">
      <w:pPr>
        <w:ind w:firstLine="540"/>
        <w:jc w:val="both"/>
        <w:rPr>
          <w:rStyle w:val="hps"/>
          <w:sz w:val="28"/>
          <w:szCs w:val="28"/>
          <w:lang w:val="ro-RO"/>
        </w:rPr>
      </w:pPr>
      <w:r>
        <w:rPr>
          <w:sz w:val="28"/>
          <w:szCs w:val="28"/>
          <w:lang w:val="ro-RO"/>
        </w:rPr>
        <w:t>Totodată, unele din completările importante se referă la reglementările ce țin de datoria unităților administrativ-teritoriale. Î</w:t>
      </w:r>
      <w:r>
        <w:rPr>
          <w:rStyle w:val="hps"/>
          <w:sz w:val="28"/>
          <w:szCs w:val="28"/>
          <w:lang w:val="ro-RO"/>
        </w:rPr>
        <w:t>n</w:t>
      </w:r>
      <w:r>
        <w:rPr>
          <w:sz w:val="28"/>
          <w:szCs w:val="28"/>
          <w:lang w:val="ro-RO"/>
        </w:rPr>
        <w:t xml:space="preserve"> </w:t>
      </w:r>
      <w:r>
        <w:rPr>
          <w:rStyle w:val="hps"/>
          <w:sz w:val="28"/>
          <w:szCs w:val="28"/>
          <w:lang w:val="ro-RO"/>
        </w:rPr>
        <w:t>ultimii ani,</w:t>
      </w:r>
      <w:r>
        <w:rPr>
          <w:sz w:val="28"/>
          <w:szCs w:val="28"/>
          <w:lang w:val="ro-RO"/>
        </w:rPr>
        <w:t xml:space="preserve"> </w:t>
      </w:r>
      <w:r>
        <w:rPr>
          <w:rStyle w:val="hps"/>
          <w:sz w:val="28"/>
          <w:szCs w:val="28"/>
          <w:lang w:val="ro-RO"/>
        </w:rPr>
        <w:t>managementului</w:t>
      </w:r>
      <w:r>
        <w:rPr>
          <w:sz w:val="28"/>
          <w:szCs w:val="28"/>
          <w:lang w:val="ro-RO"/>
        </w:rPr>
        <w:t xml:space="preserve"> </w:t>
      </w:r>
      <w:r>
        <w:rPr>
          <w:rStyle w:val="hps"/>
          <w:sz w:val="28"/>
          <w:szCs w:val="28"/>
          <w:lang w:val="ro-RO"/>
        </w:rPr>
        <w:t>datoriei UAT i se acordă o atenție</w:t>
      </w:r>
      <w:r>
        <w:rPr>
          <w:sz w:val="28"/>
          <w:szCs w:val="28"/>
          <w:lang w:val="ro-RO"/>
        </w:rPr>
        <w:t xml:space="preserve"> </w:t>
      </w:r>
      <w:r>
        <w:rPr>
          <w:rStyle w:val="hps"/>
          <w:sz w:val="28"/>
          <w:szCs w:val="28"/>
          <w:lang w:val="ro-RO"/>
        </w:rPr>
        <w:t>mai mare.</w:t>
      </w:r>
    </w:p>
    <w:p w:rsidR="00E85D3B" w:rsidRPr="004808AA" w:rsidRDefault="00E85D3B" w:rsidP="002506C7">
      <w:pPr>
        <w:ind w:firstLine="540"/>
        <w:jc w:val="both"/>
        <w:rPr>
          <w:sz w:val="28"/>
          <w:szCs w:val="28"/>
          <w:lang w:val="ro-RO"/>
        </w:rPr>
      </w:pPr>
    </w:p>
    <w:p w:rsidR="00BB4E81" w:rsidRPr="004808AA" w:rsidRDefault="0051555F" w:rsidP="00BB4E81">
      <w:pPr>
        <w:ind w:firstLine="540"/>
        <w:jc w:val="both"/>
        <w:rPr>
          <w:sz w:val="28"/>
          <w:szCs w:val="28"/>
          <w:lang w:val="ro-RO"/>
        </w:rPr>
      </w:pPr>
      <w:r w:rsidRPr="0051555F">
        <w:rPr>
          <w:sz w:val="28"/>
          <w:szCs w:val="28"/>
          <w:lang w:val="ro-RO"/>
        </w:rPr>
        <w:t>Modificările propuse urmează să aibă un impact benefic atît sub aspect de reglementare, cît şi din punct de vedere economic şi social, ridicînd  sistemul de gestionare a finanţelor publice la un nivel calitativ nou. Totodată noile abordări în ce priveşte datoria unităților administrativ/teritoriale vor conduce la îmbunătățirea managementului și monitoringului datoriei locale.</w:t>
      </w:r>
    </w:p>
    <w:p w:rsidR="004808AA" w:rsidRDefault="004808AA" w:rsidP="00BB4E81">
      <w:pPr>
        <w:ind w:firstLine="540"/>
        <w:jc w:val="both"/>
        <w:rPr>
          <w:sz w:val="28"/>
          <w:szCs w:val="28"/>
          <w:lang w:val="ro-RO"/>
        </w:rPr>
      </w:pPr>
    </w:p>
    <w:p w:rsidR="002C1033" w:rsidRPr="004808AA" w:rsidRDefault="0051555F" w:rsidP="00BB4E81">
      <w:pPr>
        <w:spacing w:after="240"/>
        <w:ind w:firstLine="540"/>
        <w:jc w:val="both"/>
        <w:rPr>
          <w:sz w:val="28"/>
          <w:szCs w:val="28"/>
          <w:lang w:val="ro-RO"/>
        </w:rPr>
      </w:pPr>
      <w:r w:rsidRPr="0051555F">
        <w:rPr>
          <w:sz w:val="28"/>
          <w:szCs w:val="28"/>
          <w:lang w:val="ro-RO"/>
        </w:rPr>
        <w:t>În acest context, despre modificările și completările care se operează la Legea nr.419-XVI din 22 decembrie 2006 cu privire la datoria publică, garanțiile de stat și recreditarea de stat menţionăm următoarele:</w:t>
      </w:r>
    </w:p>
    <w:p w:rsidR="003F6938" w:rsidRPr="004808AA" w:rsidRDefault="0051555F" w:rsidP="003F6938">
      <w:pPr>
        <w:ind w:firstLine="540"/>
        <w:jc w:val="both"/>
        <w:rPr>
          <w:sz w:val="28"/>
          <w:szCs w:val="28"/>
          <w:lang w:val="ro-RO"/>
        </w:rPr>
      </w:pPr>
      <w:r w:rsidRPr="0051555F">
        <w:rPr>
          <w:sz w:val="28"/>
          <w:szCs w:val="28"/>
          <w:lang w:val="ro-RO"/>
        </w:rPr>
        <w:lastRenderedPageBreak/>
        <w:t>La art.3</w:t>
      </w:r>
    </w:p>
    <w:p w:rsidR="003F6938" w:rsidRDefault="0051555F" w:rsidP="003F6938">
      <w:pPr>
        <w:ind w:firstLine="540"/>
        <w:jc w:val="both"/>
        <w:rPr>
          <w:sz w:val="28"/>
          <w:szCs w:val="28"/>
          <w:lang w:val="ro-RO"/>
        </w:rPr>
      </w:pPr>
      <w:r w:rsidRPr="0051555F">
        <w:rPr>
          <w:sz w:val="28"/>
          <w:szCs w:val="28"/>
          <w:lang w:val="ro-RO"/>
        </w:rPr>
        <w:t>Completarea alineatului (1) cu literele d) și e) se propune în scopul realizării prevederilor art.19 al Legii nr.548-XIII din 21 iulie 1995 cu privire la Banca Națională a Moldovei, iar prevederile literei f) au drept scop realizarea unor acţiuni ale Guvernului în situaţii de criză financiară sistemică pentru menținerea stabilității financiare. O dată cu stipularea unor prevederi ale alineatului (4) în alineatul (1), alineatul (4) se exclude.</w:t>
      </w:r>
    </w:p>
    <w:p w:rsidR="004808AA" w:rsidRPr="004808AA" w:rsidRDefault="004808AA" w:rsidP="003F6938">
      <w:pPr>
        <w:ind w:firstLine="540"/>
        <w:jc w:val="both"/>
        <w:rPr>
          <w:sz w:val="28"/>
          <w:szCs w:val="28"/>
          <w:lang w:val="ro-RO"/>
        </w:rPr>
      </w:pPr>
    </w:p>
    <w:p w:rsidR="00AF29F8" w:rsidRDefault="00AF29F8" w:rsidP="003F6938">
      <w:pPr>
        <w:ind w:firstLine="540"/>
        <w:jc w:val="both"/>
        <w:rPr>
          <w:sz w:val="28"/>
          <w:szCs w:val="28"/>
          <w:lang w:val="ro-RO"/>
        </w:rPr>
      </w:pPr>
      <w:r>
        <w:rPr>
          <w:sz w:val="28"/>
          <w:szCs w:val="28"/>
          <w:lang w:val="ro-RO"/>
        </w:rPr>
        <w:t>La art. 4</w:t>
      </w:r>
    </w:p>
    <w:p w:rsidR="00CC7B82" w:rsidRDefault="00AF29F8" w:rsidP="003F6938">
      <w:pPr>
        <w:ind w:firstLine="540"/>
        <w:jc w:val="both"/>
        <w:rPr>
          <w:sz w:val="28"/>
          <w:szCs w:val="28"/>
          <w:lang w:val="ro-RO"/>
        </w:rPr>
      </w:pPr>
      <w:r>
        <w:rPr>
          <w:sz w:val="28"/>
          <w:szCs w:val="28"/>
          <w:lang w:val="ro-RO"/>
        </w:rPr>
        <w:t>Introducerea unui articol nou 4</w:t>
      </w:r>
      <w:r>
        <w:rPr>
          <w:sz w:val="28"/>
          <w:szCs w:val="28"/>
          <w:vertAlign w:val="superscript"/>
          <w:lang w:val="ro-RO"/>
        </w:rPr>
        <w:t>1</w:t>
      </w:r>
      <w:r>
        <w:rPr>
          <w:sz w:val="28"/>
          <w:szCs w:val="28"/>
          <w:lang w:val="ro-RO"/>
        </w:rPr>
        <w:t xml:space="preserve"> </w:t>
      </w:r>
      <w:r w:rsidR="00CC7B82">
        <w:rPr>
          <w:sz w:val="28"/>
          <w:szCs w:val="28"/>
          <w:lang w:val="ro-RO"/>
        </w:rPr>
        <w:t xml:space="preserve">este în concordanţă cu practicile durabile de management a datoriei de stat pe termen mediu. Astfel, acest articol </w:t>
      </w:r>
      <w:r>
        <w:rPr>
          <w:sz w:val="28"/>
          <w:szCs w:val="28"/>
          <w:lang w:val="ro-RO"/>
        </w:rPr>
        <w:t xml:space="preserve">are drept scop </w:t>
      </w:r>
      <w:r w:rsidR="00CC7B82">
        <w:rPr>
          <w:sz w:val="28"/>
          <w:szCs w:val="28"/>
          <w:lang w:val="ro-RO"/>
        </w:rPr>
        <w:t>evidenţierea importanţei stabilirii unor obiective pe termen mediu clare în procesul de management a datoriei de stat, precum şi a necesităţii elaborării documentului Managementul datoriei de stat pe termen mediu care urmează a fi revizuit şi actualizat anual, iar informaţia privind implementarea măsurilor incluse în documentul respectiv va fi raportată anual Guvernului şi Parlamentului.</w:t>
      </w:r>
    </w:p>
    <w:p w:rsidR="00AD0948" w:rsidRDefault="00AD0948" w:rsidP="003F6938">
      <w:pPr>
        <w:ind w:firstLine="540"/>
        <w:jc w:val="both"/>
        <w:rPr>
          <w:sz w:val="28"/>
          <w:szCs w:val="28"/>
          <w:lang w:val="ro-RO"/>
        </w:rPr>
      </w:pPr>
    </w:p>
    <w:p w:rsidR="00AD0948" w:rsidRDefault="00AD0948" w:rsidP="003F6938">
      <w:pPr>
        <w:ind w:firstLine="540"/>
        <w:jc w:val="both"/>
        <w:rPr>
          <w:sz w:val="28"/>
          <w:szCs w:val="28"/>
          <w:lang w:val="ro-RO"/>
        </w:rPr>
      </w:pPr>
      <w:r>
        <w:rPr>
          <w:sz w:val="28"/>
          <w:szCs w:val="28"/>
          <w:lang w:val="ro-RO"/>
        </w:rPr>
        <w:t>La art. 5</w:t>
      </w:r>
    </w:p>
    <w:p w:rsidR="00AD0948" w:rsidRPr="00AD0948" w:rsidRDefault="00AD0948" w:rsidP="003F6938">
      <w:pPr>
        <w:ind w:firstLine="540"/>
        <w:jc w:val="both"/>
        <w:rPr>
          <w:sz w:val="28"/>
          <w:szCs w:val="28"/>
          <w:lang w:val="ro-RO"/>
        </w:rPr>
      </w:pPr>
      <w:r>
        <w:rPr>
          <w:sz w:val="28"/>
          <w:szCs w:val="28"/>
          <w:lang w:val="ro-RO"/>
        </w:rPr>
        <w:t>Introducerea unui articol nou 5</w:t>
      </w:r>
      <w:r>
        <w:rPr>
          <w:sz w:val="28"/>
          <w:szCs w:val="28"/>
          <w:vertAlign w:val="superscript"/>
          <w:lang w:val="ro-RO"/>
        </w:rPr>
        <w:t xml:space="preserve">1 </w:t>
      </w:r>
      <w:r>
        <w:rPr>
          <w:sz w:val="28"/>
          <w:szCs w:val="28"/>
          <w:lang w:val="ro-RO"/>
        </w:rPr>
        <w:t xml:space="preserve">are drept scop delimitarea instrumentelor generatoare de datorie în sectorul public în conformitate cu manualul  </w:t>
      </w:r>
      <w:r w:rsidRPr="004808AA">
        <w:rPr>
          <w:sz w:val="28"/>
          <w:szCs w:val="28"/>
          <w:lang w:val="ro-RO"/>
        </w:rPr>
        <w:t>„Statistica datoriei sectorului public: ghidul pentru compilatori şi utilizatori”</w:t>
      </w:r>
      <w:r>
        <w:rPr>
          <w:sz w:val="28"/>
          <w:szCs w:val="28"/>
          <w:lang w:val="ro-RO"/>
        </w:rPr>
        <w:t xml:space="preserve"> (FMI, 2011) pentru a asigura comparabilitatea internaţională</w:t>
      </w:r>
      <w:r w:rsidR="00434845">
        <w:rPr>
          <w:sz w:val="28"/>
          <w:szCs w:val="28"/>
          <w:lang w:val="ro-RO"/>
        </w:rPr>
        <w:t>, dar şi prezentarea transparentă şi comprehensivă a statisticii datoriei sectorului public utilizatorilor.</w:t>
      </w:r>
    </w:p>
    <w:p w:rsidR="00AD0948" w:rsidRPr="00AF29F8" w:rsidRDefault="00AD0948" w:rsidP="003F6938">
      <w:pPr>
        <w:ind w:firstLine="540"/>
        <w:jc w:val="both"/>
        <w:rPr>
          <w:sz w:val="28"/>
          <w:szCs w:val="28"/>
          <w:lang w:val="ro-RO"/>
        </w:rPr>
      </w:pPr>
    </w:p>
    <w:p w:rsidR="003F6938" w:rsidRPr="004808AA" w:rsidRDefault="0051555F" w:rsidP="003F6938">
      <w:pPr>
        <w:ind w:firstLine="540"/>
        <w:jc w:val="both"/>
        <w:rPr>
          <w:sz w:val="28"/>
          <w:szCs w:val="28"/>
          <w:lang w:val="ro-RO"/>
        </w:rPr>
      </w:pPr>
      <w:r w:rsidRPr="0051555F">
        <w:rPr>
          <w:sz w:val="28"/>
          <w:szCs w:val="28"/>
          <w:lang w:val="ro-RO"/>
        </w:rPr>
        <w:t>La art.6</w:t>
      </w:r>
    </w:p>
    <w:p w:rsidR="003F6938" w:rsidRPr="004808AA" w:rsidRDefault="0051555F" w:rsidP="003F6938">
      <w:pPr>
        <w:ind w:firstLine="540"/>
        <w:jc w:val="both"/>
        <w:rPr>
          <w:sz w:val="28"/>
          <w:szCs w:val="28"/>
          <w:lang w:val="ro-RO"/>
        </w:rPr>
      </w:pPr>
      <w:r w:rsidRPr="0051555F">
        <w:rPr>
          <w:sz w:val="28"/>
          <w:szCs w:val="28"/>
          <w:lang w:val="ro-RO"/>
        </w:rPr>
        <w:t>Redacția nouă a art.6 are drept scop precizarea unor aspecte ce țin de plafonul datoriei de stat interne pentru cazurile specificate la art.3 alin.(1), literele e) şi f).</w:t>
      </w:r>
    </w:p>
    <w:p w:rsidR="00FE0128" w:rsidRPr="00F11585" w:rsidRDefault="00FE0128" w:rsidP="00FE0128">
      <w:pPr>
        <w:ind w:firstLine="540"/>
        <w:jc w:val="both"/>
        <w:rPr>
          <w:color w:val="000000" w:themeColor="text1"/>
          <w:sz w:val="28"/>
          <w:szCs w:val="28"/>
          <w:lang w:val="ro-RO"/>
        </w:rPr>
      </w:pPr>
      <w:r w:rsidRPr="00F11585">
        <w:rPr>
          <w:color w:val="000000" w:themeColor="text1"/>
          <w:sz w:val="28"/>
          <w:szCs w:val="28"/>
          <w:lang w:val="ro-RO"/>
        </w:rPr>
        <w:t>La art.10</w:t>
      </w:r>
    </w:p>
    <w:p w:rsidR="00FE0128" w:rsidRPr="00F11585" w:rsidRDefault="00FE0128" w:rsidP="00FE0128">
      <w:pPr>
        <w:ind w:firstLine="540"/>
        <w:jc w:val="both"/>
        <w:rPr>
          <w:color w:val="000000" w:themeColor="text1"/>
          <w:sz w:val="28"/>
          <w:szCs w:val="28"/>
          <w:lang w:val="ro-RO"/>
        </w:rPr>
      </w:pPr>
      <w:r w:rsidRPr="00F11585">
        <w:rPr>
          <w:color w:val="000000" w:themeColor="text1"/>
          <w:sz w:val="28"/>
          <w:szCs w:val="28"/>
          <w:lang w:val="ro-RO"/>
        </w:rPr>
        <w:t>Redacția nouă a art.10 este adusă în concordanță cu proiectul legii finanțelor publice și responsabilității bugetar-fiscale.</w:t>
      </w:r>
    </w:p>
    <w:p w:rsidR="00FE0128" w:rsidRPr="00F11585" w:rsidRDefault="00FE0128" w:rsidP="00FE0128">
      <w:pPr>
        <w:ind w:firstLine="540"/>
        <w:jc w:val="both"/>
        <w:rPr>
          <w:color w:val="000000" w:themeColor="text1"/>
          <w:sz w:val="28"/>
          <w:szCs w:val="28"/>
          <w:lang w:val="ro-RO"/>
        </w:rPr>
      </w:pPr>
    </w:p>
    <w:p w:rsidR="00FE0128" w:rsidRPr="00F11585" w:rsidRDefault="00FE0128" w:rsidP="00FE0128">
      <w:pPr>
        <w:ind w:firstLine="540"/>
        <w:jc w:val="both"/>
        <w:rPr>
          <w:color w:val="000000" w:themeColor="text1"/>
          <w:sz w:val="28"/>
          <w:szCs w:val="28"/>
          <w:lang w:val="ro-RO"/>
        </w:rPr>
      </w:pPr>
      <w:r w:rsidRPr="00F11585">
        <w:rPr>
          <w:color w:val="000000" w:themeColor="text1"/>
          <w:sz w:val="28"/>
          <w:szCs w:val="28"/>
          <w:lang w:val="ro-RO"/>
        </w:rPr>
        <w:t>La art.11</w:t>
      </w:r>
    </w:p>
    <w:p w:rsidR="00FE0128" w:rsidRPr="00F11585" w:rsidRDefault="00FE0128" w:rsidP="00FE0128">
      <w:pPr>
        <w:ind w:firstLine="540"/>
        <w:jc w:val="both"/>
        <w:rPr>
          <w:color w:val="000000" w:themeColor="text1"/>
          <w:sz w:val="28"/>
          <w:szCs w:val="28"/>
          <w:lang w:val="ro-RO"/>
        </w:rPr>
      </w:pPr>
      <w:r w:rsidRPr="00F11585">
        <w:rPr>
          <w:color w:val="000000" w:themeColor="text1"/>
          <w:sz w:val="28"/>
          <w:szCs w:val="28"/>
          <w:lang w:val="ro-RO"/>
        </w:rPr>
        <w:t>Excluderea art.11 este bazată pe atribuirea acestuia la Capitolul ”Recreditarea” prin includerea art.24</w:t>
      </w:r>
      <w:r w:rsidRPr="00F11585">
        <w:rPr>
          <w:color w:val="000000" w:themeColor="text1"/>
          <w:sz w:val="28"/>
          <w:szCs w:val="28"/>
          <w:vertAlign w:val="superscript"/>
          <w:lang w:val="ro-RO"/>
        </w:rPr>
        <w:t xml:space="preserve">1 </w:t>
      </w:r>
      <w:r w:rsidRPr="00F11585">
        <w:rPr>
          <w:color w:val="000000" w:themeColor="text1"/>
          <w:sz w:val="28"/>
          <w:szCs w:val="28"/>
          <w:lang w:val="ro-RO"/>
        </w:rPr>
        <w:t>în aceeași redacție, deoarece conținutul articolului dat este relevant domeniului recreditării de stat.</w:t>
      </w:r>
    </w:p>
    <w:p w:rsidR="00FE0128" w:rsidRPr="00F11585" w:rsidRDefault="00FE0128" w:rsidP="00FE0128">
      <w:pPr>
        <w:ind w:firstLine="540"/>
        <w:jc w:val="both"/>
        <w:rPr>
          <w:color w:val="000000" w:themeColor="text1"/>
          <w:sz w:val="28"/>
          <w:szCs w:val="28"/>
          <w:lang w:val="ro-RO"/>
        </w:rPr>
      </w:pPr>
    </w:p>
    <w:p w:rsidR="00E46A93" w:rsidRDefault="0051555F">
      <w:pPr>
        <w:ind w:firstLine="540"/>
        <w:jc w:val="both"/>
        <w:rPr>
          <w:sz w:val="28"/>
          <w:szCs w:val="28"/>
          <w:lang w:val="ro-RO"/>
        </w:rPr>
      </w:pPr>
      <w:r w:rsidRPr="0051555F">
        <w:rPr>
          <w:sz w:val="28"/>
          <w:szCs w:val="28"/>
          <w:lang w:val="ro-RO"/>
        </w:rPr>
        <w:t>La art. 18</w:t>
      </w:r>
      <w:r w:rsidR="002C6F3F" w:rsidRPr="002C6F3F">
        <w:rPr>
          <w:sz w:val="28"/>
          <w:szCs w:val="28"/>
          <w:vertAlign w:val="superscript"/>
          <w:lang w:val="ro-RO"/>
        </w:rPr>
        <w:t>2</w:t>
      </w:r>
    </w:p>
    <w:p w:rsidR="003F6938" w:rsidRPr="004808AA" w:rsidRDefault="0051555F" w:rsidP="003F6938">
      <w:pPr>
        <w:ind w:firstLine="540"/>
        <w:jc w:val="both"/>
        <w:rPr>
          <w:sz w:val="28"/>
          <w:szCs w:val="28"/>
          <w:lang w:val="ro-RO"/>
        </w:rPr>
      </w:pPr>
      <w:r w:rsidRPr="0051555F">
        <w:rPr>
          <w:sz w:val="28"/>
          <w:szCs w:val="28"/>
          <w:lang w:val="ro-RO"/>
        </w:rPr>
        <w:t>Introducerea unui nou articol 18</w:t>
      </w:r>
      <w:r w:rsidR="002C6F3F" w:rsidRPr="002C6F3F">
        <w:rPr>
          <w:sz w:val="28"/>
          <w:szCs w:val="28"/>
          <w:vertAlign w:val="superscript"/>
          <w:lang w:val="ro-RO"/>
        </w:rPr>
        <w:t>2</w:t>
      </w:r>
      <w:r w:rsidRPr="0051555F">
        <w:rPr>
          <w:sz w:val="28"/>
          <w:szCs w:val="28"/>
          <w:lang w:val="ro-RO"/>
        </w:rPr>
        <w:t xml:space="preserve"> este dictată de prevederile actuale ale unor acte legislative și normative, care prevăd că Banca Națională a Moldovei acționează ca agent fiscal al statului în organizarea deservirii valorilor mobiliare de stat. Totodată, în baza unui acord între părți, pentru serviciile prestate aferente deservirii valorilor mobiliare de stat, Ministerul Finanțelor plătește Băncii Naționale a Moldovei un comision.</w:t>
      </w:r>
    </w:p>
    <w:p w:rsidR="00CD1C6E" w:rsidRDefault="00CD1C6E" w:rsidP="003F6938">
      <w:pPr>
        <w:ind w:firstLine="540"/>
        <w:jc w:val="both"/>
        <w:rPr>
          <w:sz w:val="28"/>
          <w:szCs w:val="28"/>
          <w:lang w:val="ro-RO"/>
        </w:rPr>
      </w:pPr>
    </w:p>
    <w:p w:rsidR="004808AA" w:rsidRDefault="00CD1C6E" w:rsidP="003F6938">
      <w:pPr>
        <w:ind w:firstLine="540"/>
        <w:jc w:val="both"/>
        <w:rPr>
          <w:sz w:val="28"/>
          <w:szCs w:val="28"/>
          <w:lang w:val="ro-RO"/>
        </w:rPr>
      </w:pPr>
      <w:r>
        <w:rPr>
          <w:sz w:val="28"/>
          <w:szCs w:val="28"/>
          <w:lang w:val="ro-RO"/>
        </w:rPr>
        <w:t>La art. 21</w:t>
      </w:r>
    </w:p>
    <w:p w:rsidR="00CD1C6E" w:rsidRDefault="00CD1C6E" w:rsidP="003F6938">
      <w:pPr>
        <w:ind w:firstLine="540"/>
        <w:jc w:val="both"/>
        <w:rPr>
          <w:sz w:val="28"/>
          <w:szCs w:val="28"/>
          <w:lang w:val="ro-RO"/>
        </w:rPr>
      </w:pPr>
      <w:r>
        <w:rPr>
          <w:sz w:val="28"/>
          <w:szCs w:val="28"/>
          <w:lang w:val="ro-RO"/>
        </w:rPr>
        <w:lastRenderedPageBreak/>
        <w:t>Redacția nouă are drept scop clarificarea modalității de aprobarea a contractelor de împrumuturi de stat externe de către Parlament întru excluderea echivocurilor.</w:t>
      </w:r>
    </w:p>
    <w:p w:rsidR="00ED1D7D" w:rsidRDefault="00ED1D7D" w:rsidP="003F6938">
      <w:pPr>
        <w:ind w:firstLine="540"/>
        <w:jc w:val="both"/>
        <w:rPr>
          <w:sz w:val="28"/>
          <w:szCs w:val="28"/>
          <w:lang w:val="ro-RO"/>
        </w:rPr>
      </w:pPr>
    </w:p>
    <w:p w:rsidR="00FE0128" w:rsidRPr="00F11585" w:rsidRDefault="00FE0128" w:rsidP="00FE0128">
      <w:pPr>
        <w:ind w:firstLine="540"/>
        <w:jc w:val="both"/>
        <w:rPr>
          <w:color w:val="000000" w:themeColor="text1"/>
          <w:sz w:val="28"/>
          <w:szCs w:val="28"/>
          <w:lang w:val="ro-RO"/>
        </w:rPr>
      </w:pPr>
      <w:r w:rsidRPr="00F11585">
        <w:rPr>
          <w:color w:val="000000" w:themeColor="text1"/>
          <w:sz w:val="28"/>
          <w:szCs w:val="28"/>
          <w:lang w:val="ro-RO"/>
        </w:rPr>
        <w:t xml:space="preserve">La art.23 și 24 </w:t>
      </w:r>
    </w:p>
    <w:p w:rsidR="00FE0128" w:rsidRPr="00F11585" w:rsidRDefault="00FE0128" w:rsidP="00FE0128">
      <w:pPr>
        <w:ind w:firstLine="540"/>
        <w:jc w:val="both"/>
        <w:rPr>
          <w:color w:val="000000" w:themeColor="text1"/>
          <w:sz w:val="28"/>
          <w:szCs w:val="28"/>
          <w:lang w:val="ro-RO"/>
        </w:rPr>
      </w:pPr>
      <w:r w:rsidRPr="00F11585">
        <w:rPr>
          <w:color w:val="000000" w:themeColor="text1"/>
          <w:sz w:val="28"/>
          <w:szCs w:val="28"/>
          <w:lang w:val="ro-RO"/>
        </w:rPr>
        <w:t>Modificarea art 23 și 24 se propune în scopul îmbunătățirii și expunerii mai clare a conținutului acestora.</w:t>
      </w:r>
    </w:p>
    <w:p w:rsidR="00FE0128" w:rsidRPr="00F11585" w:rsidRDefault="00FE0128" w:rsidP="00FE0128">
      <w:pPr>
        <w:ind w:firstLine="540"/>
        <w:jc w:val="both"/>
        <w:rPr>
          <w:color w:val="000000" w:themeColor="text1"/>
          <w:sz w:val="28"/>
          <w:szCs w:val="28"/>
          <w:lang w:val="ro-RO"/>
        </w:rPr>
      </w:pPr>
    </w:p>
    <w:p w:rsidR="00FE0128" w:rsidRPr="00F11585" w:rsidRDefault="00FE0128" w:rsidP="00FE0128">
      <w:pPr>
        <w:ind w:firstLine="540"/>
        <w:jc w:val="both"/>
        <w:rPr>
          <w:color w:val="000000" w:themeColor="text1"/>
          <w:sz w:val="28"/>
          <w:szCs w:val="28"/>
          <w:lang w:val="ro-RO"/>
        </w:rPr>
      </w:pPr>
      <w:r w:rsidRPr="00F11585">
        <w:rPr>
          <w:color w:val="000000" w:themeColor="text1"/>
          <w:sz w:val="28"/>
          <w:szCs w:val="28"/>
          <w:lang w:val="ro-RO"/>
        </w:rPr>
        <w:t xml:space="preserve">La art.26 </w:t>
      </w:r>
    </w:p>
    <w:p w:rsidR="00FE0128" w:rsidRPr="00F11585" w:rsidRDefault="00FE0128" w:rsidP="00FE0128">
      <w:pPr>
        <w:ind w:firstLine="540"/>
        <w:jc w:val="both"/>
        <w:rPr>
          <w:color w:val="000000" w:themeColor="text1"/>
          <w:sz w:val="28"/>
          <w:szCs w:val="28"/>
          <w:lang w:val="ro-RO"/>
        </w:rPr>
      </w:pPr>
      <w:r w:rsidRPr="00F11585">
        <w:rPr>
          <w:color w:val="000000" w:themeColor="text1"/>
          <w:sz w:val="28"/>
          <w:szCs w:val="28"/>
          <w:lang w:val="ro-RO"/>
        </w:rPr>
        <w:t>Completarea art.26 cu un nou alineat (3) se aduce în concordanță cu prevederile alin.(1</w:t>
      </w:r>
      <w:r w:rsidRPr="00F11585">
        <w:rPr>
          <w:color w:val="000000" w:themeColor="text1"/>
          <w:sz w:val="28"/>
          <w:szCs w:val="28"/>
          <w:vertAlign w:val="superscript"/>
          <w:lang w:val="ro-RO"/>
        </w:rPr>
        <w:t>1</w:t>
      </w:r>
      <w:r w:rsidRPr="00F11585">
        <w:rPr>
          <w:color w:val="000000" w:themeColor="text1"/>
          <w:sz w:val="28"/>
          <w:szCs w:val="28"/>
          <w:lang w:val="ro-RO"/>
        </w:rPr>
        <w:t>) al art.34 prin stabilirea principiului egalității între entități.</w:t>
      </w:r>
    </w:p>
    <w:p w:rsidR="00FE0128" w:rsidRDefault="00FE0128" w:rsidP="003F6938">
      <w:pPr>
        <w:ind w:firstLine="540"/>
        <w:jc w:val="both"/>
        <w:rPr>
          <w:sz w:val="28"/>
          <w:szCs w:val="28"/>
          <w:lang w:val="ro-RO"/>
        </w:rPr>
      </w:pPr>
    </w:p>
    <w:p w:rsidR="003F6938" w:rsidRPr="004808AA" w:rsidRDefault="0051555F" w:rsidP="003F6938">
      <w:pPr>
        <w:ind w:firstLine="540"/>
        <w:jc w:val="both"/>
        <w:rPr>
          <w:sz w:val="28"/>
          <w:szCs w:val="28"/>
          <w:lang w:val="ro-RO"/>
        </w:rPr>
      </w:pPr>
      <w:r w:rsidRPr="0051555F">
        <w:rPr>
          <w:sz w:val="28"/>
          <w:szCs w:val="28"/>
          <w:lang w:val="ro-RO"/>
        </w:rPr>
        <w:t>La art.27 și 28</w:t>
      </w:r>
    </w:p>
    <w:p w:rsidR="003F6938" w:rsidRPr="004808AA" w:rsidRDefault="0051555F" w:rsidP="003F6938">
      <w:pPr>
        <w:spacing w:after="240"/>
        <w:ind w:firstLine="540"/>
        <w:jc w:val="both"/>
        <w:rPr>
          <w:sz w:val="28"/>
          <w:szCs w:val="28"/>
          <w:lang w:val="ro-RO"/>
        </w:rPr>
      </w:pPr>
      <w:r w:rsidRPr="0051555F">
        <w:rPr>
          <w:sz w:val="28"/>
          <w:szCs w:val="28"/>
          <w:lang w:val="ro-RO"/>
        </w:rPr>
        <w:t>Completarea art.27 cu o literă nouă c) se propune în scopul  asigurării stabilităţii sistemului financiar în situaţii de criză financiară sistemică sau de pericol al apariţiei acesteia pentru garantarea creditelor de urgență acordate băncilor de către Banca Națională a Moldovei. Procedura emiterii garanției de stat pentru creditele de urgență acordate băncilor de către Banca Națională a Moldovei în situaţii de criză financiară sistemică se va stabili de către Ministerul Finanțelor.</w:t>
      </w:r>
    </w:p>
    <w:p w:rsidR="00000000" w:rsidRDefault="002C6F3F">
      <w:pPr>
        <w:ind w:firstLine="540"/>
        <w:jc w:val="both"/>
        <w:rPr>
          <w:sz w:val="28"/>
          <w:szCs w:val="28"/>
          <w:lang w:val="ro-RO"/>
        </w:rPr>
      </w:pPr>
      <w:r w:rsidRPr="002C6F3F">
        <w:rPr>
          <w:sz w:val="28"/>
          <w:szCs w:val="28"/>
          <w:lang w:val="ro-RO"/>
        </w:rPr>
        <w:t xml:space="preserve">La art.37 Completarea articolului cu un alineat nou (2)  se propune în scopul asigurării contractării de către unitățile administrativ- teritoriale a împrumuturilor extene cu un grad de concesionalitate mai înalt ca în cazul costului resurselor externe acordate de către creditorii comerciali, întru asigurarea </w:t>
      </w:r>
      <w:r w:rsidR="002D27A6">
        <w:rPr>
          <w:sz w:val="28"/>
          <w:szCs w:val="28"/>
          <w:lang w:val="ro-RO"/>
        </w:rPr>
        <w:t xml:space="preserve">sustenabilității </w:t>
      </w:r>
      <w:r w:rsidRPr="002C6F3F">
        <w:rPr>
          <w:sz w:val="28"/>
          <w:szCs w:val="28"/>
          <w:lang w:val="ro-RO"/>
        </w:rPr>
        <w:t>datoriei unităților administrativ-teritoriale.</w:t>
      </w:r>
    </w:p>
    <w:p w:rsidR="00000000" w:rsidRDefault="00EA64DF">
      <w:pPr>
        <w:ind w:firstLine="540"/>
        <w:jc w:val="both"/>
        <w:rPr>
          <w:sz w:val="28"/>
          <w:szCs w:val="28"/>
          <w:lang w:val="ro-RO"/>
        </w:rPr>
      </w:pPr>
    </w:p>
    <w:p w:rsidR="00000000" w:rsidRDefault="000E008E">
      <w:pPr>
        <w:ind w:firstLine="540"/>
        <w:jc w:val="both"/>
        <w:rPr>
          <w:sz w:val="28"/>
          <w:szCs w:val="28"/>
          <w:vertAlign w:val="superscript"/>
          <w:lang w:val="ro-RO"/>
        </w:rPr>
      </w:pPr>
      <w:r>
        <w:rPr>
          <w:sz w:val="28"/>
          <w:szCs w:val="28"/>
          <w:lang w:val="ro-RO"/>
        </w:rPr>
        <w:t>La art.37</w:t>
      </w:r>
      <w:r w:rsidR="002C6F3F" w:rsidRPr="002C6F3F">
        <w:rPr>
          <w:sz w:val="28"/>
          <w:szCs w:val="28"/>
          <w:vertAlign w:val="superscript"/>
          <w:lang w:val="ro-RO"/>
        </w:rPr>
        <w:t>1</w:t>
      </w:r>
    </w:p>
    <w:p w:rsidR="00000000" w:rsidRDefault="000E008E">
      <w:pPr>
        <w:ind w:firstLine="540"/>
        <w:jc w:val="both"/>
        <w:rPr>
          <w:sz w:val="28"/>
          <w:szCs w:val="28"/>
          <w:lang w:val="ro-RO"/>
        </w:rPr>
      </w:pPr>
      <w:r>
        <w:rPr>
          <w:sz w:val="28"/>
          <w:szCs w:val="28"/>
          <w:lang w:val="ro-RO"/>
        </w:rPr>
        <w:t xml:space="preserve">Completarea capitolului cu </w:t>
      </w:r>
      <w:r w:rsidR="002C6F3F" w:rsidRPr="002C6F3F">
        <w:rPr>
          <w:sz w:val="28"/>
          <w:szCs w:val="28"/>
          <w:lang w:val="ro-RO"/>
        </w:rPr>
        <w:t xml:space="preserve"> articolul</w:t>
      </w:r>
      <w:r>
        <w:rPr>
          <w:sz w:val="28"/>
          <w:szCs w:val="28"/>
          <w:lang w:val="ro-RO"/>
        </w:rPr>
        <w:t xml:space="preserve"> menționat vine din necesitatea aducerii clarității scopului contractării datoriei de către </w:t>
      </w:r>
      <w:r w:rsidRPr="001A11F2">
        <w:rPr>
          <w:sz w:val="28"/>
          <w:szCs w:val="28"/>
          <w:lang w:val="ro-RO"/>
        </w:rPr>
        <w:t>unitățile administrativ- teritoriale</w:t>
      </w:r>
      <w:r>
        <w:rPr>
          <w:sz w:val="28"/>
          <w:szCs w:val="28"/>
          <w:lang w:val="ro-RO"/>
        </w:rPr>
        <w:t xml:space="preserve"> întru asigurarea durabilității finanțelor publice.</w:t>
      </w:r>
    </w:p>
    <w:p w:rsidR="00D73D60" w:rsidRDefault="00D73D60">
      <w:pPr>
        <w:rPr>
          <w:sz w:val="28"/>
          <w:szCs w:val="28"/>
          <w:lang w:val="ro-RO"/>
        </w:rPr>
      </w:pPr>
    </w:p>
    <w:p w:rsidR="00000000" w:rsidRDefault="002D3821">
      <w:pPr>
        <w:ind w:firstLine="540"/>
        <w:jc w:val="both"/>
        <w:rPr>
          <w:sz w:val="28"/>
          <w:szCs w:val="28"/>
          <w:lang w:val="ro-RO"/>
        </w:rPr>
      </w:pPr>
      <w:r>
        <w:rPr>
          <w:sz w:val="28"/>
          <w:szCs w:val="28"/>
          <w:lang w:val="ro-RO"/>
        </w:rPr>
        <w:t>La art. 37</w:t>
      </w:r>
      <w:r w:rsidR="002C6F3F" w:rsidRPr="002C6F3F">
        <w:rPr>
          <w:sz w:val="28"/>
          <w:szCs w:val="28"/>
          <w:vertAlign w:val="superscript"/>
          <w:lang w:val="ro-RO"/>
        </w:rPr>
        <w:t>2</w:t>
      </w:r>
    </w:p>
    <w:p w:rsidR="00000000" w:rsidRDefault="002D3821">
      <w:pPr>
        <w:ind w:firstLine="540"/>
        <w:jc w:val="both"/>
        <w:rPr>
          <w:sz w:val="28"/>
          <w:szCs w:val="28"/>
          <w:lang w:val="ro-RO"/>
        </w:rPr>
      </w:pPr>
      <w:r>
        <w:rPr>
          <w:sz w:val="28"/>
          <w:szCs w:val="28"/>
          <w:lang w:val="ro-RO"/>
        </w:rPr>
        <w:t xml:space="preserve">Includerea acestui articol vine din necesitatea stabilirii clare a regulilor și principiilor de contractare a datoriei </w:t>
      </w:r>
      <w:r w:rsidRPr="001A11F2">
        <w:rPr>
          <w:sz w:val="28"/>
          <w:szCs w:val="28"/>
          <w:lang w:val="ro-RO"/>
        </w:rPr>
        <w:t>unitățil</w:t>
      </w:r>
      <w:r>
        <w:rPr>
          <w:sz w:val="28"/>
          <w:szCs w:val="28"/>
          <w:lang w:val="ro-RO"/>
        </w:rPr>
        <w:t>or</w:t>
      </w:r>
      <w:r w:rsidRPr="001A11F2">
        <w:rPr>
          <w:sz w:val="28"/>
          <w:szCs w:val="28"/>
          <w:lang w:val="ro-RO"/>
        </w:rPr>
        <w:t xml:space="preserve"> administrativ- teritoriale</w:t>
      </w:r>
      <w:r>
        <w:rPr>
          <w:sz w:val="28"/>
          <w:szCs w:val="28"/>
          <w:lang w:val="ro-RO"/>
        </w:rPr>
        <w:t xml:space="preserve"> întru asigurarea transparenței procesului decizional al contractării datoriei </w:t>
      </w:r>
      <w:r w:rsidRPr="001A11F2">
        <w:rPr>
          <w:sz w:val="28"/>
          <w:szCs w:val="28"/>
          <w:lang w:val="ro-RO"/>
        </w:rPr>
        <w:t>unitățil</w:t>
      </w:r>
      <w:r>
        <w:rPr>
          <w:sz w:val="28"/>
          <w:szCs w:val="28"/>
          <w:lang w:val="ro-RO"/>
        </w:rPr>
        <w:t xml:space="preserve">or </w:t>
      </w:r>
      <w:r w:rsidRPr="001A11F2">
        <w:rPr>
          <w:sz w:val="28"/>
          <w:szCs w:val="28"/>
          <w:lang w:val="ro-RO"/>
        </w:rPr>
        <w:t>administrativ- teritoriale</w:t>
      </w:r>
      <w:r>
        <w:rPr>
          <w:sz w:val="28"/>
          <w:szCs w:val="28"/>
          <w:lang w:val="ro-RO"/>
        </w:rPr>
        <w:t xml:space="preserve"> . </w:t>
      </w:r>
      <w:r w:rsidR="00F3361D">
        <w:rPr>
          <w:sz w:val="28"/>
          <w:szCs w:val="28"/>
          <w:lang w:val="ro-RO"/>
        </w:rPr>
        <w:t xml:space="preserve">Totodată, articolul menționat va îmbunătăți cadrul legal existent la moment prin ameliorarea procesului de monitorizare a datoriei </w:t>
      </w:r>
      <w:r w:rsidR="00F3361D" w:rsidRPr="001A11F2">
        <w:rPr>
          <w:sz w:val="28"/>
          <w:szCs w:val="28"/>
          <w:lang w:val="ro-RO"/>
        </w:rPr>
        <w:t>unitățil</w:t>
      </w:r>
      <w:r w:rsidR="00F3361D">
        <w:rPr>
          <w:sz w:val="28"/>
          <w:szCs w:val="28"/>
          <w:lang w:val="ro-RO"/>
        </w:rPr>
        <w:t xml:space="preserve">or </w:t>
      </w:r>
      <w:r w:rsidR="00F3361D" w:rsidRPr="001A11F2">
        <w:rPr>
          <w:sz w:val="28"/>
          <w:szCs w:val="28"/>
          <w:lang w:val="ro-RO"/>
        </w:rPr>
        <w:t>administrativ- teritoriale</w:t>
      </w:r>
      <w:r w:rsidR="008821C0">
        <w:rPr>
          <w:sz w:val="28"/>
          <w:szCs w:val="28"/>
          <w:lang w:val="ro-RO"/>
        </w:rPr>
        <w:t xml:space="preserve"> de către Ministerul Finanțelor</w:t>
      </w:r>
      <w:r w:rsidR="00F3361D">
        <w:rPr>
          <w:sz w:val="28"/>
          <w:szCs w:val="28"/>
          <w:lang w:val="ro-RO"/>
        </w:rPr>
        <w:t xml:space="preserve">. </w:t>
      </w:r>
    </w:p>
    <w:p w:rsidR="00000000" w:rsidRDefault="00EA64DF">
      <w:pPr>
        <w:ind w:firstLine="540"/>
        <w:jc w:val="both"/>
        <w:rPr>
          <w:sz w:val="28"/>
          <w:szCs w:val="28"/>
          <w:lang w:val="ro-RO"/>
        </w:rPr>
      </w:pPr>
    </w:p>
    <w:p w:rsidR="00000000" w:rsidRDefault="00592DF5">
      <w:pPr>
        <w:ind w:firstLine="540"/>
        <w:jc w:val="both"/>
        <w:rPr>
          <w:sz w:val="28"/>
          <w:szCs w:val="28"/>
          <w:vertAlign w:val="superscript"/>
          <w:lang w:val="ro-RO"/>
        </w:rPr>
      </w:pPr>
      <w:r>
        <w:rPr>
          <w:sz w:val="28"/>
          <w:szCs w:val="28"/>
          <w:lang w:val="ro-RO"/>
        </w:rPr>
        <w:t>La art.37</w:t>
      </w:r>
      <w:r w:rsidR="002C6F3F" w:rsidRPr="002C6F3F">
        <w:rPr>
          <w:sz w:val="28"/>
          <w:szCs w:val="28"/>
          <w:vertAlign w:val="superscript"/>
          <w:lang w:val="ro-RO"/>
        </w:rPr>
        <w:t>3</w:t>
      </w:r>
      <w:r>
        <w:rPr>
          <w:sz w:val="28"/>
          <w:szCs w:val="28"/>
          <w:lang w:val="ro-RO"/>
        </w:rPr>
        <w:t>, 37</w:t>
      </w:r>
      <w:r w:rsidR="002C6F3F" w:rsidRPr="002C6F3F">
        <w:rPr>
          <w:sz w:val="28"/>
          <w:szCs w:val="28"/>
          <w:vertAlign w:val="superscript"/>
          <w:lang w:val="ro-RO"/>
        </w:rPr>
        <w:t>4</w:t>
      </w:r>
      <w:r>
        <w:rPr>
          <w:sz w:val="28"/>
          <w:szCs w:val="28"/>
          <w:lang w:val="ro-RO"/>
        </w:rPr>
        <w:t xml:space="preserve"> și 37</w:t>
      </w:r>
      <w:r w:rsidR="002C6F3F" w:rsidRPr="002C6F3F">
        <w:rPr>
          <w:sz w:val="28"/>
          <w:szCs w:val="28"/>
          <w:vertAlign w:val="superscript"/>
          <w:lang w:val="ro-RO"/>
        </w:rPr>
        <w:t>5</w:t>
      </w:r>
    </w:p>
    <w:p w:rsidR="00000000" w:rsidRDefault="002C6F3F">
      <w:pPr>
        <w:ind w:firstLine="540"/>
        <w:jc w:val="both"/>
        <w:rPr>
          <w:sz w:val="28"/>
          <w:szCs w:val="28"/>
          <w:lang w:val="ro-RO"/>
        </w:rPr>
      </w:pPr>
      <w:r w:rsidRPr="002C6F3F">
        <w:rPr>
          <w:sz w:val="28"/>
          <w:szCs w:val="28"/>
          <w:lang w:val="ro-RO"/>
        </w:rPr>
        <w:t>Completarea capitolului cu articolele</w:t>
      </w:r>
      <w:r w:rsidR="00D64450">
        <w:rPr>
          <w:sz w:val="28"/>
          <w:szCs w:val="28"/>
          <w:vertAlign w:val="superscript"/>
          <w:lang w:val="ro-RO"/>
        </w:rPr>
        <w:t xml:space="preserve"> </w:t>
      </w:r>
      <w:r w:rsidR="00D64450">
        <w:rPr>
          <w:sz w:val="28"/>
          <w:szCs w:val="28"/>
          <w:lang w:val="ro-RO"/>
        </w:rPr>
        <w:t>respective vine să îmbunătățească cadrul legal existent în domeniu întru îmbunătățirea capacităților autorităților executive ale unităților</w:t>
      </w:r>
      <w:r w:rsidR="00D64450" w:rsidRPr="001A11F2">
        <w:rPr>
          <w:sz w:val="28"/>
          <w:szCs w:val="28"/>
          <w:lang w:val="ro-RO"/>
        </w:rPr>
        <w:t xml:space="preserve"> administrativ- teritoriale</w:t>
      </w:r>
      <w:r w:rsidR="00D64450">
        <w:rPr>
          <w:sz w:val="28"/>
          <w:szCs w:val="28"/>
          <w:lang w:val="ro-RO"/>
        </w:rPr>
        <w:t xml:space="preserve"> întru gestionarea și înregistrarea datoriei unităților</w:t>
      </w:r>
      <w:r w:rsidR="00D64450" w:rsidRPr="001A11F2">
        <w:rPr>
          <w:sz w:val="28"/>
          <w:szCs w:val="28"/>
          <w:lang w:val="ro-RO"/>
        </w:rPr>
        <w:t xml:space="preserve"> administrativ- teritoriale</w:t>
      </w:r>
      <w:r w:rsidR="00483F3C">
        <w:rPr>
          <w:sz w:val="28"/>
          <w:szCs w:val="28"/>
          <w:lang w:val="ro-RO"/>
        </w:rPr>
        <w:t>.</w:t>
      </w:r>
    </w:p>
    <w:p w:rsidR="00000000" w:rsidRDefault="00EA64DF">
      <w:pPr>
        <w:ind w:firstLine="540"/>
        <w:jc w:val="both"/>
        <w:rPr>
          <w:sz w:val="28"/>
          <w:szCs w:val="28"/>
          <w:lang w:val="ro-RO"/>
        </w:rPr>
      </w:pPr>
    </w:p>
    <w:p w:rsidR="00000000" w:rsidRDefault="009919B2">
      <w:pPr>
        <w:ind w:firstLine="540"/>
        <w:jc w:val="both"/>
        <w:rPr>
          <w:sz w:val="28"/>
          <w:szCs w:val="28"/>
          <w:vertAlign w:val="superscript"/>
          <w:lang w:val="ro-RO"/>
        </w:rPr>
      </w:pPr>
      <w:r>
        <w:rPr>
          <w:sz w:val="28"/>
          <w:szCs w:val="28"/>
          <w:lang w:val="ro-RO"/>
        </w:rPr>
        <w:lastRenderedPageBreak/>
        <w:t>La art.37</w:t>
      </w:r>
      <w:r w:rsidR="002C6F3F" w:rsidRPr="002C6F3F">
        <w:rPr>
          <w:sz w:val="28"/>
          <w:szCs w:val="28"/>
          <w:vertAlign w:val="superscript"/>
          <w:lang w:val="ro-RO"/>
        </w:rPr>
        <w:t>6</w:t>
      </w:r>
    </w:p>
    <w:p w:rsidR="00000000" w:rsidRDefault="002C6F3F">
      <w:pPr>
        <w:ind w:firstLine="540"/>
        <w:jc w:val="both"/>
        <w:rPr>
          <w:sz w:val="28"/>
          <w:szCs w:val="28"/>
          <w:lang w:val="ro-RO"/>
        </w:rPr>
      </w:pPr>
      <w:r w:rsidRPr="002C6F3F">
        <w:rPr>
          <w:sz w:val="28"/>
          <w:szCs w:val="28"/>
          <w:lang w:val="ro-RO"/>
        </w:rPr>
        <w:t>Includerea acestui articol vine din necesitatea prioritizării cheltuielilor destinate deservirii</w:t>
      </w:r>
      <w:r w:rsidR="009919B2">
        <w:rPr>
          <w:sz w:val="28"/>
          <w:szCs w:val="28"/>
          <w:vertAlign w:val="superscript"/>
          <w:lang w:val="ro-RO"/>
        </w:rPr>
        <w:t xml:space="preserve"> </w:t>
      </w:r>
      <w:r w:rsidR="009919B2">
        <w:rPr>
          <w:sz w:val="28"/>
          <w:szCs w:val="28"/>
          <w:lang w:val="ro-RO"/>
        </w:rPr>
        <w:t xml:space="preserve">datoriei </w:t>
      </w:r>
      <w:r w:rsidR="00A52812">
        <w:rPr>
          <w:sz w:val="28"/>
          <w:szCs w:val="28"/>
          <w:lang w:val="ro-RO"/>
        </w:rPr>
        <w:t xml:space="preserve">și creșterii responsabilității </w:t>
      </w:r>
      <w:r w:rsidR="009919B2">
        <w:rPr>
          <w:sz w:val="28"/>
          <w:szCs w:val="28"/>
          <w:lang w:val="ro-RO"/>
        </w:rPr>
        <w:t>unităților</w:t>
      </w:r>
      <w:r w:rsidR="009919B2" w:rsidRPr="001A11F2">
        <w:rPr>
          <w:sz w:val="28"/>
          <w:szCs w:val="28"/>
          <w:lang w:val="ro-RO"/>
        </w:rPr>
        <w:t xml:space="preserve"> administrativ- teritoriale</w:t>
      </w:r>
      <w:r w:rsidR="009919B2">
        <w:rPr>
          <w:sz w:val="28"/>
          <w:szCs w:val="28"/>
          <w:lang w:val="ro-RO"/>
        </w:rPr>
        <w:t xml:space="preserve"> </w:t>
      </w:r>
      <w:r w:rsidR="00A52812">
        <w:rPr>
          <w:sz w:val="28"/>
          <w:szCs w:val="28"/>
          <w:lang w:val="ro-RO"/>
        </w:rPr>
        <w:t>privind deservirea datoriei</w:t>
      </w:r>
      <w:r w:rsidR="00E943CB">
        <w:rPr>
          <w:sz w:val="28"/>
          <w:szCs w:val="28"/>
          <w:lang w:val="ro-RO"/>
        </w:rPr>
        <w:t>,</w:t>
      </w:r>
      <w:r w:rsidR="00A52812">
        <w:rPr>
          <w:sz w:val="28"/>
          <w:szCs w:val="28"/>
          <w:lang w:val="ro-RO"/>
        </w:rPr>
        <w:t xml:space="preserve"> </w:t>
      </w:r>
      <w:r w:rsidR="009919B2">
        <w:rPr>
          <w:sz w:val="28"/>
          <w:szCs w:val="28"/>
          <w:lang w:val="ro-RO"/>
        </w:rPr>
        <w:t xml:space="preserve">întru neadmiterea creării datoriei expirate, fapt ce va cauza neperformanță financiară a </w:t>
      </w:r>
      <w:r w:rsidR="009919B2" w:rsidRPr="001A11F2">
        <w:rPr>
          <w:sz w:val="28"/>
          <w:szCs w:val="28"/>
          <w:lang w:val="ro-RO"/>
        </w:rPr>
        <w:t>unitățil</w:t>
      </w:r>
      <w:r w:rsidR="009919B2">
        <w:rPr>
          <w:sz w:val="28"/>
          <w:szCs w:val="28"/>
          <w:lang w:val="ro-RO"/>
        </w:rPr>
        <w:t>or</w:t>
      </w:r>
      <w:r w:rsidR="009919B2" w:rsidRPr="001A11F2">
        <w:rPr>
          <w:sz w:val="28"/>
          <w:szCs w:val="28"/>
          <w:lang w:val="ro-RO"/>
        </w:rPr>
        <w:t xml:space="preserve"> administrativ- teritoriale</w:t>
      </w:r>
      <w:r w:rsidR="00A52812">
        <w:rPr>
          <w:sz w:val="28"/>
          <w:szCs w:val="28"/>
          <w:lang w:val="ro-RO"/>
        </w:rPr>
        <w:t>.</w:t>
      </w:r>
    </w:p>
    <w:p w:rsidR="00000000" w:rsidRDefault="00EA64DF">
      <w:pPr>
        <w:ind w:firstLine="540"/>
        <w:jc w:val="both"/>
        <w:rPr>
          <w:sz w:val="28"/>
          <w:szCs w:val="28"/>
          <w:lang w:val="ro-RO"/>
        </w:rPr>
      </w:pPr>
    </w:p>
    <w:p w:rsidR="00000000" w:rsidRDefault="00EA64DF">
      <w:pPr>
        <w:ind w:firstLine="540"/>
        <w:jc w:val="both"/>
        <w:rPr>
          <w:sz w:val="28"/>
          <w:szCs w:val="28"/>
          <w:lang w:val="ro-RO"/>
        </w:rPr>
      </w:pPr>
    </w:p>
    <w:p w:rsidR="00000000" w:rsidRDefault="00EA64DF">
      <w:pPr>
        <w:ind w:firstLine="540"/>
        <w:jc w:val="both"/>
        <w:rPr>
          <w:sz w:val="28"/>
          <w:szCs w:val="28"/>
          <w:lang w:val="ro-RO"/>
        </w:rPr>
      </w:pPr>
    </w:p>
    <w:p w:rsidR="00000000" w:rsidRDefault="003429A6">
      <w:pPr>
        <w:ind w:firstLine="540"/>
        <w:jc w:val="right"/>
        <w:rPr>
          <w:sz w:val="28"/>
          <w:szCs w:val="28"/>
          <w:lang w:val="ro-RO"/>
        </w:rPr>
      </w:pPr>
      <w:r>
        <w:rPr>
          <w:sz w:val="28"/>
          <w:szCs w:val="28"/>
          <w:lang w:val="ro-RO"/>
        </w:rPr>
        <w:t>Ministru Finanțelor</w:t>
      </w:r>
    </w:p>
    <w:p w:rsidR="00EA64DF" w:rsidRDefault="003429A6">
      <w:pPr>
        <w:ind w:firstLine="540"/>
        <w:jc w:val="right"/>
        <w:rPr>
          <w:sz w:val="28"/>
          <w:szCs w:val="28"/>
          <w:lang w:val="ro-RO"/>
        </w:rPr>
      </w:pPr>
      <w:r>
        <w:rPr>
          <w:sz w:val="28"/>
          <w:szCs w:val="28"/>
          <w:lang w:val="ro-RO"/>
        </w:rPr>
        <w:t>Veaceslav Negruța</w:t>
      </w:r>
    </w:p>
    <w:sectPr w:rsidR="00EA64DF" w:rsidSect="00D73D6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4DF" w:rsidRDefault="00EA64DF" w:rsidP="004808AA">
      <w:r>
        <w:separator/>
      </w:r>
    </w:p>
  </w:endnote>
  <w:endnote w:type="continuationSeparator" w:id="0">
    <w:p w:rsidR="00EA64DF" w:rsidRDefault="00EA64DF" w:rsidP="004808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4DF" w:rsidRDefault="00EA64DF" w:rsidP="004808AA">
      <w:r>
        <w:separator/>
      </w:r>
    </w:p>
  </w:footnote>
  <w:footnote w:type="continuationSeparator" w:id="0">
    <w:p w:rsidR="00EA64DF" w:rsidRDefault="00EA64DF" w:rsidP="004808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characterSpacingControl w:val="doNotCompress"/>
  <w:footnotePr>
    <w:footnote w:id="-1"/>
    <w:footnote w:id="0"/>
  </w:footnotePr>
  <w:endnotePr>
    <w:endnote w:id="-1"/>
    <w:endnote w:id="0"/>
  </w:endnotePr>
  <w:compat/>
  <w:rsids>
    <w:rsidRoot w:val="002506C7"/>
    <w:rsid w:val="00015BFC"/>
    <w:rsid w:val="000E008E"/>
    <w:rsid w:val="00117569"/>
    <w:rsid w:val="00143BBB"/>
    <w:rsid w:val="001827AA"/>
    <w:rsid w:val="0019191F"/>
    <w:rsid w:val="00195360"/>
    <w:rsid w:val="001A11F2"/>
    <w:rsid w:val="001C2F26"/>
    <w:rsid w:val="0024020B"/>
    <w:rsid w:val="002506C7"/>
    <w:rsid w:val="00251D4F"/>
    <w:rsid w:val="002A1F6D"/>
    <w:rsid w:val="002C1033"/>
    <w:rsid w:val="002C6F3F"/>
    <w:rsid w:val="002D27A6"/>
    <w:rsid w:val="002D3821"/>
    <w:rsid w:val="002F7277"/>
    <w:rsid w:val="003429A6"/>
    <w:rsid w:val="00365446"/>
    <w:rsid w:val="003F6938"/>
    <w:rsid w:val="00407545"/>
    <w:rsid w:val="00434845"/>
    <w:rsid w:val="00467E1C"/>
    <w:rsid w:val="004808AA"/>
    <w:rsid w:val="00483F3C"/>
    <w:rsid w:val="0051555F"/>
    <w:rsid w:val="00517223"/>
    <w:rsid w:val="00592DF5"/>
    <w:rsid w:val="00622E69"/>
    <w:rsid w:val="00637823"/>
    <w:rsid w:val="00684256"/>
    <w:rsid w:val="006F29D4"/>
    <w:rsid w:val="007553C2"/>
    <w:rsid w:val="007B1597"/>
    <w:rsid w:val="007B1D60"/>
    <w:rsid w:val="007D2B28"/>
    <w:rsid w:val="007D4E1E"/>
    <w:rsid w:val="007E1A77"/>
    <w:rsid w:val="008177FC"/>
    <w:rsid w:val="00824711"/>
    <w:rsid w:val="008821C0"/>
    <w:rsid w:val="0088367C"/>
    <w:rsid w:val="008C2C41"/>
    <w:rsid w:val="008D6699"/>
    <w:rsid w:val="00912903"/>
    <w:rsid w:val="009919B2"/>
    <w:rsid w:val="009A3DFF"/>
    <w:rsid w:val="00A52812"/>
    <w:rsid w:val="00A81BBD"/>
    <w:rsid w:val="00AD0948"/>
    <w:rsid w:val="00AD5BDE"/>
    <w:rsid w:val="00AD6445"/>
    <w:rsid w:val="00AF29F8"/>
    <w:rsid w:val="00BB4E81"/>
    <w:rsid w:val="00C12A96"/>
    <w:rsid w:val="00C41C97"/>
    <w:rsid w:val="00CA4692"/>
    <w:rsid w:val="00CC7B82"/>
    <w:rsid w:val="00CD1C6E"/>
    <w:rsid w:val="00D64450"/>
    <w:rsid w:val="00D73D60"/>
    <w:rsid w:val="00DC1E2F"/>
    <w:rsid w:val="00E46A93"/>
    <w:rsid w:val="00E85D3B"/>
    <w:rsid w:val="00E943CB"/>
    <w:rsid w:val="00E95E90"/>
    <w:rsid w:val="00EA64DF"/>
    <w:rsid w:val="00ED1D7D"/>
    <w:rsid w:val="00F03DF6"/>
    <w:rsid w:val="00F3361D"/>
    <w:rsid w:val="00F94554"/>
    <w:rsid w:val="00FA7A81"/>
    <w:rsid w:val="00FC3F5C"/>
    <w:rsid w:val="00FE01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6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CharChar">
    <w:name w:val="Знак Знак1 Char Char Знак Знак"/>
    <w:basedOn w:val="a"/>
    <w:rsid w:val="007D2B28"/>
    <w:pPr>
      <w:spacing w:after="160" w:line="240" w:lineRule="exact"/>
    </w:pPr>
    <w:rPr>
      <w:rFonts w:ascii="Tahoma" w:hAnsi="Tahoma"/>
      <w:sz w:val="20"/>
      <w:szCs w:val="20"/>
      <w:lang w:val="en-US" w:eastAsia="en-US"/>
    </w:rPr>
  </w:style>
  <w:style w:type="character" w:customStyle="1" w:styleId="hps">
    <w:name w:val="hps"/>
    <w:basedOn w:val="a0"/>
    <w:rsid w:val="008C2C41"/>
  </w:style>
  <w:style w:type="paragraph" w:styleId="a3">
    <w:name w:val="Balloon Text"/>
    <w:basedOn w:val="a"/>
    <w:link w:val="a4"/>
    <w:uiPriority w:val="99"/>
    <w:semiHidden/>
    <w:unhideWhenUsed/>
    <w:rsid w:val="00C12A96"/>
    <w:rPr>
      <w:rFonts w:ascii="Tahoma" w:hAnsi="Tahoma" w:cs="Tahoma"/>
      <w:sz w:val="16"/>
      <w:szCs w:val="16"/>
    </w:rPr>
  </w:style>
  <w:style w:type="character" w:customStyle="1" w:styleId="a4">
    <w:name w:val="Текст выноски Знак"/>
    <w:basedOn w:val="a0"/>
    <w:link w:val="a3"/>
    <w:uiPriority w:val="99"/>
    <w:semiHidden/>
    <w:rsid w:val="00C12A96"/>
    <w:rPr>
      <w:rFonts w:ascii="Tahoma" w:eastAsia="Times New Roman" w:hAnsi="Tahoma" w:cs="Tahoma"/>
      <w:sz w:val="16"/>
      <w:szCs w:val="16"/>
      <w:lang w:eastAsia="ru-RU"/>
    </w:rPr>
  </w:style>
  <w:style w:type="paragraph" w:styleId="a5">
    <w:name w:val="header"/>
    <w:basedOn w:val="a"/>
    <w:link w:val="a6"/>
    <w:uiPriority w:val="99"/>
    <w:semiHidden/>
    <w:unhideWhenUsed/>
    <w:rsid w:val="004808AA"/>
    <w:pPr>
      <w:tabs>
        <w:tab w:val="center" w:pos="4844"/>
        <w:tab w:val="right" w:pos="9689"/>
      </w:tabs>
    </w:pPr>
  </w:style>
  <w:style w:type="character" w:customStyle="1" w:styleId="a6">
    <w:name w:val="Верхний колонтитул Знак"/>
    <w:basedOn w:val="a0"/>
    <w:link w:val="a5"/>
    <w:uiPriority w:val="99"/>
    <w:semiHidden/>
    <w:rsid w:val="004808AA"/>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4808AA"/>
    <w:pPr>
      <w:tabs>
        <w:tab w:val="center" w:pos="4844"/>
        <w:tab w:val="right" w:pos="9689"/>
      </w:tabs>
    </w:pPr>
  </w:style>
  <w:style w:type="character" w:customStyle="1" w:styleId="a8">
    <w:name w:val="Нижний колонтитул Знак"/>
    <w:basedOn w:val="a0"/>
    <w:link w:val="a7"/>
    <w:uiPriority w:val="99"/>
    <w:semiHidden/>
    <w:rsid w:val="004808A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4</Pages>
  <Words>1120</Words>
  <Characters>6387</Characters>
  <Application>Microsoft Office Word</Application>
  <DocSecurity>0</DocSecurity>
  <Lines>53</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MATVEEVA</dc:creator>
  <cp:keywords/>
  <dc:description/>
  <cp:lastModifiedBy>ELENA MATVEEVA</cp:lastModifiedBy>
  <cp:revision>51</cp:revision>
  <dcterms:created xsi:type="dcterms:W3CDTF">2012-11-12T08:13:00Z</dcterms:created>
  <dcterms:modified xsi:type="dcterms:W3CDTF">2012-11-19T10:25:00Z</dcterms:modified>
</cp:coreProperties>
</file>