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C4" w:rsidRPr="00AD160F" w:rsidRDefault="00C31AC4" w:rsidP="008B3768">
      <w:pPr>
        <w:pStyle w:val="NormalWeb"/>
        <w:jc w:val="center"/>
        <w:rPr>
          <w:rFonts w:ascii="Times New Roman" w:hAnsi="Times New Roman"/>
          <w:b/>
          <w:sz w:val="28"/>
          <w:szCs w:val="28"/>
          <w:lang w:val="ro-MO"/>
        </w:rPr>
      </w:pPr>
    </w:p>
    <w:p w:rsidR="00C31AC4" w:rsidRPr="00AD160F" w:rsidRDefault="00C31AC4" w:rsidP="008B3768">
      <w:pPr>
        <w:pStyle w:val="NormalWeb"/>
        <w:jc w:val="center"/>
        <w:rPr>
          <w:rFonts w:ascii="Times New Roman" w:hAnsi="Times New Roman"/>
          <w:b/>
          <w:sz w:val="28"/>
          <w:szCs w:val="28"/>
          <w:lang w:val="ro-MO"/>
        </w:rPr>
      </w:pPr>
    </w:p>
    <w:p w:rsidR="00E41B5B" w:rsidRDefault="00E41B5B" w:rsidP="008B3768">
      <w:pPr>
        <w:pStyle w:val="NormalWeb"/>
        <w:jc w:val="center"/>
        <w:rPr>
          <w:rFonts w:ascii="Times New Roman" w:hAnsi="Times New Roman"/>
          <w:b/>
          <w:sz w:val="28"/>
          <w:szCs w:val="28"/>
          <w:lang w:val="ro-MO"/>
        </w:rPr>
      </w:pPr>
    </w:p>
    <w:p w:rsidR="00E41B5B" w:rsidRDefault="00E41B5B" w:rsidP="008B3768">
      <w:pPr>
        <w:pStyle w:val="NormalWeb"/>
        <w:jc w:val="center"/>
        <w:rPr>
          <w:rFonts w:ascii="Times New Roman" w:hAnsi="Times New Roman"/>
          <w:b/>
          <w:sz w:val="28"/>
          <w:szCs w:val="28"/>
          <w:lang w:val="ro-MO"/>
        </w:rPr>
      </w:pPr>
    </w:p>
    <w:p w:rsidR="00C31AC4" w:rsidRPr="00AD160F" w:rsidRDefault="00063C7D" w:rsidP="008B3768">
      <w:pPr>
        <w:pStyle w:val="NormalWeb"/>
        <w:jc w:val="center"/>
        <w:rPr>
          <w:rFonts w:ascii="Times New Roman" w:hAnsi="Times New Roman"/>
          <w:b/>
          <w:sz w:val="28"/>
          <w:szCs w:val="28"/>
          <w:lang w:val="ro-MO"/>
        </w:rPr>
      </w:pPr>
      <w:r w:rsidRPr="00AD160F">
        <w:rPr>
          <w:rFonts w:ascii="Times New Roman" w:hAnsi="Times New Roman"/>
          <w:b/>
          <w:sz w:val="28"/>
          <w:szCs w:val="28"/>
          <w:lang w:val="ro-MO"/>
        </w:rPr>
        <w:t xml:space="preserve">Notă </w:t>
      </w:r>
      <w:r w:rsidR="008B3768" w:rsidRPr="00AD160F">
        <w:rPr>
          <w:rFonts w:ascii="Times New Roman" w:hAnsi="Times New Roman"/>
          <w:b/>
          <w:sz w:val="28"/>
          <w:szCs w:val="28"/>
          <w:lang w:val="ro-MO"/>
        </w:rPr>
        <w:t xml:space="preserve">informativă </w:t>
      </w:r>
    </w:p>
    <w:p w:rsidR="00C31AC4" w:rsidRPr="00AD160F" w:rsidRDefault="008B3768" w:rsidP="008B3768">
      <w:pPr>
        <w:pStyle w:val="NormalWeb"/>
        <w:jc w:val="center"/>
        <w:rPr>
          <w:rFonts w:ascii="Times New Roman" w:hAnsi="Times New Roman"/>
          <w:b/>
          <w:sz w:val="28"/>
          <w:szCs w:val="28"/>
          <w:lang w:val="ro-MO"/>
        </w:rPr>
      </w:pPr>
      <w:r w:rsidRPr="00AD160F">
        <w:rPr>
          <w:rFonts w:ascii="Times New Roman" w:hAnsi="Times New Roman"/>
          <w:b/>
          <w:sz w:val="28"/>
          <w:szCs w:val="28"/>
          <w:lang w:val="ro-MO"/>
        </w:rPr>
        <w:t xml:space="preserve">la proiectul de lege pentru modificarea </w:t>
      </w:r>
      <w:r w:rsidR="006F4B00">
        <w:rPr>
          <w:rFonts w:ascii="Times New Roman" w:hAnsi="Times New Roman"/>
          <w:b/>
          <w:sz w:val="28"/>
          <w:szCs w:val="28"/>
          <w:lang w:val="ro-MO"/>
        </w:rPr>
        <w:t>ş</w:t>
      </w:r>
      <w:r w:rsidRPr="00AD160F">
        <w:rPr>
          <w:rFonts w:ascii="Times New Roman" w:hAnsi="Times New Roman"/>
          <w:b/>
          <w:sz w:val="28"/>
          <w:szCs w:val="28"/>
          <w:lang w:val="ro-MO"/>
        </w:rPr>
        <w:t xml:space="preserve">i </w:t>
      </w:r>
    </w:p>
    <w:p w:rsidR="00063C7D" w:rsidRPr="00AD160F" w:rsidRDefault="008B3768" w:rsidP="008B3768">
      <w:pPr>
        <w:pStyle w:val="NormalWeb"/>
        <w:jc w:val="center"/>
        <w:rPr>
          <w:rFonts w:ascii="Times New Roman" w:hAnsi="Times New Roman"/>
          <w:sz w:val="28"/>
          <w:szCs w:val="28"/>
          <w:lang w:val="ro-MO"/>
        </w:rPr>
      </w:pPr>
      <w:r w:rsidRPr="00AD160F">
        <w:rPr>
          <w:rFonts w:ascii="Times New Roman" w:hAnsi="Times New Roman"/>
          <w:b/>
          <w:sz w:val="28"/>
          <w:szCs w:val="28"/>
          <w:lang w:val="ro-MO"/>
        </w:rPr>
        <w:t>completarea unor acte legislative</w:t>
      </w:r>
    </w:p>
    <w:p w:rsidR="00063C7D" w:rsidRPr="00AD160F" w:rsidRDefault="00063C7D" w:rsidP="008B3768">
      <w:pPr>
        <w:pStyle w:val="NormalWeb"/>
        <w:rPr>
          <w:rFonts w:ascii="Times New Roman" w:hAnsi="Times New Roman"/>
          <w:b/>
          <w:sz w:val="28"/>
          <w:szCs w:val="28"/>
          <w:lang w:val="ro-MO"/>
        </w:rPr>
      </w:pPr>
      <w:r w:rsidRPr="00AD160F">
        <w:rPr>
          <w:rFonts w:ascii="Times New Roman" w:hAnsi="Times New Roman"/>
          <w:sz w:val="28"/>
          <w:szCs w:val="28"/>
          <w:lang w:val="ro-MO"/>
        </w:rPr>
        <w:t xml:space="preserve">                                                        </w:t>
      </w:r>
    </w:p>
    <w:p w:rsidR="00861A32" w:rsidRPr="00861A32" w:rsidRDefault="008B3768" w:rsidP="00861A32">
      <w:pPr>
        <w:pStyle w:val="NormalWeb"/>
        <w:rPr>
          <w:rFonts w:ascii="Times New Roman" w:hAnsi="Times New Roman"/>
          <w:sz w:val="28"/>
          <w:szCs w:val="28"/>
          <w:lang w:val="ro-MO"/>
        </w:rPr>
      </w:pPr>
      <w:r w:rsidRPr="00AD160F">
        <w:rPr>
          <w:rFonts w:ascii="Times New Roman" w:hAnsi="Times New Roman"/>
          <w:sz w:val="28"/>
          <w:szCs w:val="28"/>
          <w:lang w:val="ro-MO"/>
        </w:rPr>
        <w:t>Prezentul proiect de lege con</w:t>
      </w:r>
      <w:r w:rsidR="006F4B00">
        <w:rPr>
          <w:rFonts w:ascii="Times New Roman" w:hAnsi="Times New Roman"/>
          <w:sz w:val="28"/>
          <w:szCs w:val="28"/>
          <w:lang w:val="ro-MO"/>
        </w:rPr>
        <w:t>ţ</w:t>
      </w:r>
      <w:r w:rsidRPr="00AD160F">
        <w:rPr>
          <w:rFonts w:ascii="Times New Roman" w:hAnsi="Times New Roman"/>
          <w:sz w:val="28"/>
          <w:szCs w:val="28"/>
          <w:lang w:val="ro-MO"/>
        </w:rPr>
        <w:t>ine modificări la Legea nr. 397-XV din 16 octombrie 20</w:t>
      </w:r>
      <w:r w:rsidR="008E43D6" w:rsidRPr="00AD160F">
        <w:rPr>
          <w:rFonts w:ascii="Times New Roman" w:hAnsi="Times New Roman"/>
          <w:sz w:val="28"/>
          <w:szCs w:val="28"/>
          <w:lang w:val="ro-MO"/>
        </w:rPr>
        <w:t>0</w:t>
      </w:r>
      <w:r w:rsidRPr="00AD160F">
        <w:rPr>
          <w:rFonts w:ascii="Times New Roman" w:hAnsi="Times New Roman"/>
          <w:sz w:val="28"/>
          <w:szCs w:val="28"/>
          <w:lang w:val="ro-MO"/>
        </w:rPr>
        <w:t>3 privind finan</w:t>
      </w:r>
      <w:r w:rsidR="006F4B00">
        <w:rPr>
          <w:rFonts w:ascii="Times New Roman" w:hAnsi="Times New Roman"/>
          <w:sz w:val="28"/>
          <w:szCs w:val="28"/>
          <w:lang w:val="ro-MO"/>
        </w:rPr>
        <w:t>ţ</w:t>
      </w:r>
      <w:r w:rsidR="00861A32">
        <w:rPr>
          <w:rFonts w:ascii="Times New Roman" w:hAnsi="Times New Roman"/>
          <w:sz w:val="28"/>
          <w:szCs w:val="28"/>
          <w:lang w:val="ro-MO"/>
        </w:rPr>
        <w:t>ele publice locale</w:t>
      </w:r>
      <w:r w:rsidR="00E41B5B">
        <w:rPr>
          <w:rFonts w:ascii="Times New Roman" w:hAnsi="Times New Roman"/>
          <w:sz w:val="28"/>
          <w:szCs w:val="28"/>
          <w:lang w:val="ro-MO"/>
        </w:rPr>
        <w:t xml:space="preserve"> </w:t>
      </w:r>
      <w:r w:rsidR="00E41B5B">
        <w:rPr>
          <w:rFonts w:ascii="Times New Roman" w:hAnsi="Times New Roman"/>
          <w:sz w:val="28"/>
          <w:szCs w:val="28"/>
          <w:lang w:val="ro-RO"/>
        </w:rPr>
        <w:t>și</w:t>
      </w:r>
      <w:r w:rsidRPr="00AD160F">
        <w:rPr>
          <w:rFonts w:ascii="Times New Roman" w:hAnsi="Times New Roman"/>
          <w:sz w:val="28"/>
          <w:szCs w:val="28"/>
          <w:lang w:val="ro-MO"/>
        </w:rPr>
        <w:t xml:space="preserve"> Codul Fiscal nr. </w:t>
      </w:r>
      <w:r w:rsidR="00371292" w:rsidRPr="00AD160F">
        <w:rPr>
          <w:rFonts w:ascii="Times New Roman" w:hAnsi="Times New Roman"/>
          <w:sz w:val="28"/>
          <w:szCs w:val="28"/>
          <w:lang w:val="ro-MO"/>
        </w:rPr>
        <w:t>1613</w:t>
      </w:r>
      <w:r w:rsidRPr="00AD160F">
        <w:rPr>
          <w:rFonts w:ascii="Times New Roman" w:hAnsi="Times New Roman"/>
          <w:sz w:val="28"/>
          <w:szCs w:val="28"/>
          <w:lang w:val="ro-MO"/>
        </w:rPr>
        <w:t xml:space="preserve">-XIII din </w:t>
      </w:r>
      <w:r w:rsidR="00371292" w:rsidRPr="00AD160F">
        <w:rPr>
          <w:rFonts w:ascii="Times New Roman" w:hAnsi="Times New Roman"/>
          <w:sz w:val="28"/>
          <w:szCs w:val="28"/>
          <w:lang w:val="ro-MO"/>
        </w:rPr>
        <w:t xml:space="preserve">24 aprilie </w:t>
      </w:r>
      <w:r w:rsidR="00861A32">
        <w:rPr>
          <w:rFonts w:ascii="Times New Roman" w:hAnsi="Times New Roman"/>
          <w:sz w:val="28"/>
          <w:szCs w:val="28"/>
          <w:lang w:val="ro-MO"/>
        </w:rPr>
        <w:t>1997</w:t>
      </w:r>
      <w:r w:rsidR="00E41B5B">
        <w:rPr>
          <w:rFonts w:ascii="Times New Roman" w:hAnsi="Times New Roman"/>
          <w:sz w:val="28"/>
          <w:szCs w:val="28"/>
          <w:lang w:val="ro-MO"/>
        </w:rPr>
        <w:t>.</w:t>
      </w:r>
      <w:r w:rsidR="00861A32" w:rsidRPr="00861A32">
        <w:rPr>
          <w:rFonts w:ascii="Times New Roman" w:hAnsi="Times New Roman"/>
          <w:sz w:val="28"/>
          <w:szCs w:val="28"/>
          <w:lang w:val="ro-MO"/>
        </w:rPr>
        <w:t xml:space="preserve">  </w:t>
      </w:r>
    </w:p>
    <w:p w:rsidR="00063C7D" w:rsidRPr="00AD160F" w:rsidRDefault="00063C7D" w:rsidP="008B3768">
      <w:pPr>
        <w:pStyle w:val="NormalWeb"/>
        <w:ind w:firstLine="0"/>
        <w:rPr>
          <w:rFonts w:ascii="Times New Roman" w:hAnsi="Times New Roman"/>
          <w:sz w:val="10"/>
          <w:szCs w:val="10"/>
          <w:lang w:val="ro-MO"/>
        </w:rPr>
      </w:pPr>
    </w:p>
    <w:p w:rsidR="00063C7D" w:rsidRPr="00AD160F" w:rsidRDefault="00063C7D" w:rsidP="008B3768">
      <w:pPr>
        <w:pStyle w:val="NormalWeb"/>
        <w:numPr>
          <w:ilvl w:val="0"/>
          <w:numId w:val="16"/>
        </w:numPr>
        <w:ind w:left="510" w:firstLine="0"/>
        <w:rPr>
          <w:rFonts w:ascii="Times New Roman" w:hAnsi="Times New Roman"/>
          <w:sz w:val="28"/>
          <w:szCs w:val="28"/>
          <w:lang w:val="ro-MO"/>
        </w:rPr>
      </w:pPr>
      <w:r w:rsidRPr="00AD160F">
        <w:rPr>
          <w:rFonts w:ascii="Times New Roman" w:hAnsi="Times New Roman"/>
          <w:b/>
          <w:sz w:val="28"/>
          <w:szCs w:val="28"/>
          <w:lang w:val="ro-MO"/>
        </w:rPr>
        <w:t>C</w:t>
      </w:r>
      <w:r w:rsidR="008008D3" w:rsidRPr="00AD160F">
        <w:rPr>
          <w:rFonts w:ascii="Times New Roman" w:hAnsi="Times New Roman"/>
          <w:b/>
          <w:sz w:val="28"/>
          <w:szCs w:val="28"/>
          <w:lang w:val="ro-MO"/>
        </w:rPr>
        <w:t>ondiţiile ce au impus elaborarea proiectului</w:t>
      </w:r>
    </w:p>
    <w:p w:rsidR="00AD160F" w:rsidRPr="00AD160F" w:rsidRDefault="00AD160F" w:rsidP="00AD160F">
      <w:pPr>
        <w:pStyle w:val="NormalWeb"/>
        <w:ind w:left="510" w:firstLine="0"/>
        <w:rPr>
          <w:rFonts w:ascii="Times New Roman" w:hAnsi="Times New Roman"/>
          <w:sz w:val="10"/>
          <w:szCs w:val="10"/>
          <w:lang w:val="ro-MO"/>
        </w:rPr>
      </w:pPr>
    </w:p>
    <w:p w:rsidR="00300003" w:rsidRPr="00AD160F" w:rsidRDefault="00AD160F" w:rsidP="00B069A6">
      <w:pPr>
        <w:pStyle w:val="NormalWeb"/>
        <w:ind w:firstLine="510"/>
        <w:rPr>
          <w:rFonts w:ascii="Times New Roman" w:hAnsi="Times New Roman"/>
          <w:sz w:val="28"/>
          <w:szCs w:val="28"/>
          <w:lang w:val="ro-MO"/>
        </w:rPr>
      </w:pPr>
      <w:r>
        <w:rPr>
          <w:rFonts w:ascii="Times New Roman" w:hAnsi="Times New Roman"/>
          <w:sz w:val="28"/>
          <w:szCs w:val="28"/>
          <w:lang w:val="ro-MO"/>
        </w:rPr>
        <w:t xml:space="preserve">Prin Legea nr. 68 din </w:t>
      </w:r>
      <w:r w:rsidR="008B3768" w:rsidRPr="00AD160F">
        <w:rPr>
          <w:rFonts w:ascii="Times New Roman" w:hAnsi="Times New Roman"/>
          <w:sz w:val="28"/>
          <w:szCs w:val="28"/>
          <w:lang w:val="ro-MO"/>
        </w:rPr>
        <w:t>5 aprilie 2012</w:t>
      </w:r>
      <w:r w:rsidR="00C31AC4" w:rsidRPr="00AD160F">
        <w:rPr>
          <w:rFonts w:ascii="Times New Roman" w:hAnsi="Times New Roman"/>
          <w:sz w:val="28"/>
          <w:szCs w:val="28"/>
          <w:lang w:val="ro-MO"/>
        </w:rPr>
        <w:t>,</w:t>
      </w:r>
      <w:r w:rsidR="008B3768" w:rsidRPr="00AD160F">
        <w:rPr>
          <w:rFonts w:ascii="Times New Roman" w:hAnsi="Times New Roman"/>
          <w:sz w:val="28"/>
          <w:szCs w:val="28"/>
          <w:lang w:val="ro-MO"/>
        </w:rPr>
        <w:t xml:space="preserve"> Parlamentul a aprobat Strategia Na</w:t>
      </w:r>
      <w:r w:rsidR="006F4B00">
        <w:rPr>
          <w:rFonts w:ascii="Times New Roman" w:hAnsi="Times New Roman"/>
          <w:sz w:val="28"/>
          <w:szCs w:val="28"/>
          <w:lang w:val="ro-MO"/>
        </w:rPr>
        <w:t>ţ</w:t>
      </w:r>
      <w:r w:rsidR="008B3768" w:rsidRPr="00AD160F">
        <w:rPr>
          <w:rFonts w:ascii="Times New Roman" w:hAnsi="Times New Roman"/>
          <w:sz w:val="28"/>
          <w:szCs w:val="28"/>
          <w:lang w:val="ro-MO"/>
        </w:rPr>
        <w:t>ională de Descentralizare ( în continuare</w:t>
      </w:r>
      <w:r w:rsidR="00B069A6" w:rsidRPr="00AD160F">
        <w:rPr>
          <w:rFonts w:ascii="Times New Roman" w:hAnsi="Times New Roman"/>
          <w:sz w:val="28"/>
          <w:szCs w:val="28"/>
          <w:lang w:val="ro-MO"/>
        </w:rPr>
        <w:t xml:space="preserve"> -</w:t>
      </w:r>
      <w:r w:rsidR="008B3768" w:rsidRPr="00AD160F">
        <w:rPr>
          <w:rFonts w:ascii="Times New Roman" w:hAnsi="Times New Roman"/>
          <w:sz w:val="28"/>
          <w:szCs w:val="28"/>
          <w:lang w:val="ro-MO"/>
        </w:rPr>
        <w:t xml:space="preserve"> SND)</w:t>
      </w:r>
      <w:r w:rsidR="00B069A6" w:rsidRPr="00AD160F">
        <w:rPr>
          <w:rFonts w:ascii="Times New Roman" w:hAnsi="Times New Roman"/>
          <w:sz w:val="28"/>
          <w:szCs w:val="28"/>
          <w:lang w:val="ro-MO"/>
        </w:rPr>
        <w:t xml:space="preserve">, elaborată </w:t>
      </w:r>
      <w:r w:rsidR="006F4B00">
        <w:rPr>
          <w:rFonts w:ascii="Times New Roman" w:hAnsi="Times New Roman"/>
          <w:sz w:val="28"/>
          <w:szCs w:val="28"/>
          <w:lang w:val="ro-MO"/>
        </w:rPr>
        <w:t>ş</w:t>
      </w:r>
      <w:r w:rsidR="00B069A6" w:rsidRPr="00AD160F">
        <w:rPr>
          <w:rFonts w:ascii="Times New Roman" w:hAnsi="Times New Roman"/>
          <w:sz w:val="28"/>
          <w:szCs w:val="28"/>
          <w:lang w:val="ro-MO"/>
        </w:rPr>
        <w:t>i dezbătută public</w:t>
      </w:r>
      <w:r w:rsidR="008B3768" w:rsidRPr="00AD160F">
        <w:rPr>
          <w:rFonts w:ascii="Times New Roman" w:hAnsi="Times New Roman"/>
          <w:sz w:val="28"/>
          <w:szCs w:val="28"/>
          <w:lang w:val="ro-MO"/>
        </w:rPr>
        <w:t xml:space="preserve"> </w:t>
      </w:r>
      <w:r w:rsidR="00300003" w:rsidRPr="00AD160F">
        <w:rPr>
          <w:rFonts w:ascii="Times New Roman" w:hAnsi="Times New Roman"/>
          <w:sz w:val="28"/>
          <w:szCs w:val="28"/>
          <w:lang w:val="ro-MO"/>
        </w:rPr>
        <w:t>în trim. IV</w:t>
      </w:r>
      <w:r w:rsidR="00C31AC4" w:rsidRPr="00AD160F">
        <w:rPr>
          <w:rFonts w:ascii="Times New Roman" w:hAnsi="Times New Roman"/>
          <w:sz w:val="28"/>
          <w:szCs w:val="28"/>
          <w:lang w:val="ro-MO"/>
        </w:rPr>
        <w:t xml:space="preserve"> al anului </w:t>
      </w:r>
      <w:r w:rsidR="00300003" w:rsidRPr="00AD160F">
        <w:rPr>
          <w:rFonts w:ascii="Times New Roman" w:hAnsi="Times New Roman"/>
          <w:sz w:val="28"/>
          <w:szCs w:val="28"/>
          <w:lang w:val="ro-MO"/>
        </w:rPr>
        <w:t xml:space="preserve">2010 </w:t>
      </w:r>
      <w:r w:rsidR="006F4B00">
        <w:rPr>
          <w:rFonts w:ascii="Times New Roman" w:hAnsi="Times New Roman"/>
          <w:sz w:val="28"/>
          <w:szCs w:val="28"/>
          <w:lang w:val="ro-MO"/>
        </w:rPr>
        <w:t>ş</w:t>
      </w:r>
      <w:r w:rsidR="00300003" w:rsidRPr="00AD160F">
        <w:rPr>
          <w:rFonts w:ascii="Times New Roman" w:hAnsi="Times New Roman"/>
          <w:sz w:val="28"/>
          <w:szCs w:val="28"/>
          <w:lang w:val="ro-MO"/>
        </w:rPr>
        <w:t xml:space="preserve">i </w:t>
      </w:r>
      <w:r>
        <w:rPr>
          <w:rFonts w:ascii="Times New Roman" w:hAnsi="Times New Roman"/>
          <w:sz w:val="28"/>
          <w:szCs w:val="28"/>
          <w:lang w:val="ro-MO"/>
        </w:rPr>
        <w:t xml:space="preserve">pe parcursul </w:t>
      </w:r>
      <w:r w:rsidR="00C31AC4" w:rsidRPr="00AD160F">
        <w:rPr>
          <w:rFonts w:ascii="Times New Roman" w:hAnsi="Times New Roman"/>
          <w:sz w:val="28"/>
          <w:szCs w:val="28"/>
          <w:lang w:val="ro-MO"/>
        </w:rPr>
        <w:t>anul</w:t>
      </w:r>
      <w:r>
        <w:rPr>
          <w:rFonts w:ascii="Times New Roman" w:hAnsi="Times New Roman"/>
          <w:sz w:val="28"/>
          <w:szCs w:val="28"/>
          <w:lang w:val="ro-MO"/>
        </w:rPr>
        <w:t>ui</w:t>
      </w:r>
      <w:r w:rsidR="00C31AC4" w:rsidRPr="00AD160F">
        <w:rPr>
          <w:rFonts w:ascii="Times New Roman" w:hAnsi="Times New Roman"/>
          <w:sz w:val="28"/>
          <w:szCs w:val="28"/>
          <w:lang w:val="ro-MO"/>
        </w:rPr>
        <w:t xml:space="preserve"> </w:t>
      </w:r>
      <w:r w:rsidR="00300003" w:rsidRPr="00AD160F">
        <w:rPr>
          <w:rFonts w:ascii="Times New Roman" w:hAnsi="Times New Roman"/>
          <w:sz w:val="28"/>
          <w:szCs w:val="28"/>
          <w:lang w:val="ro-MO"/>
        </w:rPr>
        <w:t>2011. SND stabile</w:t>
      </w:r>
      <w:r w:rsidR="006F4B00">
        <w:rPr>
          <w:rFonts w:ascii="Times New Roman" w:hAnsi="Times New Roman"/>
          <w:sz w:val="28"/>
          <w:szCs w:val="28"/>
          <w:lang w:val="ro-MO"/>
        </w:rPr>
        <w:t>ş</w:t>
      </w:r>
      <w:r w:rsidR="00300003" w:rsidRPr="00AD160F">
        <w:rPr>
          <w:rFonts w:ascii="Times New Roman" w:hAnsi="Times New Roman"/>
          <w:sz w:val="28"/>
          <w:szCs w:val="28"/>
          <w:lang w:val="ro-MO"/>
        </w:rPr>
        <w:t>te, pe baza unei analize complexe, atât situa</w:t>
      </w:r>
      <w:r w:rsidR="006F4B00">
        <w:rPr>
          <w:rFonts w:ascii="Times New Roman" w:hAnsi="Times New Roman"/>
          <w:sz w:val="28"/>
          <w:szCs w:val="28"/>
          <w:lang w:val="ro-MO"/>
        </w:rPr>
        <w:t>ţ</w:t>
      </w:r>
      <w:r w:rsidR="00300003" w:rsidRPr="00AD160F">
        <w:rPr>
          <w:rFonts w:ascii="Times New Roman" w:hAnsi="Times New Roman"/>
          <w:sz w:val="28"/>
          <w:szCs w:val="28"/>
          <w:lang w:val="ro-MO"/>
        </w:rPr>
        <w:t xml:space="preserve">ia actuală a procesului de descentralizare, cât </w:t>
      </w:r>
      <w:r w:rsidR="006F4B00">
        <w:rPr>
          <w:rFonts w:ascii="Times New Roman" w:hAnsi="Times New Roman"/>
          <w:sz w:val="28"/>
          <w:szCs w:val="28"/>
          <w:lang w:val="ro-MO"/>
        </w:rPr>
        <w:t>ş</w:t>
      </w:r>
      <w:r w:rsidR="00300003" w:rsidRPr="00AD160F">
        <w:rPr>
          <w:rFonts w:ascii="Times New Roman" w:hAnsi="Times New Roman"/>
          <w:sz w:val="28"/>
          <w:szCs w:val="28"/>
          <w:lang w:val="ro-MO"/>
        </w:rPr>
        <w:t xml:space="preserve">i principalele obiective </w:t>
      </w:r>
      <w:r w:rsidR="006F4B00">
        <w:rPr>
          <w:rFonts w:ascii="Times New Roman" w:hAnsi="Times New Roman"/>
          <w:sz w:val="28"/>
          <w:szCs w:val="28"/>
          <w:lang w:val="ro-MO"/>
        </w:rPr>
        <w:t>ş</w:t>
      </w:r>
      <w:r w:rsidR="00300003" w:rsidRPr="00AD160F">
        <w:rPr>
          <w:rFonts w:ascii="Times New Roman" w:hAnsi="Times New Roman"/>
          <w:sz w:val="28"/>
          <w:szCs w:val="28"/>
          <w:lang w:val="ro-MO"/>
        </w:rPr>
        <w:t>i ac</w:t>
      </w:r>
      <w:r w:rsidR="006F4B00">
        <w:rPr>
          <w:rFonts w:ascii="Times New Roman" w:hAnsi="Times New Roman"/>
          <w:sz w:val="28"/>
          <w:szCs w:val="28"/>
          <w:lang w:val="ro-MO"/>
        </w:rPr>
        <w:t>ţ</w:t>
      </w:r>
      <w:r w:rsidR="00300003" w:rsidRPr="00AD160F">
        <w:rPr>
          <w:rFonts w:ascii="Times New Roman" w:hAnsi="Times New Roman"/>
          <w:sz w:val="28"/>
          <w:szCs w:val="28"/>
          <w:lang w:val="ro-MO"/>
        </w:rPr>
        <w:t>iuni care trebuie întreprinse pentru a consolida procesul de autonomie a administra</w:t>
      </w:r>
      <w:r w:rsidR="006F4B00">
        <w:rPr>
          <w:rFonts w:ascii="Times New Roman" w:hAnsi="Times New Roman"/>
          <w:sz w:val="28"/>
          <w:szCs w:val="28"/>
          <w:lang w:val="ro-MO"/>
        </w:rPr>
        <w:t>ţ</w:t>
      </w:r>
      <w:r w:rsidR="00300003" w:rsidRPr="00AD160F">
        <w:rPr>
          <w:rFonts w:ascii="Times New Roman" w:hAnsi="Times New Roman"/>
          <w:sz w:val="28"/>
          <w:szCs w:val="28"/>
          <w:lang w:val="ro-MO"/>
        </w:rPr>
        <w:t>iei</w:t>
      </w:r>
      <w:r w:rsidR="00B069A6" w:rsidRPr="00AD160F">
        <w:rPr>
          <w:rFonts w:ascii="Times New Roman" w:hAnsi="Times New Roman"/>
          <w:sz w:val="28"/>
          <w:szCs w:val="28"/>
          <w:lang w:val="ro-MO"/>
        </w:rPr>
        <w:t xml:space="preserve"> publice locale (în continuare - APL).</w:t>
      </w:r>
    </w:p>
    <w:p w:rsidR="00B069A6" w:rsidRPr="002531B8" w:rsidRDefault="00B069A6" w:rsidP="008B3768">
      <w:pPr>
        <w:pStyle w:val="NormalWeb"/>
        <w:ind w:firstLine="0"/>
        <w:rPr>
          <w:rFonts w:ascii="Times New Roman" w:hAnsi="Times New Roman"/>
          <w:sz w:val="10"/>
          <w:szCs w:val="10"/>
          <w:lang w:val="ro-MO"/>
        </w:rPr>
      </w:pPr>
    </w:p>
    <w:p w:rsidR="00300003" w:rsidRPr="00AD160F" w:rsidRDefault="00300003" w:rsidP="00B069A6">
      <w:pPr>
        <w:pStyle w:val="NormalWeb"/>
        <w:ind w:firstLine="510"/>
        <w:rPr>
          <w:rFonts w:ascii="Times New Roman" w:hAnsi="Times New Roman"/>
          <w:sz w:val="28"/>
          <w:szCs w:val="28"/>
          <w:lang w:val="ro-MO"/>
        </w:rPr>
      </w:pPr>
      <w:r w:rsidRPr="00AD160F">
        <w:rPr>
          <w:rFonts w:ascii="Times New Roman" w:hAnsi="Times New Roman"/>
          <w:sz w:val="28"/>
          <w:szCs w:val="28"/>
          <w:lang w:val="ro-MO"/>
        </w:rPr>
        <w:t>Astfel</w:t>
      </w:r>
      <w:r w:rsidR="00AD160F">
        <w:rPr>
          <w:rFonts w:ascii="Times New Roman" w:hAnsi="Times New Roman"/>
          <w:sz w:val="28"/>
          <w:szCs w:val="28"/>
          <w:lang w:val="ro-MO"/>
        </w:rPr>
        <w:t>,</w:t>
      </w:r>
      <w:r w:rsidRPr="00AD160F">
        <w:rPr>
          <w:rFonts w:ascii="Times New Roman" w:hAnsi="Times New Roman"/>
          <w:sz w:val="28"/>
          <w:szCs w:val="28"/>
          <w:lang w:val="ro-MO"/>
        </w:rPr>
        <w:t xml:space="preserve"> analiza situa</w:t>
      </w:r>
      <w:r w:rsidR="006F4B00">
        <w:rPr>
          <w:rFonts w:ascii="Times New Roman" w:hAnsi="Times New Roman"/>
          <w:sz w:val="28"/>
          <w:szCs w:val="28"/>
          <w:lang w:val="ro-MO"/>
        </w:rPr>
        <w:t>ţ</w:t>
      </w:r>
      <w:r w:rsidRPr="00AD160F">
        <w:rPr>
          <w:rFonts w:ascii="Times New Roman" w:hAnsi="Times New Roman"/>
          <w:sz w:val="28"/>
          <w:szCs w:val="28"/>
          <w:lang w:val="ro-MO"/>
        </w:rPr>
        <w:t>iei actuale</w:t>
      </w:r>
      <w:r w:rsidR="00B069A6" w:rsidRPr="00AD160F">
        <w:rPr>
          <w:rFonts w:ascii="Times New Roman" w:hAnsi="Times New Roman"/>
          <w:sz w:val="28"/>
          <w:szCs w:val="28"/>
          <w:lang w:val="ro-MO"/>
        </w:rPr>
        <w:t>,</w:t>
      </w:r>
      <w:r w:rsidRPr="00AD160F">
        <w:rPr>
          <w:rFonts w:ascii="Times New Roman" w:hAnsi="Times New Roman"/>
          <w:sz w:val="28"/>
          <w:szCs w:val="28"/>
          <w:lang w:val="ro-MO"/>
        </w:rPr>
        <w:t xml:space="preserve"> realizate în prima parte a </w:t>
      </w:r>
      <w:r w:rsidR="00B069A6" w:rsidRPr="00AD160F">
        <w:rPr>
          <w:rFonts w:ascii="Times New Roman" w:hAnsi="Times New Roman"/>
          <w:sz w:val="28"/>
          <w:szCs w:val="28"/>
          <w:lang w:val="ro-MO"/>
        </w:rPr>
        <w:t>SND,</w:t>
      </w:r>
      <w:r w:rsidRPr="00AD160F">
        <w:rPr>
          <w:rFonts w:ascii="Times New Roman" w:hAnsi="Times New Roman"/>
          <w:sz w:val="28"/>
          <w:szCs w:val="28"/>
          <w:lang w:val="ro-MO"/>
        </w:rPr>
        <w:t xml:space="preserve"> relevă pa</w:t>
      </w:r>
      <w:r w:rsidR="006F4B00">
        <w:rPr>
          <w:rFonts w:ascii="Times New Roman" w:hAnsi="Times New Roman"/>
          <w:sz w:val="28"/>
          <w:szCs w:val="28"/>
          <w:lang w:val="ro-MO"/>
        </w:rPr>
        <w:t>ş</w:t>
      </w:r>
      <w:r w:rsidRPr="00AD160F">
        <w:rPr>
          <w:rFonts w:ascii="Times New Roman" w:hAnsi="Times New Roman"/>
          <w:sz w:val="28"/>
          <w:szCs w:val="28"/>
          <w:lang w:val="ro-MO"/>
        </w:rPr>
        <w:t>ii realiza</w:t>
      </w:r>
      <w:r w:rsidR="006F4B00">
        <w:rPr>
          <w:rFonts w:ascii="Times New Roman" w:hAnsi="Times New Roman"/>
          <w:sz w:val="28"/>
          <w:szCs w:val="28"/>
          <w:lang w:val="ro-MO"/>
        </w:rPr>
        <w:t>ţ</w:t>
      </w:r>
      <w:r w:rsidRPr="00AD160F">
        <w:rPr>
          <w:rFonts w:ascii="Times New Roman" w:hAnsi="Times New Roman"/>
          <w:sz w:val="28"/>
          <w:szCs w:val="28"/>
          <w:lang w:val="ro-MO"/>
        </w:rPr>
        <w:t>i până acum în procesul de descentralizare, de cre</w:t>
      </w:r>
      <w:r w:rsidR="006F4B00">
        <w:rPr>
          <w:rFonts w:ascii="Times New Roman" w:hAnsi="Times New Roman"/>
          <w:sz w:val="28"/>
          <w:szCs w:val="28"/>
          <w:lang w:val="ro-MO"/>
        </w:rPr>
        <w:t>ş</w:t>
      </w:r>
      <w:r w:rsidRPr="00AD160F">
        <w:rPr>
          <w:rFonts w:ascii="Times New Roman" w:hAnsi="Times New Roman"/>
          <w:sz w:val="28"/>
          <w:szCs w:val="28"/>
          <w:lang w:val="ro-MO"/>
        </w:rPr>
        <w:t xml:space="preserve">tere a autonomiei </w:t>
      </w:r>
      <w:r w:rsidR="00B069A6" w:rsidRPr="00AD160F">
        <w:rPr>
          <w:rFonts w:ascii="Times New Roman" w:hAnsi="Times New Roman"/>
          <w:sz w:val="28"/>
          <w:szCs w:val="28"/>
          <w:lang w:val="ro-MO"/>
        </w:rPr>
        <w:t>APL</w:t>
      </w:r>
      <w:r w:rsidRPr="00AD160F">
        <w:rPr>
          <w:rFonts w:ascii="Times New Roman" w:hAnsi="Times New Roman"/>
          <w:sz w:val="28"/>
          <w:szCs w:val="28"/>
          <w:lang w:val="ro-MO"/>
        </w:rPr>
        <w:t>, de dezvoltare a democra</w:t>
      </w:r>
      <w:r w:rsidR="006F4B00">
        <w:rPr>
          <w:rFonts w:ascii="Times New Roman" w:hAnsi="Times New Roman"/>
          <w:sz w:val="28"/>
          <w:szCs w:val="28"/>
          <w:lang w:val="ro-MO"/>
        </w:rPr>
        <w:t>ţ</w:t>
      </w:r>
      <w:r w:rsidRPr="00AD160F">
        <w:rPr>
          <w:rFonts w:ascii="Times New Roman" w:hAnsi="Times New Roman"/>
          <w:sz w:val="28"/>
          <w:szCs w:val="28"/>
          <w:lang w:val="ro-MO"/>
        </w:rPr>
        <w:t xml:space="preserve">iei locale </w:t>
      </w:r>
      <w:r w:rsidR="006F4B00">
        <w:rPr>
          <w:rFonts w:ascii="Times New Roman" w:hAnsi="Times New Roman"/>
          <w:sz w:val="28"/>
          <w:szCs w:val="28"/>
          <w:lang w:val="ro-MO"/>
        </w:rPr>
        <w:t>ş</w:t>
      </w:r>
      <w:r w:rsidRPr="00AD160F">
        <w:rPr>
          <w:rFonts w:ascii="Times New Roman" w:hAnsi="Times New Roman"/>
          <w:sz w:val="28"/>
          <w:szCs w:val="28"/>
          <w:lang w:val="ro-MO"/>
        </w:rPr>
        <w:t xml:space="preserve">i a </w:t>
      </w:r>
      <w:r w:rsidR="00AD160F">
        <w:rPr>
          <w:rFonts w:ascii="Times New Roman" w:hAnsi="Times New Roman"/>
          <w:sz w:val="28"/>
          <w:szCs w:val="28"/>
          <w:lang w:val="ro-MO"/>
        </w:rPr>
        <w:t>procesului participativ</w:t>
      </w:r>
      <w:r w:rsidRPr="00AD160F">
        <w:rPr>
          <w:rFonts w:ascii="Times New Roman" w:hAnsi="Times New Roman"/>
          <w:sz w:val="28"/>
          <w:szCs w:val="28"/>
          <w:lang w:val="ro-MO"/>
        </w:rPr>
        <w:t xml:space="preserve"> în activitatea autorită</w:t>
      </w:r>
      <w:r w:rsidR="006F4B00">
        <w:rPr>
          <w:rFonts w:ascii="Times New Roman" w:hAnsi="Times New Roman"/>
          <w:sz w:val="28"/>
          <w:szCs w:val="28"/>
          <w:lang w:val="ro-MO"/>
        </w:rPr>
        <w:t>ţ</w:t>
      </w:r>
      <w:r w:rsidRPr="00AD160F">
        <w:rPr>
          <w:rFonts w:ascii="Times New Roman" w:hAnsi="Times New Roman"/>
          <w:sz w:val="28"/>
          <w:szCs w:val="28"/>
          <w:lang w:val="ro-MO"/>
        </w:rPr>
        <w:t xml:space="preserve">ilor locale. Pe de altă parte SND </w:t>
      </w:r>
      <w:r w:rsidR="001915C5" w:rsidRPr="00AD160F">
        <w:rPr>
          <w:rFonts w:ascii="Times New Roman" w:hAnsi="Times New Roman"/>
          <w:sz w:val="28"/>
          <w:szCs w:val="28"/>
          <w:lang w:val="ro-MO"/>
        </w:rPr>
        <w:t>analizează</w:t>
      </w:r>
      <w:r w:rsidRPr="00AD160F">
        <w:rPr>
          <w:rFonts w:ascii="Times New Roman" w:hAnsi="Times New Roman"/>
          <w:sz w:val="28"/>
          <w:szCs w:val="28"/>
          <w:lang w:val="ro-MO"/>
        </w:rPr>
        <w:t xml:space="preserve"> câteva probleme </w:t>
      </w:r>
      <w:r w:rsidR="00B069A6" w:rsidRPr="00AD160F">
        <w:rPr>
          <w:rFonts w:ascii="Times New Roman" w:hAnsi="Times New Roman"/>
          <w:sz w:val="28"/>
          <w:szCs w:val="28"/>
          <w:lang w:val="ro-MO"/>
        </w:rPr>
        <w:t>importante care trebuie rezolvat</w:t>
      </w:r>
      <w:r w:rsidRPr="00AD160F">
        <w:rPr>
          <w:rFonts w:ascii="Times New Roman" w:hAnsi="Times New Roman"/>
          <w:sz w:val="28"/>
          <w:szCs w:val="28"/>
          <w:lang w:val="ro-MO"/>
        </w:rPr>
        <w:t>e în perioada următoare</w:t>
      </w:r>
      <w:r w:rsidR="001915C5" w:rsidRPr="00AD160F">
        <w:rPr>
          <w:rFonts w:ascii="Times New Roman" w:hAnsi="Times New Roman"/>
          <w:sz w:val="28"/>
          <w:szCs w:val="28"/>
          <w:lang w:val="ro-MO"/>
        </w:rPr>
        <w:t>, iar din punctul de vedere al legii finan</w:t>
      </w:r>
      <w:r w:rsidR="006F4B00">
        <w:rPr>
          <w:rFonts w:ascii="Times New Roman" w:hAnsi="Times New Roman"/>
          <w:sz w:val="28"/>
          <w:szCs w:val="28"/>
          <w:lang w:val="ro-MO"/>
        </w:rPr>
        <w:t>ţ</w:t>
      </w:r>
      <w:r w:rsidR="001915C5" w:rsidRPr="00AD160F">
        <w:rPr>
          <w:rFonts w:ascii="Times New Roman" w:hAnsi="Times New Roman"/>
          <w:sz w:val="28"/>
          <w:szCs w:val="28"/>
          <w:lang w:val="ro-MO"/>
        </w:rPr>
        <w:t>elor publice locale sunt relevante cele referitoare la sistemul de finan</w:t>
      </w:r>
      <w:r w:rsidR="006F4B00">
        <w:rPr>
          <w:rFonts w:ascii="Times New Roman" w:hAnsi="Times New Roman"/>
          <w:sz w:val="28"/>
          <w:szCs w:val="28"/>
          <w:lang w:val="ro-MO"/>
        </w:rPr>
        <w:t>ţ</w:t>
      </w:r>
      <w:r w:rsidR="001915C5" w:rsidRPr="00AD160F">
        <w:rPr>
          <w:rFonts w:ascii="Times New Roman" w:hAnsi="Times New Roman"/>
          <w:sz w:val="28"/>
          <w:szCs w:val="28"/>
          <w:lang w:val="ro-MO"/>
        </w:rPr>
        <w:t>are a</w:t>
      </w:r>
      <w:r w:rsidR="00B069A6" w:rsidRPr="00AD160F">
        <w:rPr>
          <w:rFonts w:ascii="Times New Roman" w:hAnsi="Times New Roman"/>
          <w:sz w:val="28"/>
          <w:szCs w:val="28"/>
          <w:lang w:val="ro-MO"/>
        </w:rPr>
        <w:t>l</w:t>
      </w:r>
      <w:r w:rsidR="001915C5" w:rsidRPr="00AD160F">
        <w:rPr>
          <w:rFonts w:ascii="Times New Roman" w:hAnsi="Times New Roman"/>
          <w:sz w:val="28"/>
          <w:szCs w:val="28"/>
          <w:lang w:val="ro-MO"/>
        </w:rPr>
        <w:t xml:space="preserve"> </w:t>
      </w:r>
      <w:r w:rsidR="00B069A6" w:rsidRPr="00AD160F">
        <w:rPr>
          <w:rFonts w:ascii="Times New Roman" w:hAnsi="Times New Roman"/>
          <w:sz w:val="28"/>
          <w:szCs w:val="28"/>
          <w:lang w:val="ro-MO"/>
        </w:rPr>
        <w:t>APL</w:t>
      </w:r>
      <w:r w:rsidR="00AD160F">
        <w:rPr>
          <w:rFonts w:ascii="Times New Roman" w:hAnsi="Times New Roman"/>
          <w:sz w:val="28"/>
          <w:szCs w:val="28"/>
          <w:lang w:val="ro-MO"/>
        </w:rPr>
        <w:t xml:space="preserve"> </w:t>
      </w:r>
      <w:r w:rsidR="006F4B00">
        <w:rPr>
          <w:rFonts w:ascii="Times New Roman" w:hAnsi="Times New Roman"/>
          <w:sz w:val="28"/>
          <w:szCs w:val="28"/>
          <w:lang w:val="ro-MO"/>
        </w:rPr>
        <w:t>ş</w:t>
      </w:r>
      <w:r w:rsidR="00AD160F">
        <w:rPr>
          <w:rFonts w:ascii="Times New Roman" w:hAnsi="Times New Roman"/>
          <w:sz w:val="28"/>
          <w:szCs w:val="28"/>
          <w:lang w:val="ro-MO"/>
        </w:rPr>
        <w:t xml:space="preserve">i </w:t>
      </w:r>
      <w:r w:rsidR="001915C5" w:rsidRPr="00AD160F">
        <w:rPr>
          <w:rFonts w:ascii="Times New Roman" w:hAnsi="Times New Roman"/>
          <w:sz w:val="28"/>
          <w:szCs w:val="28"/>
          <w:lang w:val="ro-MO"/>
        </w:rPr>
        <w:t>nivelul de autonomie financiară</w:t>
      </w:r>
      <w:r w:rsidR="00B069A6" w:rsidRPr="00AD160F">
        <w:rPr>
          <w:rFonts w:ascii="Times New Roman" w:hAnsi="Times New Roman"/>
          <w:sz w:val="28"/>
          <w:szCs w:val="28"/>
          <w:lang w:val="ro-MO"/>
        </w:rPr>
        <w:t>, printre acestea fiind</w:t>
      </w:r>
      <w:r w:rsidRPr="00AD160F">
        <w:rPr>
          <w:rFonts w:ascii="Times New Roman" w:hAnsi="Times New Roman"/>
          <w:sz w:val="28"/>
          <w:szCs w:val="28"/>
          <w:lang w:val="ro-MO"/>
        </w:rPr>
        <w:t xml:space="preserve">: </w:t>
      </w:r>
    </w:p>
    <w:p w:rsidR="00300003" w:rsidRPr="002531B8" w:rsidRDefault="00300003" w:rsidP="008B3768">
      <w:pPr>
        <w:pStyle w:val="NormalWeb"/>
        <w:ind w:firstLine="0"/>
        <w:rPr>
          <w:rFonts w:ascii="Times New Roman" w:hAnsi="Times New Roman"/>
          <w:sz w:val="10"/>
          <w:szCs w:val="10"/>
          <w:lang w:val="ro-MO"/>
        </w:rPr>
      </w:pPr>
    </w:p>
    <w:p w:rsidR="00AD160F" w:rsidRDefault="001915C5" w:rsidP="00AD160F">
      <w:pPr>
        <w:pStyle w:val="NormalWeb"/>
        <w:numPr>
          <w:ilvl w:val="0"/>
          <w:numId w:val="3"/>
        </w:numPr>
        <w:rPr>
          <w:rFonts w:ascii="Times New Roman" w:hAnsi="Times New Roman"/>
          <w:sz w:val="28"/>
          <w:szCs w:val="28"/>
          <w:lang w:val="ro-MO"/>
        </w:rPr>
      </w:pPr>
      <w:r w:rsidRPr="00AD160F">
        <w:rPr>
          <w:rFonts w:ascii="Times New Roman" w:hAnsi="Times New Roman"/>
          <w:bCs/>
          <w:sz w:val="28"/>
          <w:szCs w:val="28"/>
          <w:lang w:val="ro-MO"/>
        </w:rPr>
        <w:t>Autonomie fiscală limitată în ceea ce priveşte impozitele şi taxele loca</w:t>
      </w:r>
      <w:r w:rsidR="00C31AC4" w:rsidRPr="00AD160F">
        <w:rPr>
          <w:rFonts w:ascii="Times New Roman" w:hAnsi="Times New Roman"/>
          <w:bCs/>
          <w:sz w:val="28"/>
          <w:szCs w:val="28"/>
          <w:lang w:val="ro-MO"/>
        </w:rPr>
        <w:t>le, potenţial fiscal insuficient</w:t>
      </w:r>
      <w:r w:rsidRPr="00AD160F">
        <w:rPr>
          <w:rFonts w:ascii="Times New Roman" w:hAnsi="Times New Roman"/>
          <w:bCs/>
          <w:sz w:val="28"/>
          <w:szCs w:val="28"/>
          <w:lang w:val="ro-MO"/>
        </w:rPr>
        <w:t>;</w:t>
      </w:r>
      <w:r w:rsidR="00AD160F" w:rsidRPr="00AD160F">
        <w:rPr>
          <w:rFonts w:ascii="Times New Roman" w:hAnsi="Times New Roman"/>
          <w:sz w:val="28"/>
          <w:szCs w:val="28"/>
          <w:lang w:val="ro-MO"/>
        </w:rPr>
        <w:t xml:space="preserve"> </w:t>
      </w:r>
    </w:p>
    <w:p w:rsidR="00AD160F" w:rsidRPr="00AD160F" w:rsidRDefault="00AD160F" w:rsidP="00AD160F">
      <w:pPr>
        <w:pStyle w:val="NormalWeb"/>
        <w:numPr>
          <w:ilvl w:val="0"/>
          <w:numId w:val="3"/>
        </w:numPr>
        <w:rPr>
          <w:rFonts w:ascii="Times New Roman" w:hAnsi="Times New Roman"/>
          <w:sz w:val="28"/>
          <w:szCs w:val="28"/>
          <w:lang w:val="ro-MO"/>
        </w:rPr>
      </w:pPr>
      <w:r w:rsidRPr="00AD160F">
        <w:rPr>
          <w:rFonts w:ascii="Times New Roman" w:hAnsi="Times New Roman"/>
          <w:sz w:val="28"/>
          <w:szCs w:val="28"/>
          <w:lang w:val="ro-MO"/>
        </w:rPr>
        <w:t>Erodarea bazei fiscale prin acordarea legislativă a numeroaselor facilităţi şi înlesniri;</w:t>
      </w:r>
    </w:p>
    <w:p w:rsidR="001915C5" w:rsidRPr="00AD160F" w:rsidRDefault="001915C5" w:rsidP="008B3768">
      <w:pPr>
        <w:pStyle w:val="NormalWeb"/>
        <w:numPr>
          <w:ilvl w:val="0"/>
          <w:numId w:val="3"/>
        </w:numPr>
        <w:rPr>
          <w:rFonts w:ascii="Times New Roman" w:hAnsi="Times New Roman"/>
          <w:sz w:val="28"/>
          <w:szCs w:val="28"/>
          <w:lang w:val="ro-MO"/>
        </w:rPr>
      </w:pPr>
      <w:r w:rsidRPr="00AD160F">
        <w:rPr>
          <w:rFonts w:ascii="Times New Roman" w:hAnsi="Times New Roman"/>
          <w:bCs/>
          <w:sz w:val="28"/>
          <w:szCs w:val="28"/>
          <w:lang w:val="ro-MO"/>
        </w:rPr>
        <w:t>Dependenţa bugetară a fiecărui nivel al administraţiei publice faţă de cel imediat superior;</w:t>
      </w:r>
    </w:p>
    <w:p w:rsidR="001915C5" w:rsidRPr="00AD160F" w:rsidRDefault="001915C5" w:rsidP="008B3768">
      <w:pPr>
        <w:pStyle w:val="NormalWeb"/>
        <w:numPr>
          <w:ilvl w:val="0"/>
          <w:numId w:val="3"/>
        </w:numPr>
        <w:rPr>
          <w:rFonts w:ascii="Times New Roman" w:hAnsi="Times New Roman"/>
          <w:sz w:val="28"/>
          <w:szCs w:val="28"/>
          <w:lang w:val="ro-MO"/>
        </w:rPr>
      </w:pPr>
      <w:r w:rsidRPr="00AD160F">
        <w:rPr>
          <w:rFonts w:ascii="Times New Roman" w:hAnsi="Times New Roman"/>
          <w:sz w:val="28"/>
          <w:szCs w:val="28"/>
          <w:lang w:val="ro-MO"/>
        </w:rPr>
        <w:t>Ineficienţa sistemului existent de transferuri între APC şi APL de diferite niveluri are ca efect descurajarea efortului fiscal propriu al autorită</w:t>
      </w:r>
      <w:r w:rsidR="006F4B00">
        <w:rPr>
          <w:rFonts w:ascii="Times New Roman" w:hAnsi="Times New Roman"/>
          <w:sz w:val="28"/>
          <w:szCs w:val="28"/>
          <w:lang w:val="ro-MO"/>
        </w:rPr>
        <w:t>ţ</w:t>
      </w:r>
      <w:r w:rsidRPr="00AD160F">
        <w:rPr>
          <w:rFonts w:ascii="Times New Roman" w:hAnsi="Times New Roman"/>
          <w:sz w:val="28"/>
          <w:szCs w:val="28"/>
          <w:lang w:val="ro-MO"/>
        </w:rPr>
        <w:t>ilor locale;</w:t>
      </w:r>
    </w:p>
    <w:p w:rsidR="001915C5" w:rsidRPr="00AD160F" w:rsidRDefault="00AD160F" w:rsidP="008B3768">
      <w:pPr>
        <w:pStyle w:val="NormalWeb"/>
        <w:numPr>
          <w:ilvl w:val="0"/>
          <w:numId w:val="3"/>
        </w:numPr>
        <w:rPr>
          <w:rFonts w:ascii="Times New Roman" w:hAnsi="Times New Roman"/>
          <w:sz w:val="28"/>
          <w:szCs w:val="28"/>
          <w:lang w:val="ro-MO"/>
        </w:rPr>
      </w:pPr>
      <w:r>
        <w:rPr>
          <w:rFonts w:ascii="Times New Roman" w:hAnsi="Times New Roman"/>
          <w:sz w:val="28"/>
          <w:szCs w:val="28"/>
          <w:lang w:val="ro-MO"/>
        </w:rPr>
        <w:t xml:space="preserve">Volatilitatea </w:t>
      </w:r>
      <w:r w:rsidR="001915C5" w:rsidRPr="00AD160F">
        <w:rPr>
          <w:rFonts w:ascii="Times New Roman" w:hAnsi="Times New Roman"/>
          <w:sz w:val="28"/>
          <w:szCs w:val="28"/>
          <w:lang w:val="ro-MO"/>
        </w:rPr>
        <w:t>sistem</w:t>
      </w:r>
      <w:r>
        <w:rPr>
          <w:rFonts w:ascii="Times New Roman" w:hAnsi="Times New Roman"/>
          <w:sz w:val="28"/>
          <w:szCs w:val="28"/>
          <w:lang w:val="ro-MO"/>
        </w:rPr>
        <w:t>ului</w:t>
      </w:r>
      <w:r w:rsidR="001915C5" w:rsidRPr="00AD160F">
        <w:rPr>
          <w:rFonts w:ascii="Times New Roman" w:hAnsi="Times New Roman"/>
          <w:sz w:val="28"/>
          <w:szCs w:val="28"/>
          <w:lang w:val="ro-MO"/>
        </w:rPr>
        <w:t xml:space="preserve"> de finanţe</w:t>
      </w:r>
      <w:r>
        <w:rPr>
          <w:rFonts w:ascii="Times New Roman" w:hAnsi="Times New Roman"/>
          <w:sz w:val="28"/>
          <w:szCs w:val="28"/>
          <w:lang w:val="ro-MO"/>
        </w:rPr>
        <w:t xml:space="preserve"> publice locale </w:t>
      </w:r>
      <w:r w:rsidR="001915C5" w:rsidRPr="00AD160F">
        <w:rPr>
          <w:rFonts w:ascii="Times New Roman" w:hAnsi="Times New Roman"/>
          <w:sz w:val="28"/>
          <w:szCs w:val="28"/>
          <w:lang w:val="ro-MO"/>
        </w:rPr>
        <w:t>de la un an la altul</w:t>
      </w:r>
      <w:r w:rsidR="00B069A6" w:rsidRPr="00AD160F">
        <w:rPr>
          <w:rFonts w:ascii="Times New Roman" w:hAnsi="Times New Roman"/>
          <w:sz w:val="28"/>
          <w:szCs w:val="28"/>
          <w:lang w:val="ro-MO"/>
        </w:rPr>
        <w:t>.</w:t>
      </w:r>
    </w:p>
    <w:p w:rsidR="001915C5" w:rsidRPr="00402130" w:rsidRDefault="001915C5" w:rsidP="008B3768">
      <w:pPr>
        <w:pStyle w:val="NormalWeb"/>
        <w:rPr>
          <w:rFonts w:ascii="Times New Roman" w:hAnsi="Times New Roman"/>
          <w:sz w:val="10"/>
          <w:szCs w:val="10"/>
          <w:lang w:val="ro-MO"/>
        </w:rPr>
      </w:pPr>
    </w:p>
    <w:p w:rsidR="00063C7D" w:rsidRPr="00AD160F" w:rsidRDefault="001915C5" w:rsidP="00E0749A">
      <w:pPr>
        <w:pStyle w:val="NormalWeb"/>
        <w:rPr>
          <w:rFonts w:ascii="Times New Roman" w:hAnsi="Times New Roman"/>
          <w:sz w:val="28"/>
          <w:szCs w:val="28"/>
          <w:lang w:val="ro-MO"/>
        </w:rPr>
      </w:pPr>
      <w:r w:rsidRPr="00AD160F">
        <w:rPr>
          <w:rFonts w:ascii="Times New Roman" w:hAnsi="Times New Roman"/>
          <w:sz w:val="28"/>
          <w:szCs w:val="28"/>
          <w:lang w:val="ro-MO"/>
        </w:rPr>
        <w:t xml:space="preserve">Pornind de la aceste analize </w:t>
      </w:r>
      <w:r w:rsidR="006F4B00">
        <w:rPr>
          <w:rFonts w:ascii="Times New Roman" w:hAnsi="Times New Roman"/>
          <w:sz w:val="28"/>
          <w:szCs w:val="28"/>
          <w:lang w:val="ro-MO"/>
        </w:rPr>
        <w:t>ş</w:t>
      </w:r>
      <w:r w:rsidRPr="00AD160F">
        <w:rPr>
          <w:rFonts w:ascii="Times New Roman" w:hAnsi="Times New Roman"/>
          <w:sz w:val="28"/>
          <w:szCs w:val="28"/>
          <w:lang w:val="ro-MO"/>
        </w:rPr>
        <w:t>i constatări, în domeni</w:t>
      </w:r>
      <w:r w:rsidR="00AD160F">
        <w:rPr>
          <w:rFonts w:ascii="Times New Roman" w:hAnsi="Times New Roman"/>
          <w:sz w:val="28"/>
          <w:szCs w:val="28"/>
          <w:lang w:val="ro-MO"/>
        </w:rPr>
        <w:t xml:space="preserve">ul descentralizării financiare </w:t>
      </w:r>
      <w:r w:rsidRPr="00AD160F">
        <w:rPr>
          <w:rFonts w:ascii="Times New Roman" w:hAnsi="Times New Roman"/>
          <w:sz w:val="28"/>
          <w:szCs w:val="28"/>
          <w:lang w:val="ro-MO"/>
        </w:rPr>
        <w:t>SND stabile</w:t>
      </w:r>
      <w:r w:rsidR="006F4B00">
        <w:rPr>
          <w:rFonts w:ascii="Times New Roman" w:hAnsi="Times New Roman"/>
          <w:sz w:val="28"/>
          <w:szCs w:val="28"/>
          <w:lang w:val="ro-MO"/>
        </w:rPr>
        <w:t>ş</w:t>
      </w:r>
      <w:r w:rsidRPr="00AD160F">
        <w:rPr>
          <w:rFonts w:ascii="Times New Roman" w:hAnsi="Times New Roman"/>
          <w:sz w:val="28"/>
          <w:szCs w:val="28"/>
          <w:lang w:val="ro-MO"/>
        </w:rPr>
        <w:t>te următorul obiectiv:</w:t>
      </w:r>
    </w:p>
    <w:p w:rsidR="001915C5" w:rsidRPr="00402130" w:rsidRDefault="001915C5" w:rsidP="00E0749A">
      <w:pPr>
        <w:pStyle w:val="NormalWeb"/>
        <w:ind w:firstLine="0"/>
        <w:rPr>
          <w:rFonts w:ascii="Times New Roman" w:hAnsi="Times New Roman"/>
          <w:sz w:val="10"/>
          <w:szCs w:val="10"/>
          <w:lang w:val="ro-MO"/>
        </w:rPr>
      </w:pPr>
    </w:p>
    <w:p w:rsidR="001915C5" w:rsidRPr="00AD160F" w:rsidRDefault="001915C5" w:rsidP="00E0749A">
      <w:pPr>
        <w:pStyle w:val="NormalWeb"/>
        <w:rPr>
          <w:rFonts w:ascii="Times New Roman" w:hAnsi="Times New Roman"/>
          <w:bCs/>
          <w:sz w:val="28"/>
          <w:szCs w:val="28"/>
          <w:lang w:val="ro-MO"/>
        </w:rPr>
      </w:pPr>
      <w:r w:rsidRPr="00AD160F">
        <w:rPr>
          <w:rFonts w:ascii="Times New Roman" w:hAnsi="Times New Roman"/>
          <w:bCs/>
          <w:sz w:val="28"/>
          <w:szCs w:val="28"/>
          <w:lang w:val="ro-MO"/>
        </w:rPr>
        <w:t>Perfecţionarea actualului sistem de fin</w:t>
      </w:r>
      <w:r w:rsidR="001362F3" w:rsidRPr="00AD160F">
        <w:rPr>
          <w:rFonts w:ascii="Times New Roman" w:hAnsi="Times New Roman"/>
          <w:bCs/>
          <w:sz w:val="28"/>
          <w:szCs w:val="28"/>
          <w:lang w:val="ro-MO"/>
        </w:rPr>
        <w:t>anţe publice locale, astfel încî</w:t>
      </w:r>
      <w:r w:rsidRPr="00AD160F">
        <w:rPr>
          <w:rFonts w:ascii="Times New Roman" w:hAnsi="Times New Roman"/>
          <w:bCs/>
          <w:sz w:val="28"/>
          <w:szCs w:val="28"/>
          <w:lang w:val="ro-MO"/>
        </w:rPr>
        <w:t>t să se asigure autonomia financiară a APL, cu menţinerea disciplinei financiare, maximizarea eficienţei şi asigurarea echităţii în alocarea resurselor.</w:t>
      </w:r>
    </w:p>
    <w:p w:rsidR="001915C5" w:rsidRPr="00402130" w:rsidRDefault="001915C5" w:rsidP="008B3768">
      <w:pPr>
        <w:pStyle w:val="NormalWeb"/>
        <w:ind w:firstLine="0"/>
        <w:rPr>
          <w:rFonts w:ascii="Times New Roman" w:hAnsi="Times New Roman"/>
          <w:bCs/>
          <w:sz w:val="10"/>
          <w:szCs w:val="10"/>
          <w:lang w:val="ro-MO"/>
        </w:rPr>
      </w:pPr>
    </w:p>
    <w:p w:rsidR="001915C5" w:rsidRPr="00AD160F" w:rsidRDefault="001915C5" w:rsidP="00E0749A">
      <w:pPr>
        <w:pStyle w:val="NormalWeb"/>
        <w:contextualSpacing/>
        <w:rPr>
          <w:rFonts w:ascii="Times New Roman" w:hAnsi="Times New Roman"/>
          <w:sz w:val="28"/>
          <w:szCs w:val="28"/>
          <w:lang w:val="ro-MO"/>
        </w:rPr>
      </w:pPr>
      <w:r w:rsidRPr="00AD160F">
        <w:rPr>
          <w:rFonts w:ascii="Times New Roman" w:hAnsi="Times New Roman"/>
          <w:sz w:val="28"/>
          <w:szCs w:val="28"/>
          <w:lang w:val="ro-MO"/>
        </w:rPr>
        <w:t>Pentru atingerea acestui obiectiv SND stabile</w:t>
      </w:r>
      <w:r w:rsidR="006F4B00">
        <w:rPr>
          <w:rFonts w:ascii="Times New Roman" w:hAnsi="Times New Roman"/>
          <w:sz w:val="28"/>
          <w:szCs w:val="28"/>
          <w:lang w:val="ro-MO"/>
        </w:rPr>
        <w:t>ş</w:t>
      </w:r>
      <w:r w:rsidRPr="00AD160F">
        <w:rPr>
          <w:rFonts w:ascii="Times New Roman" w:hAnsi="Times New Roman"/>
          <w:sz w:val="28"/>
          <w:szCs w:val="28"/>
          <w:lang w:val="ro-MO"/>
        </w:rPr>
        <w:t xml:space="preserve">te </w:t>
      </w:r>
      <w:r w:rsidR="00AD160F">
        <w:rPr>
          <w:rFonts w:ascii="Times New Roman" w:hAnsi="Times New Roman"/>
          <w:sz w:val="28"/>
          <w:szCs w:val="28"/>
          <w:lang w:val="ro-MO"/>
        </w:rPr>
        <w:t>trei grupuri de</w:t>
      </w:r>
      <w:r w:rsidR="00520D50">
        <w:rPr>
          <w:rFonts w:ascii="Times New Roman" w:hAnsi="Times New Roman"/>
          <w:sz w:val="28"/>
          <w:szCs w:val="28"/>
          <w:lang w:val="ro-MO"/>
        </w:rPr>
        <w:t xml:space="preserve"> </w:t>
      </w:r>
      <w:r w:rsidR="00AD160F">
        <w:rPr>
          <w:rFonts w:ascii="Times New Roman" w:hAnsi="Times New Roman"/>
          <w:sz w:val="28"/>
          <w:szCs w:val="28"/>
          <w:lang w:val="ro-MO"/>
        </w:rPr>
        <w:t>ac</w:t>
      </w:r>
      <w:r w:rsidR="006F4B00">
        <w:rPr>
          <w:rFonts w:ascii="Times New Roman" w:hAnsi="Times New Roman"/>
          <w:sz w:val="28"/>
          <w:szCs w:val="28"/>
          <w:lang w:val="ro-MO"/>
        </w:rPr>
        <w:t>ţ</w:t>
      </w:r>
      <w:r w:rsidR="00AD160F">
        <w:rPr>
          <w:rFonts w:ascii="Times New Roman" w:hAnsi="Times New Roman"/>
          <w:sz w:val="28"/>
          <w:szCs w:val="28"/>
          <w:lang w:val="ro-MO"/>
        </w:rPr>
        <w:t>iuni prioritare</w:t>
      </w:r>
      <w:r w:rsidRPr="00AD160F">
        <w:rPr>
          <w:rFonts w:ascii="Times New Roman" w:hAnsi="Times New Roman"/>
          <w:sz w:val="28"/>
          <w:szCs w:val="28"/>
          <w:lang w:val="ro-MO"/>
        </w:rPr>
        <w:t>:</w:t>
      </w:r>
    </w:p>
    <w:p w:rsidR="00E41B5B" w:rsidRDefault="00E41B5B" w:rsidP="00E0749A">
      <w:pPr>
        <w:ind w:firstLine="567"/>
        <w:contextualSpacing/>
        <w:jc w:val="both"/>
        <w:rPr>
          <w:rFonts w:ascii="Times New Roman" w:hAnsi="Times New Roman" w:cs="Times New Roman"/>
          <w:bCs/>
          <w:sz w:val="28"/>
          <w:szCs w:val="28"/>
          <w:lang w:val="ro-MO"/>
        </w:rPr>
      </w:pPr>
    </w:p>
    <w:p w:rsidR="00B069A6" w:rsidRPr="00520D50" w:rsidRDefault="001915C5" w:rsidP="00E0749A">
      <w:pPr>
        <w:ind w:firstLine="567"/>
        <w:contextualSpacing/>
        <w:jc w:val="both"/>
        <w:rPr>
          <w:rFonts w:ascii="Times New Roman" w:hAnsi="Times New Roman" w:cs="Times New Roman"/>
          <w:bCs/>
          <w:sz w:val="28"/>
          <w:szCs w:val="28"/>
          <w:lang w:val="ro-MO"/>
        </w:rPr>
      </w:pPr>
      <w:r w:rsidRPr="00520D50">
        <w:rPr>
          <w:rFonts w:ascii="Times New Roman" w:hAnsi="Times New Roman" w:cs="Times New Roman"/>
          <w:bCs/>
          <w:sz w:val="28"/>
          <w:szCs w:val="28"/>
          <w:lang w:val="ro-MO"/>
        </w:rPr>
        <w:lastRenderedPageBreak/>
        <w:t>1. Consolidarea bazei de venituri locale proprii şi a a</w:t>
      </w:r>
      <w:r w:rsidR="00B069A6" w:rsidRPr="00520D50">
        <w:rPr>
          <w:rFonts w:ascii="Times New Roman" w:hAnsi="Times New Roman" w:cs="Times New Roman"/>
          <w:bCs/>
          <w:sz w:val="28"/>
          <w:szCs w:val="28"/>
          <w:lang w:val="ro-MO"/>
        </w:rPr>
        <w:t>utonomiei de decizie asupra lor;</w:t>
      </w:r>
    </w:p>
    <w:p w:rsidR="00B069A6" w:rsidRPr="00520D50" w:rsidRDefault="001915C5" w:rsidP="00E0749A">
      <w:pPr>
        <w:ind w:firstLine="567"/>
        <w:contextualSpacing/>
        <w:jc w:val="both"/>
        <w:rPr>
          <w:rFonts w:ascii="Times New Roman" w:hAnsi="Times New Roman" w:cs="Times New Roman"/>
          <w:bCs/>
          <w:sz w:val="28"/>
          <w:szCs w:val="28"/>
          <w:lang w:val="ro-MO"/>
        </w:rPr>
      </w:pPr>
      <w:r w:rsidRPr="00520D50">
        <w:rPr>
          <w:rFonts w:ascii="Times New Roman" w:hAnsi="Times New Roman" w:cs="Times New Roman"/>
          <w:bCs/>
          <w:sz w:val="28"/>
          <w:szCs w:val="28"/>
          <w:lang w:val="ro-MO"/>
        </w:rPr>
        <w:t xml:space="preserve">2. Reformarea sistemului de transferuri şi impozite partajate, statuarea acestuia pe baze obiective şi previzibile, cu separarea bugetelor </w:t>
      </w:r>
      <w:r w:rsidRPr="00520D50">
        <w:rPr>
          <w:rFonts w:ascii="Times New Roman" w:hAnsi="Times New Roman" w:cs="Times New Roman"/>
          <w:bCs/>
          <w:iCs/>
          <w:sz w:val="28"/>
          <w:szCs w:val="28"/>
          <w:lang w:val="ro-MO"/>
        </w:rPr>
        <w:t xml:space="preserve">APL de nivelurile întîi şi al doilea, pentru a asigura </w:t>
      </w:r>
      <w:r w:rsidRPr="00520D50">
        <w:rPr>
          <w:rFonts w:ascii="Times New Roman" w:hAnsi="Times New Roman" w:cs="Times New Roman"/>
          <w:bCs/>
          <w:sz w:val="28"/>
          <w:szCs w:val="28"/>
          <w:lang w:val="ro-MO"/>
        </w:rPr>
        <w:t>un nivel minim de servicii, cu condiţia ca sistemul să nu descurajeze efortul fiscal propriu şi util</w:t>
      </w:r>
      <w:r w:rsidR="00B069A6" w:rsidRPr="00520D50">
        <w:rPr>
          <w:rFonts w:ascii="Times New Roman" w:hAnsi="Times New Roman" w:cs="Times New Roman"/>
          <w:bCs/>
          <w:sz w:val="28"/>
          <w:szCs w:val="28"/>
          <w:lang w:val="ro-MO"/>
        </w:rPr>
        <w:t>izarea raţională a resurselor;</w:t>
      </w:r>
    </w:p>
    <w:p w:rsidR="001915C5" w:rsidRPr="00520D50" w:rsidRDefault="001915C5" w:rsidP="00E0749A">
      <w:pPr>
        <w:ind w:firstLine="567"/>
        <w:contextualSpacing/>
        <w:jc w:val="both"/>
        <w:rPr>
          <w:rFonts w:ascii="Times New Roman" w:hAnsi="Times New Roman" w:cs="Times New Roman"/>
          <w:bCs/>
          <w:sz w:val="28"/>
          <w:szCs w:val="28"/>
          <w:lang w:val="ro-MO"/>
        </w:rPr>
      </w:pPr>
      <w:r w:rsidRPr="00520D50">
        <w:rPr>
          <w:rFonts w:ascii="Times New Roman" w:hAnsi="Times New Roman" w:cs="Times New Roman"/>
          <w:bCs/>
          <w:sz w:val="28"/>
          <w:szCs w:val="28"/>
          <w:lang w:val="ro-MO"/>
        </w:rPr>
        <w:t>3. Consolidarea managementului financiar la nivelul APL, cu garantarea disciplinei financiare, creşterea transp</w:t>
      </w:r>
      <w:r w:rsidR="00B069A6" w:rsidRPr="00520D50">
        <w:rPr>
          <w:rFonts w:ascii="Times New Roman" w:hAnsi="Times New Roman" w:cs="Times New Roman"/>
          <w:bCs/>
          <w:sz w:val="28"/>
          <w:szCs w:val="28"/>
          <w:lang w:val="ro-MO"/>
        </w:rPr>
        <w:t>arenţei şi participării publice.</w:t>
      </w:r>
    </w:p>
    <w:p w:rsidR="00063C7D" w:rsidRPr="00AD160F" w:rsidRDefault="00D8215F" w:rsidP="00B069A6">
      <w:pPr>
        <w:pStyle w:val="NormalWeb"/>
        <w:rPr>
          <w:rFonts w:ascii="Times New Roman" w:hAnsi="Times New Roman"/>
          <w:sz w:val="28"/>
          <w:szCs w:val="28"/>
          <w:lang w:val="ro-MO"/>
        </w:rPr>
      </w:pPr>
      <w:r w:rsidRPr="00AD160F">
        <w:rPr>
          <w:rFonts w:ascii="Times New Roman" w:hAnsi="Times New Roman"/>
          <w:sz w:val="28"/>
          <w:szCs w:val="28"/>
          <w:lang w:val="ro-MO"/>
        </w:rPr>
        <w:t xml:space="preserve">În contextul acestor prevederi ale </w:t>
      </w:r>
      <w:r w:rsidR="00B069A6" w:rsidRPr="00AD160F">
        <w:rPr>
          <w:rFonts w:ascii="Times New Roman" w:hAnsi="Times New Roman"/>
          <w:sz w:val="28"/>
          <w:szCs w:val="28"/>
          <w:lang w:val="ro-MO"/>
        </w:rPr>
        <w:t>SND</w:t>
      </w:r>
      <w:r w:rsidRPr="00AD160F">
        <w:rPr>
          <w:rFonts w:ascii="Times New Roman" w:hAnsi="Times New Roman"/>
          <w:sz w:val="28"/>
          <w:szCs w:val="28"/>
          <w:lang w:val="ro-MO"/>
        </w:rPr>
        <w:t>, Ministerul Finan</w:t>
      </w:r>
      <w:r w:rsidR="006F4B00">
        <w:rPr>
          <w:rFonts w:ascii="Times New Roman" w:hAnsi="Times New Roman"/>
          <w:sz w:val="28"/>
          <w:szCs w:val="28"/>
          <w:lang w:val="ro-MO"/>
        </w:rPr>
        <w:t>ţ</w:t>
      </w:r>
      <w:r w:rsidRPr="00AD160F">
        <w:rPr>
          <w:rFonts w:ascii="Times New Roman" w:hAnsi="Times New Roman"/>
          <w:sz w:val="28"/>
          <w:szCs w:val="28"/>
          <w:lang w:val="ro-MO"/>
        </w:rPr>
        <w:t>elor cu asisten</w:t>
      </w:r>
      <w:r w:rsidR="006F4B00">
        <w:rPr>
          <w:rFonts w:ascii="Times New Roman" w:hAnsi="Times New Roman"/>
          <w:sz w:val="28"/>
          <w:szCs w:val="28"/>
          <w:lang w:val="ro-MO"/>
        </w:rPr>
        <w:t>ţ</w:t>
      </w:r>
      <w:r w:rsidRPr="00AD160F">
        <w:rPr>
          <w:rFonts w:ascii="Times New Roman" w:hAnsi="Times New Roman"/>
          <w:sz w:val="28"/>
          <w:szCs w:val="28"/>
          <w:lang w:val="ro-MO"/>
        </w:rPr>
        <w:t xml:space="preserve">ă din partea Programului </w:t>
      </w:r>
      <w:r w:rsidR="00C31AC4" w:rsidRPr="00AD160F">
        <w:rPr>
          <w:rFonts w:ascii="Times New Roman" w:hAnsi="Times New Roman"/>
          <w:sz w:val="28"/>
          <w:szCs w:val="28"/>
          <w:lang w:val="ro-MO"/>
        </w:rPr>
        <w:t>Comun de Dezvoltare Locală Integrată</w:t>
      </w:r>
      <w:r w:rsidR="006F4B00">
        <w:rPr>
          <w:rFonts w:ascii="Times New Roman" w:hAnsi="Times New Roman"/>
          <w:sz w:val="28"/>
          <w:szCs w:val="28"/>
          <w:lang w:val="ro-MO"/>
        </w:rPr>
        <w:t xml:space="preserve"> al PNUD Moldova, în prima jumătate a anului 2012, în baza </w:t>
      </w:r>
      <w:r w:rsidRPr="00AD160F">
        <w:rPr>
          <w:rFonts w:ascii="Times New Roman" w:hAnsi="Times New Roman"/>
          <w:sz w:val="28"/>
          <w:szCs w:val="28"/>
          <w:lang w:val="ro-MO"/>
        </w:rPr>
        <w:t>legisla</w:t>
      </w:r>
      <w:r w:rsidR="006F4B00">
        <w:rPr>
          <w:rFonts w:ascii="Times New Roman" w:hAnsi="Times New Roman"/>
          <w:sz w:val="28"/>
          <w:szCs w:val="28"/>
          <w:lang w:val="ro-MO"/>
        </w:rPr>
        <w:t>ţ</w:t>
      </w:r>
      <w:r w:rsidRPr="00AD160F">
        <w:rPr>
          <w:rFonts w:ascii="Times New Roman" w:hAnsi="Times New Roman"/>
          <w:sz w:val="28"/>
          <w:szCs w:val="28"/>
          <w:lang w:val="ro-MO"/>
        </w:rPr>
        <w:t>ii în domeniu</w:t>
      </w:r>
      <w:r w:rsidR="006F4B00">
        <w:rPr>
          <w:rFonts w:ascii="Times New Roman" w:hAnsi="Times New Roman"/>
          <w:sz w:val="28"/>
          <w:szCs w:val="28"/>
          <w:lang w:val="ro-MO"/>
        </w:rPr>
        <w:t>l descentralizării financiare şi</w:t>
      </w:r>
      <w:r w:rsidRPr="00AD160F">
        <w:rPr>
          <w:rFonts w:ascii="Times New Roman" w:hAnsi="Times New Roman"/>
          <w:sz w:val="28"/>
          <w:szCs w:val="28"/>
          <w:lang w:val="ro-MO"/>
        </w:rPr>
        <w:t xml:space="preserve"> a situa</w:t>
      </w:r>
      <w:r w:rsidR="006F4B00">
        <w:rPr>
          <w:rFonts w:ascii="Times New Roman" w:hAnsi="Times New Roman"/>
          <w:sz w:val="28"/>
          <w:szCs w:val="28"/>
          <w:lang w:val="ro-MO"/>
        </w:rPr>
        <w:t>ţ</w:t>
      </w:r>
      <w:r w:rsidRPr="00AD160F">
        <w:rPr>
          <w:rFonts w:ascii="Times New Roman" w:hAnsi="Times New Roman"/>
          <w:sz w:val="28"/>
          <w:szCs w:val="28"/>
          <w:lang w:val="ro-MO"/>
        </w:rPr>
        <w:t xml:space="preserve">iei actuale </w:t>
      </w:r>
      <w:r w:rsidR="006F4B00">
        <w:rPr>
          <w:rFonts w:ascii="Times New Roman" w:hAnsi="Times New Roman"/>
          <w:sz w:val="28"/>
          <w:szCs w:val="28"/>
          <w:lang w:val="ro-MO"/>
        </w:rPr>
        <w:t xml:space="preserve">a întocmit şi a analizat </w:t>
      </w:r>
      <w:r w:rsidRPr="00AD160F">
        <w:rPr>
          <w:rFonts w:ascii="Times New Roman" w:hAnsi="Times New Roman"/>
          <w:sz w:val="28"/>
          <w:szCs w:val="28"/>
          <w:lang w:val="ro-MO"/>
        </w:rPr>
        <w:t xml:space="preserve">o serie de modele </w:t>
      </w:r>
      <w:r w:rsidR="006F4B00">
        <w:rPr>
          <w:rFonts w:ascii="Times New Roman" w:hAnsi="Times New Roman"/>
          <w:sz w:val="28"/>
          <w:szCs w:val="28"/>
          <w:lang w:val="ro-MO"/>
        </w:rPr>
        <w:t>ş</w:t>
      </w:r>
      <w:r w:rsidRPr="00AD160F">
        <w:rPr>
          <w:rFonts w:ascii="Times New Roman" w:hAnsi="Times New Roman"/>
          <w:sz w:val="28"/>
          <w:szCs w:val="28"/>
          <w:lang w:val="ro-MO"/>
        </w:rPr>
        <w:t>i simulări economice ale unor propuneri de politică publică de cre</w:t>
      </w:r>
      <w:r w:rsidR="006F4B00">
        <w:rPr>
          <w:rFonts w:ascii="Times New Roman" w:hAnsi="Times New Roman"/>
          <w:sz w:val="28"/>
          <w:szCs w:val="28"/>
          <w:lang w:val="ro-MO"/>
        </w:rPr>
        <w:t>ş</w:t>
      </w:r>
      <w:r w:rsidRPr="00AD160F">
        <w:rPr>
          <w:rFonts w:ascii="Times New Roman" w:hAnsi="Times New Roman"/>
          <w:sz w:val="28"/>
          <w:szCs w:val="28"/>
          <w:lang w:val="ro-MO"/>
        </w:rPr>
        <w:t xml:space="preserve">tere a autonomiei financiare a </w:t>
      </w:r>
      <w:r w:rsidR="002526B9">
        <w:rPr>
          <w:rFonts w:ascii="Times New Roman" w:hAnsi="Times New Roman"/>
          <w:sz w:val="28"/>
          <w:szCs w:val="28"/>
          <w:lang w:val="ro-MO"/>
        </w:rPr>
        <w:t>APL</w:t>
      </w:r>
      <w:r w:rsidRPr="00AD160F">
        <w:rPr>
          <w:rFonts w:ascii="Times New Roman" w:hAnsi="Times New Roman"/>
          <w:sz w:val="28"/>
          <w:szCs w:val="28"/>
          <w:lang w:val="ro-MO"/>
        </w:rPr>
        <w:t>, de perfec</w:t>
      </w:r>
      <w:r w:rsidR="006F4B00">
        <w:rPr>
          <w:rFonts w:ascii="Times New Roman" w:hAnsi="Times New Roman"/>
          <w:sz w:val="28"/>
          <w:szCs w:val="28"/>
          <w:lang w:val="ro-MO"/>
        </w:rPr>
        <w:t>ţ</w:t>
      </w:r>
      <w:r w:rsidRPr="00AD160F">
        <w:rPr>
          <w:rFonts w:ascii="Times New Roman" w:hAnsi="Times New Roman"/>
          <w:sz w:val="28"/>
          <w:szCs w:val="28"/>
          <w:lang w:val="ro-MO"/>
        </w:rPr>
        <w:t>ionare a sistemului de transferuri.</w:t>
      </w:r>
    </w:p>
    <w:p w:rsidR="00D8215F" w:rsidRPr="00402130" w:rsidRDefault="00D8215F" w:rsidP="008B3768">
      <w:pPr>
        <w:pStyle w:val="NormalWeb"/>
        <w:ind w:firstLine="0"/>
        <w:rPr>
          <w:rFonts w:ascii="Times New Roman" w:hAnsi="Times New Roman"/>
          <w:sz w:val="10"/>
          <w:szCs w:val="10"/>
          <w:lang w:val="ro-MO"/>
        </w:rPr>
      </w:pPr>
    </w:p>
    <w:p w:rsidR="00520D50" w:rsidRDefault="00D8215F" w:rsidP="00B069A6">
      <w:pPr>
        <w:pStyle w:val="NormalWeb"/>
        <w:rPr>
          <w:rFonts w:ascii="Times New Roman" w:hAnsi="Times New Roman"/>
          <w:sz w:val="28"/>
          <w:szCs w:val="28"/>
          <w:lang w:val="ro-MO"/>
        </w:rPr>
      </w:pPr>
      <w:r w:rsidRPr="00AD160F">
        <w:rPr>
          <w:rFonts w:ascii="Times New Roman" w:hAnsi="Times New Roman"/>
          <w:sz w:val="28"/>
          <w:szCs w:val="28"/>
          <w:lang w:val="ro-MO"/>
        </w:rPr>
        <w:t>Implementarea tuturor ac</w:t>
      </w:r>
      <w:r w:rsidR="006F4B00">
        <w:rPr>
          <w:rFonts w:ascii="Times New Roman" w:hAnsi="Times New Roman"/>
          <w:sz w:val="28"/>
          <w:szCs w:val="28"/>
          <w:lang w:val="ro-MO"/>
        </w:rPr>
        <w:t>ţ</w:t>
      </w:r>
      <w:r w:rsidRPr="00AD160F">
        <w:rPr>
          <w:rFonts w:ascii="Times New Roman" w:hAnsi="Times New Roman"/>
          <w:sz w:val="28"/>
          <w:szCs w:val="28"/>
          <w:lang w:val="ro-MO"/>
        </w:rPr>
        <w:t xml:space="preserve">iunilor de mai sus impune o </w:t>
      </w:r>
      <w:r w:rsidR="00647A4D" w:rsidRPr="00AD074A">
        <w:rPr>
          <w:rFonts w:ascii="Times New Roman" w:hAnsi="Times New Roman"/>
          <w:sz w:val="28"/>
          <w:szCs w:val="28"/>
          <w:lang w:val="ro-MO"/>
        </w:rPr>
        <w:t>activitate</w:t>
      </w:r>
      <w:r w:rsidRPr="00AD160F">
        <w:rPr>
          <w:rFonts w:ascii="Times New Roman" w:hAnsi="Times New Roman"/>
          <w:sz w:val="28"/>
          <w:szCs w:val="28"/>
          <w:lang w:val="ro-MO"/>
        </w:rPr>
        <w:t xml:space="preserve"> concentrată </w:t>
      </w:r>
      <w:r w:rsidR="006F4B00">
        <w:rPr>
          <w:rFonts w:ascii="Times New Roman" w:hAnsi="Times New Roman"/>
          <w:sz w:val="28"/>
          <w:szCs w:val="28"/>
          <w:lang w:val="ro-MO"/>
        </w:rPr>
        <w:t>ş</w:t>
      </w:r>
      <w:r w:rsidRPr="00AD160F">
        <w:rPr>
          <w:rFonts w:ascii="Times New Roman" w:hAnsi="Times New Roman"/>
          <w:sz w:val="28"/>
          <w:szCs w:val="28"/>
          <w:lang w:val="ro-MO"/>
        </w:rPr>
        <w:t>i consecventă pe mai mul</w:t>
      </w:r>
      <w:r w:rsidR="006F4B00">
        <w:rPr>
          <w:rFonts w:ascii="Times New Roman" w:hAnsi="Times New Roman"/>
          <w:sz w:val="28"/>
          <w:szCs w:val="28"/>
          <w:lang w:val="ro-MO"/>
        </w:rPr>
        <w:t>ţ</w:t>
      </w:r>
      <w:r w:rsidRPr="00AD160F">
        <w:rPr>
          <w:rFonts w:ascii="Times New Roman" w:hAnsi="Times New Roman"/>
          <w:sz w:val="28"/>
          <w:szCs w:val="28"/>
          <w:lang w:val="ro-MO"/>
        </w:rPr>
        <w:t>i ani, dar î</w:t>
      </w:r>
      <w:r w:rsidR="00520D50">
        <w:rPr>
          <w:rFonts w:ascii="Times New Roman" w:hAnsi="Times New Roman"/>
          <w:sz w:val="28"/>
          <w:szCs w:val="28"/>
          <w:lang w:val="ro-MO"/>
        </w:rPr>
        <w:t>n acela</w:t>
      </w:r>
      <w:r w:rsidR="006F4B00">
        <w:rPr>
          <w:rFonts w:ascii="Times New Roman" w:hAnsi="Times New Roman"/>
          <w:sz w:val="28"/>
          <w:szCs w:val="28"/>
          <w:lang w:val="ro-MO"/>
        </w:rPr>
        <w:t>ş</w:t>
      </w:r>
      <w:r w:rsidR="00520D50">
        <w:rPr>
          <w:rFonts w:ascii="Times New Roman" w:hAnsi="Times New Roman"/>
          <w:sz w:val="28"/>
          <w:szCs w:val="28"/>
          <w:lang w:val="ro-MO"/>
        </w:rPr>
        <w:t>i timp este necesară selectarea</w:t>
      </w:r>
      <w:r w:rsidRPr="00AD160F">
        <w:rPr>
          <w:rFonts w:ascii="Times New Roman" w:hAnsi="Times New Roman"/>
          <w:sz w:val="28"/>
          <w:szCs w:val="28"/>
          <w:lang w:val="ro-MO"/>
        </w:rPr>
        <w:t xml:space="preserve"> </w:t>
      </w:r>
      <w:r w:rsidR="00520D50" w:rsidRPr="00AD160F">
        <w:rPr>
          <w:rFonts w:ascii="Times New Roman" w:hAnsi="Times New Roman"/>
          <w:sz w:val="28"/>
          <w:szCs w:val="28"/>
          <w:lang w:val="ro-MO"/>
        </w:rPr>
        <w:t xml:space="preserve">celor mai urgente </w:t>
      </w:r>
      <w:r w:rsidR="00520D50">
        <w:rPr>
          <w:rFonts w:ascii="Times New Roman" w:hAnsi="Times New Roman"/>
          <w:sz w:val="28"/>
          <w:szCs w:val="28"/>
          <w:lang w:val="ro-MO"/>
        </w:rPr>
        <w:t>ac</w:t>
      </w:r>
      <w:r w:rsidR="006F4B00">
        <w:rPr>
          <w:rFonts w:ascii="Times New Roman" w:hAnsi="Times New Roman"/>
          <w:sz w:val="28"/>
          <w:szCs w:val="28"/>
          <w:lang w:val="ro-MO"/>
        </w:rPr>
        <w:t>ţ</w:t>
      </w:r>
      <w:r w:rsidR="00520D50">
        <w:rPr>
          <w:rFonts w:ascii="Times New Roman" w:hAnsi="Times New Roman"/>
          <w:sz w:val="28"/>
          <w:szCs w:val="28"/>
          <w:lang w:val="ro-MO"/>
        </w:rPr>
        <w:t>iuni</w:t>
      </w:r>
      <w:r w:rsidRPr="00AD160F">
        <w:rPr>
          <w:rFonts w:ascii="Times New Roman" w:hAnsi="Times New Roman"/>
          <w:sz w:val="28"/>
          <w:szCs w:val="28"/>
          <w:lang w:val="ro-MO"/>
        </w:rPr>
        <w:t>, care să stabilească cadrul sistemului de finan</w:t>
      </w:r>
      <w:r w:rsidR="006F4B00">
        <w:rPr>
          <w:rFonts w:ascii="Times New Roman" w:hAnsi="Times New Roman"/>
          <w:sz w:val="28"/>
          <w:szCs w:val="28"/>
          <w:lang w:val="ro-MO"/>
        </w:rPr>
        <w:t>ţ</w:t>
      </w:r>
      <w:r w:rsidRPr="00AD160F">
        <w:rPr>
          <w:rFonts w:ascii="Times New Roman" w:hAnsi="Times New Roman"/>
          <w:sz w:val="28"/>
          <w:szCs w:val="28"/>
          <w:lang w:val="ro-MO"/>
        </w:rPr>
        <w:t xml:space="preserve">are al </w:t>
      </w:r>
      <w:r w:rsidR="002526B9">
        <w:rPr>
          <w:rFonts w:ascii="Times New Roman" w:hAnsi="Times New Roman"/>
          <w:sz w:val="28"/>
          <w:szCs w:val="28"/>
          <w:lang w:val="ro-MO"/>
        </w:rPr>
        <w:t>APL</w:t>
      </w:r>
      <w:r w:rsidRPr="00AD160F">
        <w:rPr>
          <w:rFonts w:ascii="Times New Roman" w:hAnsi="Times New Roman"/>
          <w:sz w:val="28"/>
          <w:szCs w:val="28"/>
          <w:lang w:val="ro-MO"/>
        </w:rPr>
        <w:t xml:space="preserve"> </w:t>
      </w:r>
      <w:r w:rsidR="006F4B00">
        <w:rPr>
          <w:rFonts w:ascii="Times New Roman" w:hAnsi="Times New Roman"/>
          <w:sz w:val="28"/>
          <w:szCs w:val="28"/>
          <w:lang w:val="ro-MO"/>
        </w:rPr>
        <w:t>ş</w:t>
      </w:r>
      <w:r w:rsidRPr="00AD160F">
        <w:rPr>
          <w:rFonts w:ascii="Times New Roman" w:hAnsi="Times New Roman"/>
          <w:sz w:val="28"/>
          <w:szCs w:val="28"/>
          <w:lang w:val="ro-MO"/>
        </w:rPr>
        <w:t>i care să fie  implementate cu prioritate.</w:t>
      </w:r>
    </w:p>
    <w:p w:rsidR="00983D95" w:rsidRPr="00AD160F" w:rsidRDefault="00D8215F" w:rsidP="00B069A6">
      <w:pPr>
        <w:pStyle w:val="NormalWeb"/>
        <w:rPr>
          <w:rFonts w:ascii="Times New Roman" w:hAnsi="Times New Roman"/>
          <w:sz w:val="28"/>
          <w:szCs w:val="28"/>
          <w:lang w:val="ro-MO"/>
        </w:rPr>
      </w:pPr>
      <w:r w:rsidRPr="00AD160F">
        <w:rPr>
          <w:rFonts w:ascii="Times New Roman" w:hAnsi="Times New Roman"/>
          <w:sz w:val="28"/>
          <w:szCs w:val="28"/>
          <w:lang w:val="ro-MO"/>
        </w:rPr>
        <w:t xml:space="preserve"> Astfel </w:t>
      </w:r>
      <w:r w:rsidR="00520D50">
        <w:rPr>
          <w:rFonts w:ascii="Times New Roman" w:hAnsi="Times New Roman"/>
          <w:sz w:val="28"/>
          <w:szCs w:val="28"/>
          <w:lang w:val="ro-MO"/>
        </w:rPr>
        <w:t>devine</w:t>
      </w:r>
      <w:r w:rsidRPr="00AD160F">
        <w:rPr>
          <w:rFonts w:ascii="Times New Roman" w:hAnsi="Times New Roman"/>
          <w:sz w:val="28"/>
          <w:szCs w:val="28"/>
          <w:lang w:val="ro-MO"/>
        </w:rPr>
        <w:t xml:space="preserve"> prioritară implementarea prin</w:t>
      </w:r>
      <w:r w:rsidR="00C31AC4" w:rsidRPr="00AD160F">
        <w:rPr>
          <w:rFonts w:ascii="Times New Roman" w:hAnsi="Times New Roman"/>
          <w:sz w:val="28"/>
          <w:szCs w:val="28"/>
          <w:lang w:val="ro-MO"/>
        </w:rPr>
        <w:t xml:space="preserve">cipalelor măsuri din </w:t>
      </w:r>
      <w:r w:rsidR="006F4B00">
        <w:rPr>
          <w:rFonts w:ascii="Times New Roman" w:hAnsi="Times New Roman"/>
          <w:sz w:val="28"/>
          <w:szCs w:val="28"/>
          <w:lang w:val="ro-MO"/>
        </w:rPr>
        <w:t>grupul al doilea</w:t>
      </w:r>
      <w:r w:rsidR="00AD160F">
        <w:rPr>
          <w:rFonts w:ascii="Times New Roman" w:hAnsi="Times New Roman"/>
          <w:sz w:val="28"/>
          <w:szCs w:val="28"/>
          <w:lang w:val="ro-MO"/>
        </w:rPr>
        <w:t xml:space="preserve"> de ac</w:t>
      </w:r>
      <w:r w:rsidR="006F4B00">
        <w:rPr>
          <w:rFonts w:ascii="Times New Roman" w:hAnsi="Times New Roman"/>
          <w:sz w:val="28"/>
          <w:szCs w:val="28"/>
          <w:lang w:val="ro-MO"/>
        </w:rPr>
        <w:t>ţ</w:t>
      </w:r>
      <w:r w:rsidR="00AD160F">
        <w:rPr>
          <w:rFonts w:ascii="Times New Roman" w:hAnsi="Times New Roman"/>
          <w:sz w:val="28"/>
          <w:szCs w:val="28"/>
          <w:lang w:val="ro-MO"/>
        </w:rPr>
        <w:t>iuni</w:t>
      </w:r>
      <w:r w:rsidR="00C31AC4" w:rsidRPr="00AD160F">
        <w:rPr>
          <w:rFonts w:ascii="Times New Roman" w:hAnsi="Times New Roman"/>
          <w:sz w:val="28"/>
          <w:szCs w:val="28"/>
          <w:lang w:val="ro-MO"/>
        </w:rPr>
        <w:t xml:space="preserve">, </w:t>
      </w:r>
      <w:r w:rsidR="00E7127A" w:rsidRPr="00AD160F">
        <w:rPr>
          <w:rFonts w:ascii="Times New Roman" w:hAnsi="Times New Roman"/>
          <w:sz w:val="28"/>
          <w:szCs w:val="28"/>
          <w:lang w:val="ro-MO"/>
        </w:rPr>
        <w:t>care con</w:t>
      </w:r>
      <w:r w:rsidR="006F4B00">
        <w:rPr>
          <w:rFonts w:ascii="Times New Roman" w:hAnsi="Times New Roman"/>
          <w:sz w:val="28"/>
          <w:szCs w:val="28"/>
          <w:lang w:val="ro-MO"/>
        </w:rPr>
        <w:t>ţ</w:t>
      </w:r>
      <w:r w:rsidR="00E7127A" w:rsidRPr="00AD160F">
        <w:rPr>
          <w:rFonts w:ascii="Times New Roman" w:hAnsi="Times New Roman"/>
          <w:sz w:val="28"/>
          <w:szCs w:val="28"/>
          <w:lang w:val="ro-MO"/>
        </w:rPr>
        <w:t>ine elemente</w:t>
      </w:r>
      <w:r w:rsidR="00C31AC4" w:rsidRPr="00AD160F">
        <w:rPr>
          <w:rFonts w:ascii="Times New Roman" w:hAnsi="Times New Roman"/>
          <w:sz w:val="28"/>
          <w:szCs w:val="28"/>
          <w:lang w:val="ro-MO"/>
        </w:rPr>
        <w:t>le cheie ale</w:t>
      </w:r>
      <w:r w:rsidR="00E7127A" w:rsidRPr="00AD160F">
        <w:rPr>
          <w:rFonts w:ascii="Times New Roman" w:hAnsi="Times New Roman"/>
          <w:sz w:val="28"/>
          <w:szCs w:val="28"/>
          <w:lang w:val="ro-MO"/>
        </w:rPr>
        <w:t xml:space="preserve"> descentraliz</w:t>
      </w:r>
      <w:r w:rsidR="00C31AC4" w:rsidRPr="00AD160F">
        <w:rPr>
          <w:rFonts w:ascii="Times New Roman" w:hAnsi="Times New Roman"/>
          <w:sz w:val="28"/>
          <w:szCs w:val="28"/>
          <w:lang w:val="ro-MO"/>
        </w:rPr>
        <w:t>ă</w:t>
      </w:r>
      <w:r w:rsidR="00E7127A" w:rsidRPr="00AD160F">
        <w:rPr>
          <w:rFonts w:ascii="Times New Roman" w:hAnsi="Times New Roman"/>
          <w:sz w:val="28"/>
          <w:szCs w:val="28"/>
          <w:lang w:val="ro-MO"/>
        </w:rPr>
        <w:t>r</w:t>
      </w:r>
      <w:r w:rsidR="00C31AC4" w:rsidRPr="00AD160F">
        <w:rPr>
          <w:rFonts w:ascii="Times New Roman" w:hAnsi="Times New Roman"/>
          <w:sz w:val="28"/>
          <w:szCs w:val="28"/>
          <w:lang w:val="ro-MO"/>
        </w:rPr>
        <w:t>ii</w:t>
      </w:r>
      <w:r w:rsidR="00E7127A" w:rsidRPr="00AD160F">
        <w:rPr>
          <w:rFonts w:ascii="Times New Roman" w:hAnsi="Times New Roman"/>
          <w:sz w:val="28"/>
          <w:szCs w:val="28"/>
          <w:lang w:val="ro-MO"/>
        </w:rPr>
        <w:t xml:space="preserve"> </w:t>
      </w:r>
      <w:r w:rsidR="006F4B00">
        <w:rPr>
          <w:rFonts w:ascii="Times New Roman" w:hAnsi="Times New Roman"/>
          <w:sz w:val="28"/>
          <w:szCs w:val="28"/>
          <w:lang w:val="ro-MO"/>
        </w:rPr>
        <w:t>ş</w:t>
      </w:r>
      <w:r w:rsidR="00E7127A" w:rsidRPr="00AD160F">
        <w:rPr>
          <w:rFonts w:ascii="Times New Roman" w:hAnsi="Times New Roman"/>
          <w:sz w:val="28"/>
          <w:szCs w:val="28"/>
          <w:lang w:val="ro-MO"/>
        </w:rPr>
        <w:t>i fără de care, nici o schimbare reală în direc</w:t>
      </w:r>
      <w:r w:rsidR="006F4B00">
        <w:rPr>
          <w:rFonts w:ascii="Times New Roman" w:hAnsi="Times New Roman"/>
          <w:sz w:val="28"/>
          <w:szCs w:val="28"/>
          <w:lang w:val="ro-MO"/>
        </w:rPr>
        <w:t>ţ</w:t>
      </w:r>
      <w:r w:rsidR="00E7127A" w:rsidRPr="00AD160F">
        <w:rPr>
          <w:rFonts w:ascii="Times New Roman" w:hAnsi="Times New Roman"/>
          <w:sz w:val="28"/>
          <w:szCs w:val="28"/>
          <w:lang w:val="ro-MO"/>
        </w:rPr>
        <w:t>ia asigurării unei autonomii financiare la nivel local nu va fi posibilă</w:t>
      </w:r>
      <w:r w:rsidR="00C31AC4" w:rsidRPr="00AD160F">
        <w:rPr>
          <w:rFonts w:ascii="Times New Roman" w:hAnsi="Times New Roman"/>
          <w:sz w:val="28"/>
          <w:szCs w:val="28"/>
          <w:lang w:val="ro-MO"/>
        </w:rPr>
        <w:t>. Totodată</w:t>
      </w:r>
      <w:r w:rsidR="00E7127A" w:rsidRPr="00AD160F">
        <w:rPr>
          <w:rFonts w:ascii="Times New Roman" w:hAnsi="Times New Roman"/>
          <w:sz w:val="28"/>
          <w:szCs w:val="28"/>
          <w:lang w:val="ro-MO"/>
        </w:rPr>
        <w:t xml:space="preserve"> </w:t>
      </w:r>
      <w:r w:rsidR="00C31AC4" w:rsidRPr="00AD160F">
        <w:rPr>
          <w:rFonts w:ascii="Times New Roman" w:hAnsi="Times New Roman"/>
          <w:sz w:val="28"/>
          <w:szCs w:val="28"/>
          <w:lang w:val="ro-MO"/>
        </w:rPr>
        <w:t>aceste măsuri</w:t>
      </w:r>
      <w:r w:rsidR="00BE2DF2" w:rsidRPr="00AD160F">
        <w:rPr>
          <w:rFonts w:ascii="Times New Roman" w:hAnsi="Times New Roman"/>
          <w:sz w:val="28"/>
          <w:szCs w:val="28"/>
          <w:lang w:val="ro-MO"/>
        </w:rPr>
        <w:t xml:space="preserve"> vor avea</w:t>
      </w:r>
      <w:r w:rsidRPr="00AD160F">
        <w:rPr>
          <w:rFonts w:ascii="Times New Roman" w:hAnsi="Times New Roman"/>
          <w:sz w:val="28"/>
          <w:szCs w:val="28"/>
          <w:lang w:val="ro-MO"/>
        </w:rPr>
        <w:t xml:space="preserve"> un impact pozitiv</w:t>
      </w:r>
      <w:r w:rsidR="00983D95" w:rsidRPr="00AD160F">
        <w:rPr>
          <w:rFonts w:ascii="Times New Roman" w:hAnsi="Times New Roman"/>
          <w:sz w:val="28"/>
          <w:szCs w:val="28"/>
          <w:lang w:val="ro-MO"/>
        </w:rPr>
        <w:t xml:space="preserve"> asupra </w:t>
      </w:r>
      <w:r w:rsidR="00AD160F">
        <w:rPr>
          <w:rFonts w:ascii="Times New Roman" w:hAnsi="Times New Roman"/>
          <w:sz w:val="28"/>
          <w:szCs w:val="28"/>
          <w:lang w:val="ro-MO"/>
        </w:rPr>
        <w:t>grupului</w:t>
      </w:r>
      <w:r w:rsidR="00983D95" w:rsidRPr="00AD160F">
        <w:rPr>
          <w:rFonts w:ascii="Times New Roman" w:hAnsi="Times New Roman"/>
          <w:sz w:val="28"/>
          <w:szCs w:val="28"/>
          <w:lang w:val="ro-MO"/>
        </w:rPr>
        <w:t xml:space="preserve"> 1</w:t>
      </w:r>
      <w:r w:rsidR="00AD160F">
        <w:rPr>
          <w:rFonts w:ascii="Times New Roman" w:hAnsi="Times New Roman"/>
          <w:sz w:val="28"/>
          <w:szCs w:val="28"/>
          <w:lang w:val="ro-MO"/>
        </w:rPr>
        <w:t xml:space="preserve"> de ac</w:t>
      </w:r>
      <w:r w:rsidR="006F4B00">
        <w:rPr>
          <w:rFonts w:ascii="Times New Roman" w:hAnsi="Times New Roman"/>
          <w:sz w:val="28"/>
          <w:szCs w:val="28"/>
          <w:lang w:val="ro-MO"/>
        </w:rPr>
        <w:t>ţ</w:t>
      </w:r>
      <w:r w:rsidR="00AD160F">
        <w:rPr>
          <w:rFonts w:ascii="Times New Roman" w:hAnsi="Times New Roman"/>
          <w:sz w:val="28"/>
          <w:szCs w:val="28"/>
          <w:lang w:val="ro-MO"/>
        </w:rPr>
        <w:t>iuni</w:t>
      </w:r>
      <w:r w:rsidR="00983D95" w:rsidRPr="00AD160F">
        <w:rPr>
          <w:rFonts w:ascii="Times New Roman" w:hAnsi="Times New Roman"/>
          <w:sz w:val="28"/>
          <w:szCs w:val="28"/>
          <w:lang w:val="ro-MO"/>
        </w:rPr>
        <w:t xml:space="preserve">. </w:t>
      </w:r>
    </w:p>
    <w:p w:rsidR="00BE2DF2" w:rsidRPr="00AD160F" w:rsidRDefault="00BE2DF2" w:rsidP="00BE2DF2">
      <w:pPr>
        <w:pStyle w:val="NormalWeb"/>
        <w:rPr>
          <w:rFonts w:ascii="Times New Roman" w:hAnsi="Times New Roman"/>
          <w:sz w:val="28"/>
          <w:szCs w:val="28"/>
          <w:lang w:val="ro-MO"/>
        </w:rPr>
      </w:pPr>
      <w:r w:rsidRPr="00AD160F">
        <w:rPr>
          <w:rFonts w:ascii="Times New Roman" w:hAnsi="Times New Roman"/>
          <w:sz w:val="28"/>
          <w:szCs w:val="28"/>
          <w:lang w:val="ro-MO"/>
        </w:rPr>
        <w:t>Aceste măsuri sunt:</w:t>
      </w:r>
    </w:p>
    <w:p w:rsidR="00BE2DF2" w:rsidRPr="00520D50" w:rsidRDefault="00BE2DF2" w:rsidP="00C31AC4">
      <w:pPr>
        <w:pStyle w:val="ListParagraph"/>
        <w:numPr>
          <w:ilvl w:val="0"/>
          <w:numId w:val="17"/>
        </w:numPr>
        <w:ind w:left="851"/>
        <w:jc w:val="both"/>
        <w:rPr>
          <w:rFonts w:ascii="Times New Roman" w:hAnsi="Times New Roman" w:cs="Times New Roman"/>
          <w:bCs/>
          <w:iCs/>
          <w:sz w:val="28"/>
          <w:szCs w:val="28"/>
          <w:lang w:val="ro-RO"/>
        </w:rPr>
      </w:pPr>
      <w:r w:rsidRPr="00520D50">
        <w:rPr>
          <w:rFonts w:ascii="Times New Roman" w:hAnsi="Times New Roman" w:cs="Times New Roman"/>
          <w:bCs/>
          <w:iCs/>
          <w:sz w:val="28"/>
          <w:szCs w:val="28"/>
          <w:lang w:val="ro-RO"/>
        </w:rPr>
        <w:t>R</w:t>
      </w:r>
      <w:r w:rsidRPr="00520D50">
        <w:rPr>
          <w:rFonts w:ascii="Times New Roman" w:hAnsi="Times New Roman" w:cs="Times New Roman"/>
          <w:sz w:val="28"/>
          <w:szCs w:val="28"/>
          <w:lang w:val="ro-RO"/>
        </w:rPr>
        <w:t>evizuirea actualului sistem de colectare şi alocare a impozitelor partajate;</w:t>
      </w:r>
    </w:p>
    <w:p w:rsidR="00BE2DF2" w:rsidRPr="00520D50" w:rsidRDefault="00BE2DF2" w:rsidP="00C31AC4">
      <w:pPr>
        <w:pStyle w:val="ListParagraph"/>
        <w:numPr>
          <w:ilvl w:val="0"/>
          <w:numId w:val="17"/>
        </w:numPr>
        <w:ind w:left="851"/>
        <w:jc w:val="both"/>
        <w:rPr>
          <w:rFonts w:ascii="Times New Roman" w:hAnsi="Times New Roman" w:cs="Times New Roman"/>
          <w:bCs/>
          <w:iCs/>
          <w:sz w:val="28"/>
          <w:szCs w:val="28"/>
          <w:lang w:val="ro-RO"/>
        </w:rPr>
      </w:pPr>
      <w:r w:rsidRPr="00520D50">
        <w:rPr>
          <w:rFonts w:ascii="Times New Roman" w:hAnsi="Times New Roman" w:cs="Times New Roman"/>
          <w:sz w:val="28"/>
          <w:szCs w:val="28"/>
          <w:lang w:val="ro-RO"/>
        </w:rPr>
        <w:t>Revizuirea sistemului de partajare a veniturilor fiscale din impozitul pe venit în vederea stabilirii în legislaţie a unor cote fixe pentru APL de nivelul întîi şi al doilea;</w:t>
      </w:r>
    </w:p>
    <w:p w:rsidR="00BE2DF2" w:rsidRPr="00520D50" w:rsidRDefault="00BE2DF2" w:rsidP="00C31AC4">
      <w:pPr>
        <w:pStyle w:val="ListParagraph"/>
        <w:numPr>
          <w:ilvl w:val="0"/>
          <w:numId w:val="17"/>
        </w:numPr>
        <w:ind w:left="851"/>
        <w:jc w:val="both"/>
        <w:rPr>
          <w:rFonts w:ascii="Times New Roman" w:hAnsi="Times New Roman" w:cs="Times New Roman"/>
          <w:bCs/>
          <w:iCs/>
          <w:sz w:val="28"/>
          <w:szCs w:val="28"/>
          <w:lang w:val="ro-RO"/>
        </w:rPr>
      </w:pPr>
      <w:r w:rsidRPr="00520D50">
        <w:rPr>
          <w:rFonts w:ascii="Times New Roman" w:hAnsi="Times New Roman" w:cs="Times New Roman"/>
          <w:bCs/>
          <w:iCs/>
          <w:sz w:val="28"/>
          <w:szCs w:val="28"/>
          <w:lang w:val="ro-RO"/>
        </w:rPr>
        <w:t>Proiectarea şi implementarea unui sistem de echilibrare stabil (volum, formulă), cu destinaţie generală, separat de transferurile condiţionate, care să încurajeze efortul fiscal propriu;</w:t>
      </w:r>
    </w:p>
    <w:p w:rsidR="00BE2DF2" w:rsidRPr="00520D50" w:rsidRDefault="00BE2DF2" w:rsidP="00C31AC4">
      <w:pPr>
        <w:pStyle w:val="ListParagraph"/>
        <w:numPr>
          <w:ilvl w:val="0"/>
          <w:numId w:val="17"/>
        </w:numPr>
        <w:ind w:left="851"/>
        <w:jc w:val="both"/>
        <w:rPr>
          <w:rFonts w:ascii="Times New Roman" w:hAnsi="Times New Roman" w:cs="Times New Roman"/>
          <w:bCs/>
          <w:iCs/>
          <w:sz w:val="28"/>
          <w:szCs w:val="28"/>
          <w:lang w:val="ro-RO"/>
        </w:rPr>
      </w:pPr>
      <w:r w:rsidRPr="00520D50">
        <w:rPr>
          <w:rFonts w:ascii="Times New Roman" w:hAnsi="Times New Roman" w:cs="Times New Roman"/>
          <w:bCs/>
          <w:iCs/>
          <w:sz w:val="28"/>
          <w:szCs w:val="28"/>
          <w:lang w:val="ro-RO"/>
        </w:rPr>
        <w:t xml:space="preserve"> Separarea transferurilor de echilibrare pentru APL de nivelurile întîi şi al doilea (alocare directă pe niveluri);</w:t>
      </w:r>
    </w:p>
    <w:p w:rsidR="00BE2DF2" w:rsidRPr="00520D50" w:rsidRDefault="00BE2DF2" w:rsidP="00C31AC4">
      <w:pPr>
        <w:pStyle w:val="ListParagraph"/>
        <w:numPr>
          <w:ilvl w:val="0"/>
          <w:numId w:val="17"/>
        </w:numPr>
        <w:ind w:left="851"/>
        <w:jc w:val="both"/>
        <w:rPr>
          <w:rFonts w:ascii="Times New Roman" w:hAnsi="Times New Roman" w:cs="Times New Roman"/>
          <w:bCs/>
          <w:iCs/>
          <w:sz w:val="28"/>
          <w:szCs w:val="28"/>
          <w:lang w:val="ro-RO"/>
        </w:rPr>
      </w:pPr>
      <w:r w:rsidRPr="00520D50">
        <w:rPr>
          <w:rFonts w:ascii="Times New Roman" w:hAnsi="Times New Roman" w:cs="Times New Roman"/>
          <w:bCs/>
          <w:iCs/>
          <w:sz w:val="28"/>
          <w:szCs w:val="28"/>
          <w:lang w:val="ro-RO"/>
        </w:rPr>
        <w:t>Proiectarea şi implementarea unui sistem de transferuri condiţionate pentru</w:t>
      </w:r>
      <w:r w:rsidR="00520D50">
        <w:rPr>
          <w:rFonts w:ascii="Times New Roman" w:hAnsi="Times New Roman" w:cs="Times New Roman"/>
          <w:bCs/>
          <w:iCs/>
          <w:sz w:val="28"/>
          <w:szCs w:val="28"/>
          <w:lang w:val="ro-RO"/>
        </w:rPr>
        <w:t xml:space="preserve"> principalele funcţii </w:t>
      </w:r>
      <w:r w:rsidRPr="00520D50">
        <w:rPr>
          <w:rFonts w:ascii="Times New Roman" w:hAnsi="Times New Roman" w:cs="Times New Roman"/>
          <w:bCs/>
          <w:iCs/>
          <w:sz w:val="28"/>
          <w:szCs w:val="28"/>
          <w:lang w:val="ro-RO"/>
        </w:rPr>
        <w:t>d</w:t>
      </w:r>
      <w:r w:rsidR="00520D50">
        <w:rPr>
          <w:rFonts w:ascii="Times New Roman" w:hAnsi="Times New Roman" w:cs="Times New Roman"/>
          <w:bCs/>
          <w:iCs/>
          <w:sz w:val="28"/>
          <w:szCs w:val="28"/>
          <w:lang w:val="ro-RO"/>
        </w:rPr>
        <w:t xml:space="preserve">elegate şi partajate (educaţie, </w:t>
      </w:r>
      <w:r w:rsidRPr="00520D50">
        <w:rPr>
          <w:rFonts w:ascii="Times New Roman" w:hAnsi="Times New Roman" w:cs="Times New Roman"/>
          <w:bCs/>
          <w:iCs/>
          <w:sz w:val="28"/>
          <w:szCs w:val="28"/>
          <w:lang w:val="ro-RO"/>
        </w:rPr>
        <w:t>etc), care să asigure un nivel minim şi echitabil al prestaţiilor.</w:t>
      </w:r>
    </w:p>
    <w:p w:rsidR="00520D50" w:rsidRPr="00520D50" w:rsidRDefault="00520D50" w:rsidP="00BE2DF2">
      <w:pPr>
        <w:pStyle w:val="NormalWeb"/>
        <w:rPr>
          <w:rFonts w:ascii="Times New Roman" w:hAnsi="Times New Roman"/>
          <w:sz w:val="10"/>
          <w:szCs w:val="10"/>
          <w:lang w:val="ro-MO"/>
        </w:rPr>
      </w:pPr>
    </w:p>
    <w:p w:rsidR="00647A4D" w:rsidRDefault="00C31AC4" w:rsidP="00BE2DF2">
      <w:pPr>
        <w:pStyle w:val="NormalWeb"/>
        <w:rPr>
          <w:rFonts w:ascii="Times New Roman" w:hAnsi="Times New Roman"/>
          <w:sz w:val="28"/>
          <w:szCs w:val="28"/>
          <w:lang w:val="ro-MO"/>
        </w:rPr>
      </w:pPr>
      <w:r w:rsidRPr="00AD160F">
        <w:rPr>
          <w:rFonts w:ascii="Times New Roman" w:hAnsi="Times New Roman"/>
          <w:sz w:val="28"/>
          <w:szCs w:val="28"/>
          <w:lang w:val="ro-MO"/>
        </w:rPr>
        <w:t>În acest context,</w:t>
      </w:r>
      <w:r w:rsidR="00BE2DF2" w:rsidRPr="00AD160F">
        <w:rPr>
          <w:rFonts w:ascii="Times New Roman" w:hAnsi="Times New Roman"/>
          <w:sz w:val="28"/>
          <w:szCs w:val="28"/>
          <w:lang w:val="ro-MO"/>
        </w:rPr>
        <w:t xml:space="preserve"> se consideră ra</w:t>
      </w:r>
      <w:r w:rsidR="006F4B00">
        <w:rPr>
          <w:rFonts w:ascii="Times New Roman" w:hAnsi="Times New Roman"/>
          <w:sz w:val="28"/>
          <w:szCs w:val="28"/>
          <w:lang w:val="ro-MO"/>
        </w:rPr>
        <w:t>ţ</w:t>
      </w:r>
      <w:r w:rsidR="00BE2DF2" w:rsidRPr="00AD160F">
        <w:rPr>
          <w:rFonts w:ascii="Times New Roman" w:hAnsi="Times New Roman"/>
          <w:sz w:val="28"/>
          <w:szCs w:val="28"/>
          <w:lang w:val="ro-MO"/>
        </w:rPr>
        <w:t xml:space="preserve">ional </w:t>
      </w:r>
      <w:r w:rsidR="006F4B00">
        <w:rPr>
          <w:rFonts w:ascii="Times New Roman" w:hAnsi="Times New Roman"/>
          <w:sz w:val="28"/>
          <w:szCs w:val="28"/>
          <w:lang w:val="ro-MO"/>
        </w:rPr>
        <w:t>ş</w:t>
      </w:r>
      <w:r w:rsidR="00BE2DF2" w:rsidRPr="00AD160F">
        <w:rPr>
          <w:rFonts w:ascii="Times New Roman" w:hAnsi="Times New Roman"/>
          <w:sz w:val="28"/>
          <w:szCs w:val="28"/>
          <w:lang w:val="ro-MO"/>
        </w:rPr>
        <w:t>i oportun</w:t>
      </w:r>
      <w:r w:rsidR="00983D95" w:rsidRPr="00AD160F">
        <w:rPr>
          <w:rFonts w:ascii="Times New Roman" w:hAnsi="Times New Roman"/>
          <w:sz w:val="28"/>
          <w:szCs w:val="28"/>
          <w:lang w:val="ro-MO"/>
        </w:rPr>
        <w:t xml:space="preserve"> ca implementarea acestor măsuri să se realizeze cât mai rapid cu putin</w:t>
      </w:r>
      <w:r w:rsidR="006F4B00">
        <w:rPr>
          <w:rFonts w:ascii="Times New Roman" w:hAnsi="Times New Roman"/>
          <w:sz w:val="28"/>
          <w:szCs w:val="28"/>
          <w:lang w:val="ro-MO"/>
        </w:rPr>
        <w:t>ţ</w:t>
      </w:r>
      <w:r w:rsidR="00983D95" w:rsidRPr="00AD160F">
        <w:rPr>
          <w:rFonts w:ascii="Times New Roman" w:hAnsi="Times New Roman"/>
          <w:sz w:val="28"/>
          <w:szCs w:val="28"/>
          <w:lang w:val="ro-MO"/>
        </w:rPr>
        <w:t>ă</w:t>
      </w:r>
      <w:r w:rsidRPr="00AD160F">
        <w:rPr>
          <w:rFonts w:ascii="Times New Roman" w:hAnsi="Times New Roman"/>
          <w:sz w:val="28"/>
          <w:szCs w:val="28"/>
          <w:lang w:val="ro-MO"/>
        </w:rPr>
        <w:t>,</w:t>
      </w:r>
      <w:r w:rsidR="00983D95" w:rsidRPr="00AD160F">
        <w:rPr>
          <w:rFonts w:ascii="Times New Roman" w:hAnsi="Times New Roman"/>
          <w:sz w:val="28"/>
          <w:szCs w:val="28"/>
          <w:lang w:val="ro-MO"/>
        </w:rPr>
        <w:t xml:space="preserve"> prin modificarea actualei legi a finan</w:t>
      </w:r>
      <w:r w:rsidR="006F4B00">
        <w:rPr>
          <w:rFonts w:ascii="Times New Roman" w:hAnsi="Times New Roman"/>
          <w:sz w:val="28"/>
          <w:szCs w:val="28"/>
          <w:lang w:val="ro-MO"/>
        </w:rPr>
        <w:t>ţ</w:t>
      </w:r>
      <w:r w:rsidR="00983D95" w:rsidRPr="00AD160F">
        <w:rPr>
          <w:rFonts w:ascii="Times New Roman" w:hAnsi="Times New Roman"/>
          <w:sz w:val="28"/>
          <w:szCs w:val="28"/>
          <w:lang w:val="ro-MO"/>
        </w:rPr>
        <w:t xml:space="preserve">elor publice locale </w:t>
      </w:r>
      <w:r w:rsidR="006F4B00">
        <w:rPr>
          <w:rFonts w:ascii="Times New Roman" w:hAnsi="Times New Roman"/>
          <w:sz w:val="28"/>
          <w:szCs w:val="28"/>
          <w:lang w:val="ro-MO"/>
        </w:rPr>
        <w:t>ş</w:t>
      </w:r>
      <w:r w:rsidR="00983D95" w:rsidRPr="00AD160F">
        <w:rPr>
          <w:rFonts w:ascii="Times New Roman" w:hAnsi="Times New Roman"/>
          <w:sz w:val="28"/>
          <w:szCs w:val="28"/>
          <w:lang w:val="ro-MO"/>
        </w:rPr>
        <w:t>i a Codul</w:t>
      </w:r>
      <w:r w:rsidRPr="00AD160F">
        <w:rPr>
          <w:rFonts w:ascii="Times New Roman" w:hAnsi="Times New Roman"/>
          <w:sz w:val="28"/>
          <w:szCs w:val="28"/>
          <w:lang w:val="ro-MO"/>
        </w:rPr>
        <w:t>ui</w:t>
      </w:r>
      <w:r w:rsidR="00983D95" w:rsidRPr="00AD160F">
        <w:rPr>
          <w:rFonts w:ascii="Times New Roman" w:hAnsi="Times New Roman"/>
          <w:sz w:val="28"/>
          <w:szCs w:val="28"/>
          <w:lang w:val="ro-MO"/>
        </w:rPr>
        <w:t xml:space="preserve"> Fiscal, ceea ce ar permite</w:t>
      </w:r>
      <w:r w:rsidRPr="00AD160F">
        <w:rPr>
          <w:rFonts w:ascii="Times New Roman" w:hAnsi="Times New Roman"/>
          <w:sz w:val="28"/>
          <w:szCs w:val="28"/>
          <w:lang w:val="ro-MO"/>
        </w:rPr>
        <w:t xml:space="preserve"> ca</w:t>
      </w:r>
      <w:r w:rsidR="00983D95" w:rsidRPr="00AD160F">
        <w:rPr>
          <w:rFonts w:ascii="Times New Roman" w:hAnsi="Times New Roman"/>
          <w:sz w:val="28"/>
          <w:szCs w:val="28"/>
          <w:lang w:val="ro-MO"/>
        </w:rPr>
        <w:t xml:space="preserve"> în planificarea bugetului pe anul 2014, proces ce începe în </w:t>
      </w:r>
      <w:r w:rsidR="00647A4D">
        <w:rPr>
          <w:rFonts w:ascii="Times New Roman" w:hAnsi="Times New Roman"/>
          <w:sz w:val="28"/>
          <w:szCs w:val="28"/>
          <w:lang w:val="ro-MO"/>
        </w:rPr>
        <w:t>trim. I</w:t>
      </w:r>
      <w:r w:rsidR="00983D95" w:rsidRPr="00AD160F">
        <w:rPr>
          <w:rFonts w:ascii="Times New Roman" w:hAnsi="Times New Roman"/>
          <w:sz w:val="28"/>
          <w:szCs w:val="28"/>
          <w:lang w:val="ro-MO"/>
        </w:rPr>
        <w:t xml:space="preserve"> </w:t>
      </w:r>
      <w:r w:rsidRPr="00AD160F">
        <w:rPr>
          <w:rFonts w:ascii="Times New Roman" w:hAnsi="Times New Roman"/>
          <w:sz w:val="28"/>
          <w:szCs w:val="28"/>
          <w:lang w:val="ro-MO"/>
        </w:rPr>
        <w:t>al anului</w:t>
      </w:r>
      <w:r w:rsidR="00983D95" w:rsidRPr="00AD160F">
        <w:rPr>
          <w:rFonts w:ascii="Times New Roman" w:hAnsi="Times New Roman"/>
          <w:sz w:val="28"/>
          <w:szCs w:val="28"/>
          <w:lang w:val="ro-MO"/>
        </w:rPr>
        <w:t xml:space="preserve"> 2013, să fie folosite noile prevederi.</w:t>
      </w:r>
      <w:r w:rsidR="00D8215F" w:rsidRPr="00AD160F">
        <w:rPr>
          <w:rFonts w:ascii="Times New Roman" w:hAnsi="Times New Roman"/>
          <w:sz w:val="28"/>
          <w:szCs w:val="28"/>
          <w:lang w:val="ro-MO"/>
        </w:rPr>
        <w:t xml:space="preserve">  </w:t>
      </w:r>
    </w:p>
    <w:p w:rsidR="001B0998" w:rsidRDefault="001B0998" w:rsidP="00BE2DF2">
      <w:pPr>
        <w:pStyle w:val="NormalWeb"/>
        <w:rPr>
          <w:rFonts w:ascii="Times New Roman" w:hAnsi="Times New Roman"/>
          <w:sz w:val="28"/>
          <w:szCs w:val="28"/>
          <w:lang w:val="ro-MO"/>
        </w:rPr>
      </w:pPr>
    </w:p>
    <w:p w:rsidR="00D8215F" w:rsidRDefault="00D8215F" w:rsidP="00BE2DF2">
      <w:pPr>
        <w:pStyle w:val="NormalWeb"/>
        <w:rPr>
          <w:rFonts w:ascii="Times New Roman" w:hAnsi="Times New Roman"/>
          <w:sz w:val="28"/>
          <w:szCs w:val="28"/>
          <w:lang w:val="ro-MO"/>
        </w:rPr>
      </w:pPr>
      <w:r w:rsidRPr="00AD160F">
        <w:rPr>
          <w:rFonts w:ascii="Times New Roman" w:hAnsi="Times New Roman"/>
          <w:sz w:val="28"/>
          <w:szCs w:val="28"/>
          <w:lang w:val="ro-MO"/>
        </w:rPr>
        <w:t xml:space="preserve"> </w:t>
      </w:r>
    </w:p>
    <w:p w:rsidR="00E0749A" w:rsidRDefault="00E0749A" w:rsidP="00BE2DF2">
      <w:pPr>
        <w:pStyle w:val="NormalWeb"/>
        <w:rPr>
          <w:rFonts w:ascii="Times New Roman" w:hAnsi="Times New Roman"/>
          <w:sz w:val="28"/>
          <w:szCs w:val="28"/>
          <w:lang w:val="ro-MO"/>
        </w:rPr>
      </w:pPr>
    </w:p>
    <w:p w:rsidR="00E0749A" w:rsidRPr="00AD160F" w:rsidRDefault="00E0749A" w:rsidP="00BE2DF2">
      <w:pPr>
        <w:pStyle w:val="NormalWeb"/>
        <w:rPr>
          <w:rFonts w:ascii="Times New Roman" w:hAnsi="Times New Roman"/>
          <w:sz w:val="28"/>
          <w:szCs w:val="28"/>
          <w:lang w:val="ro-MO"/>
        </w:rPr>
      </w:pPr>
    </w:p>
    <w:p w:rsidR="00BE2DF2" w:rsidRPr="00520D50" w:rsidRDefault="00983D95" w:rsidP="00402130">
      <w:pPr>
        <w:pStyle w:val="NormalWeb"/>
        <w:numPr>
          <w:ilvl w:val="0"/>
          <w:numId w:val="16"/>
        </w:numPr>
        <w:tabs>
          <w:tab w:val="left" w:pos="851"/>
          <w:tab w:val="left" w:pos="993"/>
          <w:tab w:val="left" w:pos="1134"/>
        </w:tabs>
        <w:ind w:hanging="863"/>
        <w:rPr>
          <w:rFonts w:ascii="Times New Roman" w:hAnsi="Times New Roman"/>
          <w:sz w:val="28"/>
          <w:szCs w:val="28"/>
          <w:lang w:val="ro-MO"/>
        </w:rPr>
      </w:pPr>
      <w:r w:rsidRPr="00AD160F">
        <w:rPr>
          <w:rFonts w:ascii="Times New Roman" w:hAnsi="Times New Roman"/>
          <w:b/>
          <w:sz w:val="28"/>
          <w:szCs w:val="28"/>
          <w:lang w:val="ro-MO"/>
        </w:rPr>
        <w:lastRenderedPageBreak/>
        <w:t>P</w:t>
      </w:r>
      <w:r w:rsidR="008008D3" w:rsidRPr="00AD160F">
        <w:rPr>
          <w:rFonts w:ascii="Times New Roman" w:hAnsi="Times New Roman"/>
          <w:b/>
          <w:sz w:val="28"/>
          <w:szCs w:val="28"/>
          <w:lang w:val="ro-MO"/>
        </w:rPr>
        <w:t>rincipalele prevederi</w:t>
      </w:r>
    </w:p>
    <w:p w:rsidR="00520D50" w:rsidRPr="00520D50" w:rsidRDefault="00520D50" w:rsidP="00520D50">
      <w:pPr>
        <w:pStyle w:val="NormalWeb"/>
        <w:tabs>
          <w:tab w:val="left" w:pos="851"/>
        </w:tabs>
        <w:ind w:left="567" w:firstLine="0"/>
        <w:rPr>
          <w:rFonts w:ascii="Times New Roman" w:hAnsi="Times New Roman"/>
          <w:sz w:val="10"/>
          <w:szCs w:val="10"/>
          <w:lang w:val="ro-MO"/>
        </w:rPr>
      </w:pPr>
    </w:p>
    <w:p w:rsidR="00983D95" w:rsidRPr="00AD160F" w:rsidRDefault="00402130" w:rsidP="00402130">
      <w:pPr>
        <w:pStyle w:val="NormalWeb"/>
        <w:tabs>
          <w:tab w:val="left" w:pos="567"/>
        </w:tabs>
        <w:ind w:firstLine="0"/>
        <w:rPr>
          <w:rFonts w:ascii="Times New Roman" w:hAnsi="Times New Roman"/>
          <w:sz w:val="28"/>
          <w:szCs w:val="28"/>
          <w:lang w:val="ro-MO"/>
        </w:rPr>
      </w:pPr>
      <w:r>
        <w:rPr>
          <w:rFonts w:ascii="Times New Roman" w:hAnsi="Times New Roman"/>
          <w:b/>
          <w:sz w:val="28"/>
          <w:szCs w:val="28"/>
          <w:lang w:val="ro-MO"/>
        </w:rPr>
        <w:tab/>
      </w:r>
      <w:r w:rsidR="002E2B6C" w:rsidRPr="00AD160F">
        <w:rPr>
          <w:rFonts w:ascii="Times New Roman" w:hAnsi="Times New Roman"/>
          <w:sz w:val="28"/>
          <w:szCs w:val="28"/>
          <w:lang w:val="ro-MO"/>
        </w:rPr>
        <w:t>Principalele modificări ale legii finan</w:t>
      </w:r>
      <w:r w:rsidR="006F4B00">
        <w:rPr>
          <w:rFonts w:ascii="Times New Roman" w:hAnsi="Times New Roman"/>
          <w:sz w:val="28"/>
          <w:szCs w:val="28"/>
          <w:lang w:val="ro-MO"/>
        </w:rPr>
        <w:t>ţ</w:t>
      </w:r>
      <w:r w:rsidR="002E2B6C" w:rsidRPr="00AD160F">
        <w:rPr>
          <w:rFonts w:ascii="Times New Roman" w:hAnsi="Times New Roman"/>
          <w:sz w:val="28"/>
          <w:szCs w:val="28"/>
          <w:lang w:val="ro-MO"/>
        </w:rPr>
        <w:t>elor publice locale se referă la următoarele elemente:</w:t>
      </w:r>
    </w:p>
    <w:p w:rsidR="00983D95" w:rsidRPr="00520D50" w:rsidRDefault="00983D95" w:rsidP="008B3768">
      <w:pPr>
        <w:pStyle w:val="NormalWeb"/>
        <w:ind w:left="567" w:firstLine="0"/>
        <w:rPr>
          <w:rFonts w:ascii="Times New Roman" w:hAnsi="Times New Roman"/>
          <w:sz w:val="10"/>
          <w:szCs w:val="10"/>
          <w:lang w:val="ro-MO"/>
        </w:rPr>
      </w:pPr>
    </w:p>
    <w:p w:rsidR="00AF1D75" w:rsidRDefault="002E2B6C" w:rsidP="00AF1D75">
      <w:pPr>
        <w:pStyle w:val="NormalWeb"/>
        <w:numPr>
          <w:ilvl w:val="0"/>
          <w:numId w:val="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Sistemul de transferuri către administra</w:t>
      </w:r>
      <w:r w:rsidR="006F4B00">
        <w:rPr>
          <w:rFonts w:ascii="Times New Roman" w:hAnsi="Times New Roman"/>
          <w:sz w:val="28"/>
          <w:szCs w:val="28"/>
          <w:lang w:val="ro-MO"/>
        </w:rPr>
        <w:t>ţ</w:t>
      </w:r>
      <w:r w:rsidRPr="00AD160F">
        <w:rPr>
          <w:rFonts w:ascii="Times New Roman" w:hAnsi="Times New Roman"/>
          <w:sz w:val="28"/>
          <w:szCs w:val="28"/>
          <w:lang w:val="ro-MO"/>
        </w:rPr>
        <w:t xml:space="preserve">ia publică locală va fi centrat pe venituri </w:t>
      </w:r>
      <w:r w:rsidR="006F4B00">
        <w:rPr>
          <w:rFonts w:ascii="Times New Roman" w:hAnsi="Times New Roman"/>
          <w:sz w:val="28"/>
          <w:szCs w:val="28"/>
          <w:lang w:val="ro-MO"/>
        </w:rPr>
        <w:t>ş</w:t>
      </w:r>
      <w:r w:rsidRPr="00AD160F">
        <w:rPr>
          <w:rFonts w:ascii="Times New Roman" w:hAnsi="Times New Roman"/>
          <w:sz w:val="28"/>
          <w:szCs w:val="28"/>
          <w:lang w:val="ro-MO"/>
        </w:rPr>
        <w:t>i nu pe cheltuieli – se renun</w:t>
      </w:r>
      <w:r w:rsidR="006F4B00">
        <w:rPr>
          <w:rFonts w:ascii="Times New Roman" w:hAnsi="Times New Roman"/>
          <w:sz w:val="28"/>
          <w:szCs w:val="28"/>
          <w:lang w:val="ro-MO"/>
        </w:rPr>
        <w:t>ţ</w:t>
      </w:r>
      <w:r w:rsidRPr="00AD160F">
        <w:rPr>
          <w:rFonts w:ascii="Times New Roman" w:hAnsi="Times New Roman"/>
          <w:sz w:val="28"/>
          <w:szCs w:val="28"/>
          <w:lang w:val="ro-MO"/>
        </w:rPr>
        <w:t>ă la calcularea cheltuielilor bugetare medii pe locuitor</w:t>
      </w:r>
      <w:r w:rsidR="00520D50">
        <w:rPr>
          <w:rFonts w:ascii="Times New Roman" w:hAnsi="Times New Roman"/>
          <w:sz w:val="28"/>
          <w:szCs w:val="28"/>
          <w:lang w:val="ro-MO"/>
        </w:rPr>
        <w:t xml:space="preserve">. </w:t>
      </w:r>
      <w:r w:rsidR="00BE2DF2" w:rsidRPr="00AD160F">
        <w:rPr>
          <w:rFonts w:ascii="Times New Roman" w:hAnsi="Times New Roman"/>
          <w:sz w:val="28"/>
          <w:szCs w:val="28"/>
          <w:lang w:val="ro-MO"/>
        </w:rPr>
        <w:t>De fapt,</w:t>
      </w:r>
      <w:r w:rsidRPr="00AD160F">
        <w:rPr>
          <w:rFonts w:ascii="Times New Roman" w:hAnsi="Times New Roman"/>
          <w:sz w:val="28"/>
          <w:szCs w:val="28"/>
          <w:lang w:val="ro-MO"/>
        </w:rPr>
        <w:t xml:space="preserve"> se renun</w:t>
      </w:r>
      <w:r w:rsidR="006F4B00">
        <w:rPr>
          <w:rFonts w:ascii="Times New Roman" w:hAnsi="Times New Roman"/>
          <w:sz w:val="28"/>
          <w:szCs w:val="28"/>
          <w:lang w:val="ro-MO"/>
        </w:rPr>
        <w:t>ţ</w:t>
      </w:r>
      <w:r w:rsidRPr="00AD160F">
        <w:rPr>
          <w:rFonts w:ascii="Times New Roman" w:hAnsi="Times New Roman"/>
          <w:sz w:val="28"/>
          <w:szCs w:val="28"/>
          <w:lang w:val="ro-MO"/>
        </w:rPr>
        <w:t>ă la mecanism</w:t>
      </w:r>
      <w:r w:rsidR="00520D50">
        <w:rPr>
          <w:rFonts w:ascii="Times New Roman" w:hAnsi="Times New Roman"/>
          <w:sz w:val="28"/>
          <w:szCs w:val="28"/>
          <w:lang w:val="ro-MO"/>
        </w:rPr>
        <w:t>ul</w:t>
      </w:r>
      <w:r w:rsidRPr="00AD160F">
        <w:rPr>
          <w:rFonts w:ascii="Times New Roman" w:hAnsi="Times New Roman"/>
          <w:sz w:val="28"/>
          <w:szCs w:val="28"/>
          <w:lang w:val="ro-MO"/>
        </w:rPr>
        <w:t xml:space="preserve"> de echilibrare prevăzut </w:t>
      </w:r>
      <w:r w:rsidR="00520D50">
        <w:rPr>
          <w:rFonts w:ascii="Times New Roman" w:hAnsi="Times New Roman"/>
          <w:sz w:val="28"/>
          <w:szCs w:val="28"/>
          <w:lang w:val="ro-MO"/>
        </w:rPr>
        <w:t>actualmente la</w:t>
      </w:r>
      <w:r w:rsidRPr="00AD160F">
        <w:rPr>
          <w:rFonts w:ascii="Times New Roman" w:hAnsi="Times New Roman"/>
          <w:sz w:val="28"/>
          <w:szCs w:val="28"/>
          <w:lang w:val="ro-MO"/>
        </w:rPr>
        <w:t xml:space="preserve">  art.10;</w:t>
      </w:r>
    </w:p>
    <w:p w:rsidR="00647A4D" w:rsidRPr="00647A4D" w:rsidRDefault="00647A4D" w:rsidP="00647A4D">
      <w:pPr>
        <w:pStyle w:val="NormalWeb"/>
        <w:tabs>
          <w:tab w:val="left" w:pos="851"/>
        </w:tabs>
        <w:ind w:left="567" w:firstLine="0"/>
        <w:rPr>
          <w:rFonts w:ascii="Times New Roman" w:hAnsi="Times New Roman"/>
          <w:sz w:val="10"/>
          <w:szCs w:val="10"/>
          <w:lang w:val="ro-MO"/>
        </w:rPr>
      </w:pPr>
    </w:p>
    <w:p w:rsidR="00A558CF" w:rsidRDefault="00AF1D75" w:rsidP="00AF1D75">
      <w:pPr>
        <w:pStyle w:val="NormalWeb"/>
        <w:numPr>
          <w:ilvl w:val="0"/>
          <w:numId w:val="4"/>
        </w:numPr>
        <w:tabs>
          <w:tab w:val="left" w:pos="851"/>
        </w:tabs>
        <w:ind w:left="0" w:firstLine="567"/>
        <w:rPr>
          <w:rFonts w:ascii="Times New Roman" w:hAnsi="Times New Roman"/>
          <w:sz w:val="28"/>
          <w:szCs w:val="28"/>
          <w:lang w:val="ro-MO"/>
        </w:rPr>
      </w:pPr>
      <w:r w:rsidRPr="00AF1D75">
        <w:rPr>
          <w:rFonts w:ascii="Times New Roman" w:hAnsi="Times New Roman"/>
          <w:sz w:val="28"/>
          <w:szCs w:val="28"/>
          <w:lang w:val="ro-MO"/>
        </w:rPr>
        <w:t>Între bugetele unităţilor administrativ-teritoriale de nivelul întîi şi cele de nivelul al doilea nu</w:t>
      </w:r>
      <w:r>
        <w:rPr>
          <w:rFonts w:ascii="Times New Roman" w:hAnsi="Times New Roman"/>
          <w:sz w:val="28"/>
          <w:szCs w:val="28"/>
          <w:lang w:val="ro-MO"/>
        </w:rPr>
        <w:t xml:space="preserve"> vor exista </w:t>
      </w:r>
      <w:r w:rsidRPr="00AF1D75">
        <w:rPr>
          <w:rFonts w:ascii="Times New Roman" w:hAnsi="Times New Roman"/>
          <w:sz w:val="28"/>
          <w:szCs w:val="28"/>
          <w:lang w:val="ro-MO"/>
        </w:rPr>
        <w:t>raporturi financiare de subordonare</w:t>
      </w:r>
      <w:r>
        <w:rPr>
          <w:rFonts w:ascii="Times New Roman" w:hAnsi="Times New Roman"/>
          <w:sz w:val="28"/>
          <w:szCs w:val="28"/>
          <w:lang w:val="ro-MO"/>
        </w:rPr>
        <w:t>;</w:t>
      </w:r>
    </w:p>
    <w:p w:rsidR="00647A4D" w:rsidRPr="00647A4D" w:rsidRDefault="00647A4D" w:rsidP="00647A4D">
      <w:pPr>
        <w:pStyle w:val="ListParagraph"/>
        <w:rPr>
          <w:rFonts w:ascii="Times New Roman" w:hAnsi="Times New Roman"/>
          <w:sz w:val="10"/>
          <w:szCs w:val="10"/>
          <w:lang w:val="ro-MO"/>
        </w:rPr>
      </w:pPr>
    </w:p>
    <w:p w:rsidR="00015431" w:rsidRPr="00AD160F" w:rsidRDefault="00015431" w:rsidP="00A56A6E">
      <w:pPr>
        <w:pStyle w:val="NormalWeb"/>
        <w:numPr>
          <w:ilvl w:val="0"/>
          <w:numId w:val="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 xml:space="preserve">Defalcările din veniturile generale </w:t>
      </w:r>
      <w:r w:rsidR="00647A4D">
        <w:rPr>
          <w:rFonts w:ascii="Times New Roman" w:hAnsi="Times New Roman"/>
          <w:sz w:val="28"/>
          <w:szCs w:val="28"/>
          <w:lang w:val="ro-MO"/>
        </w:rPr>
        <w:t xml:space="preserve">de stat </w:t>
      </w:r>
      <w:r w:rsidRPr="00AD160F">
        <w:rPr>
          <w:rFonts w:ascii="Times New Roman" w:hAnsi="Times New Roman"/>
          <w:sz w:val="28"/>
          <w:szCs w:val="28"/>
          <w:lang w:val="ro-MO"/>
        </w:rPr>
        <w:t>se vor referi numai la impozitul pe venit</w:t>
      </w:r>
      <w:r w:rsidR="00647A4D">
        <w:rPr>
          <w:rFonts w:ascii="Times New Roman" w:hAnsi="Times New Roman"/>
          <w:sz w:val="28"/>
          <w:szCs w:val="28"/>
          <w:lang w:val="ro-MO"/>
        </w:rPr>
        <w:t>ul</w:t>
      </w:r>
      <w:r w:rsidRPr="00AD160F">
        <w:rPr>
          <w:rFonts w:ascii="Times New Roman" w:hAnsi="Times New Roman"/>
          <w:sz w:val="28"/>
          <w:szCs w:val="28"/>
          <w:lang w:val="ro-MO"/>
        </w:rPr>
        <w:t xml:space="preserve"> persoane</w:t>
      </w:r>
      <w:r w:rsidR="00647A4D">
        <w:rPr>
          <w:rFonts w:ascii="Times New Roman" w:hAnsi="Times New Roman"/>
          <w:sz w:val="28"/>
          <w:szCs w:val="28"/>
          <w:lang w:val="ro-MO"/>
        </w:rPr>
        <w:t>lor</w:t>
      </w:r>
      <w:r w:rsidRPr="00AD160F">
        <w:rPr>
          <w:rFonts w:ascii="Times New Roman" w:hAnsi="Times New Roman"/>
          <w:sz w:val="28"/>
          <w:szCs w:val="28"/>
          <w:lang w:val="ro-MO"/>
        </w:rPr>
        <w:t xml:space="preserve"> fizice</w:t>
      </w:r>
      <w:r w:rsidR="00056E95" w:rsidRPr="00AD160F">
        <w:rPr>
          <w:rFonts w:ascii="Times New Roman" w:hAnsi="Times New Roman"/>
          <w:sz w:val="28"/>
          <w:szCs w:val="28"/>
          <w:lang w:val="ro-MO"/>
        </w:rPr>
        <w:t xml:space="preserve"> (în continuare – IVPF)</w:t>
      </w:r>
      <w:r w:rsidRPr="00AD160F">
        <w:rPr>
          <w:rFonts w:ascii="Times New Roman" w:hAnsi="Times New Roman"/>
          <w:sz w:val="28"/>
          <w:szCs w:val="28"/>
          <w:lang w:val="ro-MO"/>
        </w:rPr>
        <w:t>, iar cotele specifice de defalcare pe tipuri de administra</w:t>
      </w:r>
      <w:r w:rsidR="006F4B00">
        <w:rPr>
          <w:rFonts w:ascii="Times New Roman" w:hAnsi="Times New Roman"/>
          <w:sz w:val="28"/>
          <w:szCs w:val="28"/>
          <w:lang w:val="ro-MO"/>
        </w:rPr>
        <w:t>ţ</w:t>
      </w:r>
      <w:r w:rsidRPr="00AD160F">
        <w:rPr>
          <w:rFonts w:ascii="Times New Roman" w:hAnsi="Times New Roman"/>
          <w:sz w:val="28"/>
          <w:szCs w:val="28"/>
          <w:lang w:val="ro-MO"/>
        </w:rPr>
        <w:t>ii locale vor fi prevăzute de actuala lege</w:t>
      </w:r>
      <w:r w:rsidR="00056E95" w:rsidRPr="00AD160F">
        <w:rPr>
          <w:rFonts w:ascii="Times New Roman" w:hAnsi="Times New Roman"/>
          <w:sz w:val="28"/>
          <w:szCs w:val="28"/>
          <w:lang w:val="ro-MO"/>
        </w:rPr>
        <w:t>. Aceste cote vor fi</w:t>
      </w:r>
      <w:r w:rsidR="00AA363A" w:rsidRPr="00AD160F">
        <w:rPr>
          <w:rFonts w:ascii="Times New Roman" w:hAnsi="Times New Roman"/>
          <w:sz w:val="28"/>
          <w:szCs w:val="28"/>
          <w:lang w:val="ro-MO"/>
        </w:rPr>
        <w:t xml:space="preserve"> următoarele:</w:t>
      </w:r>
    </w:p>
    <w:p w:rsidR="00AA363A" w:rsidRPr="00AD160F" w:rsidRDefault="00520D50" w:rsidP="00A56A6E">
      <w:pPr>
        <w:pStyle w:val="ListParagraph"/>
        <w:numPr>
          <w:ilvl w:val="0"/>
          <w:numId w:val="9"/>
        </w:numPr>
        <w:tabs>
          <w:tab w:val="left" w:pos="851"/>
        </w:tabs>
        <w:ind w:left="567" w:firstLine="0"/>
        <w:jc w:val="both"/>
        <w:rPr>
          <w:rFonts w:ascii="Times New Roman" w:hAnsi="Times New Roman" w:cs="Times New Roman"/>
          <w:sz w:val="28"/>
          <w:szCs w:val="28"/>
          <w:lang w:val="ro-MO"/>
        </w:rPr>
      </w:pPr>
      <w:r>
        <w:rPr>
          <w:rFonts w:ascii="Times New Roman" w:hAnsi="Times New Roman" w:cs="Times New Roman"/>
          <w:sz w:val="28"/>
          <w:szCs w:val="28"/>
          <w:lang w:val="ro-MO"/>
        </w:rPr>
        <w:t>m</w:t>
      </w:r>
      <w:r w:rsidR="00AA363A" w:rsidRPr="00AD160F">
        <w:rPr>
          <w:rFonts w:ascii="Times New Roman" w:hAnsi="Times New Roman" w:cs="Times New Roman"/>
          <w:sz w:val="28"/>
          <w:szCs w:val="28"/>
          <w:lang w:val="ro-MO"/>
        </w:rPr>
        <w:t>unicipiile Chi</w:t>
      </w:r>
      <w:r w:rsidR="006F4B00">
        <w:rPr>
          <w:rFonts w:ascii="Times New Roman" w:hAnsi="Times New Roman" w:cs="Times New Roman"/>
          <w:sz w:val="28"/>
          <w:szCs w:val="28"/>
          <w:lang w:val="ro-MO"/>
        </w:rPr>
        <w:t>ş</w:t>
      </w:r>
      <w:r w:rsidR="00AA363A" w:rsidRPr="00AD160F">
        <w:rPr>
          <w:rFonts w:ascii="Times New Roman" w:hAnsi="Times New Roman" w:cs="Times New Roman"/>
          <w:sz w:val="28"/>
          <w:szCs w:val="28"/>
          <w:lang w:val="ro-MO"/>
        </w:rPr>
        <w:t xml:space="preserve">inău </w:t>
      </w:r>
      <w:r w:rsidR="006F4B00">
        <w:rPr>
          <w:rFonts w:ascii="Times New Roman" w:hAnsi="Times New Roman" w:cs="Times New Roman"/>
          <w:sz w:val="28"/>
          <w:szCs w:val="28"/>
          <w:lang w:val="ro-MO"/>
        </w:rPr>
        <w:t>ş</w:t>
      </w:r>
      <w:r w:rsidR="00AA363A" w:rsidRPr="00AD160F">
        <w:rPr>
          <w:rFonts w:ascii="Times New Roman" w:hAnsi="Times New Roman" w:cs="Times New Roman"/>
          <w:sz w:val="28"/>
          <w:szCs w:val="28"/>
          <w:lang w:val="ro-MO"/>
        </w:rPr>
        <w:t>i Băl</w:t>
      </w:r>
      <w:r w:rsidR="006F4B00">
        <w:rPr>
          <w:rFonts w:ascii="Times New Roman" w:hAnsi="Times New Roman" w:cs="Times New Roman"/>
          <w:sz w:val="28"/>
          <w:szCs w:val="28"/>
          <w:lang w:val="ro-MO"/>
        </w:rPr>
        <w:t>ţ</w:t>
      </w:r>
      <w:r w:rsidR="00AA363A" w:rsidRPr="00AD160F">
        <w:rPr>
          <w:rFonts w:ascii="Times New Roman" w:hAnsi="Times New Roman" w:cs="Times New Roman"/>
          <w:sz w:val="28"/>
          <w:szCs w:val="28"/>
          <w:lang w:val="ro-MO"/>
        </w:rPr>
        <w:t xml:space="preserve">i – </w:t>
      </w:r>
      <w:r w:rsidR="005A6AFA">
        <w:rPr>
          <w:rFonts w:ascii="Times New Roman" w:hAnsi="Times New Roman" w:cs="Times New Roman"/>
          <w:sz w:val="28"/>
          <w:szCs w:val="28"/>
          <w:lang w:val="ro-MO"/>
        </w:rPr>
        <w:t>45</w:t>
      </w:r>
      <w:r w:rsidR="00AA363A" w:rsidRPr="00AD160F">
        <w:rPr>
          <w:rFonts w:ascii="Times New Roman" w:hAnsi="Times New Roman" w:cs="Times New Roman"/>
          <w:sz w:val="28"/>
          <w:szCs w:val="28"/>
          <w:lang w:val="ro-MO"/>
        </w:rPr>
        <w:t xml:space="preserve">% din </w:t>
      </w:r>
      <w:r w:rsidR="00056E95" w:rsidRPr="00AD160F">
        <w:rPr>
          <w:rFonts w:ascii="Times New Roman" w:hAnsi="Times New Roman" w:cs="Times New Roman"/>
          <w:sz w:val="28"/>
          <w:szCs w:val="28"/>
          <w:lang w:val="ro-MO"/>
        </w:rPr>
        <w:t>IVPF,</w:t>
      </w:r>
      <w:r w:rsidR="00AA363A" w:rsidRPr="00AD160F">
        <w:rPr>
          <w:rFonts w:ascii="Times New Roman" w:hAnsi="Times New Roman" w:cs="Times New Roman"/>
          <w:sz w:val="28"/>
          <w:szCs w:val="28"/>
          <w:lang w:val="ro-MO"/>
        </w:rPr>
        <w:t xml:space="preserve"> colectat în limitele administrativ</w:t>
      </w:r>
      <w:r w:rsidR="00056E95" w:rsidRPr="00AD160F">
        <w:rPr>
          <w:rFonts w:ascii="Times New Roman" w:hAnsi="Times New Roman" w:cs="Times New Roman"/>
          <w:sz w:val="28"/>
          <w:szCs w:val="28"/>
          <w:lang w:val="ro-MO"/>
        </w:rPr>
        <w:t>-</w:t>
      </w:r>
      <w:r>
        <w:rPr>
          <w:rFonts w:ascii="Times New Roman" w:hAnsi="Times New Roman" w:cs="Times New Roman"/>
          <w:sz w:val="28"/>
          <w:szCs w:val="28"/>
          <w:lang w:val="ro-MO"/>
        </w:rPr>
        <w:t>teritoriale ale respectivelor</w:t>
      </w:r>
      <w:r w:rsidR="00AA363A" w:rsidRPr="00AD160F">
        <w:rPr>
          <w:rFonts w:ascii="Times New Roman" w:hAnsi="Times New Roman" w:cs="Times New Roman"/>
          <w:sz w:val="28"/>
          <w:szCs w:val="28"/>
          <w:lang w:val="ro-MO"/>
        </w:rPr>
        <w:t xml:space="preserve"> UAT;</w:t>
      </w:r>
    </w:p>
    <w:p w:rsidR="00AA363A" w:rsidRPr="00AD160F" w:rsidRDefault="00520D50" w:rsidP="00A56A6E">
      <w:pPr>
        <w:pStyle w:val="ListParagraph"/>
        <w:numPr>
          <w:ilvl w:val="0"/>
          <w:numId w:val="9"/>
        </w:numPr>
        <w:tabs>
          <w:tab w:val="left" w:pos="851"/>
        </w:tabs>
        <w:ind w:left="567" w:firstLine="0"/>
        <w:jc w:val="both"/>
        <w:rPr>
          <w:rFonts w:ascii="Times New Roman" w:hAnsi="Times New Roman" w:cs="Times New Roman"/>
          <w:sz w:val="28"/>
          <w:szCs w:val="28"/>
          <w:lang w:val="ro-MO"/>
        </w:rPr>
      </w:pPr>
      <w:r>
        <w:rPr>
          <w:rFonts w:ascii="Times New Roman" w:hAnsi="Times New Roman" w:cs="Times New Roman"/>
          <w:sz w:val="28"/>
          <w:szCs w:val="28"/>
          <w:lang w:val="ro-MO"/>
        </w:rPr>
        <w:t>c</w:t>
      </w:r>
      <w:r w:rsidR="00AA363A" w:rsidRPr="00AD160F">
        <w:rPr>
          <w:rFonts w:ascii="Times New Roman" w:hAnsi="Times New Roman" w:cs="Times New Roman"/>
          <w:sz w:val="28"/>
          <w:szCs w:val="28"/>
          <w:lang w:val="ro-MO"/>
        </w:rPr>
        <w:t>onsiliile Raionale</w:t>
      </w:r>
      <w:r w:rsidR="00CA43FA" w:rsidRPr="00AD160F">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sidR="00CA43FA" w:rsidRPr="00AD160F">
        <w:rPr>
          <w:rFonts w:ascii="Times New Roman" w:hAnsi="Times New Roman" w:cs="Times New Roman"/>
          <w:sz w:val="28"/>
          <w:szCs w:val="28"/>
          <w:lang w:val="ro-MO"/>
        </w:rPr>
        <w:t>i UTA Găgăuzia</w:t>
      </w:r>
      <w:r w:rsidR="00AA363A" w:rsidRPr="00AD160F">
        <w:rPr>
          <w:rFonts w:ascii="Times New Roman" w:hAnsi="Times New Roman" w:cs="Times New Roman"/>
          <w:sz w:val="28"/>
          <w:szCs w:val="28"/>
          <w:lang w:val="ro-MO"/>
        </w:rPr>
        <w:t xml:space="preserve"> – </w:t>
      </w:r>
      <w:r w:rsidR="005A6AFA">
        <w:rPr>
          <w:rFonts w:ascii="Times New Roman" w:hAnsi="Times New Roman" w:cs="Times New Roman"/>
          <w:sz w:val="28"/>
          <w:szCs w:val="28"/>
          <w:lang w:val="ro-MO"/>
        </w:rPr>
        <w:t>25</w:t>
      </w:r>
      <w:r w:rsidR="00AA363A" w:rsidRPr="00AD160F">
        <w:rPr>
          <w:rFonts w:ascii="Times New Roman" w:hAnsi="Times New Roman" w:cs="Times New Roman"/>
          <w:sz w:val="28"/>
          <w:szCs w:val="28"/>
          <w:lang w:val="ro-MO"/>
        </w:rPr>
        <w:t xml:space="preserve">% din </w:t>
      </w:r>
      <w:r w:rsidR="00056E95" w:rsidRPr="00AD160F">
        <w:rPr>
          <w:rFonts w:ascii="Times New Roman" w:hAnsi="Times New Roman" w:cs="Times New Roman"/>
          <w:sz w:val="28"/>
          <w:szCs w:val="28"/>
          <w:lang w:val="ro-MO"/>
        </w:rPr>
        <w:t>IVPF,</w:t>
      </w:r>
      <w:r w:rsidR="00AA363A" w:rsidRPr="00AD160F">
        <w:rPr>
          <w:rFonts w:ascii="Times New Roman" w:hAnsi="Times New Roman" w:cs="Times New Roman"/>
          <w:sz w:val="28"/>
          <w:szCs w:val="28"/>
          <w:lang w:val="ro-MO"/>
        </w:rPr>
        <w:t xml:space="preserve"> colectat în limitele administrativ</w:t>
      </w:r>
      <w:r w:rsidR="00056E95" w:rsidRPr="00AD160F">
        <w:rPr>
          <w:rFonts w:ascii="Times New Roman" w:hAnsi="Times New Roman" w:cs="Times New Roman"/>
          <w:sz w:val="28"/>
          <w:szCs w:val="28"/>
          <w:lang w:val="ro-MO"/>
        </w:rPr>
        <w:t>-</w:t>
      </w:r>
      <w:r>
        <w:rPr>
          <w:rFonts w:ascii="Times New Roman" w:hAnsi="Times New Roman" w:cs="Times New Roman"/>
          <w:sz w:val="28"/>
          <w:szCs w:val="28"/>
          <w:lang w:val="ro-MO"/>
        </w:rPr>
        <w:t>teritoriale ale respectivelor</w:t>
      </w:r>
      <w:r w:rsidR="00AA363A" w:rsidRPr="00AD160F">
        <w:rPr>
          <w:rFonts w:ascii="Times New Roman" w:hAnsi="Times New Roman" w:cs="Times New Roman"/>
          <w:sz w:val="28"/>
          <w:szCs w:val="28"/>
          <w:lang w:val="ro-MO"/>
        </w:rPr>
        <w:t xml:space="preserve"> UAT</w:t>
      </w:r>
      <w:r w:rsidR="00CA43FA" w:rsidRPr="00AD160F">
        <w:rPr>
          <w:rFonts w:ascii="Times New Roman" w:hAnsi="Times New Roman" w:cs="Times New Roman"/>
          <w:sz w:val="28"/>
          <w:szCs w:val="28"/>
          <w:lang w:val="ro-MO"/>
        </w:rPr>
        <w:t>;</w:t>
      </w:r>
    </w:p>
    <w:p w:rsidR="00CA43FA" w:rsidRPr="00AD160F" w:rsidRDefault="00520D50" w:rsidP="00A56A6E">
      <w:pPr>
        <w:pStyle w:val="ListParagraph"/>
        <w:numPr>
          <w:ilvl w:val="0"/>
          <w:numId w:val="9"/>
        </w:numPr>
        <w:tabs>
          <w:tab w:val="left" w:pos="851"/>
        </w:tabs>
        <w:ind w:left="567" w:firstLine="0"/>
        <w:jc w:val="both"/>
        <w:rPr>
          <w:rFonts w:ascii="Times New Roman" w:hAnsi="Times New Roman" w:cs="Times New Roman"/>
          <w:sz w:val="28"/>
          <w:szCs w:val="28"/>
          <w:lang w:val="ro-MO"/>
        </w:rPr>
      </w:pPr>
      <w:r>
        <w:rPr>
          <w:rFonts w:ascii="Times New Roman" w:hAnsi="Times New Roman" w:cs="Times New Roman"/>
          <w:sz w:val="28"/>
          <w:szCs w:val="28"/>
          <w:lang w:val="ro-MO"/>
        </w:rPr>
        <w:t>o</w:t>
      </w:r>
      <w:r w:rsidR="00CA43FA" w:rsidRPr="00AD160F">
        <w:rPr>
          <w:rFonts w:ascii="Times New Roman" w:hAnsi="Times New Roman" w:cs="Times New Roman"/>
          <w:sz w:val="28"/>
          <w:szCs w:val="28"/>
          <w:lang w:val="ro-MO"/>
        </w:rPr>
        <w:t>ra</w:t>
      </w:r>
      <w:r w:rsidR="006F4B00">
        <w:rPr>
          <w:rFonts w:ascii="Times New Roman" w:hAnsi="Times New Roman" w:cs="Times New Roman"/>
          <w:sz w:val="28"/>
          <w:szCs w:val="28"/>
          <w:lang w:val="ro-MO"/>
        </w:rPr>
        <w:t>ş</w:t>
      </w:r>
      <w:r w:rsidR="00CA43FA" w:rsidRPr="00AD160F">
        <w:rPr>
          <w:rFonts w:ascii="Times New Roman" w:hAnsi="Times New Roman" w:cs="Times New Roman"/>
          <w:sz w:val="28"/>
          <w:szCs w:val="28"/>
          <w:lang w:val="ro-MO"/>
        </w:rPr>
        <w:t>ele re</w:t>
      </w:r>
      <w:r w:rsidR="006F4B00">
        <w:rPr>
          <w:rFonts w:ascii="Times New Roman" w:hAnsi="Times New Roman" w:cs="Times New Roman"/>
          <w:sz w:val="28"/>
          <w:szCs w:val="28"/>
          <w:lang w:val="ro-MO"/>
        </w:rPr>
        <w:t>ş</w:t>
      </w:r>
      <w:r w:rsidR="00CA43FA" w:rsidRPr="00AD160F">
        <w:rPr>
          <w:rFonts w:ascii="Times New Roman" w:hAnsi="Times New Roman" w:cs="Times New Roman"/>
          <w:sz w:val="28"/>
          <w:szCs w:val="28"/>
          <w:lang w:val="ro-MO"/>
        </w:rPr>
        <w:t>edin</w:t>
      </w:r>
      <w:r w:rsidR="006F4B00">
        <w:rPr>
          <w:rFonts w:ascii="Times New Roman" w:hAnsi="Times New Roman" w:cs="Times New Roman"/>
          <w:sz w:val="28"/>
          <w:szCs w:val="28"/>
          <w:lang w:val="ro-MO"/>
        </w:rPr>
        <w:t>ţ</w:t>
      </w:r>
      <w:r w:rsidR="00CA43FA" w:rsidRPr="00AD160F">
        <w:rPr>
          <w:rFonts w:ascii="Times New Roman" w:hAnsi="Times New Roman" w:cs="Times New Roman"/>
          <w:sz w:val="28"/>
          <w:szCs w:val="28"/>
          <w:lang w:val="ro-MO"/>
        </w:rPr>
        <w:t xml:space="preserve">ă de raion, inclusiv cele din UTA Găgăuzia, – 20% </w:t>
      </w:r>
      <w:r w:rsidR="00056E95" w:rsidRPr="00AD160F">
        <w:rPr>
          <w:rFonts w:ascii="Times New Roman" w:hAnsi="Times New Roman" w:cs="Times New Roman"/>
          <w:sz w:val="28"/>
          <w:szCs w:val="28"/>
          <w:lang w:val="ro-MO"/>
        </w:rPr>
        <w:t xml:space="preserve">din IVPF, </w:t>
      </w:r>
      <w:r w:rsidR="00CA43FA" w:rsidRPr="00AD160F">
        <w:rPr>
          <w:rFonts w:ascii="Times New Roman" w:hAnsi="Times New Roman" w:cs="Times New Roman"/>
          <w:sz w:val="28"/>
          <w:szCs w:val="28"/>
          <w:lang w:val="ro-MO"/>
        </w:rPr>
        <w:t>colectat în limitele administrativ</w:t>
      </w:r>
      <w:r w:rsidR="00056E95" w:rsidRPr="00AD160F">
        <w:rPr>
          <w:rFonts w:ascii="Times New Roman" w:hAnsi="Times New Roman" w:cs="Times New Roman"/>
          <w:sz w:val="28"/>
          <w:szCs w:val="28"/>
          <w:lang w:val="ro-MO"/>
        </w:rPr>
        <w:t>-</w:t>
      </w:r>
      <w:r>
        <w:rPr>
          <w:rFonts w:ascii="Times New Roman" w:hAnsi="Times New Roman" w:cs="Times New Roman"/>
          <w:sz w:val="28"/>
          <w:szCs w:val="28"/>
          <w:lang w:val="ro-MO"/>
        </w:rPr>
        <w:t>teritoriale ale respectivelor</w:t>
      </w:r>
      <w:r w:rsidR="00CA43FA" w:rsidRPr="00AD160F">
        <w:rPr>
          <w:rFonts w:ascii="Times New Roman" w:hAnsi="Times New Roman" w:cs="Times New Roman"/>
          <w:sz w:val="28"/>
          <w:szCs w:val="28"/>
          <w:lang w:val="ro-MO"/>
        </w:rPr>
        <w:t xml:space="preserve"> UAT;</w:t>
      </w:r>
    </w:p>
    <w:p w:rsidR="00CA43FA" w:rsidRPr="00647A4D" w:rsidRDefault="00520D50" w:rsidP="00A56A6E">
      <w:pPr>
        <w:pStyle w:val="ListParagraph"/>
        <w:numPr>
          <w:ilvl w:val="0"/>
          <w:numId w:val="9"/>
        </w:numPr>
        <w:tabs>
          <w:tab w:val="left" w:pos="851"/>
        </w:tabs>
        <w:ind w:left="567" w:firstLine="0"/>
        <w:jc w:val="both"/>
        <w:rPr>
          <w:rFonts w:ascii="Times New Roman" w:hAnsi="Times New Roman" w:cs="Times New Roman"/>
          <w:sz w:val="28"/>
          <w:szCs w:val="28"/>
          <w:lang w:val="ro-MO"/>
        </w:rPr>
      </w:pPr>
      <w:r>
        <w:rPr>
          <w:rFonts w:ascii="Times New Roman" w:hAnsi="Times New Roman" w:cs="Times New Roman"/>
          <w:sz w:val="28"/>
          <w:szCs w:val="28"/>
          <w:lang w:val="ro-MO"/>
        </w:rPr>
        <w:t>c</w:t>
      </w:r>
      <w:r w:rsidR="00CA43FA" w:rsidRPr="00AD160F">
        <w:rPr>
          <w:rFonts w:ascii="Times New Roman" w:hAnsi="Times New Roman" w:cs="Times New Roman"/>
          <w:sz w:val="28"/>
          <w:szCs w:val="28"/>
          <w:lang w:val="ro-MO"/>
        </w:rPr>
        <w:t xml:space="preserve">elelalte UAT de nivel </w:t>
      </w:r>
      <w:r w:rsidR="00056E95" w:rsidRPr="00AD160F">
        <w:rPr>
          <w:rFonts w:ascii="Times New Roman" w:hAnsi="Times New Roman" w:cs="Times New Roman"/>
          <w:sz w:val="28"/>
          <w:szCs w:val="28"/>
          <w:lang w:val="ro-MO"/>
        </w:rPr>
        <w:t>întîi</w:t>
      </w:r>
      <w:r w:rsidR="00CA43FA" w:rsidRPr="00AD160F">
        <w:rPr>
          <w:rFonts w:ascii="Times New Roman" w:hAnsi="Times New Roman" w:cs="Times New Roman"/>
          <w:sz w:val="28"/>
          <w:szCs w:val="28"/>
          <w:lang w:val="ro-MO"/>
        </w:rPr>
        <w:t xml:space="preserve">, inclusiv cele din UTA Găgăuzia, - </w:t>
      </w:r>
      <w:r w:rsidR="005A6AFA">
        <w:rPr>
          <w:rFonts w:ascii="Times New Roman" w:hAnsi="Times New Roman" w:cs="Times New Roman"/>
          <w:sz w:val="28"/>
          <w:szCs w:val="28"/>
          <w:lang w:val="ro-MO"/>
        </w:rPr>
        <w:t>75</w:t>
      </w:r>
      <w:r w:rsidR="00CA43FA" w:rsidRPr="00AD160F">
        <w:rPr>
          <w:rFonts w:ascii="Times New Roman" w:hAnsi="Times New Roman" w:cs="Times New Roman"/>
          <w:sz w:val="28"/>
          <w:szCs w:val="28"/>
          <w:lang w:val="ro-MO"/>
        </w:rPr>
        <w:t xml:space="preserve">% din </w:t>
      </w:r>
      <w:r w:rsidR="00056E95" w:rsidRPr="00AD160F">
        <w:rPr>
          <w:rFonts w:ascii="Times New Roman" w:hAnsi="Times New Roman" w:cs="Times New Roman"/>
          <w:sz w:val="28"/>
          <w:szCs w:val="28"/>
          <w:lang w:val="ro-MO"/>
        </w:rPr>
        <w:t>IVPF,</w:t>
      </w:r>
      <w:r w:rsidR="00CA43FA" w:rsidRPr="00AD160F">
        <w:rPr>
          <w:rFonts w:ascii="Times New Roman" w:hAnsi="Times New Roman" w:cs="Times New Roman"/>
          <w:sz w:val="28"/>
          <w:szCs w:val="28"/>
          <w:lang w:val="ro-MO"/>
        </w:rPr>
        <w:t xml:space="preserve"> colectat în limitele administrativ</w:t>
      </w:r>
      <w:r w:rsidR="00056E95" w:rsidRPr="00AD160F">
        <w:rPr>
          <w:rFonts w:ascii="Times New Roman" w:hAnsi="Times New Roman" w:cs="Times New Roman"/>
          <w:sz w:val="28"/>
          <w:szCs w:val="28"/>
          <w:lang w:val="ro-MO"/>
        </w:rPr>
        <w:t>-</w:t>
      </w:r>
      <w:r>
        <w:rPr>
          <w:rFonts w:ascii="Times New Roman" w:hAnsi="Times New Roman" w:cs="Times New Roman"/>
          <w:sz w:val="28"/>
          <w:szCs w:val="28"/>
          <w:lang w:val="ro-MO"/>
        </w:rPr>
        <w:t>teritoriale ale respectivelor</w:t>
      </w:r>
      <w:r w:rsidR="00402130">
        <w:rPr>
          <w:rFonts w:ascii="Times New Roman" w:hAnsi="Times New Roman" w:cs="Times New Roman"/>
          <w:sz w:val="28"/>
          <w:szCs w:val="28"/>
          <w:lang w:val="ro-MO"/>
        </w:rPr>
        <w:t xml:space="preserve"> UAT</w:t>
      </w:r>
      <w:r w:rsidR="00402130">
        <w:rPr>
          <w:rFonts w:ascii="Times New Roman" w:hAnsi="Times New Roman" w:cs="Times New Roman"/>
          <w:sz w:val="28"/>
          <w:szCs w:val="28"/>
          <w:lang w:val="ro-RO"/>
        </w:rPr>
        <w:t>;</w:t>
      </w:r>
    </w:p>
    <w:p w:rsidR="00647A4D" w:rsidRPr="00647A4D" w:rsidRDefault="00647A4D" w:rsidP="00647A4D">
      <w:pPr>
        <w:pStyle w:val="ListParagraph"/>
        <w:tabs>
          <w:tab w:val="left" w:pos="851"/>
        </w:tabs>
        <w:ind w:left="567"/>
        <w:jc w:val="both"/>
        <w:rPr>
          <w:rFonts w:ascii="Times New Roman" w:hAnsi="Times New Roman" w:cs="Times New Roman"/>
          <w:sz w:val="10"/>
          <w:szCs w:val="10"/>
          <w:lang w:val="ro-MO"/>
        </w:rPr>
      </w:pPr>
    </w:p>
    <w:p w:rsidR="00015431" w:rsidRPr="00AD160F" w:rsidRDefault="00015431" w:rsidP="00A56A6E">
      <w:pPr>
        <w:pStyle w:val="NormalWeb"/>
        <w:numPr>
          <w:ilvl w:val="0"/>
          <w:numId w:val="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Transferurile cu destina</w:t>
      </w:r>
      <w:r w:rsidR="006F4B00">
        <w:rPr>
          <w:rFonts w:ascii="Times New Roman" w:hAnsi="Times New Roman"/>
          <w:sz w:val="28"/>
          <w:szCs w:val="28"/>
          <w:lang w:val="ro-MO"/>
        </w:rPr>
        <w:t>ţ</w:t>
      </w:r>
      <w:r w:rsidRPr="00AD160F">
        <w:rPr>
          <w:rFonts w:ascii="Times New Roman" w:hAnsi="Times New Roman"/>
          <w:sz w:val="28"/>
          <w:szCs w:val="28"/>
          <w:lang w:val="ro-MO"/>
        </w:rPr>
        <w:t>ie generală, de echilibrare</w:t>
      </w:r>
      <w:r w:rsidR="00836AB3">
        <w:rPr>
          <w:rFonts w:ascii="Times New Roman" w:hAnsi="Times New Roman"/>
          <w:sz w:val="28"/>
          <w:szCs w:val="28"/>
          <w:lang w:val="ro-MO"/>
        </w:rPr>
        <w:t>,</w:t>
      </w:r>
      <w:r w:rsidRPr="00AD160F">
        <w:rPr>
          <w:rFonts w:ascii="Times New Roman" w:hAnsi="Times New Roman"/>
          <w:sz w:val="28"/>
          <w:szCs w:val="28"/>
          <w:lang w:val="ro-MO"/>
        </w:rPr>
        <w:t xml:space="preserve"> vor fi alocate pe bază de formulă, distinctă pentru UAT de nivelul </w:t>
      </w:r>
      <w:r w:rsidR="00056E95" w:rsidRPr="00AD160F">
        <w:rPr>
          <w:rFonts w:ascii="Times New Roman" w:hAnsi="Times New Roman"/>
          <w:sz w:val="28"/>
          <w:szCs w:val="28"/>
          <w:lang w:val="ro-MO"/>
        </w:rPr>
        <w:t>întîi</w:t>
      </w:r>
      <w:r w:rsidRPr="00AD160F">
        <w:rPr>
          <w:rFonts w:ascii="Times New Roman" w:hAnsi="Times New Roman"/>
          <w:sz w:val="28"/>
          <w:szCs w:val="28"/>
          <w:lang w:val="ro-MO"/>
        </w:rPr>
        <w:t xml:space="preserve"> </w:t>
      </w:r>
      <w:r w:rsidR="006F4B00">
        <w:rPr>
          <w:rFonts w:ascii="Times New Roman" w:hAnsi="Times New Roman"/>
          <w:sz w:val="28"/>
          <w:szCs w:val="28"/>
          <w:lang w:val="ro-MO"/>
        </w:rPr>
        <w:t>ş</w:t>
      </w:r>
      <w:r w:rsidRPr="00AD160F">
        <w:rPr>
          <w:rFonts w:ascii="Times New Roman" w:hAnsi="Times New Roman"/>
          <w:sz w:val="28"/>
          <w:szCs w:val="28"/>
          <w:lang w:val="ro-MO"/>
        </w:rPr>
        <w:t>i pentru cele de nivelul al doilea, astfel:</w:t>
      </w:r>
    </w:p>
    <w:p w:rsidR="00A558CF" w:rsidRPr="00AD160F" w:rsidRDefault="00A558CF" w:rsidP="00A56A6E">
      <w:pPr>
        <w:pStyle w:val="ListParagraph"/>
        <w:numPr>
          <w:ilvl w:val="0"/>
          <w:numId w:val="6"/>
        </w:numPr>
        <w:tabs>
          <w:tab w:val="left" w:pos="851"/>
        </w:tabs>
        <w:spacing w:before="120"/>
        <w:ind w:left="567" w:firstLine="0"/>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Fondul de sus</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inere financiară (FSF) se distribuie în două fonduri distincte: </w:t>
      </w:r>
      <w:r w:rsidRPr="00AD160F">
        <w:rPr>
          <w:rFonts w:ascii="Times New Roman" w:eastAsia="Times New Roman" w:hAnsi="Times New Roman" w:cs="Times New Roman"/>
          <w:sz w:val="28"/>
          <w:szCs w:val="28"/>
          <w:lang w:val="ro-MO"/>
        </w:rPr>
        <w:t>fondul de echilibrare al bugetelor unită</w:t>
      </w:r>
      <w:r w:rsidR="006F4B00">
        <w:rPr>
          <w:rFonts w:ascii="Times New Roman" w:eastAsia="Times New Roman" w:hAnsi="Times New Roman" w:cs="Times New Roman"/>
          <w:sz w:val="28"/>
          <w:szCs w:val="28"/>
          <w:lang w:val="ro-MO"/>
        </w:rPr>
        <w:t>ţ</w:t>
      </w:r>
      <w:r w:rsidRPr="00AD160F">
        <w:rPr>
          <w:rFonts w:ascii="Times New Roman" w:eastAsia="Times New Roman" w:hAnsi="Times New Roman" w:cs="Times New Roman"/>
          <w:sz w:val="28"/>
          <w:szCs w:val="28"/>
          <w:lang w:val="ro-MO"/>
        </w:rPr>
        <w:t>ilor admi</w:t>
      </w:r>
      <w:r w:rsidR="00056E95" w:rsidRPr="00AD160F">
        <w:rPr>
          <w:rFonts w:ascii="Times New Roman" w:eastAsia="Times New Roman" w:hAnsi="Times New Roman" w:cs="Times New Roman"/>
          <w:sz w:val="28"/>
          <w:szCs w:val="28"/>
          <w:lang w:val="ro-MO"/>
        </w:rPr>
        <w:t xml:space="preserve">nistrativ teritoriale de nivel întîi (FEB1) </w:t>
      </w:r>
      <w:r w:rsidR="006F4B00">
        <w:rPr>
          <w:rFonts w:ascii="Times New Roman" w:eastAsia="Times New Roman" w:hAnsi="Times New Roman" w:cs="Times New Roman"/>
          <w:sz w:val="28"/>
          <w:szCs w:val="28"/>
          <w:lang w:val="ro-MO"/>
        </w:rPr>
        <w:t>ş</w:t>
      </w:r>
      <w:r w:rsidRPr="00AD160F">
        <w:rPr>
          <w:rFonts w:ascii="Times New Roman" w:eastAsia="Times New Roman" w:hAnsi="Times New Roman" w:cs="Times New Roman"/>
          <w:sz w:val="28"/>
          <w:szCs w:val="28"/>
          <w:lang w:val="ro-MO"/>
        </w:rPr>
        <w:t>i fondul de echilibrare al bugetelor unită</w:t>
      </w:r>
      <w:r w:rsidR="006F4B00">
        <w:rPr>
          <w:rFonts w:ascii="Times New Roman" w:eastAsia="Times New Roman" w:hAnsi="Times New Roman" w:cs="Times New Roman"/>
          <w:sz w:val="28"/>
          <w:szCs w:val="28"/>
          <w:lang w:val="ro-MO"/>
        </w:rPr>
        <w:t>ţ</w:t>
      </w:r>
      <w:r w:rsidRPr="00AD160F">
        <w:rPr>
          <w:rFonts w:ascii="Times New Roman" w:eastAsia="Times New Roman" w:hAnsi="Times New Roman" w:cs="Times New Roman"/>
          <w:sz w:val="28"/>
          <w:szCs w:val="28"/>
          <w:lang w:val="ro-MO"/>
        </w:rPr>
        <w:t>ilor admi</w:t>
      </w:r>
      <w:r w:rsidR="00056E95" w:rsidRPr="00AD160F">
        <w:rPr>
          <w:rFonts w:ascii="Times New Roman" w:eastAsia="Times New Roman" w:hAnsi="Times New Roman" w:cs="Times New Roman"/>
          <w:sz w:val="28"/>
          <w:szCs w:val="28"/>
          <w:lang w:val="ro-MO"/>
        </w:rPr>
        <w:t>nistrativ-teritoriale de nivelul al doilea</w:t>
      </w:r>
      <w:r w:rsidR="00647A4D">
        <w:rPr>
          <w:rFonts w:ascii="Times New Roman" w:eastAsia="Times New Roman" w:hAnsi="Times New Roman" w:cs="Times New Roman"/>
          <w:sz w:val="28"/>
          <w:szCs w:val="28"/>
          <w:lang w:val="ro-MO"/>
        </w:rPr>
        <w:t xml:space="preserve"> </w:t>
      </w:r>
      <w:r w:rsidRPr="00AD160F">
        <w:rPr>
          <w:rFonts w:ascii="Times New Roman" w:eastAsia="Times New Roman" w:hAnsi="Times New Roman" w:cs="Times New Roman"/>
          <w:sz w:val="28"/>
          <w:szCs w:val="28"/>
          <w:lang w:val="ro-MO"/>
        </w:rPr>
        <w:t xml:space="preserve">(FEB2). </w:t>
      </w:r>
      <w:r w:rsidRPr="00AD160F">
        <w:rPr>
          <w:rFonts w:ascii="Times New Roman" w:hAnsi="Times New Roman" w:cs="Times New Roman"/>
          <w:sz w:val="28"/>
          <w:szCs w:val="28"/>
          <w:lang w:val="ro-MO"/>
        </w:rPr>
        <w:t>Distribu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ia în</w:t>
      </w:r>
      <w:r w:rsidR="00647A4D">
        <w:rPr>
          <w:rFonts w:ascii="Times New Roman" w:hAnsi="Times New Roman" w:cs="Times New Roman"/>
          <w:sz w:val="28"/>
          <w:szCs w:val="28"/>
          <w:lang w:val="ro-MO"/>
        </w:rPr>
        <w:t>tre</w:t>
      </w:r>
      <w:r w:rsidRPr="00AD160F">
        <w:rPr>
          <w:rFonts w:ascii="Times New Roman" w:hAnsi="Times New Roman" w:cs="Times New Roman"/>
          <w:sz w:val="28"/>
          <w:szCs w:val="28"/>
          <w:lang w:val="ro-MO"/>
        </w:rPr>
        <w:t xml:space="preserve"> cele 2 fonduri se face conform parametrului de distribu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 Pd</w:t>
      </w:r>
      <w:r w:rsidR="00CE76D9">
        <w:rPr>
          <w:rFonts w:ascii="Times New Roman" w:hAnsi="Times New Roman" w:cs="Times New Roman"/>
          <w:sz w:val="28"/>
          <w:szCs w:val="28"/>
          <w:lang w:val="ro-MO"/>
        </w:rPr>
        <w:t xml:space="preserve"> (Pd</w:t>
      </w:r>
      <w:r w:rsidR="00CE76D9">
        <w:rPr>
          <w:rFonts w:ascii="Times New Roman" w:hAnsi="Times New Roman" w:cs="Times New Roman"/>
          <w:sz w:val="28"/>
          <w:szCs w:val="28"/>
        </w:rPr>
        <w:t>&lt;100%), în modul următor:</w:t>
      </w:r>
    </w:p>
    <w:p w:rsidR="00A558CF" w:rsidRPr="00AD160F" w:rsidRDefault="00A558CF" w:rsidP="008B3768">
      <w:pPr>
        <w:ind w:left="540" w:firstLine="720"/>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FEB1 = FSF*(100%-Pd)</w:t>
      </w:r>
    </w:p>
    <w:p w:rsidR="007C12A3" w:rsidRDefault="00A558CF" w:rsidP="008B3768">
      <w:pPr>
        <w:ind w:left="720" w:firstLine="540"/>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FEB2 = FSF*Pd</w:t>
      </w:r>
    </w:p>
    <w:p w:rsidR="00A558CF" w:rsidRPr="00AD160F" w:rsidRDefault="007C12A3" w:rsidP="008B3768">
      <w:pPr>
        <w:ind w:left="720" w:firstLine="54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Pr="007C12A3">
        <w:rPr>
          <w:rFonts w:ascii="Times New Roman" w:hAnsi="Times New Roman" w:cs="Times New Roman"/>
          <w:sz w:val="28"/>
          <w:szCs w:val="28"/>
          <w:lang w:val="ro-MO"/>
        </w:rPr>
        <w:t xml:space="preserve"> </w:t>
      </w:r>
      <w:r>
        <w:rPr>
          <w:rFonts w:ascii="Times New Roman" w:hAnsi="Times New Roman" w:cs="Times New Roman"/>
          <w:sz w:val="28"/>
          <w:szCs w:val="28"/>
          <w:lang w:val="ro-MO"/>
        </w:rPr>
        <w:t>unde, Pd=65%</w:t>
      </w:r>
      <w:r w:rsidR="00CE76D9">
        <w:rPr>
          <w:rFonts w:ascii="Times New Roman" w:hAnsi="Times New Roman" w:cs="Times New Roman"/>
          <w:sz w:val="28"/>
          <w:szCs w:val="28"/>
          <w:lang w:val="ro-MO"/>
        </w:rPr>
        <w:t>.</w:t>
      </w:r>
    </w:p>
    <w:p w:rsidR="00015431" w:rsidRPr="00402130" w:rsidRDefault="00015431" w:rsidP="008B3768">
      <w:pPr>
        <w:ind w:left="540" w:firstLine="720"/>
        <w:jc w:val="both"/>
        <w:rPr>
          <w:rFonts w:ascii="Times New Roman" w:hAnsi="Times New Roman" w:cs="Times New Roman"/>
          <w:i/>
          <w:sz w:val="10"/>
          <w:szCs w:val="10"/>
          <w:lang w:val="ro-MO"/>
        </w:rPr>
      </w:pPr>
      <w:r w:rsidRPr="00520D50">
        <w:rPr>
          <w:rFonts w:ascii="Times New Roman" w:hAnsi="Times New Roman" w:cs="Times New Roman"/>
          <w:i/>
          <w:sz w:val="28"/>
          <w:szCs w:val="28"/>
          <w:lang w:val="ro-MO"/>
        </w:rPr>
        <w:t xml:space="preserve">   </w:t>
      </w:r>
    </w:p>
    <w:p w:rsidR="00015431" w:rsidRPr="00AD160F" w:rsidRDefault="00A558CF" w:rsidP="00A56A6E">
      <w:pPr>
        <w:pStyle w:val="NormalWeb"/>
        <w:numPr>
          <w:ilvl w:val="0"/>
          <w:numId w:val="6"/>
        </w:numPr>
        <w:tabs>
          <w:tab w:val="left" w:pos="851"/>
        </w:tabs>
        <w:ind w:left="567" w:firstLine="0"/>
        <w:rPr>
          <w:rFonts w:ascii="Times New Roman" w:hAnsi="Times New Roman"/>
          <w:sz w:val="28"/>
          <w:szCs w:val="28"/>
          <w:lang w:val="ro-MO"/>
        </w:rPr>
      </w:pPr>
      <w:r w:rsidRPr="00AD160F">
        <w:rPr>
          <w:rFonts w:ascii="Times New Roman" w:hAnsi="Times New Roman"/>
          <w:sz w:val="28"/>
          <w:szCs w:val="28"/>
          <w:lang w:val="ro-MO"/>
        </w:rPr>
        <w:t xml:space="preserve">FEB1 </w:t>
      </w:r>
      <w:r w:rsidR="00647A4D">
        <w:rPr>
          <w:rFonts w:ascii="Times New Roman" w:hAnsi="Times New Roman"/>
          <w:sz w:val="28"/>
          <w:szCs w:val="28"/>
          <w:lang w:val="ro-MO"/>
        </w:rPr>
        <w:t xml:space="preserve">- </w:t>
      </w:r>
      <w:r w:rsidRPr="00AD160F">
        <w:rPr>
          <w:rFonts w:ascii="Times New Roman" w:hAnsi="Times New Roman"/>
          <w:sz w:val="28"/>
          <w:szCs w:val="28"/>
          <w:lang w:val="ro-MO"/>
        </w:rPr>
        <w:t xml:space="preserve">destinat echilibrării </w:t>
      </w:r>
      <w:r w:rsidR="00056E95" w:rsidRPr="00AD160F">
        <w:rPr>
          <w:rFonts w:ascii="Times New Roman" w:hAnsi="Times New Roman"/>
          <w:sz w:val="28"/>
          <w:szCs w:val="28"/>
          <w:lang w:val="ro-MO"/>
        </w:rPr>
        <w:t>UAT de nivelul întîi</w:t>
      </w:r>
      <w:r w:rsidR="00015431" w:rsidRPr="00AD160F">
        <w:rPr>
          <w:rFonts w:ascii="Times New Roman" w:hAnsi="Times New Roman"/>
          <w:sz w:val="28"/>
          <w:szCs w:val="28"/>
          <w:lang w:val="ro-MO"/>
        </w:rPr>
        <w:t xml:space="preserve"> </w:t>
      </w:r>
      <w:r w:rsidRPr="00AD160F">
        <w:rPr>
          <w:rFonts w:ascii="Times New Roman" w:hAnsi="Times New Roman"/>
          <w:sz w:val="28"/>
          <w:szCs w:val="28"/>
          <w:lang w:val="ro-MO"/>
        </w:rPr>
        <w:t>va fi alocat după o formulă ce</w:t>
      </w:r>
      <w:r w:rsidR="00015431" w:rsidRPr="00AD160F">
        <w:rPr>
          <w:rFonts w:ascii="Times New Roman" w:hAnsi="Times New Roman"/>
          <w:sz w:val="28"/>
          <w:szCs w:val="28"/>
          <w:lang w:val="ro-MO"/>
        </w:rPr>
        <w:t xml:space="preserve"> va folosi următorii indicatori: capacitatea fiscală pe locuitor determinată pornind numai de la veniturile ob</w:t>
      </w:r>
      <w:r w:rsidR="006F4B00">
        <w:rPr>
          <w:rFonts w:ascii="Times New Roman" w:hAnsi="Times New Roman"/>
          <w:sz w:val="28"/>
          <w:szCs w:val="28"/>
          <w:lang w:val="ro-MO"/>
        </w:rPr>
        <w:t>ţ</w:t>
      </w:r>
      <w:r w:rsidR="00015431" w:rsidRPr="00AD160F">
        <w:rPr>
          <w:rFonts w:ascii="Times New Roman" w:hAnsi="Times New Roman"/>
          <w:sz w:val="28"/>
          <w:szCs w:val="28"/>
          <w:lang w:val="ro-MO"/>
        </w:rPr>
        <w:t xml:space="preserve">inute din defalcarea </w:t>
      </w:r>
      <w:r w:rsidR="007D1527" w:rsidRPr="00AD160F">
        <w:rPr>
          <w:rFonts w:ascii="Times New Roman" w:hAnsi="Times New Roman"/>
          <w:sz w:val="28"/>
          <w:szCs w:val="28"/>
          <w:lang w:val="ro-MO"/>
        </w:rPr>
        <w:t>IVPF</w:t>
      </w:r>
      <w:r w:rsidR="00015431" w:rsidRPr="00AD160F">
        <w:rPr>
          <w:rFonts w:ascii="Times New Roman" w:hAnsi="Times New Roman"/>
          <w:sz w:val="28"/>
          <w:szCs w:val="28"/>
          <w:lang w:val="ro-MO"/>
        </w:rPr>
        <w:t>; popula</w:t>
      </w:r>
      <w:r w:rsidR="006F4B00">
        <w:rPr>
          <w:rFonts w:ascii="Times New Roman" w:hAnsi="Times New Roman"/>
          <w:sz w:val="28"/>
          <w:szCs w:val="28"/>
          <w:lang w:val="ro-MO"/>
        </w:rPr>
        <w:t>ţ</w:t>
      </w:r>
      <w:r w:rsidR="00015431" w:rsidRPr="00AD160F">
        <w:rPr>
          <w:rFonts w:ascii="Times New Roman" w:hAnsi="Times New Roman"/>
          <w:sz w:val="28"/>
          <w:szCs w:val="28"/>
          <w:lang w:val="ro-MO"/>
        </w:rPr>
        <w:t>ia UAT; supr</w:t>
      </w:r>
      <w:r w:rsidRPr="00AD160F">
        <w:rPr>
          <w:rFonts w:ascii="Times New Roman" w:hAnsi="Times New Roman"/>
          <w:sz w:val="28"/>
          <w:szCs w:val="28"/>
          <w:lang w:val="ro-MO"/>
        </w:rPr>
        <w:t>afa</w:t>
      </w:r>
      <w:r w:rsidR="006F4B00">
        <w:rPr>
          <w:rFonts w:ascii="Times New Roman" w:hAnsi="Times New Roman"/>
          <w:sz w:val="28"/>
          <w:szCs w:val="28"/>
          <w:lang w:val="ro-MO"/>
        </w:rPr>
        <w:t>ţ</w:t>
      </w:r>
      <w:r w:rsidRPr="00AD160F">
        <w:rPr>
          <w:rFonts w:ascii="Times New Roman" w:hAnsi="Times New Roman"/>
          <w:sz w:val="28"/>
          <w:szCs w:val="28"/>
          <w:lang w:val="ro-MO"/>
        </w:rPr>
        <w:t>a UAT. Alocarea FEB1</w:t>
      </w:r>
      <w:r w:rsidR="00015431" w:rsidRPr="00AD160F">
        <w:rPr>
          <w:rFonts w:ascii="Times New Roman" w:hAnsi="Times New Roman"/>
          <w:sz w:val="28"/>
          <w:szCs w:val="28"/>
          <w:lang w:val="ro-MO"/>
        </w:rPr>
        <w:t xml:space="preserve"> se va concentra pe cele mai sărace UAT </w:t>
      </w:r>
      <w:r w:rsidR="006F4B00">
        <w:rPr>
          <w:rFonts w:ascii="Times New Roman" w:hAnsi="Times New Roman"/>
          <w:sz w:val="28"/>
          <w:szCs w:val="28"/>
          <w:lang w:val="ro-MO"/>
        </w:rPr>
        <w:t>ş</w:t>
      </w:r>
      <w:r w:rsidR="00015431" w:rsidRPr="00AD160F">
        <w:rPr>
          <w:rFonts w:ascii="Times New Roman" w:hAnsi="Times New Roman"/>
          <w:sz w:val="28"/>
          <w:szCs w:val="28"/>
          <w:lang w:val="ro-MO"/>
        </w:rPr>
        <w:t>i se va realiza invers propor</w:t>
      </w:r>
      <w:r w:rsidR="006F4B00">
        <w:rPr>
          <w:rFonts w:ascii="Times New Roman" w:hAnsi="Times New Roman"/>
          <w:sz w:val="28"/>
          <w:szCs w:val="28"/>
          <w:lang w:val="ro-MO"/>
        </w:rPr>
        <w:t>ţ</w:t>
      </w:r>
      <w:r w:rsidR="00015431" w:rsidRPr="00AD160F">
        <w:rPr>
          <w:rFonts w:ascii="Times New Roman" w:hAnsi="Times New Roman"/>
          <w:sz w:val="28"/>
          <w:szCs w:val="28"/>
          <w:lang w:val="ro-MO"/>
        </w:rPr>
        <w:t xml:space="preserve">ional cu capacitatea fiscală pe locuitor </w:t>
      </w:r>
      <w:r w:rsidR="006F4B00">
        <w:rPr>
          <w:rFonts w:ascii="Times New Roman" w:hAnsi="Times New Roman"/>
          <w:sz w:val="28"/>
          <w:szCs w:val="28"/>
          <w:lang w:val="ro-MO"/>
        </w:rPr>
        <w:t>ş</w:t>
      </w:r>
      <w:r w:rsidR="00015431" w:rsidRPr="00AD160F">
        <w:rPr>
          <w:rFonts w:ascii="Times New Roman" w:hAnsi="Times New Roman"/>
          <w:sz w:val="28"/>
          <w:szCs w:val="28"/>
          <w:lang w:val="ro-MO"/>
        </w:rPr>
        <w:t>i direct propor</w:t>
      </w:r>
      <w:r w:rsidR="006F4B00">
        <w:rPr>
          <w:rFonts w:ascii="Times New Roman" w:hAnsi="Times New Roman"/>
          <w:sz w:val="28"/>
          <w:szCs w:val="28"/>
          <w:lang w:val="ro-MO"/>
        </w:rPr>
        <w:t>ţ</w:t>
      </w:r>
      <w:r w:rsidR="00015431" w:rsidRPr="00AD160F">
        <w:rPr>
          <w:rFonts w:ascii="Times New Roman" w:hAnsi="Times New Roman"/>
          <w:sz w:val="28"/>
          <w:szCs w:val="28"/>
          <w:lang w:val="ro-MO"/>
        </w:rPr>
        <w:t>ional cu popula</w:t>
      </w:r>
      <w:r w:rsidR="006F4B00">
        <w:rPr>
          <w:rFonts w:ascii="Times New Roman" w:hAnsi="Times New Roman"/>
          <w:sz w:val="28"/>
          <w:szCs w:val="28"/>
          <w:lang w:val="ro-MO"/>
        </w:rPr>
        <w:t>ţ</w:t>
      </w:r>
      <w:r w:rsidR="00015431" w:rsidRPr="00AD160F">
        <w:rPr>
          <w:rFonts w:ascii="Times New Roman" w:hAnsi="Times New Roman"/>
          <w:sz w:val="28"/>
          <w:szCs w:val="28"/>
          <w:lang w:val="ro-MO"/>
        </w:rPr>
        <w:t xml:space="preserve">ia </w:t>
      </w:r>
      <w:r w:rsidR="006F4B00">
        <w:rPr>
          <w:rFonts w:ascii="Times New Roman" w:hAnsi="Times New Roman"/>
          <w:sz w:val="28"/>
          <w:szCs w:val="28"/>
          <w:lang w:val="ro-MO"/>
        </w:rPr>
        <w:t>ş</w:t>
      </w:r>
      <w:r w:rsidR="00015431" w:rsidRPr="00AD160F">
        <w:rPr>
          <w:rFonts w:ascii="Times New Roman" w:hAnsi="Times New Roman"/>
          <w:sz w:val="28"/>
          <w:szCs w:val="28"/>
          <w:lang w:val="ro-MO"/>
        </w:rPr>
        <w:t>i suprafa</w:t>
      </w:r>
      <w:r w:rsidR="006F4B00">
        <w:rPr>
          <w:rFonts w:ascii="Times New Roman" w:hAnsi="Times New Roman"/>
          <w:sz w:val="28"/>
          <w:szCs w:val="28"/>
          <w:lang w:val="ro-MO"/>
        </w:rPr>
        <w:t>ţ</w:t>
      </w:r>
      <w:r w:rsidR="00015431" w:rsidRPr="00AD160F">
        <w:rPr>
          <w:rFonts w:ascii="Times New Roman" w:hAnsi="Times New Roman"/>
          <w:sz w:val="28"/>
          <w:szCs w:val="28"/>
          <w:lang w:val="ro-MO"/>
        </w:rPr>
        <w:t xml:space="preserve">a. </w:t>
      </w:r>
      <w:r w:rsidRPr="00AD160F">
        <w:rPr>
          <w:rFonts w:ascii="Times New Roman" w:hAnsi="Times New Roman"/>
          <w:sz w:val="28"/>
          <w:szCs w:val="28"/>
          <w:lang w:val="ro-MO"/>
        </w:rPr>
        <w:t>Formula va fi următoarea:</w:t>
      </w:r>
    </w:p>
    <w:p w:rsidR="00AD074A" w:rsidRPr="00AD074A" w:rsidRDefault="00AD074A" w:rsidP="00AD074A">
      <w:pPr>
        <w:spacing w:before="240"/>
        <w:jc w:val="center"/>
        <w:rPr>
          <w:rFonts w:ascii="Times New Roman" w:eastAsiaTheme="minorEastAsia" w:hAnsi="Times New Roman" w:cs="Times New Roman"/>
          <w:sz w:val="28"/>
          <w:szCs w:val="28"/>
        </w:rPr>
      </w:pPr>
      <w:r w:rsidRPr="00AD074A">
        <w:rPr>
          <w:rFonts w:ascii="Times New Roman" w:hAnsi="Times New Roman" w:cs="Times New Roman"/>
          <w:sz w:val="28"/>
          <w:szCs w:val="28"/>
        </w:rPr>
        <w:t>TE</w:t>
      </w:r>
      <w:r w:rsidRPr="00AD074A">
        <w:rPr>
          <w:rFonts w:ascii="Times New Roman" w:hAnsi="Times New Roman" w:cs="Times New Roman"/>
          <w:sz w:val="28"/>
          <w:szCs w:val="28"/>
          <w:vertAlign w:val="subscript"/>
        </w:rPr>
        <w:t xml:space="preserve">i </w:t>
      </w:r>
      <w:r w:rsidRPr="00AD074A">
        <w:rPr>
          <w:rFonts w:ascii="Times New Roman" w:hAnsi="Times New Roman" w:cs="Times New Roman"/>
          <w:sz w:val="28"/>
          <w:szCs w:val="28"/>
        </w:rPr>
        <w:t>=FEB</w:t>
      </w:r>
      <w:r w:rsidRPr="00AD074A">
        <w:rPr>
          <w:rFonts w:ascii="Times New Roman" w:hAnsi="Times New Roman" w:cs="Times New Roman"/>
          <w:sz w:val="28"/>
          <w:szCs w:val="28"/>
          <w:vertAlign w:val="subscript"/>
        </w:rPr>
        <w:t>1</w:t>
      </w:r>
      <w:r w:rsidRPr="00AD074A">
        <w:rPr>
          <w:rFonts w:ascii="Times New Roman" w:hAnsi="Times New Roman" w:cs="Times New Roman"/>
          <w:sz w:val="28"/>
          <w:szCs w:val="28"/>
        </w:rPr>
        <w:t xml:space="preserve"> </w:t>
      </w:r>
      <m:oMath>
        <m:r>
          <m:rPr>
            <m:sty m:val="p"/>
          </m:rPr>
          <w:rPr>
            <w:rFonts w:ascii="Cambria Math" w:eastAsiaTheme="minorEastAsia" w:hAnsi="Times New Roman" w:cs="Times New Roman"/>
            <w:sz w:val="24"/>
            <w:szCs w:val="24"/>
          </w:rPr>
          <m:t>×</m:t>
        </m:r>
      </m:oMath>
      <w:r w:rsidRPr="00AD074A">
        <w:rPr>
          <w:rFonts w:ascii="Times New Roman" w:hAnsi="Times New Roman" w:cs="Times New Roman"/>
          <w:sz w:val="28"/>
          <w:szCs w:val="28"/>
        </w:rPr>
        <w:t xml:space="preserve"> </w:t>
      </w:r>
      <m:oMath>
        <m:r>
          <w:rPr>
            <w:rFonts w:ascii="Cambria Math" w:hAnsi="Cambria Math" w:cs="Times New Roman"/>
            <w:sz w:val="28"/>
            <w:szCs w:val="28"/>
          </w:rPr>
          <m:t>[</m:t>
        </m:r>
        <m:sSubSup>
          <m:sSubSupPr>
            <m:ctrlPr>
              <w:rPr>
                <w:rFonts w:ascii="Cambria Math" w:eastAsiaTheme="minorEastAsia" w:hAnsi="Times New Roman" w:cs="Times New Roman"/>
                <w:sz w:val="28"/>
                <w:szCs w:val="28"/>
              </w:rPr>
            </m:ctrlPr>
          </m:sSubSupPr>
          <m:e>
            <m:r>
              <m:rPr>
                <m:sty m:val="p"/>
              </m:rPr>
              <w:rPr>
                <w:rFonts w:ascii="Cambria Math" w:eastAsiaTheme="minorEastAsia" w:hAnsi="Times New Roman" w:cs="Times New Roman"/>
                <w:sz w:val="28"/>
                <w:szCs w:val="28"/>
              </w:rPr>
              <m:t>(PS</m:t>
            </m:r>
          </m:e>
          <m:sub>
            <m:r>
              <m:rPr>
                <m:sty m:val="p"/>
              </m:rPr>
              <w:rPr>
                <w:rFonts w:ascii="Cambria Math" w:eastAsiaTheme="minorEastAsia" w:hAnsi="Times New Roman" w:cs="Times New Roman"/>
                <w:sz w:val="28"/>
                <w:szCs w:val="28"/>
              </w:rPr>
              <m:t>CFL</m:t>
            </m:r>
          </m:sub>
          <m:sup>
            <m:r>
              <m:rPr>
                <m:sty m:val="p"/>
              </m:rPr>
              <w:rPr>
                <w:rFonts w:ascii="Cambria Math" w:eastAsiaTheme="minorEastAsia" w:hAnsi="Times New Roman" w:cs="Times New Roman"/>
                <w:sz w:val="28"/>
                <w:szCs w:val="28"/>
              </w:rPr>
              <m:t>1</m:t>
            </m:r>
          </m:sup>
        </m:sSubSup>
        <m:r>
          <m:rPr>
            <m:sty m:val="p"/>
          </m:rPr>
          <w:rPr>
            <w:rFonts w:ascii="Cambria Math" w:eastAsiaTheme="minorEastAsia" w:hAnsi="Cambria Math" w:cs="Times New Roman"/>
            <w:sz w:val="28"/>
            <w:szCs w:val="28"/>
          </w:rPr>
          <m:t>×</m:t>
        </m:r>
        <m:f>
          <m:fPr>
            <m:ctrlPr>
              <w:rPr>
                <w:rFonts w:ascii="Cambria Math" w:hAnsi="Times New Roman" w:cs="Times New Roman"/>
                <w:i/>
                <w:sz w:val="28"/>
                <w:szCs w:val="28"/>
              </w:rPr>
            </m:ctrlPr>
          </m:fPr>
          <m:num>
            <m:d>
              <m:dPr>
                <m:ctrlPr>
                  <w:rPr>
                    <w:rFonts w:ascii="Cambria Math" w:eastAsiaTheme="minorEastAsia" w:hAnsi="Times New Roman" w:cs="Times New Roman"/>
                    <w:sz w:val="28"/>
                    <w:szCs w:val="28"/>
                  </w:rPr>
                </m:ctrlPr>
              </m:dPr>
              <m:e>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e</m:t>
                    </m:r>
                  </m:sub>
                </m:sSub>
                <m:r>
                  <m:rPr>
                    <m:sty m:val="p"/>
                  </m:rPr>
                  <w:rPr>
                    <w:rFonts w:ascii="Cambria Math" w:eastAsiaTheme="minorEastAsia" w:hAnsi="Cambria Math"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CFL</m:t>
                    </m:r>
                  </m:e>
                  <m:sub>
                    <m:r>
                      <m:rPr>
                        <m:sty m:val="p"/>
                      </m:rPr>
                      <w:rPr>
                        <w:rFonts w:ascii="Cambria Math" w:eastAsiaTheme="minorEastAsia" w:hAnsi="Times New Roman" w:cs="Times New Roman"/>
                        <w:sz w:val="28"/>
                        <w:szCs w:val="28"/>
                      </w:rPr>
                      <m:t>n</m:t>
                    </m:r>
                  </m:sub>
                </m:sSub>
                <m:r>
                  <m:rPr>
                    <m:sty m:val="p"/>
                  </m:rPr>
                  <w:rPr>
                    <w:rFonts w:ascii="Cambria Math" w:eastAsiaTheme="minorEastAsia" w:hAnsi="Cambria Math"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CFL</m:t>
                    </m:r>
                  </m:e>
                  <m:sub>
                    <m:r>
                      <m:rPr>
                        <m:sty m:val="p"/>
                      </m:rPr>
                      <w:rPr>
                        <w:rFonts w:ascii="Cambria Math" w:eastAsiaTheme="minorEastAsia" w:hAnsi="Times New Roman" w:cs="Times New Roman"/>
                        <w:sz w:val="28"/>
                        <w:szCs w:val="28"/>
                      </w:rPr>
                      <m:t>i</m:t>
                    </m:r>
                  </m:sub>
                </m:sSub>
              </m:e>
            </m:d>
          </m:num>
          <m:den>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e</m:t>
                </m:r>
              </m:sub>
            </m:sSub>
            <m:r>
              <m:rPr>
                <m:sty m:val="p"/>
              </m:rPr>
              <w:rPr>
                <w:rFonts w:ascii="Cambria Math" w:eastAsiaTheme="minorEastAsia" w:hAnsi="Cambria Math"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CFL</m:t>
                </m:r>
              </m:e>
              <m:sub>
                <m:r>
                  <m:rPr>
                    <m:sty m:val="p"/>
                  </m:rPr>
                  <w:rPr>
                    <w:rFonts w:ascii="Cambria Math" w:eastAsiaTheme="minorEastAsia" w:hAnsi="Times New Roman" w:cs="Times New Roman"/>
                    <w:sz w:val="28"/>
                    <w:szCs w:val="28"/>
                  </w:rPr>
                  <m:t>n</m:t>
                </m:r>
              </m:sub>
            </m:sSub>
            <m:r>
              <m:rPr>
                <m:sty m:val="p"/>
              </m:rPr>
              <w:rPr>
                <w:rFonts w:ascii="Cambria Math" w:eastAsiaTheme="minorEastAsia" w:hAnsi="Times New Roman" w:cs="Times New Roman"/>
                <w:sz w:val="28"/>
                <w:szCs w:val="28"/>
              </w:rPr>
              <m:t>)</m:t>
            </m:r>
            <m:r>
              <m:rPr>
                <m:sty m:val="p"/>
              </m:rPr>
              <w:rPr>
                <w:rFonts w:ascii="Cambria Math" w:eastAsiaTheme="minorEastAsia" w:hAnsi="Cambria Math" w:cs="Times New Roman"/>
                <w:sz w:val="28"/>
                <w:szCs w:val="28"/>
              </w:rPr>
              <m:t>×</m:t>
            </m:r>
            <m:nary>
              <m:naryPr>
                <m:chr m:val="∑"/>
                <m:limLoc m:val="subSup"/>
                <m:supHide m:val="on"/>
                <m:ctrlPr>
                  <w:rPr>
                    <w:rFonts w:ascii="Cambria Math" w:eastAsiaTheme="minorEastAsia" w:hAnsi="Times New Roman" w:cs="Times New Roman"/>
                    <w:sz w:val="28"/>
                    <w:szCs w:val="28"/>
                  </w:rPr>
                </m:ctrlPr>
              </m:naryPr>
              <m:sub>
                <m:r>
                  <m:rPr>
                    <m:sty m:val="p"/>
                  </m:rPr>
                  <w:rPr>
                    <w:rFonts w:ascii="Cambria Math" w:eastAsiaTheme="minorEastAsia" w:hAnsi="Times New Roman" w:cs="Times New Roman"/>
                    <w:sz w:val="28"/>
                    <w:szCs w:val="28"/>
                  </w:rPr>
                  <m:t>i</m:t>
                </m:r>
              </m:sub>
              <m:sup/>
              <m:e>
                <m:r>
                  <m:rPr>
                    <m:sty m:val="p"/>
                  </m:rPr>
                  <w:rPr>
                    <w:rFonts w:ascii="Cambria Math" w:eastAsiaTheme="minorEastAsia" w:hAnsi="Times New Roman" w:cs="Times New Roman"/>
                    <w:sz w:val="28"/>
                    <w:szCs w:val="28"/>
                  </w:rPr>
                  <m:t>(</m:t>
                </m:r>
                <m:f>
                  <m:fPr>
                    <m:ctrlPr>
                      <w:rPr>
                        <w:rFonts w:ascii="Cambria Math" w:eastAsiaTheme="minorEastAsia" w:hAnsi="Times New Roman" w:cs="Times New Roman"/>
                        <w:sz w:val="28"/>
                        <w:szCs w:val="28"/>
                      </w:rPr>
                    </m:ctrlPr>
                  </m:fPr>
                  <m:num>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e</m:t>
                        </m:r>
                      </m:sub>
                    </m:sSub>
                    <m:r>
                      <m:rPr>
                        <m:sty m:val="p"/>
                      </m:rPr>
                      <w:rPr>
                        <w:rFonts w:ascii="Cambria Math" w:eastAsiaTheme="minorEastAsia" w:hAnsi="Cambria Math"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CFL</m:t>
                        </m:r>
                      </m:e>
                      <m:sub>
                        <m:r>
                          <m:rPr>
                            <m:sty m:val="p"/>
                          </m:rPr>
                          <w:rPr>
                            <w:rFonts w:ascii="Cambria Math" w:eastAsiaTheme="minorEastAsia" w:hAnsi="Times New Roman" w:cs="Times New Roman"/>
                            <w:sz w:val="28"/>
                            <w:szCs w:val="28"/>
                          </w:rPr>
                          <m:t>n</m:t>
                        </m:r>
                      </m:sub>
                    </m:sSub>
                    <m:r>
                      <m:rPr>
                        <m:sty m:val="p"/>
                      </m:rPr>
                      <w:rPr>
                        <w:rFonts w:ascii="Cambria Math" w:eastAsiaTheme="minorEastAsia" w:hAnsi="Cambria Math"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CFL</m:t>
                        </m:r>
                      </m:e>
                      <m:sub>
                        <m:r>
                          <m:rPr>
                            <m:sty m:val="p"/>
                          </m:rPr>
                          <w:rPr>
                            <w:rFonts w:ascii="Cambria Math" w:eastAsiaTheme="minorEastAsia" w:hAnsi="Times New Roman" w:cs="Times New Roman"/>
                            <w:sz w:val="28"/>
                            <w:szCs w:val="28"/>
                          </w:rPr>
                          <m:t>i</m:t>
                        </m:r>
                      </m:sub>
                    </m:sSub>
                  </m:num>
                  <m:den>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e</m:t>
                        </m:r>
                      </m:sub>
                    </m:sSub>
                    <m:r>
                      <m:rPr>
                        <m:sty m:val="p"/>
                      </m:rPr>
                      <w:rPr>
                        <w:rFonts w:ascii="Cambria Math" w:eastAsiaTheme="minorEastAsia" w:hAnsi="Cambria Math"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CFL</m:t>
                        </m:r>
                      </m:e>
                      <m:sub>
                        <m:r>
                          <m:rPr>
                            <m:sty m:val="p"/>
                          </m:rPr>
                          <w:rPr>
                            <w:rFonts w:ascii="Cambria Math" w:eastAsiaTheme="minorEastAsia" w:hAnsi="Times New Roman" w:cs="Times New Roman"/>
                            <w:sz w:val="28"/>
                            <w:szCs w:val="28"/>
                          </w:rPr>
                          <m:t>n</m:t>
                        </m:r>
                      </m:sub>
                    </m:sSub>
                  </m:den>
                </m:f>
              </m:e>
            </m:nary>
            <m:r>
              <m:rPr>
                <m:sty m:val="p"/>
              </m:rPr>
              <w:rPr>
                <w:rFonts w:ascii="Cambria Math" w:eastAsiaTheme="minorEastAsia" w:hAnsi="Times New Roman" w:cs="Times New Roman"/>
                <w:sz w:val="28"/>
                <w:szCs w:val="28"/>
              </w:rPr>
              <m:t>)</m:t>
            </m:r>
          </m:den>
        </m:f>
        <m:r>
          <m:rPr>
            <m:sty m:val="p"/>
          </m:rPr>
          <w:rPr>
            <w:rFonts w:ascii="Cambria Math" w:eastAsiaTheme="minorEastAsia" w:hAnsi="Times New Roman" w:cs="Times New Roman"/>
            <w:sz w:val="28"/>
            <w:szCs w:val="28"/>
          </w:rPr>
          <m:t>)+</m:t>
        </m:r>
        <m:sSubSup>
          <m:sSubSupPr>
            <m:ctrlPr>
              <w:rPr>
                <w:rFonts w:ascii="Cambria Math" w:eastAsiaTheme="minorEastAsia" w:hAnsi="Times New Roman" w:cs="Times New Roman"/>
                <w:sz w:val="28"/>
                <w:szCs w:val="28"/>
              </w:rPr>
            </m:ctrlPr>
          </m:sSubSupPr>
          <m:e>
            <m:r>
              <m:rPr>
                <m:sty m:val="p"/>
              </m:rPr>
              <w:rPr>
                <w:rFonts w:ascii="Cambria Math" w:eastAsiaTheme="minorEastAsia" w:hAnsi="Times New Roman" w:cs="Times New Roman"/>
                <w:sz w:val="28"/>
                <w:szCs w:val="28"/>
              </w:rPr>
              <m:t>(PS</m:t>
            </m:r>
          </m:e>
          <m:sub>
            <m:r>
              <m:rPr>
                <m:sty m:val="p"/>
              </m:rPr>
              <w:rPr>
                <w:rFonts w:ascii="Cambria Math" w:eastAsiaTheme="minorEastAsia" w:hAnsi="Times New Roman" w:cs="Times New Roman"/>
                <w:sz w:val="28"/>
                <w:szCs w:val="28"/>
              </w:rPr>
              <m:t>p</m:t>
            </m:r>
          </m:sub>
          <m:sup>
            <m:r>
              <m:rPr>
                <m:sty m:val="p"/>
              </m:rPr>
              <w:rPr>
                <w:rFonts w:ascii="Cambria Math" w:eastAsiaTheme="minorEastAsia" w:hAnsi="Times New Roman" w:cs="Times New Roman"/>
                <w:sz w:val="28"/>
                <w:szCs w:val="28"/>
              </w:rPr>
              <m:t>1</m:t>
            </m:r>
          </m:sup>
        </m:sSubSup>
        <m:r>
          <m:rPr>
            <m:sty m:val="p"/>
          </m:rPr>
          <w:rPr>
            <w:rFonts w:ascii="Cambria Math" w:eastAsiaTheme="minorEastAsia" w:hAnsi="Cambria Math" w:cs="Times New Roman"/>
            <w:sz w:val="28"/>
            <w:szCs w:val="28"/>
          </w:rPr>
          <m:t>×</m:t>
        </m:r>
        <m:f>
          <m:fPr>
            <m:ctrlPr>
              <w:rPr>
                <w:rFonts w:ascii="Cambria Math" w:eastAsiaTheme="minorEastAsia" w:hAnsi="Times New Roman" w:cs="Times New Roman"/>
                <w:sz w:val="28"/>
                <w:szCs w:val="28"/>
              </w:rPr>
            </m:ctrlPr>
          </m:fPr>
          <m:num>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i</m:t>
                </m:r>
              </m:sub>
            </m:sSub>
          </m:num>
          <m:den>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n</m:t>
                </m:r>
              </m:sub>
            </m:sSub>
          </m:den>
        </m:f>
        <m:r>
          <m:rPr>
            <m:sty m:val="p"/>
          </m:rPr>
          <w:rPr>
            <w:rFonts w:ascii="Cambria Math" w:eastAsiaTheme="minorEastAsia" w:hAnsi="Times New Roman" w:cs="Times New Roman"/>
            <w:sz w:val="28"/>
            <w:szCs w:val="28"/>
          </w:rPr>
          <m:t>) +(</m:t>
        </m:r>
        <m:sSubSup>
          <m:sSubSupPr>
            <m:ctrlPr>
              <w:rPr>
                <w:rFonts w:ascii="Cambria Math" w:eastAsiaTheme="minorEastAsia" w:hAnsi="Times New Roman" w:cs="Times New Roman"/>
                <w:sz w:val="28"/>
                <w:szCs w:val="28"/>
              </w:rPr>
            </m:ctrlPr>
          </m:sSubSupPr>
          <m:e>
            <m:r>
              <m:rPr>
                <m:sty m:val="p"/>
              </m:rPr>
              <w:rPr>
                <w:rFonts w:ascii="Cambria Math" w:eastAsiaTheme="minorEastAsia" w:hAnsi="Times New Roman" w:cs="Times New Roman"/>
                <w:sz w:val="28"/>
                <w:szCs w:val="28"/>
              </w:rPr>
              <m:t>PS</m:t>
            </m:r>
          </m:e>
          <m:sub>
            <m:r>
              <m:rPr>
                <m:sty m:val="p"/>
              </m:rPr>
              <w:rPr>
                <w:rFonts w:ascii="Cambria Math" w:eastAsiaTheme="minorEastAsia" w:hAnsi="Times New Roman" w:cs="Times New Roman"/>
                <w:sz w:val="28"/>
                <w:szCs w:val="28"/>
              </w:rPr>
              <m:t xml:space="preserve">s  </m:t>
            </m:r>
          </m:sub>
          <m:sup>
            <m:r>
              <m:rPr>
                <m:sty m:val="p"/>
              </m:rPr>
              <w:rPr>
                <w:rFonts w:ascii="Cambria Math" w:eastAsiaTheme="minorEastAsia" w:hAnsi="Times New Roman" w:cs="Times New Roman"/>
                <w:sz w:val="28"/>
                <w:szCs w:val="28"/>
              </w:rPr>
              <m:t>1</m:t>
            </m:r>
          </m:sup>
        </m:sSubSup>
        <m:r>
          <m:rPr>
            <m:sty m:val="p"/>
          </m:rPr>
          <w:rPr>
            <w:rFonts w:ascii="Cambria Math" w:eastAsiaTheme="minorEastAsia" w:hAnsi="Cambria Math" w:cs="Times New Roman"/>
            <w:sz w:val="28"/>
            <w:szCs w:val="28"/>
          </w:rPr>
          <m:t>×</m:t>
        </m:r>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xml:space="preserve"> </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S</m:t>
                </m:r>
              </m:e>
              <m:sub>
                <m:r>
                  <m:rPr>
                    <m:sty m:val="p"/>
                  </m:rPr>
                  <w:rPr>
                    <w:rFonts w:ascii="Cambria Math" w:eastAsiaTheme="minorEastAsia" w:hAnsi="Times New Roman" w:cs="Times New Roman"/>
                    <w:sz w:val="28"/>
                    <w:szCs w:val="28"/>
                  </w:rPr>
                  <m:t xml:space="preserve">i </m:t>
                </m:r>
              </m:sub>
            </m:sSub>
          </m:num>
          <m:den>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S</m:t>
                </m:r>
              </m:e>
              <m:sub>
                <m:r>
                  <m:rPr>
                    <m:sty m:val="p"/>
                  </m:rPr>
                  <w:rPr>
                    <w:rFonts w:ascii="Cambria Math" w:eastAsiaTheme="minorEastAsia" w:hAnsi="Times New Roman" w:cs="Times New Roman"/>
                    <w:sz w:val="28"/>
                    <w:szCs w:val="28"/>
                  </w:rPr>
                  <m:t>n</m:t>
                </m:r>
              </m:sub>
            </m:sSub>
          </m:den>
        </m:f>
        <m:r>
          <m:rPr>
            <m:sty m:val="p"/>
          </m:rPr>
          <w:rPr>
            <w:rFonts w:ascii="Cambria Math" w:eastAsiaTheme="minorEastAsia" w:hAnsi="Times New Roman" w:cs="Times New Roman"/>
            <w:sz w:val="28"/>
            <w:szCs w:val="28"/>
          </w:rPr>
          <m:t>)]</m:t>
        </m:r>
      </m:oMath>
    </w:p>
    <w:p w:rsidR="001B0998" w:rsidRDefault="001B0998" w:rsidP="008B3768">
      <w:pPr>
        <w:spacing w:before="120"/>
        <w:ind w:left="720" w:firstLine="720"/>
        <w:jc w:val="both"/>
        <w:rPr>
          <w:rFonts w:ascii="Times New Roman" w:hAnsi="Times New Roman" w:cs="Times New Roman"/>
          <w:sz w:val="28"/>
          <w:szCs w:val="28"/>
          <w:lang w:val="ro-MO"/>
        </w:rPr>
      </w:pPr>
    </w:p>
    <w:p w:rsidR="00A558CF" w:rsidRPr="00AD160F" w:rsidRDefault="00A558CF" w:rsidP="008B3768">
      <w:pPr>
        <w:spacing w:before="120"/>
        <w:ind w:left="720" w:firstLine="720"/>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lastRenderedPageBreak/>
        <w:t>unde:</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TE</w:t>
      </w:r>
      <w:r w:rsidRPr="00FA7215">
        <w:rPr>
          <w:rFonts w:ascii="Times New Roman" w:hAnsi="Times New Roman"/>
          <w:sz w:val="28"/>
          <w:szCs w:val="28"/>
          <w:vertAlign w:val="subscript"/>
          <w:lang w:val="ro-MO"/>
        </w:rPr>
        <w:t>i</w:t>
      </w:r>
      <w:r w:rsidRPr="00FA7215">
        <w:rPr>
          <w:rFonts w:ascii="Times New Roman" w:hAnsi="Times New Roman"/>
          <w:sz w:val="28"/>
          <w:szCs w:val="28"/>
          <w:lang w:val="ro-MO"/>
        </w:rPr>
        <w:t xml:space="preserve"> - transfer</w:t>
      </w:r>
      <w:r>
        <w:rPr>
          <w:rFonts w:ascii="Times New Roman" w:hAnsi="Times New Roman"/>
          <w:sz w:val="28"/>
          <w:szCs w:val="28"/>
          <w:lang w:val="ro-MO"/>
        </w:rPr>
        <w:t>ul</w:t>
      </w:r>
      <w:r w:rsidRPr="00FA7215">
        <w:rPr>
          <w:rFonts w:ascii="Times New Roman" w:hAnsi="Times New Roman"/>
          <w:sz w:val="28"/>
          <w:szCs w:val="28"/>
          <w:lang w:val="ro-MO"/>
        </w:rPr>
        <w:t xml:space="preserve"> de echilibrare pentru o anumită unitate administrativ-teritorială de nivelul întîi</w:t>
      </w:r>
      <w:r>
        <w:rPr>
          <w:rFonts w:ascii="Times New Roman" w:hAnsi="Times New Roman"/>
          <w:sz w:val="28"/>
          <w:szCs w:val="28"/>
          <w:lang w:val="ro-MO"/>
        </w:rPr>
        <w:t>;</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FEB1 - fond</w:t>
      </w:r>
      <w:r>
        <w:rPr>
          <w:rFonts w:ascii="Times New Roman" w:hAnsi="Times New Roman"/>
          <w:sz w:val="28"/>
          <w:szCs w:val="28"/>
          <w:lang w:val="ro-MO"/>
        </w:rPr>
        <w:t>ul</w:t>
      </w:r>
      <w:r w:rsidRPr="00FA7215">
        <w:rPr>
          <w:rFonts w:ascii="Times New Roman" w:hAnsi="Times New Roman"/>
          <w:sz w:val="28"/>
          <w:szCs w:val="28"/>
          <w:lang w:val="ro-MO"/>
        </w:rPr>
        <w:t xml:space="preserve"> de echilibrare </w:t>
      </w:r>
      <w:r>
        <w:rPr>
          <w:rFonts w:ascii="Times New Roman" w:hAnsi="Times New Roman"/>
          <w:sz w:val="28"/>
          <w:szCs w:val="28"/>
          <w:lang w:val="ro-MO"/>
        </w:rPr>
        <w:t>al bugetelor unităţilor</w:t>
      </w:r>
      <w:r w:rsidRPr="00FA7215">
        <w:rPr>
          <w:rFonts w:ascii="Times New Roman" w:hAnsi="Times New Roman"/>
          <w:sz w:val="28"/>
          <w:szCs w:val="28"/>
          <w:lang w:val="ro-MO"/>
        </w:rPr>
        <w:t xml:space="preserve"> administrativ</w:t>
      </w:r>
      <w:r>
        <w:rPr>
          <w:rFonts w:ascii="Times New Roman" w:hAnsi="Times New Roman"/>
          <w:sz w:val="28"/>
          <w:szCs w:val="28"/>
          <w:lang w:val="ro-MO"/>
        </w:rPr>
        <w:t>-</w:t>
      </w:r>
      <w:r w:rsidRPr="00FA7215">
        <w:rPr>
          <w:rFonts w:ascii="Times New Roman" w:hAnsi="Times New Roman"/>
          <w:sz w:val="28"/>
          <w:szCs w:val="28"/>
          <w:lang w:val="ro-MO"/>
        </w:rPr>
        <w:t>teritoriale de nivelul întîi</w:t>
      </w:r>
      <w:r>
        <w:rPr>
          <w:rFonts w:ascii="Times New Roman" w:hAnsi="Times New Roman"/>
          <w:sz w:val="28"/>
          <w:szCs w:val="28"/>
          <w:lang w:val="ro-MO"/>
        </w:rPr>
        <w:t>;</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CFL</w:t>
      </w:r>
      <w:r w:rsidRPr="00FA7215">
        <w:rPr>
          <w:rFonts w:ascii="Times New Roman" w:hAnsi="Times New Roman"/>
          <w:sz w:val="28"/>
          <w:szCs w:val="28"/>
          <w:vertAlign w:val="subscript"/>
          <w:lang w:val="ro-MO"/>
        </w:rPr>
        <w:t>i</w:t>
      </w:r>
      <w:r w:rsidRPr="00FA7215">
        <w:rPr>
          <w:rFonts w:ascii="Times New Roman" w:hAnsi="Times New Roman"/>
          <w:sz w:val="28"/>
          <w:szCs w:val="28"/>
          <w:lang w:val="ro-MO"/>
        </w:rPr>
        <w:t xml:space="preserve"> - capacitatea fiscală pe locuitor a unei anumite unităţi administrativ</w:t>
      </w:r>
      <w:r>
        <w:rPr>
          <w:rFonts w:ascii="Times New Roman" w:hAnsi="Times New Roman"/>
          <w:sz w:val="28"/>
          <w:szCs w:val="28"/>
          <w:lang w:val="ro-MO"/>
        </w:rPr>
        <w:t>-</w:t>
      </w:r>
      <w:r w:rsidRPr="00FA7215">
        <w:rPr>
          <w:rFonts w:ascii="Times New Roman" w:hAnsi="Times New Roman"/>
          <w:sz w:val="28"/>
          <w:szCs w:val="28"/>
          <w:lang w:val="ro-MO"/>
        </w:rPr>
        <w:t>teritoriale</w:t>
      </w:r>
      <w:r>
        <w:rPr>
          <w:rFonts w:ascii="Times New Roman" w:hAnsi="Times New Roman"/>
          <w:sz w:val="28"/>
          <w:szCs w:val="28"/>
          <w:lang w:val="ro-MO"/>
        </w:rPr>
        <w:t xml:space="preserve"> de nivelul întîi</w:t>
      </w:r>
      <w:r w:rsidRPr="00FA7215">
        <w:rPr>
          <w:rFonts w:ascii="Times New Roman" w:hAnsi="Times New Roman"/>
          <w:sz w:val="28"/>
          <w:szCs w:val="28"/>
          <w:lang w:val="ro-MO"/>
        </w:rPr>
        <w:t xml:space="preserve">, calculată </w:t>
      </w:r>
      <w:r>
        <w:rPr>
          <w:rFonts w:ascii="Times New Roman" w:hAnsi="Times New Roman"/>
          <w:sz w:val="28"/>
          <w:szCs w:val="28"/>
          <w:lang w:val="ro-MO"/>
        </w:rPr>
        <w:t xml:space="preserve">ca raport </w:t>
      </w:r>
      <w:r w:rsidRPr="00FA7215">
        <w:rPr>
          <w:rFonts w:ascii="Times New Roman" w:hAnsi="Times New Roman"/>
          <w:sz w:val="28"/>
          <w:szCs w:val="28"/>
          <w:lang w:val="ro-MO"/>
        </w:rPr>
        <w:t xml:space="preserve"> </w:t>
      </w:r>
      <w:r>
        <w:rPr>
          <w:rFonts w:ascii="Times New Roman" w:hAnsi="Times New Roman"/>
          <w:sz w:val="28"/>
          <w:szCs w:val="28"/>
          <w:lang w:val="ro-MO"/>
        </w:rPr>
        <w:t>între veniturile colectate</w:t>
      </w:r>
      <w:r w:rsidRPr="00FA7215">
        <w:rPr>
          <w:rFonts w:ascii="Times New Roman" w:hAnsi="Times New Roman"/>
          <w:sz w:val="28"/>
          <w:szCs w:val="28"/>
          <w:lang w:val="ro-MO"/>
        </w:rPr>
        <w:t xml:space="preserve"> din defalcările din impozitul pe venit</w:t>
      </w:r>
      <w:r>
        <w:rPr>
          <w:rFonts w:ascii="Times New Roman" w:hAnsi="Times New Roman"/>
          <w:sz w:val="28"/>
          <w:szCs w:val="28"/>
          <w:lang w:val="ro-MO"/>
        </w:rPr>
        <w:t>ul</w:t>
      </w:r>
      <w:r w:rsidRPr="00FA7215">
        <w:rPr>
          <w:rFonts w:ascii="Times New Roman" w:hAnsi="Times New Roman"/>
          <w:sz w:val="28"/>
          <w:szCs w:val="28"/>
          <w:lang w:val="ro-MO"/>
        </w:rPr>
        <w:t xml:space="preserve"> persoane</w:t>
      </w:r>
      <w:r>
        <w:rPr>
          <w:rFonts w:ascii="Times New Roman" w:hAnsi="Times New Roman"/>
          <w:sz w:val="28"/>
          <w:szCs w:val="28"/>
          <w:lang w:val="ro-MO"/>
        </w:rPr>
        <w:t>lor</w:t>
      </w:r>
      <w:r w:rsidRPr="00FA7215">
        <w:rPr>
          <w:rFonts w:ascii="Times New Roman" w:hAnsi="Times New Roman"/>
          <w:sz w:val="28"/>
          <w:szCs w:val="28"/>
          <w:lang w:val="ro-MO"/>
        </w:rPr>
        <w:t xml:space="preserve"> fizice în </w:t>
      </w:r>
      <w:r>
        <w:rPr>
          <w:rFonts w:ascii="Times New Roman" w:hAnsi="Times New Roman"/>
          <w:sz w:val="28"/>
          <w:szCs w:val="28"/>
          <w:lang w:val="ro-MO"/>
        </w:rPr>
        <w:t>teritoriul unităţii administrativ-teritoriale</w:t>
      </w:r>
      <w:r w:rsidRPr="00FA7215">
        <w:rPr>
          <w:rFonts w:ascii="Times New Roman" w:hAnsi="Times New Roman"/>
          <w:sz w:val="28"/>
          <w:szCs w:val="28"/>
          <w:lang w:val="ro-MO"/>
        </w:rPr>
        <w:t xml:space="preserve"> şi numărul de locuitori a</w:t>
      </w:r>
      <w:r>
        <w:rPr>
          <w:rFonts w:ascii="Times New Roman" w:hAnsi="Times New Roman"/>
          <w:sz w:val="28"/>
          <w:szCs w:val="28"/>
          <w:lang w:val="ro-MO"/>
        </w:rPr>
        <w:t>i</w:t>
      </w:r>
      <w:r w:rsidRPr="00FA7215">
        <w:rPr>
          <w:rFonts w:ascii="Times New Roman" w:hAnsi="Times New Roman"/>
          <w:sz w:val="28"/>
          <w:szCs w:val="28"/>
          <w:lang w:val="ro-MO"/>
        </w:rPr>
        <w:t xml:space="preserve"> </w:t>
      </w:r>
      <w:r>
        <w:rPr>
          <w:rFonts w:ascii="Times New Roman" w:hAnsi="Times New Roman"/>
          <w:sz w:val="28"/>
          <w:szCs w:val="28"/>
          <w:lang w:val="ro-MO"/>
        </w:rPr>
        <w:t>unităţii administrativ-teritoriale respective;</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CFL</w:t>
      </w:r>
      <w:r w:rsidRPr="00FA7215">
        <w:rPr>
          <w:rFonts w:ascii="Times New Roman" w:hAnsi="Times New Roman"/>
          <w:sz w:val="28"/>
          <w:szCs w:val="28"/>
          <w:vertAlign w:val="subscript"/>
          <w:lang w:val="ro-MO"/>
        </w:rPr>
        <w:t>n</w:t>
      </w:r>
      <w:r w:rsidRPr="00FA7215">
        <w:rPr>
          <w:rFonts w:ascii="Times New Roman" w:hAnsi="Times New Roman"/>
          <w:sz w:val="28"/>
          <w:szCs w:val="28"/>
          <w:lang w:val="ro-MO"/>
        </w:rPr>
        <w:t xml:space="preserve"> - capacitatea fiscală naţională medie pe locuitor a tuturor </w:t>
      </w:r>
      <w:r>
        <w:rPr>
          <w:rFonts w:ascii="Times New Roman" w:hAnsi="Times New Roman"/>
          <w:sz w:val="28"/>
          <w:szCs w:val="28"/>
          <w:lang w:val="ro-MO"/>
        </w:rPr>
        <w:t>unităţilor administrativ-teritoriale</w:t>
      </w:r>
      <w:r w:rsidRPr="00FA7215">
        <w:rPr>
          <w:rFonts w:ascii="Times New Roman" w:hAnsi="Times New Roman"/>
          <w:sz w:val="28"/>
          <w:szCs w:val="28"/>
          <w:lang w:val="ro-MO"/>
        </w:rPr>
        <w:t xml:space="preserve"> de nivel</w:t>
      </w:r>
      <w:r>
        <w:rPr>
          <w:rFonts w:ascii="Times New Roman" w:hAnsi="Times New Roman"/>
          <w:sz w:val="28"/>
          <w:szCs w:val="28"/>
          <w:lang w:val="ro-MO"/>
        </w:rPr>
        <w:t>ul întîi</w:t>
      </w:r>
      <w:r w:rsidRPr="00FA7215">
        <w:rPr>
          <w:rFonts w:ascii="Times New Roman" w:hAnsi="Times New Roman"/>
          <w:sz w:val="28"/>
          <w:szCs w:val="28"/>
          <w:lang w:val="ro-MO"/>
        </w:rPr>
        <w:t xml:space="preserve">, calculată </w:t>
      </w:r>
      <w:r>
        <w:rPr>
          <w:rFonts w:ascii="Times New Roman" w:hAnsi="Times New Roman"/>
          <w:sz w:val="28"/>
          <w:szCs w:val="28"/>
          <w:lang w:val="ro-MO"/>
        </w:rPr>
        <w:t xml:space="preserve">ca </w:t>
      </w:r>
      <w:r w:rsidRPr="00FA7215">
        <w:rPr>
          <w:rFonts w:ascii="Times New Roman" w:hAnsi="Times New Roman"/>
          <w:sz w:val="28"/>
          <w:szCs w:val="28"/>
          <w:lang w:val="ro-MO"/>
        </w:rPr>
        <w:t xml:space="preserve">raport </w:t>
      </w:r>
      <w:r>
        <w:rPr>
          <w:rFonts w:ascii="Times New Roman" w:hAnsi="Times New Roman"/>
          <w:sz w:val="28"/>
          <w:szCs w:val="28"/>
          <w:lang w:val="ro-MO"/>
        </w:rPr>
        <w:t>între veniturile colectate</w:t>
      </w:r>
      <w:r w:rsidRPr="00FA7215">
        <w:rPr>
          <w:rFonts w:ascii="Times New Roman" w:hAnsi="Times New Roman"/>
          <w:sz w:val="28"/>
          <w:szCs w:val="28"/>
          <w:lang w:val="ro-MO"/>
        </w:rPr>
        <w:t xml:space="preserve"> din defalcările din impozitul pe venit</w:t>
      </w:r>
      <w:r>
        <w:rPr>
          <w:rFonts w:ascii="Times New Roman" w:hAnsi="Times New Roman"/>
          <w:sz w:val="28"/>
          <w:szCs w:val="28"/>
          <w:lang w:val="ro-MO"/>
        </w:rPr>
        <w:t>ul</w:t>
      </w:r>
      <w:r w:rsidRPr="00FA7215">
        <w:rPr>
          <w:rFonts w:ascii="Times New Roman" w:hAnsi="Times New Roman"/>
          <w:sz w:val="28"/>
          <w:szCs w:val="28"/>
          <w:lang w:val="ro-MO"/>
        </w:rPr>
        <w:t xml:space="preserve"> persoane</w:t>
      </w:r>
      <w:r>
        <w:rPr>
          <w:rFonts w:ascii="Times New Roman" w:hAnsi="Times New Roman"/>
          <w:sz w:val="28"/>
          <w:szCs w:val="28"/>
          <w:lang w:val="ro-MO"/>
        </w:rPr>
        <w:t>lor</w:t>
      </w:r>
      <w:r w:rsidRPr="00FA7215">
        <w:rPr>
          <w:rFonts w:ascii="Times New Roman" w:hAnsi="Times New Roman"/>
          <w:sz w:val="28"/>
          <w:szCs w:val="28"/>
          <w:lang w:val="ro-MO"/>
        </w:rPr>
        <w:t xml:space="preserve"> fizice cumulate din toate </w:t>
      </w:r>
      <w:r>
        <w:rPr>
          <w:rFonts w:ascii="Times New Roman" w:hAnsi="Times New Roman"/>
          <w:sz w:val="28"/>
          <w:szCs w:val="28"/>
          <w:lang w:val="ro-MO"/>
        </w:rPr>
        <w:t>unităţile administrativ-teritoriale</w:t>
      </w:r>
      <w:r w:rsidRPr="00FA7215">
        <w:rPr>
          <w:rFonts w:ascii="Times New Roman" w:hAnsi="Times New Roman"/>
          <w:sz w:val="28"/>
          <w:szCs w:val="28"/>
          <w:lang w:val="ro-MO"/>
        </w:rPr>
        <w:t xml:space="preserve"> de nivelul întîi şi numărul de locuitori cumulat din toate </w:t>
      </w:r>
      <w:r>
        <w:rPr>
          <w:rFonts w:ascii="Times New Roman" w:hAnsi="Times New Roman"/>
          <w:sz w:val="28"/>
          <w:szCs w:val="28"/>
          <w:lang w:val="ro-MO"/>
        </w:rPr>
        <w:t>unităţile administrativ-teritoriale</w:t>
      </w:r>
      <w:r w:rsidRPr="00FA7215">
        <w:rPr>
          <w:rFonts w:ascii="Times New Roman" w:hAnsi="Times New Roman"/>
          <w:sz w:val="28"/>
          <w:szCs w:val="28"/>
          <w:lang w:val="ro-MO"/>
        </w:rPr>
        <w:t xml:space="preserve"> de nivelul întîi;</w:t>
      </w:r>
    </w:p>
    <w:p w:rsidR="00544A4E"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w:t>
      </w:r>
      <w:r w:rsidRPr="00FA7215">
        <w:rPr>
          <w:rFonts w:ascii="Times New Roman" w:hAnsi="Times New Roman"/>
          <w:sz w:val="28"/>
          <w:szCs w:val="28"/>
          <w:vertAlign w:val="subscript"/>
          <w:lang w:val="ro-MO"/>
        </w:rPr>
        <w:t>i</w:t>
      </w:r>
      <w:r w:rsidRPr="00FA7215">
        <w:rPr>
          <w:rFonts w:ascii="Times New Roman" w:hAnsi="Times New Roman"/>
          <w:sz w:val="28"/>
          <w:szCs w:val="28"/>
          <w:lang w:val="ro-MO"/>
        </w:rPr>
        <w:t xml:space="preserve"> - populaţia unei anumite </w:t>
      </w:r>
      <w:r>
        <w:rPr>
          <w:rFonts w:ascii="Times New Roman" w:hAnsi="Times New Roman"/>
          <w:sz w:val="28"/>
          <w:szCs w:val="28"/>
          <w:lang w:val="ro-MO"/>
        </w:rPr>
        <w:t>unităţi administrativ-teritoriale</w:t>
      </w:r>
      <w:r w:rsidRPr="00FA7215">
        <w:rPr>
          <w:rFonts w:ascii="Times New Roman" w:hAnsi="Times New Roman"/>
          <w:sz w:val="28"/>
          <w:szCs w:val="28"/>
          <w:lang w:val="ro-MO"/>
        </w:rPr>
        <w:t xml:space="preserve"> de nivel</w:t>
      </w:r>
      <w:r>
        <w:rPr>
          <w:rFonts w:ascii="Times New Roman" w:hAnsi="Times New Roman"/>
          <w:sz w:val="28"/>
          <w:szCs w:val="28"/>
          <w:lang w:val="ro-MO"/>
        </w:rPr>
        <w:t>ul</w:t>
      </w:r>
      <w:r w:rsidRPr="00FA7215">
        <w:rPr>
          <w:rFonts w:ascii="Times New Roman" w:hAnsi="Times New Roman"/>
          <w:sz w:val="28"/>
          <w:szCs w:val="28"/>
          <w:lang w:val="ro-MO"/>
        </w:rPr>
        <w:t xml:space="preserve"> </w:t>
      </w:r>
      <w:r>
        <w:rPr>
          <w:rFonts w:ascii="Times New Roman" w:hAnsi="Times New Roman"/>
          <w:sz w:val="28"/>
          <w:szCs w:val="28"/>
          <w:lang w:val="ro-MO"/>
        </w:rPr>
        <w:t>întîi;</w:t>
      </w:r>
    </w:p>
    <w:p w:rsidR="00544A4E" w:rsidRPr="003E7593"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w:t>
      </w:r>
      <w:r w:rsidRPr="00FA7215">
        <w:rPr>
          <w:rFonts w:ascii="Times New Roman" w:hAnsi="Times New Roman"/>
          <w:sz w:val="28"/>
          <w:szCs w:val="28"/>
          <w:vertAlign w:val="subscript"/>
          <w:lang w:val="ro-MO"/>
        </w:rPr>
        <w:t>n</w:t>
      </w:r>
      <w:r w:rsidRPr="00FA7215">
        <w:rPr>
          <w:rFonts w:ascii="Times New Roman" w:hAnsi="Times New Roman"/>
          <w:sz w:val="28"/>
          <w:szCs w:val="28"/>
          <w:lang w:val="ro-MO"/>
        </w:rPr>
        <w:t xml:space="preserve"> - populaţia totală a </w:t>
      </w:r>
      <w:r>
        <w:rPr>
          <w:rFonts w:ascii="Times New Roman" w:hAnsi="Times New Roman"/>
          <w:sz w:val="28"/>
          <w:szCs w:val="28"/>
          <w:lang w:val="ro-MO"/>
        </w:rPr>
        <w:t>unităţilor administrativ-teritoriale</w:t>
      </w:r>
      <w:r w:rsidRPr="00FA7215">
        <w:rPr>
          <w:rFonts w:ascii="Times New Roman" w:hAnsi="Times New Roman"/>
          <w:sz w:val="28"/>
          <w:szCs w:val="28"/>
          <w:lang w:val="ro-MO"/>
        </w:rPr>
        <w:t xml:space="preserve"> de nivel</w:t>
      </w:r>
      <w:r>
        <w:rPr>
          <w:rFonts w:ascii="Times New Roman" w:hAnsi="Times New Roman"/>
          <w:sz w:val="28"/>
          <w:szCs w:val="28"/>
          <w:lang w:val="ro-MO"/>
        </w:rPr>
        <w:t>ul</w:t>
      </w:r>
      <w:r w:rsidRPr="00FA7215">
        <w:rPr>
          <w:rFonts w:ascii="Times New Roman" w:hAnsi="Times New Roman"/>
          <w:sz w:val="28"/>
          <w:szCs w:val="28"/>
          <w:lang w:val="ro-MO"/>
        </w:rPr>
        <w:t xml:space="preserve"> </w:t>
      </w:r>
      <w:r>
        <w:rPr>
          <w:rFonts w:ascii="Times New Roman" w:hAnsi="Times New Roman"/>
          <w:sz w:val="28"/>
          <w:szCs w:val="28"/>
          <w:lang w:val="ro-MO"/>
        </w:rPr>
        <w:t>întîi</w:t>
      </w:r>
      <w:r w:rsidRPr="00FA7215">
        <w:rPr>
          <w:rFonts w:ascii="Times New Roman" w:hAnsi="Times New Roman"/>
          <w:sz w:val="28"/>
          <w:szCs w:val="28"/>
          <w:lang w:val="ro-MO"/>
        </w:rPr>
        <w:t xml:space="preserve"> </w:t>
      </w:r>
      <w:r w:rsidRPr="003E7593">
        <w:rPr>
          <w:rFonts w:ascii="Times New Roman" w:hAnsi="Times New Roman"/>
          <w:sz w:val="28"/>
          <w:szCs w:val="28"/>
          <w:lang w:val="ro-MO"/>
        </w:rPr>
        <w:t>calificate la alocare</w:t>
      </w:r>
      <w:r>
        <w:rPr>
          <w:rFonts w:ascii="Times New Roman" w:hAnsi="Times New Roman"/>
          <w:sz w:val="28"/>
          <w:szCs w:val="28"/>
          <w:lang w:val="ro-MO"/>
        </w:rPr>
        <w:t>;</w:t>
      </w:r>
    </w:p>
    <w:p w:rsidR="00544A4E" w:rsidRPr="003E7593" w:rsidRDefault="00544A4E" w:rsidP="00544A4E">
      <w:pPr>
        <w:ind w:left="1418"/>
        <w:jc w:val="both"/>
        <w:rPr>
          <w:rFonts w:ascii="Times New Roman" w:hAnsi="Times New Roman"/>
          <w:sz w:val="28"/>
          <w:szCs w:val="28"/>
          <w:lang w:val="ro-MO"/>
        </w:rPr>
      </w:pPr>
      <w:r w:rsidRPr="003E7593">
        <w:rPr>
          <w:rFonts w:ascii="Times New Roman" w:hAnsi="Times New Roman"/>
          <w:sz w:val="28"/>
          <w:szCs w:val="28"/>
          <w:lang w:val="ro-MO"/>
        </w:rPr>
        <w:t>S</w:t>
      </w:r>
      <w:r w:rsidRPr="003E7593">
        <w:rPr>
          <w:rFonts w:ascii="Times New Roman" w:hAnsi="Times New Roman"/>
          <w:sz w:val="28"/>
          <w:szCs w:val="28"/>
          <w:vertAlign w:val="subscript"/>
          <w:lang w:val="ro-MO"/>
        </w:rPr>
        <w:t>i</w:t>
      </w:r>
      <w:r w:rsidRPr="003E7593">
        <w:rPr>
          <w:rFonts w:ascii="Times New Roman" w:hAnsi="Times New Roman"/>
          <w:sz w:val="28"/>
          <w:szCs w:val="28"/>
          <w:lang w:val="ro-MO"/>
        </w:rPr>
        <w:t xml:space="preserve"> - suprafaţa unei anumite unităţi administrativ-teritoriale de nivelul întîi</w:t>
      </w:r>
      <w:r>
        <w:rPr>
          <w:rFonts w:ascii="Times New Roman" w:hAnsi="Times New Roman"/>
          <w:sz w:val="28"/>
          <w:szCs w:val="28"/>
          <w:lang w:val="ro-MO"/>
        </w:rPr>
        <w:t>;</w:t>
      </w:r>
    </w:p>
    <w:p w:rsidR="00544A4E" w:rsidRPr="00FA7215" w:rsidRDefault="00544A4E" w:rsidP="00544A4E">
      <w:pPr>
        <w:ind w:left="1418"/>
        <w:jc w:val="both"/>
        <w:rPr>
          <w:rFonts w:ascii="Times New Roman" w:hAnsi="Times New Roman"/>
          <w:sz w:val="28"/>
          <w:szCs w:val="28"/>
          <w:lang w:val="ro-MO"/>
        </w:rPr>
      </w:pPr>
      <w:r w:rsidRPr="003E7593">
        <w:rPr>
          <w:rFonts w:ascii="Times New Roman" w:hAnsi="Times New Roman"/>
          <w:sz w:val="28"/>
          <w:szCs w:val="28"/>
          <w:lang w:val="ro-MO"/>
        </w:rPr>
        <w:t>S</w:t>
      </w:r>
      <w:r w:rsidRPr="003E7593">
        <w:rPr>
          <w:rFonts w:ascii="Times New Roman" w:hAnsi="Times New Roman"/>
          <w:sz w:val="28"/>
          <w:szCs w:val="28"/>
          <w:vertAlign w:val="subscript"/>
          <w:lang w:val="ro-MO"/>
        </w:rPr>
        <w:t>n</w:t>
      </w:r>
      <w:r w:rsidRPr="003E7593">
        <w:rPr>
          <w:rFonts w:ascii="Times New Roman" w:hAnsi="Times New Roman"/>
          <w:sz w:val="28"/>
          <w:szCs w:val="28"/>
          <w:lang w:val="ro-MO"/>
        </w:rPr>
        <w:t xml:space="preserve"> - suprafaţa totală a unităţilor administrativ-teritoriale de nivelul întîi calificate la alocare</w:t>
      </w:r>
      <w:r>
        <w:rPr>
          <w:rFonts w:ascii="Times New Roman" w:hAnsi="Times New Roman"/>
          <w:sz w:val="28"/>
          <w:szCs w:val="28"/>
          <w:lang w:val="ro-MO"/>
        </w:rPr>
        <w:t>;</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PS</w:t>
      </w:r>
      <w:r w:rsidRPr="00FA7215">
        <w:rPr>
          <w:rFonts w:ascii="Times New Roman" w:hAnsi="Times New Roman"/>
          <w:sz w:val="28"/>
          <w:szCs w:val="28"/>
          <w:vertAlign w:val="superscript"/>
          <w:lang w:val="ro-MO"/>
        </w:rPr>
        <w:t>1</w:t>
      </w:r>
      <w:r w:rsidRPr="00FA7215">
        <w:rPr>
          <w:rFonts w:ascii="Times New Roman" w:hAnsi="Times New Roman"/>
          <w:sz w:val="28"/>
          <w:szCs w:val="28"/>
          <w:vertAlign w:val="subscript"/>
          <w:lang w:val="ro-MO"/>
        </w:rPr>
        <w:t>CFL</w:t>
      </w:r>
      <w:r w:rsidRPr="00FA7215">
        <w:rPr>
          <w:rFonts w:ascii="Times New Roman" w:hAnsi="Times New Roman"/>
          <w:sz w:val="28"/>
          <w:szCs w:val="28"/>
          <w:lang w:val="ro-MO"/>
        </w:rPr>
        <w:t xml:space="preserve"> - pondere</w:t>
      </w:r>
      <w:r>
        <w:rPr>
          <w:rFonts w:ascii="Times New Roman" w:hAnsi="Times New Roman"/>
          <w:sz w:val="28"/>
          <w:szCs w:val="28"/>
          <w:lang w:val="ro-MO"/>
        </w:rPr>
        <w:t>a</w:t>
      </w:r>
      <w:r w:rsidRPr="00FA7215">
        <w:rPr>
          <w:rFonts w:ascii="Times New Roman" w:hAnsi="Times New Roman"/>
          <w:sz w:val="28"/>
          <w:szCs w:val="28"/>
          <w:lang w:val="ro-MO"/>
        </w:rPr>
        <w:t xml:space="preserve"> specifică a indicatorului capacitate fiscală pe locuitor</w:t>
      </w:r>
      <w:r>
        <w:rPr>
          <w:rFonts w:ascii="Times New Roman" w:hAnsi="Times New Roman"/>
          <w:sz w:val="28"/>
          <w:szCs w:val="28"/>
          <w:lang w:val="ro-MO"/>
        </w:rPr>
        <w:t>;</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PS</w:t>
      </w:r>
      <w:r w:rsidRPr="00FA7215">
        <w:rPr>
          <w:rFonts w:ascii="Times New Roman" w:hAnsi="Times New Roman"/>
          <w:sz w:val="28"/>
          <w:szCs w:val="28"/>
          <w:vertAlign w:val="superscript"/>
          <w:lang w:val="ro-MO"/>
        </w:rPr>
        <w:t>1</w:t>
      </w:r>
      <w:r w:rsidRPr="00FA7215">
        <w:rPr>
          <w:rFonts w:ascii="Times New Roman" w:hAnsi="Times New Roman"/>
          <w:sz w:val="28"/>
          <w:szCs w:val="28"/>
          <w:vertAlign w:val="subscript"/>
          <w:lang w:val="ro-MO"/>
        </w:rPr>
        <w:t>p</w:t>
      </w:r>
      <w:r w:rsidRPr="00FA7215">
        <w:rPr>
          <w:rFonts w:ascii="Times New Roman" w:hAnsi="Times New Roman"/>
          <w:sz w:val="28"/>
          <w:szCs w:val="28"/>
          <w:lang w:val="ro-MO"/>
        </w:rPr>
        <w:t xml:space="preserve"> - ponderea specifică indicatorului populaţie</w:t>
      </w:r>
      <w:r>
        <w:rPr>
          <w:rFonts w:ascii="Times New Roman" w:hAnsi="Times New Roman"/>
          <w:sz w:val="28"/>
          <w:szCs w:val="28"/>
          <w:lang w:val="ro-MO"/>
        </w:rPr>
        <w:t>i;</w:t>
      </w:r>
      <w:r w:rsidRPr="00FA7215">
        <w:rPr>
          <w:rFonts w:ascii="Times New Roman" w:hAnsi="Times New Roman"/>
          <w:sz w:val="28"/>
          <w:szCs w:val="28"/>
          <w:lang w:val="ro-MO"/>
        </w:rPr>
        <w:t xml:space="preserve"> </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PS</w:t>
      </w:r>
      <w:r w:rsidRPr="00FA7215">
        <w:rPr>
          <w:rFonts w:ascii="Times New Roman" w:hAnsi="Times New Roman"/>
          <w:sz w:val="28"/>
          <w:szCs w:val="28"/>
          <w:vertAlign w:val="superscript"/>
          <w:lang w:val="ro-MO"/>
        </w:rPr>
        <w:t>1</w:t>
      </w:r>
      <w:r w:rsidRPr="00FA7215">
        <w:rPr>
          <w:rFonts w:ascii="Times New Roman" w:hAnsi="Times New Roman"/>
          <w:sz w:val="28"/>
          <w:szCs w:val="28"/>
          <w:vertAlign w:val="subscript"/>
          <w:lang w:val="ro-MO"/>
        </w:rPr>
        <w:t>s</w:t>
      </w:r>
      <w:r w:rsidRPr="00FA7215">
        <w:rPr>
          <w:rFonts w:ascii="Times New Roman" w:hAnsi="Times New Roman"/>
          <w:sz w:val="28"/>
          <w:szCs w:val="28"/>
          <w:lang w:val="ro-MO"/>
        </w:rPr>
        <w:t xml:space="preserve"> - ponderea specifică indicatorului supraf</w:t>
      </w:r>
      <w:r>
        <w:rPr>
          <w:rFonts w:ascii="Times New Roman" w:hAnsi="Times New Roman"/>
          <w:sz w:val="28"/>
          <w:szCs w:val="28"/>
          <w:lang w:val="ro-MO"/>
        </w:rPr>
        <w:t>e</w:t>
      </w:r>
      <w:r w:rsidRPr="00FA7215">
        <w:rPr>
          <w:rFonts w:ascii="Times New Roman" w:hAnsi="Times New Roman"/>
          <w:sz w:val="28"/>
          <w:szCs w:val="28"/>
          <w:lang w:val="ro-MO"/>
        </w:rPr>
        <w:t>ţ</w:t>
      </w:r>
      <w:r>
        <w:rPr>
          <w:rFonts w:ascii="Times New Roman" w:hAnsi="Times New Roman"/>
          <w:sz w:val="28"/>
          <w:szCs w:val="28"/>
          <w:lang w:val="ro-MO"/>
        </w:rPr>
        <w:t>ei;</w:t>
      </w:r>
    </w:p>
    <w:p w:rsidR="00544A4E"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Pe - parametru</w:t>
      </w:r>
      <w:r>
        <w:rPr>
          <w:rFonts w:ascii="Times New Roman" w:hAnsi="Times New Roman"/>
          <w:sz w:val="28"/>
          <w:szCs w:val="28"/>
          <w:lang w:val="ro-MO"/>
        </w:rPr>
        <w:t>l</w:t>
      </w:r>
      <w:r w:rsidRPr="00FA7215">
        <w:rPr>
          <w:rFonts w:ascii="Times New Roman" w:hAnsi="Times New Roman"/>
          <w:sz w:val="28"/>
          <w:szCs w:val="28"/>
          <w:lang w:val="ro-MO"/>
        </w:rPr>
        <w:t xml:space="preserve"> supraunitar</w:t>
      </w:r>
      <w:r>
        <w:rPr>
          <w:rFonts w:ascii="Times New Roman" w:hAnsi="Times New Roman"/>
          <w:sz w:val="28"/>
          <w:szCs w:val="28"/>
          <w:lang w:val="ro-MO"/>
        </w:rPr>
        <w:t>;</w:t>
      </w:r>
      <w:r w:rsidRPr="00FA7215">
        <w:rPr>
          <w:rFonts w:ascii="Times New Roman" w:hAnsi="Times New Roman"/>
          <w:sz w:val="28"/>
          <w:szCs w:val="28"/>
          <w:lang w:val="ro-MO"/>
        </w:rPr>
        <w:t xml:space="preserve"> </w:t>
      </w:r>
    </w:p>
    <w:p w:rsidR="00544A4E" w:rsidRPr="00FA7215" w:rsidRDefault="00544A4E" w:rsidP="00544A4E">
      <w:pPr>
        <w:ind w:left="1418"/>
        <w:jc w:val="both"/>
        <w:rPr>
          <w:rFonts w:ascii="Times New Roman" w:hAnsi="Times New Roman"/>
          <w:sz w:val="28"/>
          <w:szCs w:val="28"/>
          <w:lang w:val="ro-MO"/>
        </w:rPr>
      </w:pPr>
      <w:r>
        <w:rPr>
          <w:rFonts w:ascii="Times New Roman" w:hAnsi="Times New Roman"/>
          <w:sz w:val="28"/>
          <w:szCs w:val="28"/>
          <w:lang w:val="ro-MO"/>
        </w:rPr>
        <w:t xml:space="preserve">               unde, </w:t>
      </w:r>
      <w:r w:rsidRPr="00BC171B">
        <w:rPr>
          <w:rFonts w:ascii="Times New Roman" w:hAnsi="Times New Roman"/>
          <w:sz w:val="28"/>
          <w:szCs w:val="28"/>
          <w:lang w:val="ro-MO"/>
        </w:rPr>
        <w:t>PS</w:t>
      </w:r>
      <w:r w:rsidRPr="00BC171B">
        <w:rPr>
          <w:rFonts w:ascii="Times New Roman" w:hAnsi="Times New Roman"/>
          <w:sz w:val="28"/>
          <w:szCs w:val="28"/>
          <w:vertAlign w:val="superscript"/>
          <w:lang w:val="ro-MO"/>
        </w:rPr>
        <w:t>1</w:t>
      </w:r>
      <w:r w:rsidRPr="00BC171B">
        <w:rPr>
          <w:rFonts w:ascii="Times New Roman" w:hAnsi="Times New Roman"/>
          <w:sz w:val="28"/>
          <w:szCs w:val="28"/>
          <w:vertAlign w:val="subscript"/>
          <w:lang w:val="ro-MO"/>
        </w:rPr>
        <w:t>CFL</w:t>
      </w:r>
      <w:r w:rsidRPr="00BC171B">
        <w:rPr>
          <w:rFonts w:ascii="Times New Roman" w:hAnsi="Times New Roman"/>
          <w:sz w:val="28"/>
          <w:szCs w:val="28"/>
          <w:lang w:val="ro-MO"/>
        </w:rPr>
        <w:t xml:space="preserve"> = 80%; PS</w:t>
      </w:r>
      <w:r w:rsidRPr="00BC171B">
        <w:rPr>
          <w:rFonts w:ascii="Times New Roman" w:hAnsi="Times New Roman"/>
          <w:sz w:val="28"/>
          <w:szCs w:val="28"/>
          <w:vertAlign w:val="superscript"/>
          <w:lang w:val="ro-MO"/>
        </w:rPr>
        <w:t>1</w:t>
      </w:r>
      <w:r w:rsidRPr="00BC171B">
        <w:rPr>
          <w:rFonts w:ascii="Times New Roman" w:hAnsi="Times New Roman"/>
          <w:sz w:val="28"/>
          <w:szCs w:val="28"/>
          <w:vertAlign w:val="subscript"/>
          <w:lang w:val="ro-MO"/>
        </w:rPr>
        <w:t>p</w:t>
      </w:r>
      <w:r w:rsidRPr="00BC171B">
        <w:rPr>
          <w:rFonts w:ascii="Times New Roman" w:hAnsi="Times New Roman"/>
          <w:sz w:val="28"/>
          <w:szCs w:val="28"/>
          <w:lang w:val="ro-MO"/>
        </w:rPr>
        <w:t xml:space="preserve"> = 10%; PS</w:t>
      </w:r>
      <w:r w:rsidRPr="00BC171B">
        <w:rPr>
          <w:rFonts w:ascii="Times New Roman" w:hAnsi="Times New Roman"/>
          <w:sz w:val="28"/>
          <w:szCs w:val="28"/>
          <w:vertAlign w:val="superscript"/>
          <w:lang w:val="ro-MO"/>
        </w:rPr>
        <w:t>1</w:t>
      </w:r>
      <w:r w:rsidRPr="00BC171B">
        <w:rPr>
          <w:rFonts w:ascii="Times New Roman" w:hAnsi="Times New Roman"/>
          <w:sz w:val="28"/>
          <w:szCs w:val="28"/>
          <w:vertAlign w:val="subscript"/>
          <w:lang w:val="ro-MO"/>
        </w:rPr>
        <w:t>s</w:t>
      </w:r>
      <w:r w:rsidRPr="00BC171B">
        <w:rPr>
          <w:rFonts w:ascii="Times New Roman" w:hAnsi="Times New Roman"/>
          <w:sz w:val="28"/>
          <w:szCs w:val="28"/>
          <w:lang w:val="ro-MO"/>
        </w:rPr>
        <w:t xml:space="preserve"> = 10%</w:t>
      </w:r>
      <w:r>
        <w:rPr>
          <w:rFonts w:ascii="Times New Roman" w:hAnsi="Times New Roman"/>
          <w:sz w:val="28"/>
          <w:szCs w:val="28"/>
          <w:lang w:val="ro-MO"/>
        </w:rPr>
        <w:t xml:space="preserve"> </w:t>
      </w:r>
      <w:r>
        <w:rPr>
          <w:rFonts w:ascii="Times New Roman" w:hAnsi="Times New Roman"/>
          <w:sz w:val="28"/>
          <w:szCs w:val="28"/>
          <w:lang w:val="ro-RO"/>
        </w:rPr>
        <w:t xml:space="preserve">şi </w:t>
      </w:r>
      <w:r w:rsidRPr="00BC171B">
        <w:rPr>
          <w:rFonts w:ascii="Times New Roman" w:hAnsi="Times New Roman"/>
          <w:sz w:val="28"/>
          <w:szCs w:val="28"/>
          <w:lang w:val="ro-MO"/>
        </w:rPr>
        <w:t>Pe = 1,3</w:t>
      </w:r>
      <w:r>
        <w:rPr>
          <w:rFonts w:ascii="Times New Roman" w:hAnsi="Times New Roman"/>
          <w:sz w:val="28"/>
          <w:szCs w:val="28"/>
          <w:lang w:val="ro-MO"/>
        </w:rPr>
        <w:t>.</w:t>
      </w:r>
    </w:p>
    <w:p w:rsidR="007C12A3" w:rsidRPr="001B0998" w:rsidRDefault="007C12A3" w:rsidP="00E76247">
      <w:pPr>
        <w:spacing w:line="276" w:lineRule="auto"/>
        <w:ind w:firstLine="720"/>
        <w:jc w:val="both"/>
        <w:rPr>
          <w:rFonts w:ascii="Times New Roman" w:hAnsi="Times New Roman"/>
          <w:sz w:val="10"/>
          <w:szCs w:val="10"/>
          <w:lang w:val="ro-MO"/>
        </w:rPr>
      </w:pPr>
    </w:p>
    <w:p w:rsidR="00E76247" w:rsidRDefault="00E76247" w:rsidP="00E76247">
      <w:pPr>
        <w:spacing w:after="200" w:line="276" w:lineRule="auto"/>
        <w:ind w:firstLine="720"/>
        <w:jc w:val="both"/>
        <w:rPr>
          <w:rFonts w:ascii="Times New Roman" w:hAnsi="Times New Roman"/>
          <w:sz w:val="28"/>
          <w:szCs w:val="28"/>
          <w:lang w:val="ro-MO"/>
        </w:rPr>
      </w:pPr>
      <w:r>
        <w:rPr>
          <w:rFonts w:ascii="Times New Roman" w:hAnsi="Times New Roman"/>
          <w:sz w:val="28"/>
          <w:szCs w:val="28"/>
          <w:lang w:val="ro-MO"/>
        </w:rPr>
        <w:t>În formula de mai sus</w:t>
      </w:r>
      <w:r w:rsidR="00B42BB1">
        <w:rPr>
          <w:rFonts w:ascii="Times New Roman" w:hAnsi="Times New Roman"/>
          <w:sz w:val="28"/>
          <w:szCs w:val="28"/>
          <w:lang w:val="ro-MO"/>
        </w:rPr>
        <w:t>,</w:t>
      </w:r>
      <w:r>
        <w:rPr>
          <w:rFonts w:ascii="Times New Roman" w:hAnsi="Times New Roman"/>
          <w:sz w:val="28"/>
          <w:szCs w:val="28"/>
          <w:lang w:val="ro-MO"/>
        </w:rPr>
        <w:t xml:space="preserve"> ponderile specifice PS</w:t>
      </w:r>
      <w:r>
        <w:rPr>
          <w:rFonts w:ascii="Times New Roman" w:hAnsi="Times New Roman"/>
          <w:sz w:val="28"/>
          <w:szCs w:val="28"/>
          <w:vertAlign w:val="superscript"/>
          <w:lang w:val="ro-MO"/>
        </w:rPr>
        <w:t>1</w:t>
      </w:r>
      <w:r>
        <w:rPr>
          <w:rFonts w:ascii="Times New Roman" w:hAnsi="Times New Roman"/>
          <w:sz w:val="28"/>
          <w:szCs w:val="28"/>
          <w:vertAlign w:val="subscript"/>
          <w:lang w:val="ro-MO"/>
        </w:rPr>
        <w:t>CFL</w:t>
      </w:r>
      <w:r>
        <w:rPr>
          <w:rFonts w:ascii="Times New Roman" w:hAnsi="Times New Roman"/>
          <w:sz w:val="28"/>
          <w:szCs w:val="28"/>
          <w:lang w:val="ro-MO"/>
        </w:rPr>
        <w:t>, PS</w:t>
      </w:r>
      <w:r>
        <w:rPr>
          <w:rFonts w:ascii="Times New Roman" w:hAnsi="Times New Roman"/>
          <w:sz w:val="28"/>
          <w:szCs w:val="28"/>
          <w:vertAlign w:val="superscript"/>
          <w:lang w:val="ro-MO"/>
        </w:rPr>
        <w:t>1</w:t>
      </w:r>
      <w:r>
        <w:rPr>
          <w:rFonts w:ascii="Times New Roman" w:hAnsi="Times New Roman"/>
          <w:sz w:val="28"/>
          <w:szCs w:val="28"/>
          <w:vertAlign w:val="subscript"/>
          <w:lang w:val="ro-MO"/>
        </w:rPr>
        <w:t>P</w:t>
      </w:r>
      <w:r>
        <w:rPr>
          <w:rFonts w:ascii="Times New Roman" w:hAnsi="Times New Roman"/>
          <w:sz w:val="28"/>
          <w:szCs w:val="28"/>
          <w:lang w:val="ro-MO"/>
        </w:rPr>
        <w:t>, PS</w:t>
      </w:r>
      <w:r>
        <w:rPr>
          <w:rFonts w:ascii="Times New Roman" w:hAnsi="Times New Roman"/>
          <w:sz w:val="28"/>
          <w:szCs w:val="28"/>
          <w:vertAlign w:val="superscript"/>
          <w:lang w:val="ro-MO"/>
        </w:rPr>
        <w:t>1</w:t>
      </w:r>
      <w:r>
        <w:rPr>
          <w:rFonts w:ascii="Times New Roman" w:hAnsi="Times New Roman"/>
          <w:sz w:val="28"/>
          <w:szCs w:val="28"/>
          <w:vertAlign w:val="subscript"/>
          <w:lang w:val="ro-MO"/>
        </w:rPr>
        <w:t>S</w:t>
      </w:r>
      <w:r>
        <w:rPr>
          <w:rFonts w:ascii="Times New Roman" w:hAnsi="Times New Roman"/>
          <w:sz w:val="28"/>
          <w:szCs w:val="28"/>
          <w:lang w:val="ro-MO"/>
        </w:rPr>
        <w:t xml:space="preserve"> arată propor</w:t>
      </w:r>
      <w:r w:rsidR="006F4B00">
        <w:rPr>
          <w:rFonts w:ascii="Times New Roman" w:hAnsi="Times New Roman"/>
          <w:sz w:val="28"/>
          <w:szCs w:val="28"/>
          <w:lang w:val="ro-MO"/>
        </w:rPr>
        <w:t>ţ</w:t>
      </w:r>
      <w:r>
        <w:rPr>
          <w:rFonts w:ascii="Times New Roman" w:hAnsi="Times New Roman"/>
          <w:sz w:val="28"/>
          <w:szCs w:val="28"/>
          <w:lang w:val="ro-MO"/>
        </w:rPr>
        <w:t>ia în care indicatorii fundamentali: capacitate fiscala pe locuitor, popula</w:t>
      </w:r>
      <w:r w:rsidR="006F4B00">
        <w:rPr>
          <w:rFonts w:ascii="Times New Roman" w:hAnsi="Times New Roman"/>
          <w:sz w:val="28"/>
          <w:szCs w:val="28"/>
          <w:lang w:val="ro-MO"/>
        </w:rPr>
        <w:t>ţ</w:t>
      </w:r>
      <w:r>
        <w:rPr>
          <w:rFonts w:ascii="Times New Roman" w:hAnsi="Times New Roman"/>
          <w:sz w:val="28"/>
          <w:szCs w:val="28"/>
          <w:lang w:val="ro-MO"/>
        </w:rPr>
        <w:t xml:space="preserve">ie (număr de locuitori) </w:t>
      </w:r>
      <w:r w:rsidR="006F4B00">
        <w:rPr>
          <w:rFonts w:ascii="Times New Roman" w:hAnsi="Times New Roman"/>
          <w:sz w:val="28"/>
          <w:szCs w:val="28"/>
          <w:lang w:val="ro-MO"/>
        </w:rPr>
        <w:t>ş</w:t>
      </w:r>
      <w:r>
        <w:rPr>
          <w:rFonts w:ascii="Times New Roman" w:hAnsi="Times New Roman"/>
          <w:sz w:val="28"/>
          <w:szCs w:val="28"/>
          <w:lang w:val="ro-MO"/>
        </w:rPr>
        <w:t>i suprafa</w:t>
      </w:r>
      <w:r w:rsidR="006F4B00">
        <w:rPr>
          <w:rFonts w:ascii="Times New Roman" w:hAnsi="Times New Roman"/>
          <w:sz w:val="28"/>
          <w:szCs w:val="28"/>
          <w:lang w:val="ro-MO"/>
        </w:rPr>
        <w:t>ţ</w:t>
      </w:r>
      <w:r>
        <w:rPr>
          <w:rFonts w:ascii="Times New Roman" w:hAnsi="Times New Roman"/>
          <w:sz w:val="28"/>
          <w:szCs w:val="28"/>
          <w:lang w:val="ro-MO"/>
        </w:rPr>
        <w:t>ă contribuie la alocarea fondului de echilibrare pentru UAT de nivel 1, FEB1. Astfel ponderea cea mai mare o are capacitatea fiscală pe locuitor (80%), ceea ce înseamnă că 80% din FEB1 se distribuie invers propor</w:t>
      </w:r>
      <w:r w:rsidR="006F4B00">
        <w:rPr>
          <w:rFonts w:ascii="Times New Roman" w:hAnsi="Times New Roman"/>
          <w:sz w:val="28"/>
          <w:szCs w:val="28"/>
          <w:lang w:val="ro-MO"/>
        </w:rPr>
        <w:t>ţ</w:t>
      </w:r>
      <w:r>
        <w:rPr>
          <w:rFonts w:ascii="Times New Roman" w:hAnsi="Times New Roman"/>
          <w:sz w:val="28"/>
          <w:szCs w:val="28"/>
          <w:lang w:val="ro-MO"/>
        </w:rPr>
        <w:t>ional cu acest indicator – în acest caz distribu</w:t>
      </w:r>
      <w:r w:rsidR="006F4B00">
        <w:rPr>
          <w:rFonts w:ascii="Times New Roman" w:hAnsi="Times New Roman"/>
          <w:sz w:val="28"/>
          <w:szCs w:val="28"/>
          <w:lang w:val="ro-MO"/>
        </w:rPr>
        <w:t>ţ</w:t>
      </w:r>
      <w:r>
        <w:rPr>
          <w:rFonts w:ascii="Times New Roman" w:hAnsi="Times New Roman"/>
          <w:sz w:val="28"/>
          <w:szCs w:val="28"/>
          <w:lang w:val="ro-MO"/>
        </w:rPr>
        <w:t>ia se face invers propor</w:t>
      </w:r>
      <w:r w:rsidR="006F4B00">
        <w:rPr>
          <w:rFonts w:ascii="Times New Roman" w:hAnsi="Times New Roman"/>
          <w:sz w:val="28"/>
          <w:szCs w:val="28"/>
          <w:lang w:val="ro-MO"/>
        </w:rPr>
        <w:t>ţ</w:t>
      </w:r>
      <w:r>
        <w:rPr>
          <w:rFonts w:ascii="Times New Roman" w:hAnsi="Times New Roman"/>
          <w:sz w:val="28"/>
          <w:szCs w:val="28"/>
          <w:lang w:val="ro-MO"/>
        </w:rPr>
        <w:t>ional pentru a aloca mai mul</w:t>
      </w:r>
      <w:r w:rsidR="006F4B00">
        <w:rPr>
          <w:rFonts w:ascii="Times New Roman" w:hAnsi="Times New Roman"/>
          <w:sz w:val="28"/>
          <w:szCs w:val="28"/>
          <w:lang w:val="ro-MO"/>
        </w:rPr>
        <w:t>ţ</w:t>
      </w:r>
      <w:r>
        <w:rPr>
          <w:rFonts w:ascii="Times New Roman" w:hAnsi="Times New Roman"/>
          <w:sz w:val="28"/>
          <w:szCs w:val="28"/>
          <w:lang w:val="ro-MO"/>
        </w:rPr>
        <w:t xml:space="preserve">i bani UAT – urilor sărace </w:t>
      </w:r>
      <w:r w:rsidR="006F4B00">
        <w:rPr>
          <w:rFonts w:ascii="Times New Roman" w:hAnsi="Times New Roman"/>
          <w:sz w:val="28"/>
          <w:szCs w:val="28"/>
          <w:lang w:val="ro-MO"/>
        </w:rPr>
        <w:t>ş</w:t>
      </w:r>
      <w:r>
        <w:rPr>
          <w:rFonts w:ascii="Times New Roman" w:hAnsi="Times New Roman"/>
          <w:sz w:val="28"/>
          <w:szCs w:val="28"/>
          <w:lang w:val="ro-MO"/>
        </w:rPr>
        <w:t>i mai pu</w:t>
      </w:r>
      <w:r w:rsidR="006F4B00">
        <w:rPr>
          <w:rFonts w:ascii="Times New Roman" w:hAnsi="Times New Roman"/>
          <w:sz w:val="28"/>
          <w:szCs w:val="28"/>
          <w:lang w:val="ro-MO"/>
        </w:rPr>
        <w:t>ţ</w:t>
      </w:r>
      <w:r>
        <w:rPr>
          <w:rFonts w:ascii="Times New Roman" w:hAnsi="Times New Roman"/>
          <w:sz w:val="28"/>
          <w:szCs w:val="28"/>
          <w:lang w:val="ro-MO"/>
        </w:rPr>
        <w:t>ini celor mai bogate. De men</w:t>
      </w:r>
      <w:r w:rsidR="006F4B00">
        <w:rPr>
          <w:rFonts w:ascii="Times New Roman" w:hAnsi="Times New Roman"/>
          <w:sz w:val="28"/>
          <w:szCs w:val="28"/>
          <w:lang w:val="ro-MO"/>
        </w:rPr>
        <w:t>ţ</w:t>
      </w:r>
      <w:r>
        <w:rPr>
          <w:rFonts w:ascii="Times New Roman" w:hAnsi="Times New Roman"/>
          <w:sz w:val="28"/>
          <w:szCs w:val="28"/>
          <w:lang w:val="ro-MO"/>
        </w:rPr>
        <w:t>ionat că indicatorul capacitate fiscală pe locuitor aproximează foarte bine situa</w:t>
      </w:r>
      <w:r w:rsidR="006F4B00">
        <w:rPr>
          <w:rFonts w:ascii="Times New Roman" w:hAnsi="Times New Roman"/>
          <w:sz w:val="28"/>
          <w:szCs w:val="28"/>
          <w:lang w:val="ro-MO"/>
        </w:rPr>
        <w:t>ţ</w:t>
      </w:r>
      <w:r>
        <w:rPr>
          <w:rFonts w:ascii="Times New Roman" w:hAnsi="Times New Roman"/>
          <w:sz w:val="28"/>
          <w:szCs w:val="28"/>
          <w:lang w:val="ro-MO"/>
        </w:rPr>
        <w:t xml:space="preserve">ia economică </w:t>
      </w:r>
      <w:r w:rsidR="006F4B00">
        <w:rPr>
          <w:rFonts w:ascii="Times New Roman" w:hAnsi="Times New Roman"/>
          <w:sz w:val="28"/>
          <w:szCs w:val="28"/>
          <w:lang w:val="ro-MO"/>
        </w:rPr>
        <w:t>ş</w:t>
      </w:r>
      <w:r>
        <w:rPr>
          <w:rFonts w:ascii="Times New Roman" w:hAnsi="Times New Roman"/>
          <w:sz w:val="28"/>
          <w:szCs w:val="28"/>
          <w:lang w:val="ro-MO"/>
        </w:rPr>
        <w:t>i financiară a unei UAT. În mod corespunzător, ponderile pentru popula</w:t>
      </w:r>
      <w:r w:rsidR="006F4B00">
        <w:rPr>
          <w:rFonts w:ascii="Times New Roman" w:hAnsi="Times New Roman"/>
          <w:sz w:val="28"/>
          <w:szCs w:val="28"/>
          <w:lang w:val="ro-MO"/>
        </w:rPr>
        <w:t>ţ</w:t>
      </w:r>
      <w:r>
        <w:rPr>
          <w:rFonts w:ascii="Times New Roman" w:hAnsi="Times New Roman"/>
          <w:sz w:val="28"/>
          <w:szCs w:val="28"/>
          <w:lang w:val="ro-MO"/>
        </w:rPr>
        <w:t xml:space="preserve">ie </w:t>
      </w:r>
      <w:r w:rsidR="006F4B00">
        <w:rPr>
          <w:rFonts w:ascii="Times New Roman" w:hAnsi="Times New Roman"/>
          <w:sz w:val="28"/>
          <w:szCs w:val="28"/>
          <w:lang w:val="ro-MO"/>
        </w:rPr>
        <w:t>ş</w:t>
      </w:r>
      <w:r>
        <w:rPr>
          <w:rFonts w:ascii="Times New Roman" w:hAnsi="Times New Roman"/>
          <w:sz w:val="28"/>
          <w:szCs w:val="28"/>
          <w:lang w:val="ro-MO"/>
        </w:rPr>
        <w:t>i suprafa</w:t>
      </w:r>
      <w:r w:rsidR="006F4B00">
        <w:rPr>
          <w:rFonts w:ascii="Times New Roman" w:hAnsi="Times New Roman"/>
          <w:sz w:val="28"/>
          <w:szCs w:val="28"/>
          <w:lang w:val="ro-MO"/>
        </w:rPr>
        <w:t>ţ</w:t>
      </w:r>
      <w:r>
        <w:rPr>
          <w:rFonts w:ascii="Times New Roman" w:hAnsi="Times New Roman"/>
          <w:sz w:val="28"/>
          <w:szCs w:val="28"/>
          <w:lang w:val="ro-MO"/>
        </w:rPr>
        <w:t>ă arată care este procentul din FEB1 care se distribuie în func</w:t>
      </w:r>
      <w:r w:rsidR="006F4B00">
        <w:rPr>
          <w:rFonts w:ascii="Times New Roman" w:hAnsi="Times New Roman"/>
          <w:sz w:val="28"/>
          <w:szCs w:val="28"/>
          <w:lang w:val="ro-MO"/>
        </w:rPr>
        <w:t>ţ</w:t>
      </w:r>
      <w:r>
        <w:rPr>
          <w:rFonts w:ascii="Times New Roman" w:hAnsi="Times New Roman"/>
          <w:sz w:val="28"/>
          <w:szCs w:val="28"/>
          <w:lang w:val="ro-MO"/>
        </w:rPr>
        <w:t>ie de ace</w:t>
      </w:r>
      <w:r w:rsidR="006F4B00">
        <w:rPr>
          <w:rFonts w:ascii="Times New Roman" w:hAnsi="Times New Roman"/>
          <w:sz w:val="28"/>
          <w:szCs w:val="28"/>
          <w:lang w:val="ro-MO"/>
        </w:rPr>
        <w:t>ş</w:t>
      </w:r>
      <w:r>
        <w:rPr>
          <w:rFonts w:ascii="Times New Roman" w:hAnsi="Times New Roman"/>
          <w:sz w:val="28"/>
          <w:szCs w:val="28"/>
          <w:lang w:val="ro-MO"/>
        </w:rPr>
        <w:t>ti 2 indicatori. În cazul lor distribu</w:t>
      </w:r>
      <w:r w:rsidR="006F4B00">
        <w:rPr>
          <w:rFonts w:ascii="Times New Roman" w:hAnsi="Times New Roman"/>
          <w:sz w:val="28"/>
          <w:szCs w:val="28"/>
          <w:lang w:val="ro-MO"/>
        </w:rPr>
        <w:t>ţ</w:t>
      </w:r>
      <w:r>
        <w:rPr>
          <w:rFonts w:ascii="Times New Roman" w:hAnsi="Times New Roman"/>
          <w:sz w:val="28"/>
          <w:szCs w:val="28"/>
          <w:lang w:val="ro-MO"/>
        </w:rPr>
        <w:t>ia se face direct propor</w:t>
      </w:r>
      <w:r w:rsidR="006F4B00">
        <w:rPr>
          <w:rFonts w:ascii="Times New Roman" w:hAnsi="Times New Roman"/>
          <w:sz w:val="28"/>
          <w:szCs w:val="28"/>
          <w:lang w:val="ro-MO"/>
        </w:rPr>
        <w:t>ţ</w:t>
      </w:r>
      <w:r>
        <w:rPr>
          <w:rFonts w:ascii="Times New Roman" w:hAnsi="Times New Roman"/>
          <w:sz w:val="28"/>
          <w:szCs w:val="28"/>
          <w:lang w:val="ro-MO"/>
        </w:rPr>
        <w:t>ional: un UAT cu popula</w:t>
      </w:r>
      <w:r w:rsidR="006F4B00">
        <w:rPr>
          <w:rFonts w:ascii="Times New Roman" w:hAnsi="Times New Roman"/>
          <w:sz w:val="28"/>
          <w:szCs w:val="28"/>
          <w:lang w:val="ro-MO"/>
        </w:rPr>
        <w:t>ţ</w:t>
      </w:r>
      <w:r>
        <w:rPr>
          <w:rFonts w:ascii="Times New Roman" w:hAnsi="Times New Roman"/>
          <w:sz w:val="28"/>
          <w:szCs w:val="28"/>
          <w:lang w:val="ro-MO"/>
        </w:rPr>
        <w:t xml:space="preserve">ie </w:t>
      </w:r>
      <w:r w:rsidR="006F4B00">
        <w:rPr>
          <w:rFonts w:ascii="Times New Roman" w:hAnsi="Times New Roman"/>
          <w:sz w:val="28"/>
          <w:szCs w:val="28"/>
          <w:lang w:val="ro-MO"/>
        </w:rPr>
        <w:t>ş</w:t>
      </w:r>
      <w:r>
        <w:rPr>
          <w:rFonts w:ascii="Times New Roman" w:hAnsi="Times New Roman"/>
          <w:sz w:val="28"/>
          <w:szCs w:val="28"/>
          <w:lang w:val="ro-MO"/>
        </w:rPr>
        <w:t>i/sau cu suprafa</w:t>
      </w:r>
      <w:r w:rsidR="006F4B00">
        <w:rPr>
          <w:rFonts w:ascii="Times New Roman" w:hAnsi="Times New Roman"/>
          <w:sz w:val="28"/>
          <w:szCs w:val="28"/>
          <w:lang w:val="ro-MO"/>
        </w:rPr>
        <w:t>ţ</w:t>
      </w:r>
      <w:r>
        <w:rPr>
          <w:rFonts w:ascii="Times New Roman" w:hAnsi="Times New Roman"/>
          <w:sz w:val="28"/>
          <w:szCs w:val="28"/>
          <w:lang w:val="ro-MO"/>
        </w:rPr>
        <w:t>a mai mare prime</w:t>
      </w:r>
      <w:r w:rsidR="006F4B00">
        <w:rPr>
          <w:rFonts w:ascii="Times New Roman" w:hAnsi="Times New Roman"/>
          <w:sz w:val="28"/>
          <w:szCs w:val="28"/>
          <w:lang w:val="ro-MO"/>
        </w:rPr>
        <w:t>ş</w:t>
      </w:r>
      <w:r>
        <w:rPr>
          <w:rFonts w:ascii="Times New Roman" w:hAnsi="Times New Roman"/>
          <w:sz w:val="28"/>
          <w:szCs w:val="28"/>
          <w:lang w:val="ro-MO"/>
        </w:rPr>
        <w:t>te mai mult decât un UAT cu popula</w:t>
      </w:r>
      <w:r w:rsidR="006F4B00">
        <w:rPr>
          <w:rFonts w:ascii="Times New Roman" w:hAnsi="Times New Roman"/>
          <w:sz w:val="28"/>
          <w:szCs w:val="28"/>
          <w:lang w:val="ro-MO"/>
        </w:rPr>
        <w:t>ţ</w:t>
      </w:r>
      <w:r>
        <w:rPr>
          <w:rFonts w:ascii="Times New Roman" w:hAnsi="Times New Roman"/>
          <w:sz w:val="28"/>
          <w:szCs w:val="28"/>
          <w:lang w:val="ro-MO"/>
        </w:rPr>
        <w:t xml:space="preserve">ie </w:t>
      </w:r>
      <w:r w:rsidR="006F4B00">
        <w:rPr>
          <w:rFonts w:ascii="Times New Roman" w:hAnsi="Times New Roman"/>
          <w:sz w:val="28"/>
          <w:szCs w:val="28"/>
          <w:lang w:val="ro-MO"/>
        </w:rPr>
        <w:t>ş</w:t>
      </w:r>
      <w:r>
        <w:rPr>
          <w:rFonts w:ascii="Times New Roman" w:hAnsi="Times New Roman"/>
          <w:sz w:val="28"/>
          <w:szCs w:val="28"/>
          <w:lang w:val="ro-MO"/>
        </w:rPr>
        <w:t>i suprafa</w:t>
      </w:r>
      <w:r w:rsidR="006F4B00">
        <w:rPr>
          <w:rFonts w:ascii="Times New Roman" w:hAnsi="Times New Roman"/>
          <w:sz w:val="28"/>
          <w:szCs w:val="28"/>
          <w:lang w:val="ro-MO"/>
        </w:rPr>
        <w:t>ţ</w:t>
      </w:r>
      <w:r>
        <w:rPr>
          <w:rFonts w:ascii="Times New Roman" w:hAnsi="Times New Roman"/>
          <w:sz w:val="28"/>
          <w:szCs w:val="28"/>
          <w:lang w:val="ro-MO"/>
        </w:rPr>
        <w:t>ă mai mică – pentru ace</w:t>
      </w:r>
      <w:r w:rsidR="006F4B00">
        <w:rPr>
          <w:rFonts w:ascii="Times New Roman" w:hAnsi="Times New Roman"/>
          <w:sz w:val="28"/>
          <w:szCs w:val="28"/>
          <w:lang w:val="ro-MO"/>
        </w:rPr>
        <w:t>ş</w:t>
      </w:r>
      <w:r>
        <w:rPr>
          <w:rFonts w:ascii="Times New Roman" w:hAnsi="Times New Roman"/>
          <w:sz w:val="28"/>
          <w:szCs w:val="28"/>
          <w:lang w:val="ro-MO"/>
        </w:rPr>
        <w:t>ti doi indicatori distribu</w:t>
      </w:r>
      <w:r w:rsidR="006F4B00">
        <w:rPr>
          <w:rFonts w:ascii="Times New Roman" w:hAnsi="Times New Roman"/>
          <w:sz w:val="28"/>
          <w:szCs w:val="28"/>
          <w:lang w:val="ro-MO"/>
        </w:rPr>
        <w:t>ţ</w:t>
      </w:r>
      <w:r>
        <w:rPr>
          <w:rFonts w:ascii="Times New Roman" w:hAnsi="Times New Roman"/>
          <w:sz w:val="28"/>
          <w:szCs w:val="28"/>
          <w:lang w:val="ro-MO"/>
        </w:rPr>
        <w:t xml:space="preserve">ia este </w:t>
      </w:r>
      <w:r>
        <w:rPr>
          <w:rFonts w:ascii="Times New Roman" w:hAnsi="Times New Roman"/>
          <w:sz w:val="28"/>
          <w:szCs w:val="28"/>
          <w:lang w:val="ro-MO"/>
        </w:rPr>
        <w:lastRenderedPageBreak/>
        <w:t>direct propor</w:t>
      </w:r>
      <w:r w:rsidR="006F4B00">
        <w:rPr>
          <w:rFonts w:ascii="Times New Roman" w:hAnsi="Times New Roman"/>
          <w:sz w:val="28"/>
          <w:szCs w:val="28"/>
          <w:lang w:val="ro-MO"/>
        </w:rPr>
        <w:t>ţ</w:t>
      </w:r>
      <w:r>
        <w:rPr>
          <w:rFonts w:ascii="Times New Roman" w:hAnsi="Times New Roman"/>
          <w:sz w:val="28"/>
          <w:szCs w:val="28"/>
          <w:lang w:val="ro-MO"/>
        </w:rPr>
        <w:t>ională. Indicatorii popula</w:t>
      </w:r>
      <w:r w:rsidR="006F4B00">
        <w:rPr>
          <w:rFonts w:ascii="Times New Roman" w:hAnsi="Times New Roman"/>
          <w:sz w:val="28"/>
          <w:szCs w:val="28"/>
          <w:lang w:val="ro-MO"/>
        </w:rPr>
        <w:t>ţ</w:t>
      </w:r>
      <w:r>
        <w:rPr>
          <w:rFonts w:ascii="Times New Roman" w:hAnsi="Times New Roman"/>
          <w:sz w:val="28"/>
          <w:szCs w:val="28"/>
          <w:lang w:val="ro-MO"/>
        </w:rPr>
        <w:t xml:space="preserve">ie </w:t>
      </w:r>
      <w:r w:rsidR="006F4B00">
        <w:rPr>
          <w:rFonts w:ascii="Times New Roman" w:hAnsi="Times New Roman"/>
          <w:sz w:val="28"/>
          <w:szCs w:val="28"/>
          <w:lang w:val="ro-MO"/>
        </w:rPr>
        <w:t>ş</w:t>
      </w:r>
      <w:r>
        <w:rPr>
          <w:rFonts w:ascii="Times New Roman" w:hAnsi="Times New Roman"/>
          <w:sz w:val="28"/>
          <w:szCs w:val="28"/>
          <w:lang w:val="ro-MO"/>
        </w:rPr>
        <w:t>i suprafa</w:t>
      </w:r>
      <w:r w:rsidR="006F4B00">
        <w:rPr>
          <w:rFonts w:ascii="Times New Roman" w:hAnsi="Times New Roman"/>
          <w:sz w:val="28"/>
          <w:szCs w:val="28"/>
          <w:lang w:val="ro-MO"/>
        </w:rPr>
        <w:t>ţ</w:t>
      </w:r>
      <w:r>
        <w:rPr>
          <w:rFonts w:ascii="Times New Roman" w:hAnsi="Times New Roman"/>
          <w:sz w:val="28"/>
          <w:szCs w:val="28"/>
          <w:lang w:val="ro-MO"/>
        </w:rPr>
        <w:t xml:space="preserve">ă sunt simpli, datele foarte accesibile </w:t>
      </w:r>
      <w:r w:rsidR="006F4B00">
        <w:rPr>
          <w:rFonts w:ascii="Times New Roman" w:hAnsi="Times New Roman"/>
          <w:sz w:val="28"/>
          <w:szCs w:val="28"/>
          <w:lang w:val="ro-MO"/>
        </w:rPr>
        <w:t>ş</w:t>
      </w:r>
      <w:r>
        <w:rPr>
          <w:rFonts w:ascii="Times New Roman" w:hAnsi="Times New Roman"/>
          <w:sz w:val="28"/>
          <w:szCs w:val="28"/>
          <w:lang w:val="ro-MO"/>
        </w:rPr>
        <w:t>i ei aproximează corect nevoile de servicii publice la nivel local.</w:t>
      </w:r>
    </w:p>
    <w:p w:rsidR="00E4421E" w:rsidRDefault="00E76247" w:rsidP="00800A12">
      <w:pPr>
        <w:spacing w:after="200" w:line="276" w:lineRule="auto"/>
        <w:ind w:firstLine="567"/>
        <w:jc w:val="both"/>
        <w:rPr>
          <w:rFonts w:ascii="Times New Roman" w:hAnsi="Times New Roman"/>
          <w:sz w:val="28"/>
          <w:szCs w:val="28"/>
          <w:lang w:val="ro-MO"/>
        </w:rPr>
      </w:pPr>
      <w:r>
        <w:rPr>
          <w:rFonts w:ascii="Times New Roman" w:hAnsi="Times New Roman"/>
          <w:sz w:val="28"/>
          <w:szCs w:val="28"/>
          <w:lang w:val="ro-MO"/>
        </w:rPr>
        <w:t>Parametrul supraunitar Pe este folosit pentru a concentra utilizarea sumelor de echilibrare distribuite în func</w:t>
      </w:r>
      <w:r w:rsidR="006F4B00">
        <w:rPr>
          <w:rFonts w:ascii="Times New Roman" w:hAnsi="Times New Roman"/>
          <w:sz w:val="28"/>
          <w:szCs w:val="28"/>
          <w:lang w:val="ro-MO"/>
        </w:rPr>
        <w:t>ţ</w:t>
      </w:r>
      <w:r>
        <w:rPr>
          <w:rFonts w:ascii="Times New Roman" w:hAnsi="Times New Roman"/>
          <w:sz w:val="28"/>
          <w:szCs w:val="28"/>
          <w:lang w:val="ro-MO"/>
        </w:rPr>
        <w:t>ie de capacitatea fiscală pe locuitor (CFL) către UAT cele mai sărace. Astfel numai UAT - urile cu o capacitate fiscală pe locuitor proprie (CFL</w:t>
      </w:r>
      <w:r>
        <w:rPr>
          <w:rFonts w:ascii="Times New Roman" w:hAnsi="Times New Roman"/>
          <w:sz w:val="28"/>
          <w:szCs w:val="28"/>
          <w:vertAlign w:val="subscript"/>
          <w:lang w:val="ro-MO"/>
        </w:rPr>
        <w:t>i</w:t>
      </w:r>
      <w:r>
        <w:rPr>
          <w:rFonts w:ascii="Times New Roman" w:hAnsi="Times New Roman"/>
          <w:sz w:val="28"/>
          <w:szCs w:val="28"/>
          <w:lang w:val="ro-MO"/>
        </w:rPr>
        <w:t>) mai mică decât produsul dintre capacitatea fiscală na</w:t>
      </w:r>
      <w:r w:rsidR="006F4B00">
        <w:rPr>
          <w:rFonts w:ascii="Times New Roman" w:hAnsi="Times New Roman"/>
          <w:sz w:val="28"/>
          <w:szCs w:val="28"/>
          <w:lang w:val="ro-MO"/>
        </w:rPr>
        <w:t>ţ</w:t>
      </w:r>
      <w:r>
        <w:rPr>
          <w:rFonts w:ascii="Times New Roman" w:hAnsi="Times New Roman"/>
          <w:sz w:val="28"/>
          <w:szCs w:val="28"/>
          <w:lang w:val="ro-MO"/>
        </w:rPr>
        <w:t>ională medie pe locuitor (CFL</w:t>
      </w:r>
      <w:r>
        <w:rPr>
          <w:rFonts w:ascii="Times New Roman" w:hAnsi="Times New Roman"/>
          <w:sz w:val="28"/>
          <w:szCs w:val="28"/>
          <w:vertAlign w:val="subscript"/>
          <w:lang w:val="ro-MO"/>
        </w:rPr>
        <w:t>n</w:t>
      </w:r>
      <w:r>
        <w:rPr>
          <w:rFonts w:ascii="Times New Roman" w:hAnsi="Times New Roman"/>
          <w:sz w:val="28"/>
          <w:szCs w:val="28"/>
          <w:lang w:val="ro-MO"/>
        </w:rPr>
        <w:t xml:space="preserve">) </w:t>
      </w:r>
      <w:r w:rsidR="006F4B00">
        <w:rPr>
          <w:rFonts w:ascii="Times New Roman" w:hAnsi="Times New Roman"/>
          <w:sz w:val="28"/>
          <w:szCs w:val="28"/>
          <w:lang w:val="ro-MO"/>
        </w:rPr>
        <w:t>ş</w:t>
      </w:r>
      <w:r>
        <w:rPr>
          <w:rFonts w:ascii="Times New Roman" w:hAnsi="Times New Roman"/>
          <w:sz w:val="28"/>
          <w:szCs w:val="28"/>
          <w:lang w:val="ro-MO"/>
        </w:rPr>
        <w:t>i parametrul Pe vor primi sume de echilibrare – adică numai UAT – urile care au CFL</w:t>
      </w:r>
      <w:r>
        <w:rPr>
          <w:rFonts w:ascii="Times New Roman" w:hAnsi="Times New Roman"/>
          <w:sz w:val="28"/>
          <w:szCs w:val="28"/>
          <w:vertAlign w:val="subscript"/>
          <w:lang w:val="ro-MO"/>
        </w:rPr>
        <w:t>i</w:t>
      </w:r>
      <w:r>
        <w:rPr>
          <w:rFonts w:ascii="Times New Roman" w:hAnsi="Times New Roman"/>
          <w:sz w:val="28"/>
          <w:szCs w:val="28"/>
          <w:lang w:val="ro-MO"/>
        </w:rPr>
        <w:t xml:space="preserve"> mai mică decât 1,</w:t>
      </w:r>
      <w:r w:rsidR="005A6AFA">
        <w:rPr>
          <w:rFonts w:ascii="Times New Roman" w:hAnsi="Times New Roman"/>
          <w:sz w:val="28"/>
          <w:szCs w:val="28"/>
          <w:lang w:val="ro-MO"/>
        </w:rPr>
        <w:t>3</w:t>
      </w:r>
      <w:r>
        <w:rPr>
          <w:rFonts w:ascii="Times New Roman" w:hAnsi="Times New Roman"/>
          <w:sz w:val="28"/>
          <w:szCs w:val="28"/>
          <w:lang w:val="ro-MO"/>
        </w:rPr>
        <w:t>*CFL</w:t>
      </w:r>
      <w:r>
        <w:rPr>
          <w:rFonts w:ascii="Times New Roman" w:hAnsi="Times New Roman"/>
          <w:sz w:val="28"/>
          <w:szCs w:val="28"/>
          <w:vertAlign w:val="subscript"/>
          <w:lang w:val="ro-MO"/>
        </w:rPr>
        <w:t>n</w:t>
      </w:r>
      <w:r w:rsidR="00E466B1">
        <w:rPr>
          <w:rFonts w:ascii="Times New Roman" w:hAnsi="Times New Roman"/>
          <w:sz w:val="28"/>
          <w:szCs w:val="28"/>
          <w:lang w:val="ro-MO"/>
        </w:rPr>
        <w:t xml:space="preserve"> (sau care au CFL</w:t>
      </w:r>
      <w:r w:rsidR="00E466B1">
        <w:rPr>
          <w:rFonts w:ascii="Times New Roman" w:hAnsi="Times New Roman"/>
          <w:sz w:val="28"/>
          <w:szCs w:val="28"/>
          <w:vertAlign w:val="subscript"/>
          <w:lang w:val="ro-MO"/>
        </w:rPr>
        <w:t>i</w:t>
      </w:r>
      <w:r w:rsidR="00E466B1">
        <w:rPr>
          <w:rFonts w:ascii="Times New Roman" w:hAnsi="Times New Roman"/>
          <w:sz w:val="28"/>
          <w:szCs w:val="28"/>
          <w:lang w:val="ro-MO"/>
        </w:rPr>
        <w:t xml:space="preserve"> sub 1</w:t>
      </w:r>
      <w:r w:rsidR="000A39FF">
        <w:rPr>
          <w:rFonts w:ascii="Times New Roman" w:hAnsi="Times New Roman"/>
          <w:sz w:val="28"/>
          <w:szCs w:val="28"/>
          <w:lang w:val="ro-MO"/>
        </w:rPr>
        <w:t>3</w:t>
      </w:r>
      <w:r w:rsidR="00E466B1">
        <w:rPr>
          <w:rFonts w:ascii="Times New Roman" w:hAnsi="Times New Roman"/>
          <w:sz w:val="28"/>
          <w:szCs w:val="28"/>
          <w:lang w:val="ro-MO"/>
        </w:rPr>
        <w:t>0% din CFL</w:t>
      </w:r>
      <w:r w:rsidR="00E466B1">
        <w:rPr>
          <w:rFonts w:ascii="Times New Roman" w:hAnsi="Times New Roman"/>
          <w:sz w:val="28"/>
          <w:szCs w:val="28"/>
          <w:vertAlign w:val="subscript"/>
          <w:lang w:val="ro-MO"/>
        </w:rPr>
        <w:t>n</w:t>
      </w:r>
      <w:r w:rsidR="00E466B1">
        <w:rPr>
          <w:rFonts w:ascii="Times New Roman" w:hAnsi="Times New Roman"/>
          <w:sz w:val="28"/>
          <w:szCs w:val="28"/>
          <w:lang w:val="ro-MO"/>
        </w:rPr>
        <w:t xml:space="preserve">). Valoarea exactă a Pe s-a stabilit prin simulări succesive astfel încât numărul total de UAT – uri pierzătoare să fie minim.  </w:t>
      </w:r>
      <w:r>
        <w:rPr>
          <w:rFonts w:ascii="Times New Roman" w:hAnsi="Times New Roman"/>
          <w:sz w:val="28"/>
          <w:szCs w:val="28"/>
          <w:lang w:val="ro-MO"/>
        </w:rPr>
        <w:t xml:space="preserve">     </w:t>
      </w:r>
    </w:p>
    <w:p w:rsidR="00A558CF" w:rsidRPr="00AD160F" w:rsidRDefault="00A56A6E" w:rsidP="00A56A6E">
      <w:pPr>
        <w:pStyle w:val="NormalWeb"/>
        <w:numPr>
          <w:ilvl w:val="0"/>
          <w:numId w:val="6"/>
        </w:numPr>
        <w:tabs>
          <w:tab w:val="left" w:pos="851"/>
        </w:tabs>
        <w:ind w:left="567" w:firstLine="0"/>
        <w:rPr>
          <w:rFonts w:ascii="Times New Roman" w:hAnsi="Times New Roman"/>
          <w:sz w:val="28"/>
          <w:szCs w:val="28"/>
          <w:lang w:val="ro-MO"/>
        </w:rPr>
      </w:pPr>
      <w:r w:rsidRPr="00AD160F">
        <w:rPr>
          <w:rFonts w:ascii="Times New Roman" w:hAnsi="Times New Roman"/>
          <w:sz w:val="28"/>
          <w:szCs w:val="28"/>
          <w:lang w:val="ro-MO"/>
        </w:rPr>
        <w:t>FEB</w:t>
      </w:r>
      <w:r w:rsidR="00A558CF" w:rsidRPr="00AD160F">
        <w:rPr>
          <w:rFonts w:ascii="Times New Roman" w:hAnsi="Times New Roman"/>
          <w:sz w:val="28"/>
          <w:szCs w:val="28"/>
          <w:lang w:val="ro-MO"/>
        </w:rPr>
        <w:t>2</w:t>
      </w:r>
      <w:r w:rsidR="00647A4D">
        <w:rPr>
          <w:rFonts w:ascii="Times New Roman" w:hAnsi="Times New Roman"/>
          <w:sz w:val="28"/>
          <w:szCs w:val="28"/>
          <w:lang w:val="ro-MO"/>
        </w:rPr>
        <w:t xml:space="preserve"> - </w:t>
      </w:r>
      <w:r w:rsidR="00A558CF" w:rsidRPr="00AD160F">
        <w:rPr>
          <w:rFonts w:ascii="Times New Roman" w:hAnsi="Times New Roman"/>
          <w:sz w:val="28"/>
          <w:szCs w:val="28"/>
          <w:lang w:val="ro-MO"/>
        </w:rPr>
        <w:t xml:space="preserve">destinat echilibrării UAT </w:t>
      </w:r>
      <w:r w:rsidRPr="00AD160F">
        <w:rPr>
          <w:rFonts w:ascii="Times New Roman" w:hAnsi="Times New Roman"/>
          <w:sz w:val="28"/>
          <w:szCs w:val="28"/>
          <w:lang w:val="ro-MO"/>
        </w:rPr>
        <w:t>de nivelul al doilea</w:t>
      </w:r>
      <w:r w:rsidR="00A558CF" w:rsidRPr="00AD160F">
        <w:rPr>
          <w:rFonts w:ascii="Times New Roman" w:hAnsi="Times New Roman"/>
          <w:sz w:val="28"/>
          <w:szCs w:val="28"/>
          <w:lang w:val="ro-MO"/>
        </w:rPr>
        <w:t xml:space="preserve"> va fi alocat după o formulă ce va folosi următorii indicatori: popula</w:t>
      </w:r>
      <w:r w:rsidR="006F4B00">
        <w:rPr>
          <w:rFonts w:ascii="Times New Roman" w:hAnsi="Times New Roman"/>
          <w:sz w:val="28"/>
          <w:szCs w:val="28"/>
          <w:lang w:val="ro-MO"/>
        </w:rPr>
        <w:t>ţ</w:t>
      </w:r>
      <w:r w:rsidR="00A558CF" w:rsidRPr="00AD160F">
        <w:rPr>
          <w:rFonts w:ascii="Times New Roman" w:hAnsi="Times New Roman"/>
          <w:sz w:val="28"/>
          <w:szCs w:val="28"/>
          <w:lang w:val="ro-MO"/>
        </w:rPr>
        <w:t xml:space="preserve">ia </w:t>
      </w:r>
      <w:r w:rsidR="006F4B00">
        <w:rPr>
          <w:rFonts w:ascii="Times New Roman" w:hAnsi="Times New Roman"/>
          <w:sz w:val="28"/>
          <w:szCs w:val="28"/>
          <w:lang w:val="ro-MO"/>
        </w:rPr>
        <w:t>ş</w:t>
      </w:r>
      <w:r w:rsidRPr="00AD160F">
        <w:rPr>
          <w:rFonts w:ascii="Times New Roman" w:hAnsi="Times New Roman"/>
          <w:sz w:val="28"/>
          <w:szCs w:val="28"/>
          <w:lang w:val="ro-MO"/>
        </w:rPr>
        <w:t xml:space="preserve">i </w:t>
      </w:r>
      <w:r w:rsidR="00A558CF" w:rsidRPr="00AD160F">
        <w:rPr>
          <w:rFonts w:ascii="Times New Roman" w:hAnsi="Times New Roman"/>
          <w:sz w:val="28"/>
          <w:szCs w:val="28"/>
          <w:lang w:val="ro-MO"/>
        </w:rPr>
        <w:t>suprafa</w:t>
      </w:r>
      <w:r w:rsidR="006F4B00">
        <w:rPr>
          <w:rFonts w:ascii="Times New Roman" w:hAnsi="Times New Roman"/>
          <w:sz w:val="28"/>
          <w:szCs w:val="28"/>
          <w:lang w:val="ro-MO"/>
        </w:rPr>
        <w:t>ţ</w:t>
      </w:r>
      <w:r w:rsidR="00A558CF" w:rsidRPr="00AD160F">
        <w:rPr>
          <w:rFonts w:ascii="Times New Roman" w:hAnsi="Times New Roman"/>
          <w:sz w:val="28"/>
          <w:szCs w:val="28"/>
          <w:lang w:val="ro-MO"/>
        </w:rPr>
        <w:t xml:space="preserve">a UAT de </w:t>
      </w:r>
      <w:r w:rsidRPr="00AD160F">
        <w:rPr>
          <w:rFonts w:ascii="Times New Roman" w:hAnsi="Times New Roman"/>
          <w:sz w:val="28"/>
          <w:szCs w:val="28"/>
          <w:lang w:val="ro-MO"/>
        </w:rPr>
        <w:t>nivelul al doilea</w:t>
      </w:r>
      <w:r w:rsidR="00A558CF" w:rsidRPr="00AD160F">
        <w:rPr>
          <w:rFonts w:ascii="Times New Roman" w:hAnsi="Times New Roman"/>
          <w:sz w:val="28"/>
          <w:szCs w:val="28"/>
          <w:lang w:val="ro-MO"/>
        </w:rPr>
        <w:t>. Alocarea FEB2 se va realiza direct propor</w:t>
      </w:r>
      <w:r w:rsidR="006F4B00">
        <w:rPr>
          <w:rFonts w:ascii="Times New Roman" w:hAnsi="Times New Roman"/>
          <w:sz w:val="28"/>
          <w:szCs w:val="28"/>
          <w:lang w:val="ro-MO"/>
        </w:rPr>
        <w:t>ţ</w:t>
      </w:r>
      <w:r w:rsidR="00A558CF" w:rsidRPr="00AD160F">
        <w:rPr>
          <w:rFonts w:ascii="Times New Roman" w:hAnsi="Times New Roman"/>
          <w:sz w:val="28"/>
          <w:szCs w:val="28"/>
          <w:lang w:val="ro-MO"/>
        </w:rPr>
        <w:t>ional cu popula</w:t>
      </w:r>
      <w:r w:rsidR="006F4B00">
        <w:rPr>
          <w:rFonts w:ascii="Times New Roman" w:hAnsi="Times New Roman"/>
          <w:sz w:val="28"/>
          <w:szCs w:val="28"/>
          <w:lang w:val="ro-MO"/>
        </w:rPr>
        <w:t>ţ</w:t>
      </w:r>
      <w:r w:rsidR="00A558CF" w:rsidRPr="00AD160F">
        <w:rPr>
          <w:rFonts w:ascii="Times New Roman" w:hAnsi="Times New Roman"/>
          <w:sz w:val="28"/>
          <w:szCs w:val="28"/>
          <w:lang w:val="ro-MO"/>
        </w:rPr>
        <w:t xml:space="preserve">ia </w:t>
      </w:r>
      <w:r w:rsidR="006F4B00">
        <w:rPr>
          <w:rFonts w:ascii="Times New Roman" w:hAnsi="Times New Roman"/>
          <w:sz w:val="28"/>
          <w:szCs w:val="28"/>
          <w:lang w:val="ro-MO"/>
        </w:rPr>
        <w:t>ş</w:t>
      </w:r>
      <w:r w:rsidR="00A558CF" w:rsidRPr="00AD160F">
        <w:rPr>
          <w:rFonts w:ascii="Times New Roman" w:hAnsi="Times New Roman"/>
          <w:sz w:val="28"/>
          <w:szCs w:val="28"/>
          <w:lang w:val="ro-MO"/>
        </w:rPr>
        <w:t>i suprafa</w:t>
      </w:r>
      <w:r w:rsidR="006F4B00">
        <w:rPr>
          <w:rFonts w:ascii="Times New Roman" w:hAnsi="Times New Roman"/>
          <w:sz w:val="28"/>
          <w:szCs w:val="28"/>
          <w:lang w:val="ro-MO"/>
        </w:rPr>
        <w:t>ţ</w:t>
      </w:r>
      <w:r w:rsidR="00A558CF" w:rsidRPr="00AD160F">
        <w:rPr>
          <w:rFonts w:ascii="Times New Roman" w:hAnsi="Times New Roman"/>
          <w:sz w:val="28"/>
          <w:szCs w:val="28"/>
          <w:lang w:val="ro-MO"/>
        </w:rPr>
        <w:t xml:space="preserve">a. Formula va fi următoarea: </w:t>
      </w:r>
    </w:p>
    <w:p w:rsidR="0011373F" w:rsidRPr="00402130" w:rsidRDefault="0011373F" w:rsidP="0011373F">
      <w:pPr>
        <w:pStyle w:val="ListParagraph"/>
        <w:rPr>
          <w:rFonts w:ascii="Times New Roman" w:eastAsiaTheme="minorEastAsia" w:hAnsi="Times New Roman" w:cs="Times New Roman"/>
          <w:sz w:val="10"/>
          <w:szCs w:val="10"/>
        </w:rPr>
      </w:pPr>
    </w:p>
    <w:p w:rsidR="0011373F" w:rsidRPr="00AD160F" w:rsidRDefault="0011373F" w:rsidP="0011373F">
      <w:pPr>
        <w:pStyle w:val="ListParagraph"/>
        <w:jc w:val="center"/>
        <w:rPr>
          <w:rFonts w:ascii="Times New Roman" w:eastAsiaTheme="minorEastAsia" w:hAnsi="Times New Roman" w:cs="Times New Roman"/>
          <w:sz w:val="28"/>
          <w:szCs w:val="28"/>
        </w:rPr>
      </w:pPr>
      <w:r w:rsidRPr="00AD160F">
        <w:rPr>
          <w:rFonts w:ascii="Times New Roman" w:eastAsiaTheme="minorEastAsia" w:hAnsi="Times New Roman" w:cs="Times New Roman"/>
          <w:sz w:val="28"/>
          <w:szCs w:val="28"/>
        </w:rPr>
        <w:t>TE</w:t>
      </w:r>
      <w:r w:rsidRPr="00AD160F">
        <w:rPr>
          <w:rFonts w:ascii="Times New Roman" w:eastAsiaTheme="minorEastAsia" w:hAnsi="Times New Roman" w:cs="Times New Roman"/>
          <w:sz w:val="28"/>
          <w:szCs w:val="28"/>
          <w:vertAlign w:val="subscript"/>
        </w:rPr>
        <w:t>j</w:t>
      </w:r>
      <w:r w:rsidRPr="00AD160F">
        <w:rPr>
          <w:rFonts w:ascii="Times New Roman" w:eastAsiaTheme="minorEastAsia" w:hAnsi="Times New Roman" w:cs="Times New Roman"/>
          <w:sz w:val="28"/>
          <w:szCs w:val="28"/>
        </w:rPr>
        <w:t xml:space="preserve"> = FEB</w:t>
      </w:r>
      <w:r w:rsidRPr="00AD160F">
        <w:rPr>
          <w:rFonts w:ascii="Times New Roman" w:eastAsiaTheme="minorEastAsia" w:hAnsi="Times New Roman" w:cs="Times New Roman"/>
          <w:sz w:val="28"/>
          <w:szCs w:val="28"/>
          <w:vertAlign w:val="subscript"/>
        </w:rPr>
        <w:t>2</w:t>
      </w:r>
      <w:r w:rsidRPr="00AD160F">
        <w:rPr>
          <w:rFonts w:ascii="Times New Roman" w:eastAsiaTheme="minorEastAsia" w:hAnsi="Times New Roman" w:cs="Times New Roman"/>
          <w:sz w:val="28"/>
          <w:szCs w:val="28"/>
        </w:rPr>
        <w:t xml:space="preserve"> </w:t>
      </w:r>
      <m:oMath>
        <m:r>
          <m:rPr>
            <m:sty m:val="p"/>
          </m:rPr>
          <w:rPr>
            <w:rFonts w:ascii="Times New Roman" w:eastAsiaTheme="minorEastAsia" w:hAnsi="Times New Roman" w:cs="Times New Roman"/>
            <w:sz w:val="28"/>
            <w:szCs w:val="28"/>
          </w:rPr>
          <m:t>×</m:t>
        </m:r>
      </m:oMath>
      <w:r w:rsidRPr="00AD160F">
        <w:rPr>
          <w:rFonts w:ascii="Times New Roman" w:eastAsiaTheme="minorEastAsia" w:hAnsi="Times New Roman" w:cs="Times New Roman"/>
          <w:sz w:val="28"/>
          <w:szCs w:val="28"/>
        </w:rPr>
        <w:t xml:space="preserve"> (</w:t>
      </w:r>
      <m:oMath>
        <m:f>
          <m:fPr>
            <m:ctrlPr>
              <w:rPr>
                <w:rFonts w:ascii="Cambria Math" w:eastAsiaTheme="minorEastAsia" w:hAnsi="Times New Roman" w:cs="Times New Roman"/>
                <w:sz w:val="28"/>
                <w:szCs w:val="28"/>
              </w:rPr>
            </m:ctrlPr>
          </m:fPr>
          <m:num>
            <m:sSubSup>
              <m:sSubSupPr>
                <m:ctrlPr>
                  <w:rPr>
                    <w:rFonts w:ascii="Cambria Math" w:eastAsiaTheme="minorEastAsia" w:hAnsi="Times New Roman" w:cs="Times New Roman"/>
                    <w:sz w:val="28"/>
                    <w:szCs w:val="28"/>
                  </w:rPr>
                </m:ctrlPr>
              </m:sSubSupPr>
              <m:e>
                <m:r>
                  <m:rPr>
                    <m:sty m:val="p"/>
                  </m:rPr>
                  <w:rPr>
                    <w:rFonts w:ascii="Cambria Math" w:eastAsiaTheme="minorEastAsia" w:hAnsi="Times New Roman" w:cs="Times New Roman"/>
                    <w:sz w:val="28"/>
                    <w:szCs w:val="28"/>
                  </w:rPr>
                  <m:t>PS</m:t>
                </m:r>
              </m:e>
              <m:sub>
                <m:r>
                  <m:rPr>
                    <m:sty m:val="p"/>
                  </m:rPr>
                  <w:rPr>
                    <w:rFonts w:ascii="Cambria Math" w:eastAsiaTheme="minorEastAsia" w:hAnsi="Times New Roman" w:cs="Times New Roman"/>
                    <w:sz w:val="28"/>
                    <w:szCs w:val="28"/>
                  </w:rPr>
                  <m:t>p</m:t>
                </m:r>
              </m:sub>
              <m:sup>
                <m:r>
                  <m:rPr>
                    <m:sty m:val="p"/>
                  </m:rPr>
                  <w:rPr>
                    <w:rFonts w:ascii="Cambria Math" w:eastAsiaTheme="minorEastAsia" w:hAnsi="Times New Roman" w:cs="Times New Roman"/>
                    <w:sz w:val="28"/>
                    <w:szCs w:val="28"/>
                  </w:rPr>
                  <m:t>2</m:t>
                </m:r>
              </m:sup>
            </m:sSubSup>
            <m:r>
              <m:rPr>
                <m:sty m:val="p"/>
              </m:rPr>
              <w:rPr>
                <w:rFonts w:ascii="Times New Roman" w:eastAsiaTheme="minorEastAsia" w:hAnsi="Times New Roman" w:cs="Times New Roman"/>
                <w:sz w:val="28"/>
                <w:szCs w:val="28"/>
              </w:rPr>
              <m:t>×</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j</m:t>
                </m:r>
              </m:sub>
            </m:sSub>
          </m:num>
          <m:den>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P</m:t>
                </m:r>
              </m:e>
              <m:sub>
                <m:r>
                  <m:rPr>
                    <m:sty m:val="p"/>
                  </m:rPr>
                  <w:rPr>
                    <w:rFonts w:ascii="Cambria Math" w:eastAsiaTheme="minorEastAsia" w:hAnsi="Times New Roman" w:cs="Times New Roman"/>
                    <w:sz w:val="28"/>
                    <w:szCs w:val="28"/>
                  </w:rPr>
                  <m:t>n</m:t>
                </m:r>
              </m:sub>
            </m:sSub>
          </m:den>
        </m:f>
        <m:r>
          <m:rPr>
            <m:sty m:val="p"/>
          </m:rPr>
          <w:rPr>
            <w:rFonts w:ascii="Cambria Math" w:eastAsiaTheme="minorEastAsia" w:hAnsi="Times New Roman" w:cs="Times New Roman"/>
            <w:sz w:val="28"/>
            <w:szCs w:val="28"/>
          </w:rPr>
          <m:t xml:space="preserve"> +</m:t>
        </m:r>
        <m:f>
          <m:fPr>
            <m:ctrlPr>
              <w:rPr>
                <w:rFonts w:ascii="Cambria Math" w:eastAsiaTheme="minorEastAsia" w:hAnsi="Times New Roman" w:cs="Times New Roman"/>
                <w:sz w:val="28"/>
                <w:szCs w:val="28"/>
              </w:rPr>
            </m:ctrlPr>
          </m:fPr>
          <m:num>
            <m:sSubSup>
              <m:sSubSupPr>
                <m:ctrlPr>
                  <w:rPr>
                    <w:rFonts w:ascii="Cambria Math" w:eastAsiaTheme="minorEastAsia" w:hAnsi="Times New Roman" w:cs="Times New Roman"/>
                    <w:sz w:val="28"/>
                    <w:szCs w:val="28"/>
                  </w:rPr>
                </m:ctrlPr>
              </m:sSubSupPr>
              <m:e>
                <m:r>
                  <m:rPr>
                    <m:sty m:val="p"/>
                  </m:rPr>
                  <w:rPr>
                    <w:rFonts w:ascii="Cambria Math" w:eastAsiaTheme="minorEastAsia" w:hAnsi="Times New Roman" w:cs="Times New Roman"/>
                    <w:sz w:val="28"/>
                    <w:szCs w:val="28"/>
                  </w:rPr>
                  <m:t>PS</m:t>
                </m:r>
              </m:e>
              <m:sub>
                <m:r>
                  <m:rPr>
                    <m:sty m:val="p"/>
                  </m:rPr>
                  <w:rPr>
                    <w:rFonts w:ascii="Cambria Math" w:eastAsiaTheme="minorEastAsia" w:hAnsi="Times New Roman" w:cs="Times New Roman"/>
                    <w:sz w:val="28"/>
                    <w:szCs w:val="28"/>
                  </w:rPr>
                  <m:t xml:space="preserve">s  </m:t>
                </m:r>
              </m:sub>
              <m:sup>
                <m:r>
                  <m:rPr>
                    <m:sty m:val="p"/>
                  </m:rPr>
                  <w:rPr>
                    <w:rFonts w:ascii="Cambria Math" w:eastAsiaTheme="minorEastAsia" w:hAnsi="Times New Roman" w:cs="Times New Roman"/>
                    <w:sz w:val="28"/>
                    <w:szCs w:val="28"/>
                  </w:rPr>
                  <m:t>2</m:t>
                </m:r>
              </m:sup>
            </m:sSubSup>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 xml:space="preserve"> </m:t>
            </m:r>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S</m:t>
                </m:r>
              </m:e>
              <m:sub>
                <m:r>
                  <m:rPr>
                    <m:sty m:val="p"/>
                  </m:rPr>
                  <w:rPr>
                    <w:rFonts w:ascii="Cambria Math" w:eastAsiaTheme="minorEastAsia" w:hAnsi="Times New Roman" w:cs="Times New Roman"/>
                    <w:sz w:val="28"/>
                    <w:szCs w:val="28"/>
                  </w:rPr>
                  <m:t xml:space="preserve">j </m:t>
                </m:r>
              </m:sub>
            </m:sSub>
          </m:num>
          <m:den>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S</m:t>
                </m:r>
              </m:e>
              <m:sub>
                <m:r>
                  <m:rPr>
                    <m:sty m:val="p"/>
                  </m:rPr>
                  <w:rPr>
                    <w:rFonts w:ascii="Cambria Math" w:eastAsiaTheme="minorEastAsia" w:hAnsi="Times New Roman" w:cs="Times New Roman"/>
                    <w:sz w:val="28"/>
                    <w:szCs w:val="28"/>
                  </w:rPr>
                  <m:t>n</m:t>
                </m:r>
              </m:sub>
            </m:sSub>
          </m:den>
        </m:f>
      </m:oMath>
      <w:r w:rsidRPr="00AD160F">
        <w:rPr>
          <w:rFonts w:ascii="Times New Roman" w:eastAsiaTheme="minorEastAsia" w:hAnsi="Times New Roman" w:cs="Times New Roman"/>
          <w:sz w:val="28"/>
          <w:szCs w:val="28"/>
        </w:rPr>
        <w:t>)</w:t>
      </w:r>
    </w:p>
    <w:p w:rsidR="00D7454C" w:rsidRPr="00AD160F" w:rsidRDefault="00A56A6E" w:rsidP="00A56A6E">
      <w:pPr>
        <w:pStyle w:val="ListParagraph"/>
        <w:spacing w:before="120"/>
        <w:ind w:left="1418"/>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u</w:t>
      </w:r>
      <w:r w:rsidR="00D7454C" w:rsidRPr="00AD160F">
        <w:rPr>
          <w:rFonts w:ascii="Times New Roman" w:hAnsi="Times New Roman" w:cs="Times New Roman"/>
          <w:sz w:val="28"/>
          <w:szCs w:val="28"/>
          <w:lang w:val="ro-MO"/>
        </w:rPr>
        <w:t>nde:</w:t>
      </w:r>
    </w:p>
    <w:p w:rsidR="00A56A6E" w:rsidRPr="00402130" w:rsidRDefault="00A56A6E" w:rsidP="00A56A6E">
      <w:pPr>
        <w:pStyle w:val="ListParagraph"/>
        <w:spacing w:before="120"/>
        <w:ind w:left="1418"/>
        <w:jc w:val="both"/>
        <w:rPr>
          <w:rFonts w:ascii="Times New Roman" w:hAnsi="Times New Roman" w:cs="Times New Roman"/>
          <w:sz w:val="10"/>
          <w:szCs w:val="10"/>
          <w:lang w:val="ro-MO"/>
        </w:rPr>
      </w:pP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TE</w:t>
      </w:r>
      <w:r w:rsidRPr="00FA7215">
        <w:rPr>
          <w:rFonts w:ascii="Times New Roman" w:hAnsi="Times New Roman"/>
          <w:sz w:val="28"/>
          <w:szCs w:val="28"/>
          <w:vertAlign w:val="subscript"/>
          <w:lang w:val="ro-MO"/>
        </w:rPr>
        <w:t>j</w:t>
      </w:r>
      <w:r w:rsidRPr="00FA7215">
        <w:rPr>
          <w:rFonts w:ascii="Times New Roman" w:hAnsi="Times New Roman"/>
          <w:sz w:val="28"/>
          <w:szCs w:val="28"/>
          <w:lang w:val="ro-MO"/>
        </w:rPr>
        <w:t xml:space="preserve"> - transfer</w:t>
      </w:r>
      <w:r>
        <w:rPr>
          <w:rFonts w:ascii="Times New Roman" w:hAnsi="Times New Roman"/>
          <w:sz w:val="28"/>
          <w:szCs w:val="28"/>
          <w:lang w:val="ro-MO"/>
        </w:rPr>
        <w:t>ul</w:t>
      </w:r>
      <w:r w:rsidRPr="00FA7215">
        <w:rPr>
          <w:rFonts w:ascii="Times New Roman" w:hAnsi="Times New Roman"/>
          <w:sz w:val="28"/>
          <w:szCs w:val="28"/>
          <w:lang w:val="ro-MO"/>
        </w:rPr>
        <w:t xml:space="preserve"> de echilibrare pentru o anumită unitate administrativ-teritorială de nivel</w:t>
      </w:r>
      <w:r>
        <w:rPr>
          <w:rFonts w:ascii="Times New Roman" w:hAnsi="Times New Roman"/>
          <w:sz w:val="28"/>
          <w:szCs w:val="28"/>
          <w:lang w:val="ro-MO"/>
        </w:rPr>
        <w:t>ul al doilea;</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FEB2 - fond</w:t>
      </w:r>
      <w:r>
        <w:rPr>
          <w:rFonts w:ascii="Times New Roman" w:hAnsi="Times New Roman"/>
          <w:sz w:val="28"/>
          <w:szCs w:val="28"/>
          <w:lang w:val="ro-MO"/>
        </w:rPr>
        <w:t>ul</w:t>
      </w:r>
      <w:r w:rsidRPr="00FA7215">
        <w:rPr>
          <w:rFonts w:ascii="Times New Roman" w:hAnsi="Times New Roman"/>
          <w:sz w:val="28"/>
          <w:szCs w:val="28"/>
          <w:lang w:val="ro-MO"/>
        </w:rPr>
        <w:t xml:space="preserve"> de echilibrare </w:t>
      </w:r>
      <w:r>
        <w:rPr>
          <w:rFonts w:ascii="Times New Roman" w:hAnsi="Times New Roman"/>
          <w:sz w:val="28"/>
          <w:szCs w:val="28"/>
          <w:lang w:val="ro-MO"/>
        </w:rPr>
        <w:t>al bugetelor unităţilor</w:t>
      </w:r>
      <w:r w:rsidRPr="00FA7215">
        <w:rPr>
          <w:rFonts w:ascii="Times New Roman" w:hAnsi="Times New Roman"/>
          <w:sz w:val="28"/>
          <w:szCs w:val="28"/>
          <w:lang w:val="ro-MO"/>
        </w:rPr>
        <w:t xml:space="preserve"> administrativ</w:t>
      </w:r>
      <w:r>
        <w:rPr>
          <w:rFonts w:ascii="Times New Roman" w:hAnsi="Times New Roman"/>
          <w:sz w:val="28"/>
          <w:szCs w:val="28"/>
          <w:lang w:val="ro-MO"/>
        </w:rPr>
        <w:t>-</w:t>
      </w:r>
      <w:r w:rsidRPr="00FA7215">
        <w:rPr>
          <w:rFonts w:ascii="Times New Roman" w:hAnsi="Times New Roman"/>
          <w:sz w:val="28"/>
          <w:szCs w:val="28"/>
          <w:lang w:val="ro-MO"/>
        </w:rPr>
        <w:t>teritoriale de nivel</w:t>
      </w:r>
      <w:r>
        <w:rPr>
          <w:rFonts w:ascii="Times New Roman" w:hAnsi="Times New Roman"/>
          <w:sz w:val="28"/>
          <w:szCs w:val="28"/>
          <w:lang w:val="ro-MO"/>
        </w:rPr>
        <w:t>ul al doilea;</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w:t>
      </w:r>
      <w:r w:rsidRPr="00FA7215">
        <w:rPr>
          <w:rFonts w:ascii="Times New Roman" w:hAnsi="Times New Roman"/>
          <w:sz w:val="28"/>
          <w:szCs w:val="28"/>
          <w:vertAlign w:val="subscript"/>
          <w:lang w:val="ro-MO"/>
        </w:rPr>
        <w:t>j</w:t>
      </w:r>
      <w:r w:rsidRPr="00FA7215">
        <w:rPr>
          <w:rFonts w:ascii="Times New Roman" w:hAnsi="Times New Roman"/>
          <w:sz w:val="28"/>
          <w:szCs w:val="28"/>
          <w:lang w:val="ro-MO"/>
        </w:rPr>
        <w:t xml:space="preserve"> - populaţia unei anumite unităţi administrativ</w:t>
      </w:r>
      <w:r>
        <w:rPr>
          <w:rFonts w:ascii="Times New Roman" w:hAnsi="Times New Roman"/>
          <w:sz w:val="28"/>
          <w:szCs w:val="28"/>
          <w:lang w:val="ro-MO"/>
        </w:rPr>
        <w:t>-</w:t>
      </w:r>
      <w:r w:rsidRPr="00FA7215">
        <w:rPr>
          <w:rFonts w:ascii="Times New Roman" w:hAnsi="Times New Roman"/>
          <w:sz w:val="28"/>
          <w:szCs w:val="28"/>
          <w:lang w:val="ro-MO"/>
        </w:rPr>
        <w:t>teritoriale de nivel</w:t>
      </w:r>
      <w:r>
        <w:rPr>
          <w:rFonts w:ascii="Times New Roman" w:hAnsi="Times New Roman"/>
          <w:sz w:val="28"/>
          <w:szCs w:val="28"/>
          <w:lang w:val="ro-MO"/>
        </w:rPr>
        <w:t>ul al doilea;</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w:t>
      </w:r>
      <w:r w:rsidRPr="00FA7215">
        <w:rPr>
          <w:rFonts w:ascii="Times New Roman" w:hAnsi="Times New Roman"/>
          <w:sz w:val="28"/>
          <w:szCs w:val="28"/>
          <w:vertAlign w:val="subscript"/>
          <w:lang w:val="ro-MO"/>
        </w:rPr>
        <w:t>n</w:t>
      </w:r>
      <w:r w:rsidRPr="00FA7215">
        <w:rPr>
          <w:rFonts w:ascii="Times New Roman" w:hAnsi="Times New Roman"/>
          <w:sz w:val="28"/>
          <w:szCs w:val="28"/>
          <w:lang w:val="ro-MO"/>
        </w:rPr>
        <w:t xml:space="preserve"> - populaţia totală a unităţil</w:t>
      </w:r>
      <w:r>
        <w:rPr>
          <w:rFonts w:ascii="Times New Roman" w:hAnsi="Times New Roman"/>
          <w:sz w:val="28"/>
          <w:szCs w:val="28"/>
          <w:lang w:val="ro-MO"/>
        </w:rPr>
        <w:t>or</w:t>
      </w:r>
      <w:r w:rsidRPr="00FA7215">
        <w:rPr>
          <w:rFonts w:ascii="Times New Roman" w:hAnsi="Times New Roman"/>
          <w:sz w:val="28"/>
          <w:szCs w:val="28"/>
          <w:lang w:val="ro-MO"/>
        </w:rPr>
        <w:t xml:space="preserve"> administrativ</w:t>
      </w:r>
      <w:r>
        <w:rPr>
          <w:rFonts w:ascii="Times New Roman" w:hAnsi="Times New Roman"/>
          <w:sz w:val="28"/>
          <w:szCs w:val="28"/>
          <w:lang w:val="ro-MO"/>
        </w:rPr>
        <w:t>-</w:t>
      </w:r>
      <w:r w:rsidRPr="00FA7215">
        <w:rPr>
          <w:rFonts w:ascii="Times New Roman" w:hAnsi="Times New Roman"/>
          <w:sz w:val="28"/>
          <w:szCs w:val="28"/>
          <w:lang w:val="ro-MO"/>
        </w:rPr>
        <w:t>teritoriale de nivel</w:t>
      </w:r>
      <w:r>
        <w:rPr>
          <w:rFonts w:ascii="Times New Roman" w:hAnsi="Times New Roman"/>
          <w:sz w:val="28"/>
          <w:szCs w:val="28"/>
          <w:lang w:val="ro-MO"/>
        </w:rPr>
        <w:t>ul al doilea</w:t>
      </w:r>
      <w:r w:rsidRPr="00FA7215">
        <w:rPr>
          <w:rFonts w:ascii="Times New Roman" w:hAnsi="Times New Roman"/>
          <w:sz w:val="28"/>
          <w:szCs w:val="28"/>
          <w:lang w:val="ro-MO"/>
        </w:rPr>
        <w:t xml:space="preserve"> calificate la alocare</w:t>
      </w:r>
      <w:r>
        <w:rPr>
          <w:rFonts w:ascii="Times New Roman" w:hAnsi="Times New Roman"/>
          <w:sz w:val="28"/>
          <w:szCs w:val="28"/>
          <w:lang w:val="ro-MO"/>
        </w:rPr>
        <w:t>;</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S</w:t>
      </w:r>
      <w:r w:rsidRPr="00FA7215">
        <w:rPr>
          <w:rFonts w:ascii="Times New Roman" w:hAnsi="Times New Roman"/>
          <w:sz w:val="28"/>
          <w:szCs w:val="28"/>
          <w:vertAlign w:val="subscript"/>
          <w:lang w:val="ro-MO"/>
        </w:rPr>
        <w:t>j</w:t>
      </w:r>
      <w:r w:rsidRPr="00FA7215">
        <w:rPr>
          <w:rFonts w:ascii="Times New Roman" w:hAnsi="Times New Roman"/>
          <w:sz w:val="28"/>
          <w:szCs w:val="28"/>
          <w:lang w:val="ro-MO"/>
        </w:rPr>
        <w:t xml:space="preserve"> - suprafaţa unei anumite unităţi administrativ</w:t>
      </w:r>
      <w:r>
        <w:rPr>
          <w:rFonts w:ascii="Times New Roman" w:hAnsi="Times New Roman"/>
          <w:sz w:val="28"/>
          <w:szCs w:val="28"/>
          <w:lang w:val="ro-MO"/>
        </w:rPr>
        <w:t>-</w:t>
      </w:r>
      <w:r w:rsidRPr="00FA7215">
        <w:rPr>
          <w:rFonts w:ascii="Times New Roman" w:hAnsi="Times New Roman"/>
          <w:sz w:val="28"/>
          <w:szCs w:val="28"/>
          <w:lang w:val="ro-MO"/>
        </w:rPr>
        <w:t>teritoriale de nivel</w:t>
      </w:r>
      <w:r>
        <w:rPr>
          <w:rFonts w:ascii="Times New Roman" w:hAnsi="Times New Roman"/>
          <w:sz w:val="28"/>
          <w:szCs w:val="28"/>
          <w:lang w:val="ro-MO"/>
        </w:rPr>
        <w:t>ul al doilea;</w:t>
      </w:r>
    </w:p>
    <w:p w:rsidR="00544A4E"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S</w:t>
      </w:r>
      <w:r w:rsidRPr="00FA7215">
        <w:rPr>
          <w:rFonts w:ascii="Times New Roman" w:hAnsi="Times New Roman"/>
          <w:sz w:val="28"/>
          <w:szCs w:val="28"/>
          <w:vertAlign w:val="subscript"/>
          <w:lang w:val="ro-MO"/>
        </w:rPr>
        <w:t>n</w:t>
      </w:r>
      <w:r w:rsidRPr="00FA7215">
        <w:rPr>
          <w:rFonts w:ascii="Times New Roman" w:hAnsi="Times New Roman"/>
          <w:sz w:val="28"/>
          <w:szCs w:val="28"/>
          <w:lang w:val="ro-MO"/>
        </w:rPr>
        <w:t xml:space="preserve"> - suprafaţa totală a unităţil</w:t>
      </w:r>
      <w:r>
        <w:rPr>
          <w:rFonts w:ascii="Times New Roman" w:hAnsi="Times New Roman"/>
          <w:sz w:val="28"/>
          <w:szCs w:val="28"/>
          <w:lang w:val="ro-MO"/>
        </w:rPr>
        <w:t>or</w:t>
      </w:r>
      <w:r w:rsidRPr="00FA7215">
        <w:rPr>
          <w:rFonts w:ascii="Times New Roman" w:hAnsi="Times New Roman"/>
          <w:sz w:val="28"/>
          <w:szCs w:val="28"/>
          <w:lang w:val="ro-MO"/>
        </w:rPr>
        <w:t xml:space="preserve"> administrativ</w:t>
      </w:r>
      <w:r>
        <w:rPr>
          <w:rFonts w:ascii="Times New Roman" w:hAnsi="Times New Roman"/>
          <w:sz w:val="28"/>
          <w:szCs w:val="28"/>
          <w:lang w:val="ro-MO"/>
        </w:rPr>
        <w:t>-</w:t>
      </w:r>
      <w:r w:rsidRPr="00FA7215">
        <w:rPr>
          <w:rFonts w:ascii="Times New Roman" w:hAnsi="Times New Roman"/>
          <w:sz w:val="28"/>
          <w:szCs w:val="28"/>
          <w:lang w:val="ro-MO"/>
        </w:rPr>
        <w:t>teritoriale de nivel</w:t>
      </w:r>
      <w:r>
        <w:rPr>
          <w:rFonts w:ascii="Times New Roman" w:hAnsi="Times New Roman"/>
          <w:sz w:val="28"/>
          <w:szCs w:val="28"/>
          <w:lang w:val="ro-MO"/>
        </w:rPr>
        <w:t>ul al doilea</w:t>
      </w:r>
      <w:r w:rsidRPr="00FA7215">
        <w:rPr>
          <w:rFonts w:ascii="Times New Roman" w:hAnsi="Times New Roman"/>
          <w:sz w:val="28"/>
          <w:szCs w:val="28"/>
          <w:lang w:val="ro-MO"/>
        </w:rPr>
        <w:t xml:space="preserve"> calificate la alocare</w:t>
      </w:r>
      <w:r>
        <w:rPr>
          <w:rFonts w:ascii="Times New Roman" w:hAnsi="Times New Roman"/>
          <w:sz w:val="28"/>
          <w:szCs w:val="28"/>
          <w:lang w:val="ro-MO"/>
        </w:rPr>
        <w:t>;</w:t>
      </w:r>
      <w:r w:rsidRPr="00FA67BF">
        <w:rPr>
          <w:rFonts w:ascii="Times New Roman" w:hAnsi="Times New Roman"/>
          <w:sz w:val="28"/>
          <w:szCs w:val="28"/>
          <w:lang w:val="ro-MO"/>
        </w:rPr>
        <w:t xml:space="preserve"> </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PS</w:t>
      </w:r>
      <w:r w:rsidRPr="00FA7215">
        <w:rPr>
          <w:rFonts w:ascii="Times New Roman" w:hAnsi="Times New Roman"/>
          <w:sz w:val="28"/>
          <w:szCs w:val="28"/>
          <w:vertAlign w:val="superscript"/>
          <w:lang w:val="ro-MO"/>
        </w:rPr>
        <w:t>2</w:t>
      </w:r>
      <w:r w:rsidRPr="00FA7215">
        <w:rPr>
          <w:rFonts w:ascii="Times New Roman" w:hAnsi="Times New Roman"/>
          <w:sz w:val="28"/>
          <w:szCs w:val="28"/>
          <w:vertAlign w:val="subscript"/>
          <w:lang w:val="ro-MO"/>
        </w:rPr>
        <w:t>P</w:t>
      </w:r>
      <w:r w:rsidRPr="00FA7215">
        <w:rPr>
          <w:rFonts w:ascii="Times New Roman" w:hAnsi="Times New Roman"/>
          <w:sz w:val="28"/>
          <w:szCs w:val="28"/>
          <w:lang w:val="ro-MO"/>
        </w:rPr>
        <w:t xml:space="preserve"> - ponderea specifică indicatorului populaţie</w:t>
      </w:r>
      <w:r>
        <w:rPr>
          <w:rFonts w:ascii="Times New Roman" w:hAnsi="Times New Roman"/>
          <w:sz w:val="28"/>
          <w:szCs w:val="28"/>
          <w:lang w:val="ro-MO"/>
        </w:rPr>
        <w:t>i;</w:t>
      </w:r>
      <w:r w:rsidRPr="00FA7215">
        <w:rPr>
          <w:rFonts w:ascii="Times New Roman" w:hAnsi="Times New Roman"/>
          <w:sz w:val="28"/>
          <w:szCs w:val="28"/>
          <w:lang w:val="ro-MO"/>
        </w:rPr>
        <w:t xml:space="preserve"> </w:t>
      </w:r>
    </w:p>
    <w:p w:rsidR="00544A4E" w:rsidRPr="00FA7215" w:rsidRDefault="00544A4E" w:rsidP="00544A4E">
      <w:pPr>
        <w:ind w:left="1418"/>
        <w:jc w:val="both"/>
        <w:rPr>
          <w:rFonts w:ascii="Times New Roman" w:hAnsi="Times New Roman"/>
          <w:sz w:val="28"/>
          <w:szCs w:val="28"/>
          <w:lang w:val="ro-MO"/>
        </w:rPr>
      </w:pPr>
      <w:r w:rsidRPr="00FA7215">
        <w:rPr>
          <w:rFonts w:ascii="Times New Roman" w:hAnsi="Times New Roman"/>
          <w:sz w:val="28"/>
          <w:szCs w:val="28"/>
          <w:lang w:val="ro-MO"/>
        </w:rPr>
        <w:t>PS</w:t>
      </w:r>
      <w:r w:rsidRPr="00FA7215">
        <w:rPr>
          <w:rFonts w:ascii="Times New Roman" w:hAnsi="Times New Roman"/>
          <w:sz w:val="28"/>
          <w:szCs w:val="28"/>
          <w:vertAlign w:val="superscript"/>
          <w:lang w:val="ro-MO"/>
        </w:rPr>
        <w:t>2</w:t>
      </w:r>
      <w:r w:rsidRPr="00FA7215">
        <w:rPr>
          <w:rFonts w:ascii="Times New Roman" w:hAnsi="Times New Roman"/>
          <w:sz w:val="28"/>
          <w:szCs w:val="28"/>
          <w:vertAlign w:val="subscript"/>
          <w:lang w:val="ro-MO"/>
        </w:rPr>
        <w:t>S</w:t>
      </w:r>
      <w:r w:rsidRPr="00FA7215">
        <w:rPr>
          <w:rFonts w:ascii="Times New Roman" w:hAnsi="Times New Roman"/>
          <w:sz w:val="28"/>
          <w:szCs w:val="28"/>
          <w:lang w:val="ro-MO"/>
        </w:rPr>
        <w:t xml:space="preserve"> - ponderea specifică indicatorului supraf</w:t>
      </w:r>
      <w:r>
        <w:rPr>
          <w:rFonts w:ascii="Times New Roman" w:hAnsi="Times New Roman"/>
          <w:sz w:val="28"/>
          <w:szCs w:val="28"/>
          <w:lang w:val="ro-MO"/>
        </w:rPr>
        <w:t>e</w:t>
      </w:r>
      <w:r w:rsidRPr="00FA7215">
        <w:rPr>
          <w:rFonts w:ascii="Times New Roman" w:hAnsi="Times New Roman"/>
          <w:sz w:val="28"/>
          <w:szCs w:val="28"/>
          <w:lang w:val="ro-MO"/>
        </w:rPr>
        <w:t>ţ</w:t>
      </w:r>
      <w:r>
        <w:rPr>
          <w:rFonts w:ascii="Times New Roman" w:hAnsi="Times New Roman"/>
          <w:sz w:val="28"/>
          <w:szCs w:val="28"/>
          <w:lang w:val="ro-MO"/>
        </w:rPr>
        <w:t>ei;</w:t>
      </w:r>
    </w:p>
    <w:p w:rsidR="00544A4E" w:rsidRPr="00FA7215" w:rsidRDefault="00544A4E" w:rsidP="00544A4E">
      <w:pPr>
        <w:ind w:left="1418"/>
        <w:jc w:val="both"/>
        <w:rPr>
          <w:rFonts w:ascii="Times New Roman" w:hAnsi="Times New Roman"/>
          <w:sz w:val="28"/>
          <w:szCs w:val="28"/>
          <w:lang w:val="ro-MO"/>
        </w:rPr>
      </w:pPr>
      <w:r>
        <w:rPr>
          <w:rFonts w:ascii="Times New Roman" w:hAnsi="Times New Roman"/>
          <w:sz w:val="28"/>
          <w:szCs w:val="28"/>
          <w:lang w:val="ro-MO"/>
        </w:rPr>
        <w:t xml:space="preserve">         </w:t>
      </w:r>
      <w:r w:rsidRPr="009250BA">
        <w:rPr>
          <w:rFonts w:ascii="Times New Roman" w:hAnsi="Times New Roman"/>
          <w:sz w:val="28"/>
          <w:szCs w:val="28"/>
          <w:lang w:val="ro-MO"/>
        </w:rPr>
        <w:t>unde, PS</w:t>
      </w:r>
      <w:r w:rsidRPr="009250BA">
        <w:rPr>
          <w:rFonts w:ascii="Times New Roman" w:hAnsi="Times New Roman"/>
          <w:sz w:val="28"/>
          <w:szCs w:val="28"/>
          <w:vertAlign w:val="superscript"/>
          <w:lang w:val="ro-MO"/>
        </w:rPr>
        <w:t>2</w:t>
      </w:r>
      <w:r w:rsidRPr="009250BA">
        <w:rPr>
          <w:rFonts w:ascii="Times New Roman" w:hAnsi="Times New Roman"/>
          <w:sz w:val="28"/>
          <w:szCs w:val="28"/>
          <w:vertAlign w:val="subscript"/>
          <w:lang w:val="ro-MO"/>
        </w:rPr>
        <w:t>P</w:t>
      </w:r>
      <w:r w:rsidRPr="009250BA">
        <w:rPr>
          <w:rFonts w:ascii="Times New Roman" w:hAnsi="Times New Roman"/>
          <w:sz w:val="28"/>
          <w:szCs w:val="28"/>
          <w:lang w:val="ro-MO"/>
        </w:rPr>
        <w:t>=60% şi PS</w:t>
      </w:r>
      <w:r w:rsidRPr="009250BA">
        <w:rPr>
          <w:rFonts w:ascii="Times New Roman" w:hAnsi="Times New Roman"/>
          <w:sz w:val="28"/>
          <w:szCs w:val="28"/>
          <w:vertAlign w:val="superscript"/>
          <w:lang w:val="ro-MO"/>
        </w:rPr>
        <w:t>2</w:t>
      </w:r>
      <w:r w:rsidRPr="009250BA">
        <w:rPr>
          <w:rFonts w:ascii="Times New Roman" w:hAnsi="Times New Roman"/>
          <w:sz w:val="28"/>
          <w:szCs w:val="28"/>
          <w:vertAlign w:val="subscript"/>
          <w:lang w:val="ro-MO"/>
        </w:rPr>
        <w:t>S</w:t>
      </w:r>
      <w:r w:rsidRPr="009250BA">
        <w:rPr>
          <w:rFonts w:ascii="Times New Roman" w:hAnsi="Times New Roman"/>
          <w:sz w:val="28"/>
          <w:szCs w:val="28"/>
          <w:lang w:val="ro-MO"/>
        </w:rPr>
        <w:t>=40%.</w:t>
      </w:r>
    </w:p>
    <w:p w:rsidR="00E466B1" w:rsidRPr="000A39FF" w:rsidRDefault="00E466B1" w:rsidP="00C147E9">
      <w:pPr>
        <w:pStyle w:val="ListParagraph"/>
        <w:ind w:left="0" w:firstLine="567"/>
        <w:jc w:val="both"/>
        <w:rPr>
          <w:rFonts w:ascii="Times New Roman" w:hAnsi="Times New Roman" w:cs="Times New Roman"/>
          <w:sz w:val="28"/>
          <w:szCs w:val="28"/>
          <w:lang w:val="ro-MO"/>
        </w:rPr>
      </w:pPr>
      <w:r>
        <w:rPr>
          <w:rFonts w:ascii="Times New Roman" w:hAnsi="Times New Roman" w:cs="Times New Roman"/>
          <w:sz w:val="28"/>
          <w:szCs w:val="28"/>
          <w:lang w:val="ro-MO"/>
        </w:rPr>
        <w:t>Comentariul de mai sus referitor la PS</w:t>
      </w:r>
      <w:r>
        <w:rPr>
          <w:rFonts w:ascii="Times New Roman" w:hAnsi="Times New Roman" w:cs="Times New Roman"/>
          <w:sz w:val="28"/>
          <w:szCs w:val="28"/>
          <w:vertAlign w:val="superscript"/>
          <w:lang w:val="ro-MO"/>
        </w:rPr>
        <w:t>1</w:t>
      </w:r>
      <w:r>
        <w:rPr>
          <w:rFonts w:ascii="Times New Roman" w:hAnsi="Times New Roman" w:cs="Times New Roman"/>
          <w:sz w:val="28"/>
          <w:szCs w:val="28"/>
          <w:vertAlign w:val="subscript"/>
          <w:lang w:val="ro-MO"/>
        </w:rPr>
        <w:t>P</w:t>
      </w:r>
      <w:r>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Pr>
          <w:rFonts w:ascii="Times New Roman" w:hAnsi="Times New Roman" w:cs="Times New Roman"/>
          <w:sz w:val="28"/>
          <w:szCs w:val="28"/>
          <w:lang w:val="ro-MO"/>
        </w:rPr>
        <w:t>i PS</w:t>
      </w:r>
      <w:r>
        <w:rPr>
          <w:rFonts w:ascii="Times New Roman" w:hAnsi="Times New Roman" w:cs="Times New Roman"/>
          <w:sz w:val="28"/>
          <w:szCs w:val="28"/>
          <w:vertAlign w:val="superscript"/>
          <w:lang w:val="ro-MO"/>
        </w:rPr>
        <w:t>1</w:t>
      </w:r>
      <w:r>
        <w:rPr>
          <w:rFonts w:ascii="Times New Roman" w:hAnsi="Times New Roman" w:cs="Times New Roman"/>
          <w:sz w:val="28"/>
          <w:szCs w:val="28"/>
          <w:vertAlign w:val="subscript"/>
          <w:lang w:val="ro-MO"/>
        </w:rPr>
        <w:t>S</w:t>
      </w:r>
      <w:r>
        <w:rPr>
          <w:rFonts w:ascii="Times New Roman" w:hAnsi="Times New Roman" w:cs="Times New Roman"/>
          <w:sz w:val="28"/>
          <w:szCs w:val="28"/>
          <w:lang w:val="ro-MO"/>
        </w:rPr>
        <w:t xml:space="preserve"> sunt valabile </w:t>
      </w:r>
      <w:r w:rsidR="006F4B00">
        <w:rPr>
          <w:rFonts w:ascii="Times New Roman" w:hAnsi="Times New Roman" w:cs="Times New Roman"/>
          <w:sz w:val="28"/>
          <w:szCs w:val="28"/>
          <w:lang w:val="ro-MO"/>
        </w:rPr>
        <w:t>ş</w:t>
      </w:r>
      <w:r>
        <w:rPr>
          <w:rFonts w:ascii="Times New Roman" w:hAnsi="Times New Roman" w:cs="Times New Roman"/>
          <w:sz w:val="28"/>
          <w:szCs w:val="28"/>
          <w:lang w:val="ro-MO"/>
        </w:rPr>
        <w:t xml:space="preserve">i în cazul </w:t>
      </w:r>
      <w:r w:rsidRPr="00AD160F">
        <w:rPr>
          <w:rFonts w:ascii="Times New Roman" w:hAnsi="Times New Roman" w:cs="Times New Roman"/>
          <w:sz w:val="28"/>
          <w:szCs w:val="28"/>
          <w:lang w:val="ro-MO"/>
        </w:rPr>
        <w:t>PS</w:t>
      </w:r>
      <w:r w:rsidRPr="00AD160F">
        <w:rPr>
          <w:rFonts w:ascii="Times New Roman" w:hAnsi="Times New Roman" w:cs="Times New Roman"/>
          <w:sz w:val="28"/>
          <w:szCs w:val="28"/>
          <w:vertAlign w:val="superscript"/>
          <w:lang w:val="ro-MO"/>
        </w:rPr>
        <w:t>2</w:t>
      </w:r>
      <w:r w:rsidRPr="00AD160F">
        <w:rPr>
          <w:rFonts w:ascii="Times New Roman" w:hAnsi="Times New Roman" w:cs="Times New Roman"/>
          <w:sz w:val="28"/>
          <w:szCs w:val="28"/>
          <w:vertAlign w:val="subscript"/>
          <w:lang w:val="ro-MO"/>
        </w:rPr>
        <w:t>P</w:t>
      </w:r>
      <w:r>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Pr>
          <w:rFonts w:ascii="Times New Roman" w:hAnsi="Times New Roman" w:cs="Times New Roman"/>
          <w:sz w:val="28"/>
          <w:szCs w:val="28"/>
          <w:lang w:val="ro-MO"/>
        </w:rPr>
        <w:t xml:space="preserve">i </w:t>
      </w:r>
      <w:r w:rsidRPr="00AD160F">
        <w:rPr>
          <w:rFonts w:ascii="Times New Roman" w:hAnsi="Times New Roman" w:cs="Times New Roman"/>
          <w:sz w:val="28"/>
          <w:szCs w:val="28"/>
          <w:lang w:val="ro-MO"/>
        </w:rPr>
        <w:t>PS</w:t>
      </w:r>
      <w:r w:rsidRPr="00AD160F">
        <w:rPr>
          <w:rFonts w:ascii="Times New Roman" w:hAnsi="Times New Roman" w:cs="Times New Roman"/>
          <w:sz w:val="28"/>
          <w:szCs w:val="28"/>
          <w:vertAlign w:val="superscript"/>
          <w:lang w:val="ro-MO"/>
        </w:rPr>
        <w:t>2</w:t>
      </w:r>
      <w:r w:rsidRPr="00AD160F">
        <w:rPr>
          <w:rFonts w:ascii="Times New Roman" w:hAnsi="Times New Roman" w:cs="Times New Roman"/>
          <w:sz w:val="28"/>
          <w:szCs w:val="28"/>
          <w:vertAlign w:val="subscript"/>
          <w:lang w:val="ro-MO"/>
        </w:rPr>
        <w:t>S</w:t>
      </w:r>
      <w:r w:rsidR="000A39FF">
        <w:rPr>
          <w:rFonts w:ascii="Times New Roman" w:hAnsi="Times New Roman" w:cs="Times New Roman"/>
          <w:sz w:val="28"/>
          <w:szCs w:val="28"/>
          <w:lang w:val="ro-MO"/>
        </w:rPr>
        <w:t>.</w:t>
      </w:r>
    </w:p>
    <w:p w:rsidR="00C147E9" w:rsidRPr="001B0998" w:rsidRDefault="00C147E9" w:rsidP="00C147E9">
      <w:pPr>
        <w:pStyle w:val="ListParagraph"/>
        <w:spacing w:before="120"/>
        <w:ind w:left="0" w:firstLine="567"/>
        <w:jc w:val="both"/>
        <w:rPr>
          <w:rFonts w:ascii="Times New Roman" w:hAnsi="Times New Roman" w:cs="Times New Roman"/>
          <w:sz w:val="10"/>
          <w:szCs w:val="10"/>
          <w:lang w:val="ro-MO"/>
        </w:rPr>
      </w:pPr>
    </w:p>
    <w:p w:rsidR="00A558CF" w:rsidRPr="00AD160F" w:rsidRDefault="00E80FAA" w:rsidP="00402130">
      <w:pPr>
        <w:pStyle w:val="NormalWeb"/>
        <w:rPr>
          <w:rFonts w:ascii="Times New Roman" w:hAnsi="Times New Roman"/>
          <w:sz w:val="28"/>
          <w:szCs w:val="28"/>
          <w:lang w:val="ro-MO"/>
        </w:rPr>
      </w:pPr>
      <w:r w:rsidRPr="00E80FAA">
        <w:rPr>
          <w:rFonts w:ascii="Times New Roman" w:hAnsi="Times New Roman"/>
          <w:sz w:val="28"/>
          <w:szCs w:val="28"/>
          <w:lang w:val="ro-MO"/>
        </w:rPr>
        <w:t>Municipiile Chi</w:t>
      </w:r>
      <w:r w:rsidR="006F4B00">
        <w:rPr>
          <w:rFonts w:ascii="Times New Roman" w:hAnsi="Times New Roman"/>
          <w:sz w:val="28"/>
          <w:szCs w:val="28"/>
          <w:lang w:val="ro-MO"/>
        </w:rPr>
        <w:t>ş</w:t>
      </w:r>
      <w:r w:rsidRPr="00E80FAA">
        <w:rPr>
          <w:rFonts w:ascii="Times New Roman" w:hAnsi="Times New Roman"/>
          <w:sz w:val="28"/>
          <w:szCs w:val="28"/>
          <w:lang w:val="ro-MO"/>
        </w:rPr>
        <w:t xml:space="preserve">inău </w:t>
      </w:r>
      <w:r w:rsidR="006F4B00">
        <w:rPr>
          <w:rFonts w:ascii="Times New Roman" w:hAnsi="Times New Roman"/>
          <w:sz w:val="28"/>
          <w:szCs w:val="28"/>
          <w:lang w:val="ro-MO"/>
        </w:rPr>
        <w:t>ş</w:t>
      </w:r>
      <w:r w:rsidRPr="00E80FAA">
        <w:rPr>
          <w:rFonts w:ascii="Times New Roman" w:hAnsi="Times New Roman"/>
          <w:sz w:val="28"/>
          <w:szCs w:val="28"/>
          <w:lang w:val="ro-MO"/>
        </w:rPr>
        <w:t>i Băl</w:t>
      </w:r>
      <w:r w:rsidR="006F4B00">
        <w:rPr>
          <w:rFonts w:ascii="Times New Roman" w:hAnsi="Times New Roman"/>
          <w:sz w:val="28"/>
          <w:szCs w:val="28"/>
          <w:lang w:val="ro-MO"/>
        </w:rPr>
        <w:t>ţ</w:t>
      </w:r>
      <w:r w:rsidRPr="00E80FAA">
        <w:rPr>
          <w:rFonts w:ascii="Times New Roman" w:hAnsi="Times New Roman"/>
          <w:sz w:val="28"/>
          <w:szCs w:val="28"/>
          <w:lang w:val="ro-MO"/>
        </w:rPr>
        <w:t xml:space="preserve">i </w:t>
      </w:r>
      <w:r w:rsidR="006F4B00">
        <w:rPr>
          <w:rFonts w:ascii="Times New Roman" w:hAnsi="Times New Roman"/>
          <w:sz w:val="28"/>
          <w:szCs w:val="28"/>
          <w:lang w:val="ro-MO"/>
        </w:rPr>
        <w:t>ş</w:t>
      </w:r>
      <w:r w:rsidRPr="00E80FAA">
        <w:rPr>
          <w:rFonts w:ascii="Times New Roman" w:hAnsi="Times New Roman"/>
          <w:sz w:val="28"/>
          <w:szCs w:val="28"/>
          <w:lang w:val="ro-MO"/>
        </w:rPr>
        <w:t xml:space="preserve">i UTA Găgăuzia </w:t>
      </w:r>
      <w:r w:rsidR="006F4B00">
        <w:rPr>
          <w:rFonts w:ascii="Times New Roman" w:hAnsi="Times New Roman"/>
          <w:sz w:val="28"/>
          <w:szCs w:val="28"/>
          <w:lang w:val="ro-MO"/>
        </w:rPr>
        <w:t>nu se califică pentru alocare</w:t>
      </w:r>
      <w:r w:rsidR="00E466B1">
        <w:rPr>
          <w:rFonts w:ascii="Times New Roman" w:hAnsi="Times New Roman"/>
          <w:sz w:val="28"/>
          <w:szCs w:val="28"/>
          <w:lang w:val="ro-MO"/>
        </w:rPr>
        <w:t>, deoarece, datorită statului lor special au cote partajate din impozitul pe venit persoane fizice (IVPF) mult mai mari (este vorba de municipiile Chi</w:t>
      </w:r>
      <w:r w:rsidR="006F4B00">
        <w:rPr>
          <w:rFonts w:ascii="Times New Roman" w:hAnsi="Times New Roman"/>
          <w:sz w:val="28"/>
          <w:szCs w:val="28"/>
          <w:lang w:val="ro-MO"/>
        </w:rPr>
        <w:t>ş</w:t>
      </w:r>
      <w:r w:rsidR="00E466B1">
        <w:rPr>
          <w:rFonts w:ascii="Times New Roman" w:hAnsi="Times New Roman"/>
          <w:sz w:val="28"/>
          <w:szCs w:val="28"/>
          <w:lang w:val="ro-MO"/>
        </w:rPr>
        <w:t xml:space="preserve">inău </w:t>
      </w:r>
      <w:r w:rsidR="006F4B00">
        <w:rPr>
          <w:rFonts w:ascii="Times New Roman" w:hAnsi="Times New Roman"/>
          <w:sz w:val="28"/>
          <w:szCs w:val="28"/>
          <w:lang w:val="ro-MO"/>
        </w:rPr>
        <w:t>ş</w:t>
      </w:r>
      <w:r w:rsidR="00E466B1">
        <w:rPr>
          <w:rFonts w:ascii="Times New Roman" w:hAnsi="Times New Roman"/>
          <w:sz w:val="28"/>
          <w:szCs w:val="28"/>
          <w:lang w:val="ro-MO"/>
        </w:rPr>
        <w:t>i Băl</w:t>
      </w:r>
      <w:r w:rsidR="006F4B00">
        <w:rPr>
          <w:rFonts w:ascii="Times New Roman" w:hAnsi="Times New Roman"/>
          <w:sz w:val="28"/>
          <w:szCs w:val="28"/>
          <w:lang w:val="ro-MO"/>
        </w:rPr>
        <w:t>ţ</w:t>
      </w:r>
      <w:r w:rsidR="00E466B1">
        <w:rPr>
          <w:rFonts w:ascii="Times New Roman" w:hAnsi="Times New Roman"/>
          <w:sz w:val="28"/>
          <w:szCs w:val="28"/>
          <w:lang w:val="ro-MO"/>
        </w:rPr>
        <w:t xml:space="preserve">i) sau beneficiază de surse financiare suplimentare </w:t>
      </w:r>
      <w:r w:rsidR="00E76109">
        <w:rPr>
          <w:rFonts w:ascii="Times New Roman" w:hAnsi="Times New Roman"/>
          <w:sz w:val="28"/>
          <w:szCs w:val="28"/>
          <w:lang w:val="ro-MO"/>
        </w:rPr>
        <w:t xml:space="preserve">(TVA </w:t>
      </w:r>
      <w:r w:rsidR="006F4B00">
        <w:rPr>
          <w:rFonts w:ascii="Times New Roman" w:hAnsi="Times New Roman"/>
          <w:sz w:val="28"/>
          <w:szCs w:val="28"/>
          <w:lang w:val="ro-MO"/>
        </w:rPr>
        <w:t>ş</w:t>
      </w:r>
      <w:r w:rsidR="00E76109">
        <w:rPr>
          <w:rFonts w:ascii="Times New Roman" w:hAnsi="Times New Roman"/>
          <w:sz w:val="28"/>
          <w:szCs w:val="28"/>
          <w:lang w:val="ro-MO"/>
        </w:rPr>
        <w:t xml:space="preserve">i accize), </w:t>
      </w:r>
      <w:r w:rsidR="00E466B1">
        <w:rPr>
          <w:rFonts w:ascii="Times New Roman" w:hAnsi="Times New Roman"/>
          <w:sz w:val="28"/>
          <w:szCs w:val="28"/>
          <w:lang w:val="ro-MO"/>
        </w:rPr>
        <w:t>datorită statutului lor special (UTA Găgăuzia). Mai mult</w:t>
      </w:r>
      <w:r w:rsidR="00E76109">
        <w:rPr>
          <w:rFonts w:ascii="Times New Roman" w:hAnsi="Times New Roman"/>
          <w:sz w:val="28"/>
          <w:szCs w:val="28"/>
          <w:lang w:val="ro-MO"/>
        </w:rPr>
        <w:t>,</w:t>
      </w:r>
      <w:r w:rsidR="00E466B1">
        <w:rPr>
          <w:rFonts w:ascii="Times New Roman" w:hAnsi="Times New Roman"/>
          <w:sz w:val="28"/>
          <w:szCs w:val="28"/>
          <w:lang w:val="ro-MO"/>
        </w:rPr>
        <w:t xml:space="preserve"> municipiile Chi</w:t>
      </w:r>
      <w:r w:rsidR="006F4B00">
        <w:rPr>
          <w:rFonts w:ascii="Times New Roman" w:hAnsi="Times New Roman"/>
          <w:sz w:val="28"/>
          <w:szCs w:val="28"/>
          <w:lang w:val="ro-MO"/>
        </w:rPr>
        <w:t>ş</w:t>
      </w:r>
      <w:r w:rsidR="00E466B1">
        <w:rPr>
          <w:rFonts w:ascii="Times New Roman" w:hAnsi="Times New Roman"/>
          <w:sz w:val="28"/>
          <w:szCs w:val="28"/>
          <w:lang w:val="ro-MO"/>
        </w:rPr>
        <w:t xml:space="preserve">inău </w:t>
      </w:r>
      <w:r w:rsidR="006F4B00">
        <w:rPr>
          <w:rFonts w:ascii="Times New Roman" w:hAnsi="Times New Roman"/>
          <w:sz w:val="28"/>
          <w:szCs w:val="28"/>
          <w:lang w:val="ro-MO"/>
        </w:rPr>
        <w:t>ş</w:t>
      </w:r>
      <w:r w:rsidR="00E466B1">
        <w:rPr>
          <w:rFonts w:ascii="Times New Roman" w:hAnsi="Times New Roman"/>
          <w:sz w:val="28"/>
          <w:szCs w:val="28"/>
          <w:lang w:val="ro-MO"/>
        </w:rPr>
        <w:t>i Băl</w:t>
      </w:r>
      <w:r w:rsidR="006F4B00">
        <w:rPr>
          <w:rFonts w:ascii="Times New Roman" w:hAnsi="Times New Roman"/>
          <w:sz w:val="28"/>
          <w:szCs w:val="28"/>
          <w:lang w:val="ro-MO"/>
        </w:rPr>
        <w:t>ţ</w:t>
      </w:r>
      <w:r w:rsidR="00E466B1">
        <w:rPr>
          <w:rFonts w:ascii="Times New Roman" w:hAnsi="Times New Roman"/>
          <w:sz w:val="28"/>
          <w:szCs w:val="28"/>
          <w:lang w:val="ro-MO"/>
        </w:rPr>
        <w:t xml:space="preserve">i au cea mai puternică bază de venituri proprii dintre toate UAT – urile, </w:t>
      </w:r>
      <w:r w:rsidR="006F4B00">
        <w:rPr>
          <w:rFonts w:ascii="Times New Roman" w:hAnsi="Times New Roman"/>
          <w:sz w:val="28"/>
          <w:szCs w:val="28"/>
          <w:lang w:val="ro-MO"/>
        </w:rPr>
        <w:t>ş</w:t>
      </w:r>
      <w:r w:rsidR="00E466B1">
        <w:rPr>
          <w:rFonts w:ascii="Times New Roman" w:hAnsi="Times New Roman"/>
          <w:sz w:val="28"/>
          <w:szCs w:val="28"/>
          <w:lang w:val="ro-MO"/>
        </w:rPr>
        <w:t>i care este numai par</w:t>
      </w:r>
      <w:r w:rsidR="006F4B00">
        <w:rPr>
          <w:rFonts w:ascii="Times New Roman" w:hAnsi="Times New Roman"/>
          <w:sz w:val="28"/>
          <w:szCs w:val="28"/>
          <w:lang w:val="ro-MO"/>
        </w:rPr>
        <w:t>ţ</w:t>
      </w:r>
      <w:r w:rsidR="00E466B1">
        <w:rPr>
          <w:rFonts w:ascii="Times New Roman" w:hAnsi="Times New Roman"/>
          <w:sz w:val="28"/>
          <w:szCs w:val="28"/>
          <w:lang w:val="ro-MO"/>
        </w:rPr>
        <w:t>ial valorificată</w:t>
      </w:r>
      <w:r w:rsidR="00E76109">
        <w:rPr>
          <w:rFonts w:ascii="Times New Roman" w:hAnsi="Times New Roman"/>
          <w:sz w:val="28"/>
          <w:szCs w:val="28"/>
          <w:lang w:val="ro-MO"/>
        </w:rPr>
        <w:t>.</w:t>
      </w:r>
      <w:r w:rsidR="00D7454C" w:rsidRPr="00E466B1">
        <w:rPr>
          <w:rFonts w:ascii="Times New Roman" w:hAnsi="Times New Roman"/>
          <w:sz w:val="28"/>
          <w:szCs w:val="28"/>
          <w:lang w:val="ro-MO"/>
        </w:rPr>
        <w:t xml:space="preserve"> </w:t>
      </w:r>
      <w:r w:rsidR="00A558CF" w:rsidRPr="00AD160F">
        <w:rPr>
          <w:rFonts w:ascii="Times New Roman" w:hAnsi="Times New Roman"/>
          <w:sz w:val="28"/>
          <w:szCs w:val="28"/>
          <w:lang w:val="ro-MO"/>
        </w:rPr>
        <w:t xml:space="preserve"> </w:t>
      </w:r>
    </w:p>
    <w:p w:rsidR="00307E9C" w:rsidRDefault="00307E9C" w:rsidP="002526B9">
      <w:pPr>
        <w:spacing w:before="120"/>
        <w:ind w:firstLine="567"/>
        <w:jc w:val="both"/>
        <w:rPr>
          <w:rFonts w:ascii="Times New Roman" w:hAnsi="Times New Roman"/>
          <w:sz w:val="28"/>
          <w:szCs w:val="28"/>
          <w:lang w:val="ro-MO"/>
        </w:rPr>
      </w:pPr>
      <w:r w:rsidRPr="00AD160F">
        <w:rPr>
          <w:rFonts w:ascii="Times New Roman" w:hAnsi="Times New Roman"/>
          <w:sz w:val="28"/>
          <w:szCs w:val="28"/>
          <w:lang w:val="ro-MO"/>
        </w:rPr>
        <w:lastRenderedPageBreak/>
        <w:t>E de men</w:t>
      </w:r>
      <w:r w:rsidR="006F4B00">
        <w:rPr>
          <w:rFonts w:ascii="Times New Roman" w:hAnsi="Times New Roman"/>
          <w:sz w:val="28"/>
          <w:szCs w:val="28"/>
          <w:lang w:val="ro-MO"/>
        </w:rPr>
        <w:t>ţ</w:t>
      </w:r>
      <w:r w:rsidRPr="00AD160F">
        <w:rPr>
          <w:rFonts w:ascii="Times New Roman" w:hAnsi="Times New Roman"/>
          <w:sz w:val="28"/>
          <w:szCs w:val="28"/>
          <w:lang w:val="ro-MO"/>
        </w:rPr>
        <w:t>ionat că calcularea fondului de echilibrare al bugetelor unităţilor administrativ-teritoriale se face pe baza datelor din ultimul an pentru care există execuţie bugetară definitivă şi a datelor statistice oficiale, ceea ce exclude influen</w:t>
      </w:r>
      <w:r w:rsidR="006F4B00">
        <w:rPr>
          <w:rFonts w:ascii="Times New Roman" w:hAnsi="Times New Roman"/>
          <w:sz w:val="28"/>
          <w:szCs w:val="28"/>
          <w:lang w:val="ro-MO"/>
        </w:rPr>
        <w:t>ţ</w:t>
      </w:r>
      <w:r w:rsidRPr="00AD160F">
        <w:rPr>
          <w:rFonts w:ascii="Times New Roman" w:hAnsi="Times New Roman"/>
          <w:sz w:val="28"/>
          <w:szCs w:val="28"/>
          <w:lang w:val="ro-MO"/>
        </w:rPr>
        <w:t xml:space="preserve">a </w:t>
      </w:r>
      <w:r w:rsidR="006F4B00">
        <w:rPr>
          <w:rFonts w:ascii="Times New Roman" w:hAnsi="Times New Roman"/>
          <w:sz w:val="28"/>
          <w:szCs w:val="28"/>
          <w:lang w:val="ro-MO"/>
        </w:rPr>
        <w:t>ş</w:t>
      </w:r>
      <w:r w:rsidRPr="00AD160F">
        <w:rPr>
          <w:rFonts w:ascii="Times New Roman" w:hAnsi="Times New Roman"/>
          <w:sz w:val="28"/>
          <w:szCs w:val="28"/>
          <w:lang w:val="ro-MO"/>
        </w:rPr>
        <w:t>i subiectivitatea factorului uman la efectuarea calculelor.</w:t>
      </w:r>
    </w:p>
    <w:p w:rsidR="00647A4D" w:rsidRPr="00647A4D" w:rsidRDefault="00647A4D" w:rsidP="002526B9">
      <w:pPr>
        <w:ind w:firstLine="567"/>
        <w:jc w:val="both"/>
        <w:rPr>
          <w:rFonts w:ascii="Times New Roman" w:hAnsi="Times New Roman"/>
          <w:sz w:val="10"/>
          <w:szCs w:val="10"/>
          <w:lang w:val="ro-MO"/>
        </w:rPr>
      </w:pPr>
    </w:p>
    <w:p w:rsidR="00015431" w:rsidRPr="00AD160F" w:rsidRDefault="00D7454C" w:rsidP="00836AB3">
      <w:pPr>
        <w:pStyle w:val="NormalWeb"/>
        <w:numPr>
          <w:ilvl w:val="0"/>
          <w:numId w:val="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Sistemul de î</w:t>
      </w:r>
      <w:r w:rsidR="00836AB3">
        <w:rPr>
          <w:rFonts w:ascii="Times New Roman" w:hAnsi="Times New Roman"/>
          <w:sz w:val="28"/>
          <w:szCs w:val="28"/>
          <w:lang w:val="ro-MO"/>
        </w:rPr>
        <w:t>nvă</w:t>
      </w:r>
      <w:r w:rsidR="006F4B00">
        <w:rPr>
          <w:rFonts w:ascii="Times New Roman" w:hAnsi="Times New Roman"/>
          <w:sz w:val="28"/>
          <w:szCs w:val="28"/>
          <w:lang w:val="ro-MO"/>
        </w:rPr>
        <w:t>ţ</w:t>
      </w:r>
      <w:r w:rsidR="00836AB3">
        <w:rPr>
          <w:rFonts w:ascii="Times New Roman" w:hAnsi="Times New Roman"/>
          <w:sz w:val="28"/>
          <w:szCs w:val="28"/>
          <w:lang w:val="ro-MO"/>
        </w:rPr>
        <w:t xml:space="preserve">ămînt </w:t>
      </w:r>
      <w:r w:rsidR="002D74E2">
        <w:rPr>
          <w:rFonts w:ascii="Times New Roman" w:hAnsi="Times New Roman"/>
          <w:sz w:val="28"/>
          <w:szCs w:val="28"/>
          <w:lang w:val="ro-MO"/>
        </w:rPr>
        <w:t>pre</w:t>
      </w:r>
      <w:r w:rsidR="002D74E2">
        <w:rPr>
          <w:rFonts w:ascii="Times New Roman" w:hAnsi="Times New Roman"/>
          <w:sz w:val="28"/>
          <w:szCs w:val="28"/>
          <w:lang w:val="ro-RO"/>
        </w:rPr>
        <w:t>școlar, primar și secundar-general</w:t>
      </w:r>
      <w:r w:rsidR="005A6AFA">
        <w:rPr>
          <w:rFonts w:ascii="Times New Roman" w:hAnsi="Times New Roman"/>
          <w:sz w:val="28"/>
          <w:szCs w:val="28"/>
          <w:lang w:val="ro-MO"/>
        </w:rPr>
        <w:t xml:space="preserve"> </w:t>
      </w:r>
      <w:r w:rsidR="006F4B00" w:rsidRPr="002D74E2">
        <w:rPr>
          <w:rFonts w:ascii="Times New Roman" w:hAnsi="Times New Roman"/>
          <w:sz w:val="28"/>
          <w:szCs w:val="28"/>
          <w:lang w:val="ro-MO"/>
        </w:rPr>
        <w:t>ş</w:t>
      </w:r>
      <w:r w:rsidR="005A6AFA" w:rsidRPr="002D74E2">
        <w:rPr>
          <w:rFonts w:ascii="Times New Roman" w:hAnsi="Times New Roman"/>
          <w:sz w:val="28"/>
          <w:szCs w:val="28"/>
          <w:lang w:val="ro-MO"/>
        </w:rPr>
        <w:t xml:space="preserve">i </w:t>
      </w:r>
      <w:r w:rsidR="002D74E2" w:rsidRPr="002D74E2">
        <w:rPr>
          <w:rFonts w:ascii="Times New Roman" w:hAnsi="Times New Roman"/>
          <w:sz w:val="28"/>
          <w:szCs w:val="28"/>
          <w:lang w:val="ro-MO"/>
        </w:rPr>
        <w:t xml:space="preserve">plățile </w:t>
      </w:r>
      <w:r w:rsidR="005A6AFA" w:rsidRPr="002D74E2">
        <w:rPr>
          <w:rFonts w:ascii="Times New Roman" w:hAnsi="Times New Roman"/>
          <w:sz w:val="28"/>
          <w:szCs w:val="28"/>
          <w:lang w:val="ro-MO"/>
        </w:rPr>
        <w:t>sociale</w:t>
      </w:r>
      <w:r w:rsidR="00836AB3">
        <w:rPr>
          <w:rFonts w:ascii="Times New Roman" w:hAnsi="Times New Roman"/>
          <w:sz w:val="28"/>
          <w:szCs w:val="28"/>
          <w:lang w:val="ro-MO"/>
        </w:rPr>
        <w:t xml:space="preserve"> v</w:t>
      </w:r>
      <w:r w:rsidR="005A6AFA">
        <w:rPr>
          <w:rFonts w:ascii="Times New Roman" w:hAnsi="Times New Roman"/>
          <w:sz w:val="28"/>
          <w:szCs w:val="28"/>
          <w:lang w:val="ro-MO"/>
        </w:rPr>
        <w:t>or</w:t>
      </w:r>
      <w:r w:rsidR="00836AB3">
        <w:rPr>
          <w:rFonts w:ascii="Times New Roman" w:hAnsi="Times New Roman"/>
          <w:sz w:val="28"/>
          <w:szCs w:val="28"/>
          <w:lang w:val="ro-MO"/>
        </w:rPr>
        <w:t xml:space="preserve"> fi</w:t>
      </w:r>
      <w:r w:rsidRPr="00AD160F">
        <w:rPr>
          <w:rFonts w:ascii="Times New Roman" w:hAnsi="Times New Roman"/>
          <w:sz w:val="28"/>
          <w:szCs w:val="28"/>
          <w:lang w:val="ro-MO"/>
        </w:rPr>
        <w:t xml:space="preserve"> finan</w:t>
      </w:r>
      <w:r w:rsidR="006F4B00">
        <w:rPr>
          <w:rFonts w:ascii="Times New Roman" w:hAnsi="Times New Roman"/>
          <w:sz w:val="28"/>
          <w:szCs w:val="28"/>
          <w:lang w:val="ro-MO"/>
        </w:rPr>
        <w:t>ţ</w:t>
      </w:r>
      <w:r w:rsidRPr="00AD160F">
        <w:rPr>
          <w:rFonts w:ascii="Times New Roman" w:hAnsi="Times New Roman"/>
          <w:sz w:val="28"/>
          <w:szCs w:val="28"/>
          <w:lang w:val="ro-MO"/>
        </w:rPr>
        <w:t>at</w:t>
      </w:r>
      <w:r w:rsidR="005A6AFA">
        <w:rPr>
          <w:rFonts w:ascii="Times New Roman" w:hAnsi="Times New Roman"/>
          <w:sz w:val="28"/>
          <w:szCs w:val="28"/>
          <w:lang w:val="ro-MO"/>
        </w:rPr>
        <w:t>e</w:t>
      </w:r>
      <w:r w:rsidR="00015431" w:rsidRPr="00AD160F">
        <w:rPr>
          <w:rFonts w:ascii="Times New Roman" w:hAnsi="Times New Roman"/>
          <w:sz w:val="28"/>
          <w:szCs w:val="28"/>
          <w:lang w:val="ro-MO"/>
        </w:rPr>
        <w:t xml:space="preserve"> </w:t>
      </w:r>
      <w:r w:rsidRPr="00AD160F">
        <w:rPr>
          <w:rFonts w:ascii="Times New Roman" w:hAnsi="Times New Roman"/>
          <w:sz w:val="28"/>
          <w:szCs w:val="28"/>
          <w:lang w:val="ro-MO"/>
        </w:rPr>
        <w:t>prin transfer</w:t>
      </w:r>
      <w:r w:rsidR="005A6AFA">
        <w:rPr>
          <w:rFonts w:ascii="Times New Roman" w:hAnsi="Times New Roman"/>
          <w:sz w:val="28"/>
          <w:szCs w:val="28"/>
          <w:lang w:val="ro-MO"/>
        </w:rPr>
        <w:t>uri</w:t>
      </w:r>
      <w:r w:rsidRPr="00AD160F">
        <w:rPr>
          <w:rFonts w:ascii="Times New Roman" w:hAnsi="Times New Roman"/>
          <w:sz w:val="28"/>
          <w:szCs w:val="28"/>
          <w:lang w:val="ro-MO"/>
        </w:rPr>
        <w:t xml:space="preserve"> cu destina</w:t>
      </w:r>
      <w:r w:rsidR="006F4B00">
        <w:rPr>
          <w:rFonts w:ascii="Times New Roman" w:hAnsi="Times New Roman"/>
          <w:sz w:val="28"/>
          <w:szCs w:val="28"/>
          <w:lang w:val="ro-MO"/>
        </w:rPr>
        <w:t>ţ</w:t>
      </w:r>
      <w:r w:rsidRPr="00AD160F">
        <w:rPr>
          <w:rFonts w:ascii="Times New Roman" w:hAnsi="Times New Roman"/>
          <w:sz w:val="28"/>
          <w:szCs w:val="28"/>
          <w:lang w:val="ro-MO"/>
        </w:rPr>
        <w:t>ie specială, alocat</w:t>
      </w:r>
      <w:r w:rsidR="005A6AFA">
        <w:rPr>
          <w:rFonts w:ascii="Times New Roman" w:hAnsi="Times New Roman"/>
          <w:sz w:val="28"/>
          <w:szCs w:val="28"/>
          <w:lang w:val="ro-MO"/>
        </w:rPr>
        <w:t>e</w:t>
      </w:r>
      <w:r w:rsidRPr="00AD160F">
        <w:rPr>
          <w:rFonts w:ascii="Times New Roman" w:hAnsi="Times New Roman"/>
          <w:sz w:val="28"/>
          <w:szCs w:val="28"/>
          <w:lang w:val="ro-MO"/>
        </w:rPr>
        <w:t xml:space="preserve"> potrivit legisla</w:t>
      </w:r>
      <w:r w:rsidR="006F4B00">
        <w:rPr>
          <w:rFonts w:ascii="Times New Roman" w:hAnsi="Times New Roman"/>
          <w:sz w:val="28"/>
          <w:szCs w:val="28"/>
          <w:lang w:val="ro-MO"/>
        </w:rPr>
        <w:t>ţ</w:t>
      </w:r>
      <w:r w:rsidRPr="00AD160F">
        <w:rPr>
          <w:rFonts w:ascii="Times New Roman" w:hAnsi="Times New Roman"/>
          <w:sz w:val="28"/>
          <w:szCs w:val="28"/>
          <w:lang w:val="ro-MO"/>
        </w:rPr>
        <w:t xml:space="preserve">iei </w:t>
      </w:r>
      <w:r w:rsidR="006F4B00">
        <w:rPr>
          <w:rFonts w:ascii="Times New Roman" w:hAnsi="Times New Roman"/>
          <w:sz w:val="28"/>
          <w:szCs w:val="28"/>
          <w:lang w:val="ro-MO"/>
        </w:rPr>
        <w:t>ş</w:t>
      </w:r>
      <w:r w:rsidRPr="00AD160F">
        <w:rPr>
          <w:rFonts w:ascii="Times New Roman" w:hAnsi="Times New Roman"/>
          <w:sz w:val="28"/>
          <w:szCs w:val="28"/>
          <w:lang w:val="ro-MO"/>
        </w:rPr>
        <w:t>i a metodologiei stabilit</w:t>
      </w:r>
      <w:r w:rsidR="00A711ED" w:rsidRPr="00AD160F">
        <w:rPr>
          <w:rFonts w:ascii="Times New Roman" w:hAnsi="Times New Roman"/>
          <w:sz w:val="28"/>
          <w:szCs w:val="28"/>
          <w:lang w:val="ro-MO"/>
        </w:rPr>
        <w:t>e de Guvern</w:t>
      </w:r>
      <w:r w:rsidR="00836AB3">
        <w:rPr>
          <w:rFonts w:ascii="Times New Roman" w:hAnsi="Times New Roman"/>
          <w:sz w:val="28"/>
          <w:szCs w:val="28"/>
          <w:lang w:val="ro-MO"/>
        </w:rPr>
        <w:t xml:space="preserve">.  </w:t>
      </w:r>
    </w:p>
    <w:p w:rsidR="001A6E1E" w:rsidRPr="002526B9" w:rsidRDefault="001A6E1E" w:rsidP="001A6E1E">
      <w:pPr>
        <w:pStyle w:val="NormalWeb"/>
        <w:ind w:left="927" w:firstLine="0"/>
        <w:rPr>
          <w:rFonts w:ascii="Times New Roman" w:hAnsi="Times New Roman"/>
          <w:sz w:val="10"/>
          <w:szCs w:val="10"/>
          <w:lang w:val="ro-MO"/>
        </w:rPr>
      </w:pPr>
    </w:p>
    <w:p w:rsidR="00520D50" w:rsidRPr="00AD160F" w:rsidRDefault="00520D50" w:rsidP="00520D50">
      <w:pPr>
        <w:pStyle w:val="NormalWeb"/>
        <w:rPr>
          <w:rFonts w:ascii="Times New Roman" w:hAnsi="Times New Roman"/>
          <w:sz w:val="28"/>
          <w:szCs w:val="28"/>
          <w:lang w:val="ro-MO"/>
        </w:rPr>
      </w:pPr>
      <w:r>
        <w:rPr>
          <w:rFonts w:ascii="Times New Roman" w:hAnsi="Times New Roman"/>
          <w:sz w:val="28"/>
          <w:szCs w:val="28"/>
          <w:lang w:val="ro-MO"/>
        </w:rPr>
        <w:t>Pornind de la modificările</w:t>
      </w:r>
      <w:r w:rsidRPr="00AD160F">
        <w:rPr>
          <w:rFonts w:ascii="Times New Roman" w:hAnsi="Times New Roman"/>
          <w:sz w:val="28"/>
          <w:szCs w:val="28"/>
          <w:lang w:val="ro-MO"/>
        </w:rPr>
        <w:t xml:space="preserve"> </w:t>
      </w:r>
      <w:r w:rsidR="006F4B00">
        <w:rPr>
          <w:rFonts w:ascii="Times New Roman" w:hAnsi="Times New Roman"/>
          <w:sz w:val="28"/>
          <w:szCs w:val="28"/>
          <w:lang w:val="ro-MO"/>
        </w:rPr>
        <w:t>ş</w:t>
      </w:r>
      <w:r w:rsidRPr="00AD160F">
        <w:rPr>
          <w:rFonts w:ascii="Times New Roman" w:hAnsi="Times New Roman"/>
          <w:sz w:val="28"/>
          <w:szCs w:val="28"/>
          <w:lang w:val="ro-MO"/>
        </w:rPr>
        <w:t>i completările</w:t>
      </w:r>
      <w:r>
        <w:rPr>
          <w:rFonts w:ascii="Times New Roman" w:hAnsi="Times New Roman"/>
          <w:sz w:val="28"/>
          <w:szCs w:val="28"/>
          <w:lang w:val="ro-MO"/>
        </w:rPr>
        <w:t xml:space="preserve"> care se propun a fi operate</w:t>
      </w:r>
      <w:r w:rsidRPr="00AD160F">
        <w:rPr>
          <w:rFonts w:ascii="Times New Roman" w:hAnsi="Times New Roman"/>
          <w:sz w:val="28"/>
          <w:szCs w:val="28"/>
          <w:lang w:val="ro-MO"/>
        </w:rPr>
        <w:t xml:space="preserve"> la Legea finan</w:t>
      </w:r>
      <w:r w:rsidR="006F4B00">
        <w:rPr>
          <w:rFonts w:ascii="Times New Roman" w:hAnsi="Times New Roman"/>
          <w:sz w:val="28"/>
          <w:szCs w:val="28"/>
          <w:lang w:val="ro-MO"/>
        </w:rPr>
        <w:t>ţ</w:t>
      </w:r>
      <w:r w:rsidRPr="00AD160F">
        <w:rPr>
          <w:rFonts w:ascii="Times New Roman" w:hAnsi="Times New Roman"/>
          <w:sz w:val="28"/>
          <w:szCs w:val="28"/>
          <w:lang w:val="ro-MO"/>
        </w:rPr>
        <w:t>elor publice locale, se impun</w:t>
      </w:r>
      <w:r>
        <w:rPr>
          <w:rFonts w:ascii="Times New Roman" w:hAnsi="Times New Roman"/>
          <w:sz w:val="28"/>
          <w:szCs w:val="28"/>
          <w:lang w:val="ro-MO"/>
        </w:rPr>
        <w:t>e efectuarea</w:t>
      </w:r>
      <w:r w:rsidRPr="00AD160F">
        <w:rPr>
          <w:rFonts w:ascii="Times New Roman" w:hAnsi="Times New Roman"/>
          <w:sz w:val="28"/>
          <w:szCs w:val="28"/>
          <w:lang w:val="ro-MO"/>
        </w:rPr>
        <w:t xml:space="preserve"> anum</w:t>
      </w:r>
      <w:r>
        <w:rPr>
          <w:rFonts w:ascii="Times New Roman" w:hAnsi="Times New Roman"/>
          <w:sz w:val="28"/>
          <w:szCs w:val="28"/>
          <w:lang w:val="ro-MO"/>
        </w:rPr>
        <w:t>itor</w:t>
      </w:r>
      <w:r w:rsidRPr="00AD160F">
        <w:rPr>
          <w:rFonts w:ascii="Times New Roman" w:hAnsi="Times New Roman"/>
          <w:sz w:val="28"/>
          <w:szCs w:val="28"/>
          <w:lang w:val="ro-MO"/>
        </w:rPr>
        <w:t xml:space="preserve"> ajustări</w:t>
      </w:r>
      <w:r>
        <w:rPr>
          <w:rFonts w:ascii="Times New Roman" w:hAnsi="Times New Roman"/>
          <w:sz w:val="28"/>
          <w:szCs w:val="28"/>
          <w:lang w:val="ro-MO"/>
        </w:rPr>
        <w:t xml:space="preserve"> </w:t>
      </w:r>
      <w:r w:rsidR="006F4B00">
        <w:rPr>
          <w:rFonts w:ascii="Times New Roman" w:hAnsi="Times New Roman"/>
          <w:sz w:val="28"/>
          <w:szCs w:val="28"/>
          <w:lang w:val="ro-MO"/>
        </w:rPr>
        <w:t>ş</w:t>
      </w:r>
      <w:r>
        <w:rPr>
          <w:rFonts w:ascii="Times New Roman" w:hAnsi="Times New Roman"/>
          <w:sz w:val="28"/>
          <w:szCs w:val="28"/>
          <w:lang w:val="ro-MO"/>
        </w:rPr>
        <w:t>i</w:t>
      </w:r>
      <w:r w:rsidRPr="00AD160F">
        <w:rPr>
          <w:rFonts w:ascii="Times New Roman" w:hAnsi="Times New Roman"/>
          <w:sz w:val="28"/>
          <w:szCs w:val="28"/>
          <w:lang w:val="ro-MO"/>
        </w:rPr>
        <w:t xml:space="preserve"> la Titlul I al Codului Fiscal, acestea referindu-se la alin</w:t>
      </w:r>
      <w:r>
        <w:rPr>
          <w:rFonts w:ascii="Times New Roman" w:hAnsi="Times New Roman"/>
          <w:sz w:val="28"/>
          <w:szCs w:val="28"/>
          <w:lang w:val="ro-MO"/>
        </w:rPr>
        <w:t xml:space="preserve">iatele 5, 6 </w:t>
      </w:r>
      <w:r w:rsidR="006F4B00">
        <w:rPr>
          <w:rFonts w:ascii="Times New Roman" w:hAnsi="Times New Roman"/>
          <w:sz w:val="28"/>
          <w:szCs w:val="28"/>
          <w:lang w:val="ro-MO"/>
        </w:rPr>
        <w:t>ş</w:t>
      </w:r>
      <w:r>
        <w:rPr>
          <w:rFonts w:ascii="Times New Roman" w:hAnsi="Times New Roman"/>
          <w:sz w:val="28"/>
          <w:szCs w:val="28"/>
          <w:lang w:val="ro-MO"/>
        </w:rPr>
        <w:t>i 10 din articolul</w:t>
      </w:r>
      <w:r w:rsidRPr="00AD160F">
        <w:rPr>
          <w:rFonts w:ascii="Times New Roman" w:hAnsi="Times New Roman"/>
          <w:sz w:val="28"/>
          <w:szCs w:val="28"/>
          <w:lang w:val="ro-MO"/>
        </w:rPr>
        <w:t xml:space="preserve"> 6, care reglementează sistemul de impozite </w:t>
      </w:r>
      <w:r w:rsidR="006F4B00">
        <w:rPr>
          <w:rFonts w:ascii="Times New Roman" w:hAnsi="Times New Roman"/>
          <w:sz w:val="28"/>
          <w:szCs w:val="28"/>
          <w:lang w:val="ro-MO"/>
        </w:rPr>
        <w:t>ş</w:t>
      </w:r>
      <w:r w:rsidRPr="00AD160F">
        <w:rPr>
          <w:rFonts w:ascii="Times New Roman" w:hAnsi="Times New Roman"/>
          <w:sz w:val="28"/>
          <w:szCs w:val="28"/>
          <w:lang w:val="ro-MO"/>
        </w:rPr>
        <w:t xml:space="preserve">i taxe generale de stat, sistemul de impozite </w:t>
      </w:r>
      <w:r w:rsidR="006F4B00">
        <w:rPr>
          <w:rFonts w:ascii="Times New Roman" w:hAnsi="Times New Roman"/>
          <w:sz w:val="28"/>
          <w:szCs w:val="28"/>
          <w:lang w:val="ro-MO"/>
        </w:rPr>
        <w:t>ş</w:t>
      </w:r>
      <w:r w:rsidRPr="00AD160F">
        <w:rPr>
          <w:rFonts w:ascii="Times New Roman" w:hAnsi="Times New Roman"/>
          <w:sz w:val="28"/>
          <w:szCs w:val="28"/>
          <w:lang w:val="ro-MO"/>
        </w:rPr>
        <w:t xml:space="preserve">i taxe locale, precum </w:t>
      </w:r>
      <w:r w:rsidR="006F4B00">
        <w:rPr>
          <w:rFonts w:ascii="Times New Roman" w:hAnsi="Times New Roman"/>
          <w:sz w:val="28"/>
          <w:szCs w:val="28"/>
          <w:lang w:val="ro-MO"/>
        </w:rPr>
        <w:t>ş</w:t>
      </w:r>
      <w:r w:rsidRPr="00AD160F">
        <w:rPr>
          <w:rFonts w:ascii="Times New Roman" w:hAnsi="Times New Roman"/>
          <w:sz w:val="28"/>
          <w:szCs w:val="28"/>
          <w:lang w:val="ro-MO"/>
        </w:rPr>
        <w:t>i sursele de reglementare a veniturilor sistemului bugetar.</w:t>
      </w:r>
    </w:p>
    <w:p w:rsidR="00983D95" w:rsidRPr="00AD160F" w:rsidRDefault="00983D95" w:rsidP="008B3768">
      <w:pPr>
        <w:pStyle w:val="NormalWeb"/>
        <w:ind w:firstLine="0"/>
        <w:rPr>
          <w:rFonts w:ascii="Times New Roman" w:hAnsi="Times New Roman"/>
          <w:sz w:val="28"/>
          <w:szCs w:val="28"/>
          <w:lang w:val="ro-MO"/>
        </w:rPr>
      </w:pPr>
    </w:p>
    <w:p w:rsidR="008008D3" w:rsidRPr="00AD160F" w:rsidRDefault="0095388A" w:rsidP="00A711ED">
      <w:pPr>
        <w:pStyle w:val="NormalWeb"/>
        <w:numPr>
          <w:ilvl w:val="0"/>
          <w:numId w:val="16"/>
        </w:numPr>
        <w:tabs>
          <w:tab w:val="left" w:pos="426"/>
          <w:tab w:val="left" w:pos="993"/>
        </w:tabs>
        <w:ind w:left="567" w:firstLine="0"/>
        <w:rPr>
          <w:rFonts w:ascii="Times New Roman" w:hAnsi="Times New Roman"/>
          <w:b/>
          <w:sz w:val="28"/>
          <w:szCs w:val="28"/>
          <w:lang w:val="ro-MO"/>
        </w:rPr>
      </w:pPr>
      <w:r w:rsidRPr="00AD160F">
        <w:rPr>
          <w:rFonts w:ascii="Times New Roman" w:hAnsi="Times New Roman"/>
          <w:b/>
          <w:sz w:val="28"/>
          <w:szCs w:val="28"/>
          <w:lang w:val="ro-MO"/>
        </w:rPr>
        <w:t>A</w:t>
      </w:r>
      <w:r w:rsidR="008008D3" w:rsidRPr="00AD160F">
        <w:rPr>
          <w:rFonts w:ascii="Times New Roman" w:hAnsi="Times New Roman"/>
          <w:b/>
          <w:sz w:val="28"/>
          <w:szCs w:val="28"/>
          <w:lang w:val="ro-MO"/>
        </w:rPr>
        <w:t>rgumentarea</w:t>
      </w:r>
      <w:r w:rsidR="00836AB3">
        <w:rPr>
          <w:rFonts w:ascii="Times New Roman" w:hAnsi="Times New Roman"/>
          <w:b/>
          <w:sz w:val="28"/>
          <w:szCs w:val="28"/>
          <w:lang w:val="ro-MO"/>
        </w:rPr>
        <w:t xml:space="preserve"> modificărilor</w:t>
      </w:r>
      <w:r w:rsidR="008008D3" w:rsidRPr="00AD160F">
        <w:rPr>
          <w:rFonts w:ascii="Times New Roman" w:hAnsi="Times New Roman"/>
          <w:b/>
          <w:sz w:val="28"/>
          <w:szCs w:val="28"/>
          <w:lang w:val="ro-MO"/>
        </w:rPr>
        <w:t xml:space="preserve"> </w:t>
      </w:r>
    </w:p>
    <w:p w:rsidR="0095388A" w:rsidRPr="002526B9" w:rsidRDefault="0095388A" w:rsidP="008B3768">
      <w:pPr>
        <w:pStyle w:val="NormalWeb"/>
        <w:rPr>
          <w:rFonts w:ascii="Times New Roman" w:hAnsi="Times New Roman"/>
          <w:sz w:val="10"/>
          <w:szCs w:val="10"/>
          <w:lang w:val="ro-MO"/>
        </w:rPr>
      </w:pPr>
    </w:p>
    <w:p w:rsidR="0095388A" w:rsidRPr="00AD160F" w:rsidRDefault="00D7454C" w:rsidP="00A711ED">
      <w:pPr>
        <w:pStyle w:val="NormalWeb"/>
        <w:rPr>
          <w:rFonts w:ascii="Times New Roman" w:hAnsi="Times New Roman"/>
          <w:sz w:val="28"/>
          <w:szCs w:val="28"/>
          <w:lang w:val="ro-MO"/>
        </w:rPr>
      </w:pPr>
      <w:r w:rsidRPr="00AD160F">
        <w:rPr>
          <w:rFonts w:ascii="Times New Roman" w:hAnsi="Times New Roman"/>
          <w:sz w:val="28"/>
          <w:szCs w:val="28"/>
          <w:lang w:val="ro-MO"/>
        </w:rPr>
        <w:t>Principalele propuneri de politică publică materializate în modificările p</w:t>
      </w:r>
      <w:r w:rsidR="00AA363A" w:rsidRPr="00AD160F">
        <w:rPr>
          <w:rFonts w:ascii="Times New Roman" w:hAnsi="Times New Roman"/>
          <w:sz w:val="28"/>
          <w:szCs w:val="28"/>
          <w:lang w:val="ro-MO"/>
        </w:rPr>
        <w:t>rezentate mai sus se referă la:</w:t>
      </w:r>
    </w:p>
    <w:p w:rsidR="00AA363A" w:rsidRPr="00836AB3" w:rsidRDefault="00AA363A" w:rsidP="008B3768">
      <w:pPr>
        <w:ind w:firstLine="720"/>
        <w:jc w:val="both"/>
        <w:rPr>
          <w:rFonts w:ascii="Times New Roman" w:hAnsi="Times New Roman" w:cs="Times New Roman"/>
          <w:b/>
          <w:sz w:val="10"/>
          <w:szCs w:val="10"/>
          <w:lang w:val="ro-MO"/>
        </w:rPr>
      </w:pPr>
    </w:p>
    <w:p w:rsidR="00AA363A" w:rsidRPr="00836AB3" w:rsidRDefault="00A711ED" w:rsidP="00A711ED">
      <w:pPr>
        <w:ind w:firstLine="567"/>
        <w:jc w:val="both"/>
        <w:rPr>
          <w:rFonts w:ascii="Times New Roman" w:hAnsi="Times New Roman" w:cs="Times New Roman"/>
          <w:i/>
          <w:sz w:val="28"/>
          <w:szCs w:val="28"/>
          <w:lang w:val="ro-MO"/>
        </w:rPr>
      </w:pPr>
      <w:r w:rsidRPr="00836AB3">
        <w:rPr>
          <w:rFonts w:ascii="Times New Roman" w:hAnsi="Times New Roman" w:cs="Times New Roman"/>
          <w:i/>
          <w:sz w:val="28"/>
          <w:szCs w:val="28"/>
          <w:lang w:val="ro-MO"/>
        </w:rPr>
        <w:t xml:space="preserve">III.1. </w:t>
      </w:r>
      <w:r w:rsidR="00AA363A" w:rsidRPr="00836AB3">
        <w:rPr>
          <w:rFonts w:ascii="Times New Roman" w:hAnsi="Times New Roman" w:cs="Times New Roman"/>
          <w:i/>
          <w:sz w:val="28"/>
          <w:szCs w:val="28"/>
          <w:lang w:val="ro-MO"/>
        </w:rPr>
        <w:t xml:space="preserve"> Îmbunătă</w:t>
      </w:r>
      <w:r w:rsidR="006F4B00">
        <w:rPr>
          <w:rFonts w:ascii="Times New Roman" w:hAnsi="Times New Roman" w:cs="Times New Roman"/>
          <w:i/>
          <w:sz w:val="28"/>
          <w:szCs w:val="28"/>
          <w:lang w:val="ro-MO"/>
        </w:rPr>
        <w:t>ţ</w:t>
      </w:r>
      <w:r w:rsidR="00AA363A" w:rsidRPr="00836AB3">
        <w:rPr>
          <w:rFonts w:ascii="Times New Roman" w:hAnsi="Times New Roman" w:cs="Times New Roman"/>
          <w:i/>
          <w:sz w:val="28"/>
          <w:szCs w:val="28"/>
          <w:lang w:val="ro-MO"/>
        </w:rPr>
        <w:t>irea treptată a alocării transferului general</w:t>
      </w:r>
    </w:p>
    <w:p w:rsidR="00AA363A" w:rsidRPr="00836AB3" w:rsidRDefault="00AA363A" w:rsidP="008B3768">
      <w:pPr>
        <w:jc w:val="both"/>
        <w:rPr>
          <w:rFonts w:ascii="Times New Roman" w:hAnsi="Times New Roman" w:cs="Times New Roman"/>
          <w:sz w:val="10"/>
          <w:szCs w:val="10"/>
          <w:lang w:val="ro-MO"/>
        </w:rPr>
      </w:pPr>
    </w:p>
    <w:p w:rsidR="00AA363A" w:rsidRPr="00AD160F" w:rsidRDefault="00AA363A" w:rsidP="00A711ED">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Înlocuirea </w:t>
      </w:r>
      <w:r w:rsidR="00A711ED" w:rsidRPr="00AD160F">
        <w:rPr>
          <w:rFonts w:ascii="Times New Roman" w:hAnsi="Times New Roman" w:cs="Times New Roman"/>
          <w:sz w:val="28"/>
          <w:szCs w:val="28"/>
          <w:lang w:val="ro-MO"/>
        </w:rPr>
        <w:t>actualului sistem</w:t>
      </w:r>
      <w:r w:rsidRPr="00AD160F">
        <w:rPr>
          <w:rFonts w:ascii="Times New Roman" w:hAnsi="Times New Roman" w:cs="Times New Roman"/>
          <w:sz w:val="28"/>
          <w:szCs w:val="28"/>
          <w:lang w:val="ro-MO"/>
        </w:rPr>
        <w:t xml:space="preserve"> </w:t>
      </w:r>
      <w:r w:rsidR="00A711ED" w:rsidRPr="00AD160F">
        <w:rPr>
          <w:rFonts w:ascii="Times New Roman" w:hAnsi="Times New Roman" w:cs="Times New Roman"/>
          <w:sz w:val="28"/>
          <w:szCs w:val="28"/>
          <w:lang w:val="ro-MO"/>
        </w:rPr>
        <w:t>de alocare a transferurilor</w:t>
      </w:r>
      <w:r w:rsidRPr="00AD160F">
        <w:rPr>
          <w:rFonts w:ascii="Times New Roman" w:hAnsi="Times New Roman" w:cs="Times New Roman"/>
          <w:sz w:val="28"/>
          <w:szCs w:val="28"/>
          <w:lang w:val="ro-MO"/>
        </w:rPr>
        <w:t xml:space="preserve"> general</w:t>
      </w:r>
      <w:r w:rsidR="00A711ED" w:rsidRPr="00AD160F">
        <w:rPr>
          <w:rFonts w:ascii="Times New Roman" w:hAnsi="Times New Roman" w:cs="Times New Roman"/>
          <w:sz w:val="28"/>
          <w:szCs w:val="28"/>
          <w:lang w:val="ro-MO"/>
        </w:rPr>
        <w:t>e</w:t>
      </w:r>
      <w:r w:rsidR="00403B98" w:rsidRPr="00AD160F">
        <w:rPr>
          <w:rFonts w:ascii="Times New Roman" w:hAnsi="Times New Roman" w:cs="Times New Roman"/>
          <w:sz w:val="28"/>
          <w:szCs w:val="28"/>
          <w:lang w:val="ro-MO"/>
        </w:rPr>
        <w:t>, p</w:t>
      </w:r>
      <w:r w:rsidRPr="00AD160F">
        <w:rPr>
          <w:rFonts w:ascii="Times New Roman" w:hAnsi="Times New Roman" w:cs="Times New Roman"/>
          <w:sz w:val="28"/>
          <w:szCs w:val="28"/>
          <w:lang w:val="ro-MO"/>
        </w:rPr>
        <w:t xml:space="preserve">otrivit </w:t>
      </w:r>
      <w:r w:rsidR="00403B98" w:rsidRPr="00AD160F">
        <w:rPr>
          <w:rFonts w:ascii="Times New Roman" w:hAnsi="Times New Roman" w:cs="Times New Roman"/>
          <w:sz w:val="28"/>
          <w:szCs w:val="28"/>
          <w:lang w:val="ro-MO"/>
        </w:rPr>
        <w:t>căruia</w:t>
      </w:r>
      <w:r w:rsidRPr="00AD160F">
        <w:rPr>
          <w:rFonts w:ascii="Times New Roman" w:hAnsi="Times New Roman" w:cs="Times New Roman"/>
          <w:sz w:val="28"/>
          <w:szCs w:val="28"/>
          <w:lang w:val="ro-MO"/>
        </w:rPr>
        <w:t xml:space="preserve"> volumul transferului pentru o anumită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 pu</w:t>
      </w:r>
      <w:r w:rsidR="00A711ED" w:rsidRPr="00AD160F">
        <w:rPr>
          <w:rFonts w:ascii="Times New Roman" w:hAnsi="Times New Roman" w:cs="Times New Roman"/>
          <w:sz w:val="28"/>
          <w:szCs w:val="28"/>
          <w:lang w:val="ro-MO"/>
        </w:rPr>
        <w:t>blică este stabilit ca diferen</w:t>
      </w:r>
      <w:r w:rsidR="006F4B00">
        <w:rPr>
          <w:rFonts w:ascii="Times New Roman" w:hAnsi="Times New Roman" w:cs="Times New Roman"/>
          <w:sz w:val="28"/>
          <w:szCs w:val="28"/>
          <w:lang w:val="ro-MO"/>
        </w:rPr>
        <w:t>ţ</w:t>
      </w:r>
      <w:r w:rsidR="0030072A" w:rsidRPr="00AD160F">
        <w:rPr>
          <w:rFonts w:ascii="Times New Roman" w:hAnsi="Times New Roman" w:cs="Times New Roman"/>
          <w:sz w:val="28"/>
          <w:szCs w:val="28"/>
          <w:lang w:val="ro-MO"/>
        </w:rPr>
        <w:t>ă</w:t>
      </w:r>
      <w:r w:rsidRPr="00AD160F">
        <w:rPr>
          <w:rFonts w:ascii="Times New Roman" w:hAnsi="Times New Roman" w:cs="Times New Roman"/>
          <w:sz w:val="28"/>
          <w:szCs w:val="28"/>
          <w:lang w:val="ro-MO"/>
        </w:rPr>
        <w:t xml:space="preserve"> între nevoile</w:t>
      </w:r>
      <w:r w:rsidR="00836AB3">
        <w:rPr>
          <w:rFonts w:ascii="Times New Roman" w:hAnsi="Times New Roman" w:cs="Times New Roman"/>
          <w:sz w:val="28"/>
          <w:szCs w:val="28"/>
          <w:lang w:val="ro-MO"/>
        </w:rPr>
        <w:t>,</w:t>
      </w:r>
      <w:r w:rsidRPr="00AD160F">
        <w:rPr>
          <w:rFonts w:ascii="Times New Roman" w:hAnsi="Times New Roman" w:cs="Times New Roman"/>
          <w:sz w:val="28"/>
          <w:szCs w:val="28"/>
          <w:lang w:val="ro-MO"/>
        </w:rPr>
        <w:t xml:space="preserve"> </w:t>
      </w:r>
      <w:r w:rsidR="00836AB3">
        <w:rPr>
          <w:rFonts w:ascii="Times New Roman" w:hAnsi="Times New Roman" w:cs="Times New Roman"/>
          <w:sz w:val="28"/>
          <w:szCs w:val="28"/>
          <w:lang w:val="ro-MO"/>
        </w:rPr>
        <w:t>estimate</w:t>
      </w:r>
      <w:r w:rsidRPr="00AD160F">
        <w:rPr>
          <w:rFonts w:ascii="Times New Roman" w:hAnsi="Times New Roman" w:cs="Times New Roman"/>
          <w:sz w:val="28"/>
          <w:szCs w:val="28"/>
          <w:lang w:val="ro-MO"/>
        </w:rPr>
        <w:t xml:space="preserve"> la nivel central</w:t>
      </w:r>
      <w:r w:rsidR="00836AB3">
        <w:rPr>
          <w:rFonts w:ascii="Times New Roman" w:hAnsi="Times New Roman" w:cs="Times New Roman"/>
          <w:sz w:val="28"/>
          <w:szCs w:val="28"/>
          <w:lang w:val="ro-MO"/>
        </w:rPr>
        <w:t>,</w:t>
      </w:r>
      <w:r w:rsidRPr="00AD160F">
        <w:rPr>
          <w:rFonts w:ascii="Times New Roman" w:hAnsi="Times New Roman" w:cs="Times New Roman"/>
          <w:sz w:val="28"/>
          <w:szCs w:val="28"/>
          <w:lang w:val="ro-MO"/>
        </w:rPr>
        <w:t xml:space="preserve"> pe baza uno</w:t>
      </w:r>
      <w:r w:rsidR="00836AB3">
        <w:rPr>
          <w:rFonts w:ascii="Times New Roman" w:hAnsi="Times New Roman" w:cs="Times New Roman"/>
          <w:sz w:val="28"/>
          <w:szCs w:val="28"/>
          <w:lang w:val="ro-MO"/>
        </w:rPr>
        <w:t xml:space="preserve">r costuri normative </w:t>
      </w:r>
      <w:r w:rsidR="006F4B00">
        <w:rPr>
          <w:rFonts w:ascii="Times New Roman" w:hAnsi="Times New Roman" w:cs="Times New Roman"/>
          <w:sz w:val="28"/>
          <w:szCs w:val="28"/>
          <w:lang w:val="ro-MO"/>
        </w:rPr>
        <w:t>ş</w:t>
      </w:r>
      <w:r w:rsidR="00836AB3">
        <w:rPr>
          <w:rFonts w:ascii="Times New Roman" w:hAnsi="Times New Roman" w:cs="Times New Roman"/>
          <w:sz w:val="28"/>
          <w:szCs w:val="28"/>
          <w:lang w:val="ro-MO"/>
        </w:rPr>
        <w:t xml:space="preserve">i </w:t>
      </w:r>
      <w:r w:rsidR="0030072A" w:rsidRPr="00AD160F">
        <w:rPr>
          <w:rFonts w:ascii="Times New Roman" w:hAnsi="Times New Roman" w:cs="Times New Roman"/>
          <w:sz w:val="28"/>
          <w:szCs w:val="28"/>
          <w:lang w:val="ro-MO"/>
        </w:rPr>
        <w:t>veniturile</w:t>
      </w:r>
      <w:r w:rsidRPr="00AD160F">
        <w:rPr>
          <w:rFonts w:ascii="Times New Roman" w:hAnsi="Times New Roman" w:cs="Times New Roman"/>
          <w:sz w:val="28"/>
          <w:szCs w:val="28"/>
          <w:lang w:val="ro-MO"/>
        </w:rPr>
        <w:t xml:space="preserve"> proprii</w:t>
      </w:r>
      <w:r w:rsidR="0030072A" w:rsidRPr="00AD160F">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sidR="0030072A" w:rsidRPr="00AD160F">
        <w:rPr>
          <w:rFonts w:ascii="Times New Roman" w:hAnsi="Times New Roman" w:cs="Times New Roman"/>
          <w:sz w:val="28"/>
          <w:szCs w:val="28"/>
          <w:lang w:val="ro-MO"/>
        </w:rPr>
        <w:t>i defalcările de la veniturile generale de stat</w:t>
      </w:r>
      <w:r w:rsidRPr="00AD160F">
        <w:rPr>
          <w:rFonts w:ascii="Times New Roman" w:hAnsi="Times New Roman" w:cs="Times New Roman"/>
          <w:sz w:val="28"/>
          <w:szCs w:val="28"/>
          <w:lang w:val="ro-MO"/>
        </w:rPr>
        <w:t>, de asem</w:t>
      </w:r>
      <w:r w:rsidR="0030072A" w:rsidRPr="00AD160F">
        <w:rPr>
          <w:rFonts w:ascii="Times New Roman" w:hAnsi="Times New Roman" w:cs="Times New Roman"/>
          <w:sz w:val="28"/>
          <w:szCs w:val="28"/>
          <w:lang w:val="ro-MO"/>
        </w:rPr>
        <w:t xml:space="preserve">enea estimate la nivel central. </w:t>
      </w:r>
      <w:r w:rsidR="00403B98" w:rsidRPr="00AD160F">
        <w:rPr>
          <w:rFonts w:ascii="Times New Roman" w:hAnsi="Times New Roman" w:cs="Times New Roman"/>
          <w:sz w:val="28"/>
          <w:szCs w:val="28"/>
          <w:lang w:val="ro-MO"/>
        </w:rPr>
        <w:t>Totodată, î</w:t>
      </w:r>
      <w:r w:rsidRPr="00AD160F">
        <w:rPr>
          <w:rFonts w:ascii="Times New Roman" w:hAnsi="Times New Roman" w:cs="Times New Roman"/>
          <w:sz w:val="28"/>
          <w:szCs w:val="28"/>
          <w:lang w:val="ro-MO"/>
        </w:rPr>
        <w:t xml:space="preserve">n prezent numai un număr limitat de impozite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taxe locale sunt excluse din procesul de echilibrare</w:t>
      </w:r>
      <w:r w:rsidR="00403B98" w:rsidRPr="00AD160F">
        <w:rPr>
          <w:rFonts w:ascii="Times New Roman" w:hAnsi="Times New Roman" w:cs="Times New Roman"/>
          <w:sz w:val="28"/>
          <w:szCs w:val="28"/>
          <w:lang w:val="ro-MO"/>
        </w:rPr>
        <w:t>.</w:t>
      </w:r>
    </w:p>
    <w:p w:rsidR="00AA363A" w:rsidRPr="002526B9" w:rsidRDefault="00AA363A" w:rsidP="008B3768">
      <w:pPr>
        <w:jc w:val="both"/>
        <w:rPr>
          <w:rFonts w:ascii="Times New Roman" w:hAnsi="Times New Roman" w:cs="Times New Roman"/>
          <w:sz w:val="10"/>
          <w:szCs w:val="10"/>
          <w:lang w:val="ro-MO"/>
        </w:rPr>
      </w:pPr>
    </w:p>
    <w:p w:rsidR="00AA363A" w:rsidRPr="00CE76D9" w:rsidRDefault="00403B98" w:rsidP="0030072A">
      <w:pPr>
        <w:tabs>
          <w:tab w:val="left" w:pos="1276"/>
        </w:tabs>
        <w:ind w:firstLine="567"/>
        <w:jc w:val="both"/>
        <w:rPr>
          <w:rFonts w:ascii="Times New Roman" w:hAnsi="Times New Roman" w:cs="Times New Roman"/>
          <w:i/>
          <w:sz w:val="28"/>
          <w:szCs w:val="28"/>
          <w:lang w:val="ro-MO"/>
        </w:rPr>
      </w:pPr>
      <w:r w:rsidRPr="00CE76D9">
        <w:rPr>
          <w:rFonts w:ascii="Times New Roman" w:hAnsi="Times New Roman" w:cs="Times New Roman"/>
          <w:i/>
          <w:sz w:val="28"/>
          <w:szCs w:val="28"/>
          <w:lang w:val="ro-MO"/>
        </w:rPr>
        <w:t>III.</w:t>
      </w:r>
      <w:r w:rsidR="00AA363A" w:rsidRPr="00CE76D9">
        <w:rPr>
          <w:rFonts w:ascii="Times New Roman" w:hAnsi="Times New Roman" w:cs="Times New Roman"/>
          <w:i/>
          <w:sz w:val="28"/>
          <w:szCs w:val="28"/>
          <w:lang w:val="ro-MO"/>
        </w:rPr>
        <w:t>2. Finan</w:t>
      </w:r>
      <w:r w:rsidR="006F4B00" w:rsidRPr="00CE76D9">
        <w:rPr>
          <w:rFonts w:ascii="Times New Roman" w:hAnsi="Times New Roman" w:cs="Times New Roman"/>
          <w:i/>
          <w:sz w:val="28"/>
          <w:szCs w:val="28"/>
          <w:lang w:val="ro-MO"/>
        </w:rPr>
        <w:t>ţ</w:t>
      </w:r>
      <w:r w:rsidR="00AA363A" w:rsidRPr="00CE76D9">
        <w:rPr>
          <w:rFonts w:ascii="Times New Roman" w:hAnsi="Times New Roman" w:cs="Times New Roman"/>
          <w:i/>
          <w:sz w:val="28"/>
          <w:szCs w:val="28"/>
          <w:lang w:val="ro-MO"/>
        </w:rPr>
        <w:t>area sistemului de educa</w:t>
      </w:r>
      <w:r w:rsidR="006F4B00" w:rsidRPr="00CE76D9">
        <w:rPr>
          <w:rFonts w:ascii="Times New Roman" w:hAnsi="Times New Roman" w:cs="Times New Roman"/>
          <w:i/>
          <w:sz w:val="28"/>
          <w:szCs w:val="28"/>
          <w:lang w:val="ro-MO"/>
        </w:rPr>
        <w:t>ţ</w:t>
      </w:r>
      <w:r w:rsidR="00AA363A" w:rsidRPr="00CE76D9">
        <w:rPr>
          <w:rFonts w:ascii="Times New Roman" w:hAnsi="Times New Roman" w:cs="Times New Roman"/>
          <w:i/>
          <w:sz w:val="28"/>
          <w:szCs w:val="28"/>
          <w:lang w:val="ro-MO"/>
        </w:rPr>
        <w:t>ie</w:t>
      </w:r>
      <w:r w:rsidR="00CE76D9" w:rsidRPr="00CE76D9">
        <w:rPr>
          <w:rFonts w:ascii="Times New Roman" w:hAnsi="Times New Roman" w:cs="Times New Roman"/>
          <w:i/>
          <w:sz w:val="28"/>
          <w:szCs w:val="28"/>
          <w:lang w:val="ro-MO"/>
        </w:rPr>
        <w:t xml:space="preserve"> preşcolară, primară şi secundar</w:t>
      </w:r>
      <w:r w:rsidR="00CE76D9" w:rsidRPr="00CE76D9">
        <w:rPr>
          <w:rFonts w:ascii="Times New Roman" w:hAnsi="Times New Roman" w:cs="Times New Roman"/>
          <w:i/>
          <w:sz w:val="28"/>
          <w:szCs w:val="28"/>
        </w:rPr>
        <w:t>-</w:t>
      </w:r>
      <w:r w:rsidR="00CE76D9" w:rsidRPr="00CE76D9">
        <w:rPr>
          <w:rFonts w:ascii="Times New Roman" w:hAnsi="Times New Roman" w:cs="Times New Roman"/>
          <w:i/>
          <w:sz w:val="28"/>
          <w:szCs w:val="28"/>
          <w:lang w:val="ro-MO"/>
        </w:rPr>
        <w:t xml:space="preserve">generală, a plăţilor sociale </w:t>
      </w:r>
      <w:r w:rsidR="005A6AFA" w:rsidRPr="00CE76D9">
        <w:rPr>
          <w:rFonts w:ascii="Times New Roman" w:hAnsi="Times New Roman" w:cs="Times New Roman"/>
          <w:i/>
          <w:sz w:val="28"/>
          <w:szCs w:val="28"/>
          <w:lang w:val="ro-MO"/>
        </w:rPr>
        <w:t xml:space="preserve"> </w:t>
      </w:r>
      <w:r w:rsidR="00AA363A" w:rsidRPr="00CE76D9">
        <w:rPr>
          <w:rFonts w:ascii="Times New Roman" w:hAnsi="Times New Roman" w:cs="Times New Roman"/>
          <w:i/>
          <w:sz w:val="28"/>
          <w:szCs w:val="28"/>
          <w:lang w:val="ro-MO"/>
        </w:rPr>
        <w:t>prin transfer</w:t>
      </w:r>
      <w:r w:rsidR="005A6AFA" w:rsidRPr="00CE76D9">
        <w:rPr>
          <w:rFonts w:ascii="Times New Roman" w:hAnsi="Times New Roman" w:cs="Times New Roman"/>
          <w:i/>
          <w:sz w:val="28"/>
          <w:szCs w:val="28"/>
          <w:lang w:val="ro-MO"/>
        </w:rPr>
        <w:t>uri</w:t>
      </w:r>
      <w:r w:rsidR="00AA363A" w:rsidRPr="00CE76D9">
        <w:rPr>
          <w:rFonts w:ascii="Times New Roman" w:hAnsi="Times New Roman" w:cs="Times New Roman"/>
          <w:i/>
          <w:sz w:val="28"/>
          <w:szCs w:val="28"/>
          <w:lang w:val="ro-MO"/>
        </w:rPr>
        <w:t xml:space="preserve"> condi</w:t>
      </w:r>
      <w:r w:rsidR="006F4B00" w:rsidRPr="00CE76D9">
        <w:rPr>
          <w:rFonts w:ascii="Times New Roman" w:hAnsi="Times New Roman" w:cs="Times New Roman"/>
          <w:i/>
          <w:sz w:val="28"/>
          <w:szCs w:val="28"/>
          <w:lang w:val="ro-MO"/>
        </w:rPr>
        <w:t>ţ</w:t>
      </w:r>
      <w:r w:rsidR="00AA363A" w:rsidRPr="00CE76D9">
        <w:rPr>
          <w:rFonts w:ascii="Times New Roman" w:hAnsi="Times New Roman" w:cs="Times New Roman"/>
          <w:i/>
          <w:sz w:val="28"/>
          <w:szCs w:val="28"/>
          <w:lang w:val="ro-MO"/>
        </w:rPr>
        <w:t>ionat</w:t>
      </w:r>
      <w:r w:rsidR="005A6AFA" w:rsidRPr="00CE76D9">
        <w:rPr>
          <w:rFonts w:ascii="Times New Roman" w:hAnsi="Times New Roman" w:cs="Times New Roman"/>
          <w:i/>
          <w:sz w:val="28"/>
          <w:szCs w:val="28"/>
          <w:lang w:val="ro-MO"/>
        </w:rPr>
        <w:t>e</w:t>
      </w:r>
    </w:p>
    <w:p w:rsidR="00AA363A" w:rsidRPr="00CE76D9" w:rsidRDefault="00AA363A" w:rsidP="008B3768">
      <w:pPr>
        <w:jc w:val="both"/>
        <w:rPr>
          <w:rFonts w:ascii="Times New Roman" w:hAnsi="Times New Roman" w:cs="Times New Roman"/>
          <w:sz w:val="10"/>
          <w:szCs w:val="10"/>
          <w:lang w:val="ro-MO"/>
        </w:rPr>
      </w:pPr>
    </w:p>
    <w:p w:rsidR="00AA363A" w:rsidRPr="00CE76D9" w:rsidRDefault="00AA363A" w:rsidP="0030072A">
      <w:pPr>
        <w:ind w:firstLine="567"/>
        <w:jc w:val="both"/>
        <w:rPr>
          <w:rFonts w:ascii="Times New Roman" w:hAnsi="Times New Roman" w:cs="Times New Roman"/>
          <w:sz w:val="28"/>
          <w:szCs w:val="28"/>
          <w:lang w:val="ro-MO"/>
        </w:rPr>
      </w:pPr>
      <w:r w:rsidRPr="00CE76D9">
        <w:rPr>
          <w:rFonts w:ascii="Times New Roman" w:hAnsi="Times New Roman" w:cs="Times New Roman"/>
          <w:sz w:val="28"/>
          <w:szCs w:val="28"/>
          <w:lang w:val="ro-MO"/>
        </w:rPr>
        <w:t>Educa</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ia va fi finan</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ată printr-un transfer condi</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ionat – învă</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 xml:space="preserve">ământul </w:t>
      </w:r>
      <w:r w:rsidR="00CE76D9" w:rsidRPr="00CE76D9">
        <w:rPr>
          <w:rFonts w:ascii="Times New Roman" w:hAnsi="Times New Roman" w:cs="Times New Roman"/>
          <w:sz w:val="28"/>
          <w:szCs w:val="28"/>
          <w:lang w:val="ro-MO"/>
        </w:rPr>
        <w:t xml:space="preserve">preşcolar, </w:t>
      </w:r>
      <w:r w:rsidRPr="00CE76D9">
        <w:rPr>
          <w:rFonts w:ascii="Times New Roman" w:hAnsi="Times New Roman" w:cs="Times New Roman"/>
          <w:sz w:val="28"/>
          <w:szCs w:val="28"/>
          <w:lang w:val="ro-MO"/>
        </w:rPr>
        <w:t xml:space="preserve">primar </w:t>
      </w:r>
      <w:r w:rsidR="006F4B00" w:rsidRPr="00CE76D9">
        <w:rPr>
          <w:rFonts w:ascii="Times New Roman" w:hAnsi="Times New Roman" w:cs="Times New Roman"/>
          <w:sz w:val="28"/>
          <w:szCs w:val="28"/>
          <w:lang w:val="ro-MO"/>
        </w:rPr>
        <w:t>şi secundar</w:t>
      </w:r>
      <w:r w:rsidR="00CE76D9" w:rsidRPr="00CE76D9">
        <w:rPr>
          <w:rFonts w:ascii="Times New Roman" w:hAnsi="Times New Roman" w:cs="Times New Roman"/>
          <w:sz w:val="28"/>
          <w:szCs w:val="28"/>
        </w:rPr>
        <w:t>-</w:t>
      </w:r>
      <w:r w:rsidR="00CE76D9" w:rsidRPr="00CE76D9">
        <w:rPr>
          <w:rFonts w:ascii="Times New Roman" w:hAnsi="Times New Roman" w:cs="Times New Roman"/>
          <w:sz w:val="28"/>
          <w:szCs w:val="28"/>
          <w:lang w:val="ro-MO"/>
        </w:rPr>
        <w:t xml:space="preserve">general. </w:t>
      </w:r>
      <w:r w:rsidRPr="00CE76D9">
        <w:rPr>
          <w:rFonts w:ascii="Times New Roman" w:hAnsi="Times New Roman" w:cs="Times New Roman"/>
          <w:sz w:val="28"/>
          <w:szCs w:val="28"/>
          <w:lang w:val="ro-MO"/>
        </w:rPr>
        <w:t xml:space="preserve">Potrivit </w:t>
      </w:r>
      <w:r w:rsidR="00CA43FA" w:rsidRPr="00CE76D9">
        <w:rPr>
          <w:rFonts w:ascii="Times New Roman" w:hAnsi="Times New Roman" w:cs="Times New Roman"/>
          <w:sz w:val="28"/>
          <w:szCs w:val="28"/>
          <w:lang w:val="ro-MO"/>
        </w:rPr>
        <w:t>execu</w:t>
      </w:r>
      <w:r w:rsidR="006F4B00" w:rsidRPr="00CE76D9">
        <w:rPr>
          <w:rFonts w:ascii="Times New Roman" w:hAnsi="Times New Roman" w:cs="Times New Roman"/>
          <w:sz w:val="28"/>
          <w:szCs w:val="28"/>
          <w:lang w:val="ro-MO"/>
        </w:rPr>
        <w:t>ţ</w:t>
      </w:r>
      <w:r w:rsidR="00CA43FA" w:rsidRPr="00CE76D9">
        <w:rPr>
          <w:rFonts w:ascii="Times New Roman" w:hAnsi="Times New Roman" w:cs="Times New Roman"/>
          <w:sz w:val="28"/>
          <w:szCs w:val="28"/>
          <w:lang w:val="ro-MO"/>
        </w:rPr>
        <w:t xml:space="preserve">iei </w:t>
      </w:r>
      <w:r w:rsidRPr="00CE76D9">
        <w:rPr>
          <w:rFonts w:ascii="Times New Roman" w:hAnsi="Times New Roman" w:cs="Times New Roman"/>
          <w:sz w:val="28"/>
          <w:szCs w:val="28"/>
          <w:lang w:val="ro-MO"/>
        </w:rPr>
        <w:t xml:space="preserve">bugetului pe </w:t>
      </w:r>
      <w:r w:rsidR="0030072A" w:rsidRPr="00CE76D9">
        <w:rPr>
          <w:rFonts w:ascii="Times New Roman" w:hAnsi="Times New Roman" w:cs="Times New Roman"/>
          <w:sz w:val="28"/>
          <w:szCs w:val="28"/>
          <w:lang w:val="ro-MO"/>
        </w:rPr>
        <w:t xml:space="preserve">anul </w:t>
      </w:r>
      <w:r w:rsidRPr="00CE76D9">
        <w:rPr>
          <w:rFonts w:ascii="Times New Roman" w:hAnsi="Times New Roman" w:cs="Times New Roman"/>
          <w:sz w:val="28"/>
          <w:szCs w:val="28"/>
          <w:lang w:val="ro-MO"/>
        </w:rPr>
        <w:t>2010</w:t>
      </w:r>
      <w:r w:rsidR="0030072A" w:rsidRPr="00CE76D9">
        <w:rPr>
          <w:rFonts w:ascii="Times New Roman" w:hAnsi="Times New Roman" w:cs="Times New Roman"/>
          <w:sz w:val="28"/>
          <w:szCs w:val="28"/>
          <w:lang w:val="ro-MO"/>
        </w:rPr>
        <w:t>,</w:t>
      </w:r>
      <w:r w:rsidRPr="00CE76D9">
        <w:rPr>
          <w:rFonts w:ascii="Times New Roman" w:hAnsi="Times New Roman" w:cs="Times New Roman"/>
          <w:sz w:val="28"/>
          <w:szCs w:val="28"/>
          <w:lang w:val="ro-MO"/>
        </w:rPr>
        <w:t xml:space="preserve"> transferul general alocat de administra</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 xml:space="preserve">ia centrală este în mare </w:t>
      </w:r>
      <w:r w:rsidR="0030072A" w:rsidRPr="00CE76D9">
        <w:rPr>
          <w:rFonts w:ascii="Times New Roman" w:hAnsi="Times New Roman" w:cs="Times New Roman"/>
          <w:sz w:val="28"/>
          <w:szCs w:val="28"/>
          <w:lang w:val="ro-MO"/>
        </w:rPr>
        <w:t xml:space="preserve">parte </w:t>
      </w:r>
      <w:r w:rsidRPr="00CE76D9">
        <w:rPr>
          <w:rFonts w:ascii="Times New Roman" w:hAnsi="Times New Roman" w:cs="Times New Roman"/>
          <w:sz w:val="28"/>
          <w:szCs w:val="28"/>
          <w:lang w:val="ro-MO"/>
        </w:rPr>
        <w:t>egal cu cheltuielile pentru educa</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ie (pre-</w:t>
      </w:r>
      <w:r w:rsidR="006F4B00" w:rsidRPr="00CE76D9">
        <w:rPr>
          <w:rFonts w:ascii="Times New Roman" w:hAnsi="Times New Roman" w:cs="Times New Roman"/>
          <w:sz w:val="28"/>
          <w:szCs w:val="28"/>
          <w:lang w:val="ro-MO"/>
        </w:rPr>
        <w:t>ş</w:t>
      </w:r>
      <w:r w:rsidRPr="00CE76D9">
        <w:rPr>
          <w:rFonts w:ascii="Times New Roman" w:hAnsi="Times New Roman" w:cs="Times New Roman"/>
          <w:sz w:val="28"/>
          <w:szCs w:val="28"/>
          <w:lang w:val="ro-MO"/>
        </w:rPr>
        <w:t>colară, primară, secundară, voca</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 xml:space="preserve">ională </w:t>
      </w:r>
      <w:r w:rsidR="006F4B00" w:rsidRPr="00CE76D9">
        <w:rPr>
          <w:rFonts w:ascii="Times New Roman" w:hAnsi="Times New Roman" w:cs="Times New Roman"/>
          <w:sz w:val="28"/>
          <w:szCs w:val="28"/>
          <w:lang w:val="ro-MO"/>
        </w:rPr>
        <w:t>ş</w:t>
      </w:r>
      <w:r w:rsidRPr="00CE76D9">
        <w:rPr>
          <w:rFonts w:ascii="Times New Roman" w:hAnsi="Times New Roman" w:cs="Times New Roman"/>
          <w:sz w:val="28"/>
          <w:szCs w:val="28"/>
          <w:lang w:val="ro-MO"/>
        </w:rPr>
        <w:t>i extra-</w:t>
      </w:r>
      <w:r w:rsidR="006F4B00" w:rsidRPr="00CE76D9">
        <w:rPr>
          <w:rFonts w:ascii="Times New Roman" w:hAnsi="Times New Roman" w:cs="Times New Roman"/>
          <w:sz w:val="28"/>
          <w:szCs w:val="28"/>
          <w:lang w:val="ro-MO"/>
        </w:rPr>
        <w:t>ş</w:t>
      </w:r>
      <w:r w:rsidRPr="00CE76D9">
        <w:rPr>
          <w:rFonts w:ascii="Times New Roman" w:hAnsi="Times New Roman" w:cs="Times New Roman"/>
          <w:sz w:val="28"/>
          <w:szCs w:val="28"/>
          <w:lang w:val="ro-MO"/>
        </w:rPr>
        <w:t>colară), deci noul grant condi</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 xml:space="preserve">ionat va fi </w:t>
      </w:r>
      <w:r w:rsidR="00CA43FA" w:rsidRPr="00CE76D9">
        <w:rPr>
          <w:rFonts w:ascii="Times New Roman" w:hAnsi="Times New Roman" w:cs="Times New Roman"/>
          <w:sz w:val="28"/>
          <w:szCs w:val="28"/>
          <w:lang w:val="ro-MO"/>
        </w:rPr>
        <w:t>aproximativ egal</w:t>
      </w:r>
      <w:r w:rsidRPr="00CE76D9">
        <w:rPr>
          <w:rFonts w:ascii="Times New Roman" w:hAnsi="Times New Roman" w:cs="Times New Roman"/>
          <w:sz w:val="28"/>
          <w:szCs w:val="28"/>
          <w:lang w:val="ro-MO"/>
        </w:rPr>
        <w:t xml:space="preserve"> cu transferul general alocat în 2010. </w:t>
      </w:r>
      <w:r w:rsidR="00403B98" w:rsidRPr="00CE76D9">
        <w:rPr>
          <w:rFonts w:ascii="Times New Roman" w:hAnsi="Times New Roman" w:cs="Times New Roman"/>
          <w:sz w:val="28"/>
          <w:szCs w:val="28"/>
          <w:lang w:val="ro-MO"/>
        </w:rPr>
        <w:t>Alocarea exactă a m</w:t>
      </w:r>
      <w:r w:rsidR="00B826DC" w:rsidRPr="00CE76D9">
        <w:rPr>
          <w:rFonts w:ascii="Times New Roman" w:hAnsi="Times New Roman" w:cs="Times New Roman"/>
          <w:sz w:val="28"/>
          <w:szCs w:val="28"/>
          <w:lang w:val="ro-MO"/>
        </w:rPr>
        <w:t>i</w:t>
      </w:r>
      <w:r w:rsidR="00403B98" w:rsidRPr="00CE76D9">
        <w:rPr>
          <w:rFonts w:ascii="Times New Roman" w:hAnsi="Times New Roman" w:cs="Times New Roman"/>
          <w:sz w:val="28"/>
          <w:szCs w:val="28"/>
          <w:lang w:val="ro-MO"/>
        </w:rPr>
        <w:t>jlo</w:t>
      </w:r>
      <w:r w:rsidR="00B826DC" w:rsidRPr="00CE76D9">
        <w:rPr>
          <w:rFonts w:ascii="Times New Roman" w:hAnsi="Times New Roman" w:cs="Times New Roman"/>
          <w:sz w:val="28"/>
          <w:szCs w:val="28"/>
          <w:lang w:val="ro-MO"/>
        </w:rPr>
        <w:t>ac</w:t>
      </w:r>
      <w:r w:rsidR="00403B98" w:rsidRPr="00CE76D9">
        <w:rPr>
          <w:rFonts w:ascii="Times New Roman" w:hAnsi="Times New Roman" w:cs="Times New Roman"/>
          <w:sz w:val="28"/>
          <w:szCs w:val="28"/>
          <w:lang w:val="ro-MO"/>
        </w:rPr>
        <w:t>elor pentru finan</w:t>
      </w:r>
      <w:r w:rsidR="006F4B00" w:rsidRPr="00CE76D9">
        <w:rPr>
          <w:rFonts w:ascii="Times New Roman" w:hAnsi="Times New Roman" w:cs="Times New Roman"/>
          <w:sz w:val="28"/>
          <w:szCs w:val="28"/>
          <w:lang w:val="ro-MO"/>
        </w:rPr>
        <w:t>ţ</w:t>
      </w:r>
      <w:r w:rsidR="00403B98" w:rsidRPr="00CE76D9">
        <w:rPr>
          <w:rFonts w:ascii="Times New Roman" w:hAnsi="Times New Roman" w:cs="Times New Roman"/>
          <w:sz w:val="28"/>
          <w:szCs w:val="28"/>
          <w:lang w:val="ro-MO"/>
        </w:rPr>
        <w:t xml:space="preserve">area </w:t>
      </w:r>
      <w:r w:rsidRPr="00CE76D9">
        <w:rPr>
          <w:rFonts w:ascii="Times New Roman" w:hAnsi="Times New Roman" w:cs="Times New Roman"/>
          <w:sz w:val="28"/>
          <w:szCs w:val="28"/>
          <w:lang w:val="ro-MO"/>
        </w:rPr>
        <w:t>sistemului de învă</w:t>
      </w:r>
      <w:r w:rsidR="006F4B00" w:rsidRPr="00CE76D9">
        <w:rPr>
          <w:rFonts w:ascii="Times New Roman" w:hAnsi="Times New Roman" w:cs="Times New Roman"/>
          <w:sz w:val="28"/>
          <w:szCs w:val="28"/>
          <w:lang w:val="ro-MO"/>
        </w:rPr>
        <w:t>ţ</w:t>
      </w:r>
      <w:r w:rsidRPr="00CE76D9">
        <w:rPr>
          <w:rFonts w:ascii="Times New Roman" w:hAnsi="Times New Roman" w:cs="Times New Roman"/>
          <w:sz w:val="28"/>
          <w:szCs w:val="28"/>
          <w:lang w:val="ro-MO"/>
        </w:rPr>
        <w:t xml:space="preserve">ământ </w:t>
      </w:r>
      <w:r w:rsidR="00CA43FA" w:rsidRPr="00CE76D9">
        <w:rPr>
          <w:rFonts w:ascii="Times New Roman" w:hAnsi="Times New Roman" w:cs="Times New Roman"/>
          <w:sz w:val="28"/>
          <w:szCs w:val="28"/>
          <w:lang w:val="ro-MO"/>
        </w:rPr>
        <w:t>se va face conform legisla</w:t>
      </w:r>
      <w:r w:rsidR="006F4B00" w:rsidRPr="00CE76D9">
        <w:rPr>
          <w:rFonts w:ascii="Times New Roman" w:hAnsi="Times New Roman" w:cs="Times New Roman"/>
          <w:sz w:val="28"/>
          <w:szCs w:val="28"/>
          <w:lang w:val="ro-MO"/>
        </w:rPr>
        <w:t>ţ</w:t>
      </w:r>
      <w:r w:rsidR="00CA43FA" w:rsidRPr="00CE76D9">
        <w:rPr>
          <w:rFonts w:ascii="Times New Roman" w:hAnsi="Times New Roman" w:cs="Times New Roman"/>
          <w:sz w:val="28"/>
          <w:szCs w:val="28"/>
          <w:lang w:val="ro-MO"/>
        </w:rPr>
        <w:t xml:space="preserve">iei în vigoare </w:t>
      </w:r>
      <w:r w:rsidR="006F4B00" w:rsidRPr="00CE76D9">
        <w:rPr>
          <w:rFonts w:ascii="Times New Roman" w:hAnsi="Times New Roman" w:cs="Times New Roman"/>
          <w:sz w:val="28"/>
          <w:szCs w:val="28"/>
          <w:lang w:val="ro-MO"/>
        </w:rPr>
        <w:t>ş</w:t>
      </w:r>
      <w:r w:rsidR="00CA43FA" w:rsidRPr="00CE76D9">
        <w:rPr>
          <w:rFonts w:ascii="Times New Roman" w:hAnsi="Times New Roman" w:cs="Times New Roman"/>
          <w:sz w:val="28"/>
          <w:szCs w:val="28"/>
          <w:lang w:val="ro-MO"/>
        </w:rPr>
        <w:t xml:space="preserve">i a metodologiei adoptate de Guvern. </w:t>
      </w:r>
    </w:p>
    <w:p w:rsidR="005A6AFA" w:rsidRDefault="005A6AFA" w:rsidP="00CE76D9">
      <w:pPr>
        <w:ind w:firstLine="567"/>
        <w:jc w:val="both"/>
        <w:rPr>
          <w:rFonts w:ascii="Times New Roman" w:hAnsi="Times New Roman" w:cs="Times New Roman"/>
          <w:sz w:val="28"/>
          <w:szCs w:val="28"/>
          <w:lang w:val="ro-MO"/>
        </w:rPr>
      </w:pPr>
      <w:r w:rsidRPr="00CE76D9">
        <w:rPr>
          <w:rFonts w:ascii="Times New Roman" w:hAnsi="Times New Roman" w:cs="Times New Roman"/>
          <w:sz w:val="28"/>
          <w:szCs w:val="28"/>
          <w:lang w:val="ro-MO"/>
        </w:rPr>
        <w:t>În acela</w:t>
      </w:r>
      <w:r w:rsidR="006F4B00" w:rsidRPr="00CE76D9">
        <w:rPr>
          <w:rFonts w:ascii="Times New Roman" w:hAnsi="Times New Roman" w:cs="Times New Roman"/>
          <w:sz w:val="28"/>
          <w:szCs w:val="28"/>
          <w:lang w:val="ro-MO"/>
        </w:rPr>
        <w:t>ş</w:t>
      </w:r>
      <w:r w:rsidRPr="00CE76D9">
        <w:rPr>
          <w:rFonts w:ascii="Times New Roman" w:hAnsi="Times New Roman" w:cs="Times New Roman"/>
          <w:sz w:val="28"/>
          <w:szCs w:val="28"/>
          <w:lang w:val="ro-MO"/>
        </w:rPr>
        <w:t xml:space="preserve">i fel vor fi </w:t>
      </w:r>
      <w:r w:rsidR="00CE76D9" w:rsidRPr="00CE76D9">
        <w:rPr>
          <w:rFonts w:ascii="Times New Roman" w:hAnsi="Times New Roman" w:cs="Times New Roman"/>
          <w:sz w:val="28"/>
          <w:szCs w:val="28"/>
          <w:lang w:val="ro-MO"/>
        </w:rPr>
        <w:t>efectuate</w:t>
      </w:r>
      <w:r w:rsidRPr="00CE76D9">
        <w:rPr>
          <w:rFonts w:ascii="Times New Roman" w:hAnsi="Times New Roman" w:cs="Times New Roman"/>
          <w:sz w:val="28"/>
          <w:szCs w:val="28"/>
          <w:lang w:val="ro-MO"/>
        </w:rPr>
        <w:t xml:space="preserve"> </w:t>
      </w:r>
      <w:r w:rsidR="006F4B00" w:rsidRPr="00CE76D9">
        <w:rPr>
          <w:rFonts w:ascii="Times New Roman" w:hAnsi="Times New Roman" w:cs="Times New Roman"/>
          <w:sz w:val="28"/>
          <w:szCs w:val="28"/>
          <w:lang w:val="ro-MO"/>
        </w:rPr>
        <w:t>ş</w:t>
      </w:r>
      <w:r w:rsidRPr="00CE76D9">
        <w:rPr>
          <w:rFonts w:ascii="Times New Roman" w:hAnsi="Times New Roman" w:cs="Times New Roman"/>
          <w:sz w:val="28"/>
          <w:szCs w:val="28"/>
          <w:lang w:val="ro-MO"/>
        </w:rPr>
        <w:t>i p</w:t>
      </w:r>
      <w:r w:rsidR="00CE76D9" w:rsidRPr="00CE76D9">
        <w:rPr>
          <w:rFonts w:ascii="Times New Roman" w:hAnsi="Times New Roman" w:cs="Times New Roman"/>
          <w:sz w:val="28"/>
          <w:szCs w:val="28"/>
          <w:lang w:val="ro-MO"/>
        </w:rPr>
        <w:t>l</w:t>
      </w:r>
      <w:r w:rsidR="00CE76D9" w:rsidRPr="00CE76D9">
        <w:rPr>
          <w:rFonts w:ascii="Times New Roman" w:hAnsi="Times New Roman" w:cs="Times New Roman"/>
          <w:sz w:val="28"/>
          <w:szCs w:val="28"/>
          <w:lang w:val="ro-RO"/>
        </w:rPr>
        <w:t xml:space="preserve">ăţile </w:t>
      </w:r>
      <w:r w:rsidRPr="00CE76D9">
        <w:rPr>
          <w:rFonts w:ascii="Times New Roman" w:hAnsi="Times New Roman" w:cs="Times New Roman"/>
          <w:sz w:val="28"/>
          <w:szCs w:val="28"/>
          <w:lang w:val="ro-MO"/>
        </w:rPr>
        <w:t>sociale (în bani)</w:t>
      </w:r>
      <w:r w:rsidR="00CE76D9" w:rsidRPr="00CE76D9">
        <w:rPr>
          <w:rFonts w:ascii="Times New Roman" w:hAnsi="Times New Roman" w:cs="Times New Roman"/>
          <w:sz w:val="28"/>
          <w:szCs w:val="28"/>
          <w:lang w:val="ro-MO"/>
        </w:rPr>
        <w:t>, prevăzute de legislaţie</w:t>
      </w:r>
      <w:r w:rsidR="00CE76D9">
        <w:rPr>
          <w:rFonts w:ascii="Times New Roman" w:hAnsi="Times New Roman" w:cs="Times New Roman"/>
          <w:sz w:val="28"/>
          <w:szCs w:val="28"/>
          <w:lang w:val="ro-MO"/>
        </w:rPr>
        <w:t>.</w:t>
      </w:r>
    </w:p>
    <w:p w:rsidR="00CA43FA" w:rsidRPr="002526B9" w:rsidRDefault="00CA43FA" w:rsidP="008B3768">
      <w:pPr>
        <w:jc w:val="both"/>
        <w:rPr>
          <w:rFonts w:ascii="Times New Roman" w:hAnsi="Times New Roman" w:cs="Times New Roman"/>
          <w:sz w:val="10"/>
          <w:szCs w:val="10"/>
          <w:lang w:val="ro-MO"/>
        </w:rPr>
      </w:pPr>
    </w:p>
    <w:p w:rsidR="00AA363A" w:rsidRPr="00836AB3" w:rsidRDefault="00403B98" w:rsidP="0030072A">
      <w:pPr>
        <w:ind w:firstLine="567"/>
        <w:jc w:val="both"/>
        <w:rPr>
          <w:rFonts w:ascii="Times New Roman" w:hAnsi="Times New Roman" w:cs="Times New Roman"/>
          <w:i/>
          <w:color w:val="365F91"/>
          <w:sz w:val="28"/>
          <w:szCs w:val="28"/>
          <w:lang w:val="ro-MO"/>
        </w:rPr>
      </w:pPr>
      <w:r w:rsidRPr="00836AB3">
        <w:rPr>
          <w:rFonts w:ascii="Times New Roman" w:hAnsi="Times New Roman" w:cs="Times New Roman"/>
          <w:i/>
          <w:sz w:val="28"/>
          <w:szCs w:val="28"/>
          <w:lang w:val="ro-MO"/>
        </w:rPr>
        <w:t>III.</w:t>
      </w:r>
      <w:r w:rsidR="00AA363A" w:rsidRPr="00836AB3">
        <w:rPr>
          <w:rFonts w:ascii="Times New Roman" w:hAnsi="Times New Roman" w:cs="Times New Roman"/>
          <w:i/>
          <w:sz w:val="28"/>
          <w:szCs w:val="28"/>
          <w:lang w:val="ro-MO"/>
        </w:rPr>
        <w:t xml:space="preserve">3. </w:t>
      </w:r>
      <w:r w:rsidR="00B826DC" w:rsidRPr="00836AB3">
        <w:rPr>
          <w:rFonts w:ascii="Times New Roman" w:hAnsi="Times New Roman" w:cs="Times New Roman"/>
          <w:i/>
          <w:sz w:val="28"/>
          <w:szCs w:val="28"/>
          <w:lang w:val="ro-MO"/>
        </w:rPr>
        <w:t>Oportunitatea utilizării în sistemul de partajare a unor impozite generale de stat</w:t>
      </w:r>
      <w:r w:rsidR="00AA363A" w:rsidRPr="00836AB3">
        <w:rPr>
          <w:rFonts w:ascii="Times New Roman" w:hAnsi="Times New Roman" w:cs="Times New Roman"/>
          <w:i/>
          <w:sz w:val="28"/>
          <w:szCs w:val="28"/>
          <w:lang w:val="ro-MO"/>
        </w:rPr>
        <w:t xml:space="preserve"> pe baza ariei de colectare</w:t>
      </w:r>
    </w:p>
    <w:p w:rsidR="00AA363A" w:rsidRPr="002526B9" w:rsidRDefault="00AA363A" w:rsidP="008B3768">
      <w:pPr>
        <w:jc w:val="both"/>
        <w:rPr>
          <w:rFonts w:ascii="Times New Roman" w:hAnsi="Times New Roman" w:cs="Times New Roman"/>
          <w:b/>
          <w:sz w:val="10"/>
          <w:szCs w:val="10"/>
          <w:lang w:val="ro-MO"/>
        </w:rPr>
      </w:pPr>
    </w:p>
    <w:p w:rsidR="00B826DC" w:rsidRPr="00AD160F" w:rsidRDefault="00AA363A" w:rsidP="0030072A">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Nu este recomandat să se utilizeze Impozitul pe Venitul Persoanelor Juridice (IVPJ)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Taxa pe Valoare Adăugată (TVA) ca impozite partajate pe baza ariei de colectare. </w:t>
      </w:r>
    </w:p>
    <w:p w:rsidR="00AA363A" w:rsidRPr="00AD160F" w:rsidRDefault="0030072A" w:rsidP="0030072A">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Potrivit </w:t>
      </w:r>
      <w:r w:rsidR="00B826DC" w:rsidRPr="00AD160F">
        <w:rPr>
          <w:rFonts w:ascii="Times New Roman" w:hAnsi="Times New Roman" w:cs="Times New Roman"/>
          <w:sz w:val="28"/>
          <w:szCs w:val="28"/>
          <w:lang w:val="ro-MO"/>
        </w:rPr>
        <w:t xml:space="preserve">datelor </w:t>
      </w:r>
      <w:r w:rsidR="00AA363A" w:rsidRPr="00AD160F">
        <w:rPr>
          <w:rFonts w:ascii="Times New Roman" w:hAnsi="Times New Roman" w:cs="Times New Roman"/>
          <w:sz w:val="28"/>
          <w:szCs w:val="28"/>
          <w:lang w:val="ro-MO"/>
        </w:rPr>
        <w:t>utilizate pentru planificarea bugetului pe anul 2012, distribu</w:t>
      </w:r>
      <w:r w:rsidR="006F4B00">
        <w:rPr>
          <w:rFonts w:ascii="Times New Roman" w:hAnsi="Times New Roman" w:cs="Times New Roman"/>
          <w:sz w:val="28"/>
          <w:szCs w:val="28"/>
          <w:lang w:val="ro-MO"/>
        </w:rPr>
        <w:t>ţ</w:t>
      </w:r>
      <w:r w:rsidR="00AA363A" w:rsidRPr="00AD160F">
        <w:rPr>
          <w:rFonts w:ascii="Times New Roman" w:hAnsi="Times New Roman" w:cs="Times New Roman"/>
          <w:sz w:val="28"/>
          <w:szCs w:val="28"/>
          <w:lang w:val="ro-MO"/>
        </w:rPr>
        <w:t>ia teritorială a IVPJ este foarte dezechilibrată:</w:t>
      </w:r>
    </w:p>
    <w:p w:rsidR="00E4421E" w:rsidRDefault="00AA363A" w:rsidP="00C07DCA">
      <w:pPr>
        <w:ind w:firstLine="567"/>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lastRenderedPageBreak/>
        <w:t>Tabel</w:t>
      </w:r>
      <w:r w:rsidR="00800A12">
        <w:rPr>
          <w:rFonts w:ascii="Times New Roman" w:hAnsi="Times New Roman" w:cs="Times New Roman"/>
          <w:sz w:val="28"/>
          <w:szCs w:val="28"/>
          <w:lang w:val="ro-MO"/>
        </w:rPr>
        <w:t>ul</w:t>
      </w:r>
      <w:r w:rsidRPr="00AD160F">
        <w:rPr>
          <w:rFonts w:ascii="Times New Roman" w:hAnsi="Times New Roman" w:cs="Times New Roman"/>
          <w:sz w:val="28"/>
          <w:szCs w:val="28"/>
          <w:lang w:val="ro-MO"/>
        </w:rPr>
        <w:t xml:space="preserve"> 1</w:t>
      </w:r>
      <w:r w:rsidR="00654693">
        <w:rPr>
          <w:rFonts w:ascii="Times New Roman" w:hAnsi="Times New Roman" w:cs="Times New Roman"/>
          <w:sz w:val="28"/>
          <w:szCs w:val="28"/>
          <w:lang w:val="ro-MO"/>
        </w:rPr>
        <w:t>. D</w:t>
      </w:r>
      <w:r w:rsidR="00454A46">
        <w:rPr>
          <w:rFonts w:ascii="Times New Roman" w:hAnsi="Times New Roman" w:cs="Times New Roman"/>
          <w:sz w:val="28"/>
          <w:szCs w:val="28"/>
          <w:lang w:val="ro-MO"/>
        </w:rPr>
        <w:t>istribu</w:t>
      </w:r>
      <w:r w:rsidR="006F4B00">
        <w:rPr>
          <w:rFonts w:ascii="Times New Roman" w:hAnsi="Times New Roman" w:cs="Times New Roman"/>
          <w:sz w:val="28"/>
          <w:szCs w:val="28"/>
          <w:lang w:val="ro-MO"/>
        </w:rPr>
        <w:t>ţ</w:t>
      </w:r>
      <w:r w:rsidR="00454A46">
        <w:rPr>
          <w:rFonts w:ascii="Times New Roman" w:hAnsi="Times New Roman" w:cs="Times New Roman"/>
          <w:sz w:val="28"/>
          <w:szCs w:val="28"/>
          <w:lang w:val="ro-MO"/>
        </w:rPr>
        <w:t xml:space="preserve">ia teritorială a IVPJ </w:t>
      </w:r>
      <w:r w:rsidR="00C07DCA">
        <w:rPr>
          <w:rFonts w:ascii="Times New Roman" w:hAnsi="Times New Roman" w:cs="Times New Roman"/>
          <w:sz w:val="28"/>
          <w:szCs w:val="28"/>
          <w:lang w:val="ro-MO"/>
        </w:rPr>
        <w:t>(%).</w:t>
      </w:r>
    </w:p>
    <w:tbl>
      <w:tblPr>
        <w:tblW w:w="0" w:type="auto"/>
        <w:jc w:val="center"/>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2"/>
        <w:gridCol w:w="3073"/>
        <w:gridCol w:w="3073"/>
      </w:tblGrid>
      <w:tr w:rsidR="00654693" w:rsidRPr="00AD160F" w:rsidTr="001B0998">
        <w:trPr>
          <w:jc w:val="center"/>
        </w:trPr>
        <w:tc>
          <w:tcPr>
            <w:tcW w:w="3072" w:type="dxa"/>
            <w:shd w:val="clear" w:color="auto" w:fill="auto"/>
          </w:tcPr>
          <w:p w:rsidR="00654693" w:rsidRPr="00AD160F" w:rsidRDefault="00654693" w:rsidP="008B3768">
            <w:pPr>
              <w:jc w:val="both"/>
              <w:rPr>
                <w:rFonts w:ascii="Times New Roman" w:hAnsi="Times New Roman" w:cs="Times New Roman"/>
                <w:b/>
                <w:bCs/>
                <w:sz w:val="28"/>
                <w:szCs w:val="28"/>
                <w:lang w:val="ro-MO"/>
              </w:rPr>
            </w:pPr>
            <w:r w:rsidRPr="00AD160F">
              <w:rPr>
                <w:rFonts w:ascii="Times New Roman" w:hAnsi="Times New Roman" w:cs="Times New Roman"/>
                <w:b/>
                <w:bCs/>
                <w:sz w:val="28"/>
                <w:szCs w:val="28"/>
                <w:lang w:val="ro-MO"/>
              </w:rPr>
              <w:t>Administra</w:t>
            </w:r>
            <w:r w:rsidR="006F4B00">
              <w:rPr>
                <w:rFonts w:ascii="Times New Roman" w:hAnsi="Times New Roman" w:cs="Times New Roman"/>
                <w:b/>
                <w:bCs/>
                <w:sz w:val="28"/>
                <w:szCs w:val="28"/>
                <w:lang w:val="ro-MO"/>
              </w:rPr>
              <w:t>ţ</w:t>
            </w:r>
            <w:r w:rsidRPr="00AD160F">
              <w:rPr>
                <w:rFonts w:ascii="Times New Roman" w:hAnsi="Times New Roman" w:cs="Times New Roman"/>
                <w:b/>
                <w:bCs/>
                <w:sz w:val="28"/>
                <w:szCs w:val="28"/>
                <w:lang w:val="ro-MO"/>
              </w:rPr>
              <w:t>ia Locală</w:t>
            </w:r>
          </w:p>
        </w:tc>
        <w:tc>
          <w:tcPr>
            <w:tcW w:w="3073" w:type="dxa"/>
            <w:shd w:val="clear" w:color="auto" w:fill="auto"/>
          </w:tcPr>
          <w:p w:rsidR="00654693" w:rsidRPr="00AD160F" w:rsidRDefault="00654693" w:rsidP="00C07DCA">
            <w:pPr>
              <w:jc w:val="center"/>
              <w:rPr>
                <w:rFonts w:ascii="Times New Roman" w:hAnsi="Times New Roman" w:cs="Times New Roman"/>
                <w:b/>
                <w:bCs/>
                <w:sz w:val="28"/>
                <w:szCs w:val="28"/>
                <w:lang w:val="ro-MO"/>
              </w:rPr>
            </w:pPr>
            <w:r>
              <w:rPr>
                <w:rFonts w:ascii="Times New Roman" w:hAnsi="Times New Roman" w:cs="Times New Roman"/>
                <w:b/>
                <w:bCs/>
                <w:sz w:val="28"/>
                <w:szCs w:val="28"/>
                <w:lang w:val="ro-MO"/>
              </w:rPr>
              <w:t>Ponderea p</w:t>
            </w:r>
            <w:r w:rsidRPr="00AD160F">
              <w:rPr>
                <w:rFonts w:ascii="Times New Roman" w:hAnsi="Times New Roman" w:cs="Times New Roman"/>
                <w:b/>
                <w:bCs/>
                <w:sz w:val="28"/>
                <w:szCs w:val="28"/>
                <w:lang w:val="ro-MO"/>
              </w:rPr>
              <w:t>opula</w:t>
            </w:r>
            <w:r w:rsidR="006F4B00">
              <w:rPr>
                <w:rFonts w:ascii="Times New Roman" w:hAnsi="Times New Roman" w:cs="Times New Roman"/>
                <w:b/>
                <w:bCs/>
                <w:sz w:val="28"/>
                <w:szCs w:val="28"/>
                <w:lang w:val="ro-MO"/>
              </w:rPr>
              <w:t>ţ</w:t>
            </w:r>
            <w:r w:rsidRPr="00AD160F">
              <w:rPr>
                <w:rFonts w:ascii="Times New Roman" w:hAnsi="Times New Roman" w:cs="Times New Roman"/>
                <w:b/>
                <w:bCs/>
                <w:sz w:val="28"/>
                <w:szCs w:val="28"/>
                <w:lang w:val="ro-MO"/>
              </w:rPr>
              <w:t>iei</w:t>
            </w:r>
          </w:p>
        </w:tc>
        <w:tc>
          <w:tcPr>
            <w:tcW w:w="3073" w:type="dxa"/>
            <w:shd w:val="clear" w:color="auto" w:fill="auto"/>
          </w:tcPr>
          <w:p w:rsidR="00654693" w:rsidRPr="00AD160F" w:rsidRDefault="00654693" w:rsidP="001B0998">
            <w:pPr>
              <w:rPr>
                <w:rFonts w:ascii="Times New Roman" w:hAnsi="Times New Roman" w:cs="Times New Roman"/>
                <w:b/>
                <w:bCs/>
                <w:sz w:val="28"/>
                <w:szCs w:val="28"/>
                <w:lang w:val="ro-MO"/>
              </w:rPr>
            </w:pPr>
            <w:r w:rsidRPr="00AD160F">
              <w:rPr>
                <w:rFonts w:ascii="Times New Roman" w:hAnsi="Times New Roman" w:cs="Times New Roman"/>
                <w:b/>
                <w:bCs/>
                <w:sz w:val="28"/>
                <w:szCs w:val="28"/>
                <w:lang w:val="ro-MO"/>
              </w:rPr>
              <w:t>Ponderea</w:t>
            </w:r>
            <w:r w:rsidR="001B0998">
              <w:rPr>
                <w:rFonts w:ascii="Times New Roman" w:hAnsi="Times New Roman" w:cs="Times New Roman"/>
                <w:b/>
                <w:bCs/>
                <w:sz w:val="28"/>
                <w:szCs w:val="28"/>
                <w:lang w:val="ro-MO"/>
              </w:rPr>
              <w:t xml:space="preserve"> </w:t>
            </w:r>
            <w:r w:rsidRPr="00AD160F">
              <w:rPr>
                <w:rFonts w:ascii="Times New Roman" w:hAnsi="Times New Roman" w:cs="Times New Roman"/>
                <w:b/>
                <w:bCs/>
                <w:sz w:val="28"/>
                <w:szCs w:val="28"/>
                <w:lang w:val="ro-MO"/>
              </w:rPr>
              <w:t>IVPJ</w:t>
            </w:r>
          </w:p>
        </w:tc>
      </w:tr>
      <w:tr w:rsidR="00654693" w:rsidRPr="00AD160F" w:rsidTr="001B0998">
        <w:trPr>
          <w:jc w:val="center"/>
        </w:trPr>
        <w:tc>
          <w:tcPr>
            <w:tcW w:w="3072" w:type="dxa"/>
            <w:shd w:val="clear" w:color="auto" w:fill="auto"/>
          </w:tcPr>
          <w:p w:rsidR="00654693" w:rsidRPr="00C815D3" w:rsidRDefault="00654693"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Chi</w:t>
            </w:r>
            <w:r w:rsidR="006F4B00">
              <w:rPr>
                <w:rFonts w:ascii="Times New Roman" w:hAnsi="Times New Roman" w:cs="Times New Roman"/>
                <w:bCs/>
                <w:sz w:val="28"/>
                <w:szCs w:val="28"/>
                <w:lang w:val="ro-MO"/>
              </w:rPr>
              <w:t>ş</w:t>
            </w:r>
            <w:r w:rsidRPr="00C815D3">
              <w:rPr>
                <w:rFonts w:ascii="Times New Roman" w:hAnsi="Times New Roman" w:cs="Times New Roman"/>
                <w:bCs/>
                <w:sz w:val="28"/>
                <w:szCs w:val="28"/>
                <w:lang w:val="ro-MO"/>
              </w:rPr>
              <w:t>inău</w:t>
            </w:r>
          </w:p>
        </w:tc>
        <w:tc>
          <w:tcPr>
            <w:tcW w:w="3073" w:type="dxa"/>
            <w:shd w:val="clear" w:color="auto" w:fill="auto"/>
          </w:tcPr>
          <w:p w:rsidR="00654693" w:rsidRPr="00C815D3" w:rsidRDefault="00654693" w:rsidP="0030072A">
            <w:pPr>
              <w:jc w:val="center"/>
              <w:rPr>
                <w:rFonts w:ascii="Times New Roman" w:hAnsi="Times New Roman" w:cs="Times New Roman"/>
                <w:sz w:val="28"/>
                <w:szCs w:val="28"/>
                <w:lang w:val="ro-MO"/>
              </w:rPr>
            </w:pPr>
            <w:r w:rsidRPr="00C815D3">
              <w:rPr>
                <w:rFonts w:ascii="Times New Roman" w:hAnsi="Times New Roman" w:cs="Times New Roman"/>
                <w:sz w:val="28"/>
                <w:szCs w:val="28"/>
                <w:lang w:val="ro-MO"/>
              </w:rPr>
              <w:t>22.</w:t>
            </w:r>
            <w:r w:rsidR="005A6AFA">
              <w:rPr>
                <w:rFonts w:ascii="Times New Roman" w:hAnsi="Times New Roman" w:cs="Times New Roman"/>
                <w:sz w:val="28"/>
                <w:szCs w:val="28"/>
                <w:lang w:val="ro-MO"/>
              </w:rPr>
              <w:t>26</w:t>
            </w:r>
          </w:p>
        </w:tc>
        <w:tc>
          <w:tcPr>
            <w:tcW w:w="3073" w:type="dxa"/>
            <w:shd w:val="clear" w:color="auto" w:fill="auto"/>
          </w:tcPr>
          <w:p w:rsidR="00654693" w:rsidRPr="00C815D3" w:rsidRDefault="00C07DCA" w:rsidP="0030072A">
            <w:pPr>
              <w:jc w:val="center"/>
              <w:rPr>
                <w:rFonts w:ascii="Times New Roman" w:hAnsi="Times New Roman" w:cs="Times New Roman"/>
                <w:sz w:val="28"/>
                <w:szCs w:val="28"/>
                <w:lang w:val="ro-MO"/>
              </w:rPr>
            </w:pPr>
            <w:r>
              <w:rPr>
                <w:rFonts w:ascii="Times New Roman" w:hAnsi="Times New Roman" w:cs="Times New Roman"/>
                <w:sz w:val="28"/>
                <w:szCs w:val="28"/>
                <w:lang w:val="ro-MO"/>
              </w:rPr>
              <w:t>76</w:t>
            </w:r>
          </w:p>
        </w:tc>
      </w:tr>
      <w:tr w:rsidR="00654693" w:rsidRPr="00AD160F" w:rsidTr="001B0998">
        <w:trPr>
          <w:jc w:val="center"/>
        </w:trPr>
        <w:tc>
          <w:tcPr>
            <w:tcW w:w="3072" w:type="dxa"/>
            <w:shd w:val="clear" w:color="auto" w:fill="auto"/>
          </w:tcPr>
          <w:p w:rsidR="00654693" w:rsidRPr="00C815D3" w:rsidRDefault="00654693"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Băl</w:t>
            </w:r>
            <w:r w:rsidR="006F4B00">
              <w:rPr>
                <w:rFonts w:ascii="Times New Roman" w:hAnsi="Times New Roman" w:cs="Times New Roman"/>
                <w:bCs/>
                <w:sz w:val="28"/>
                <w:szCs w:val="28"/>
                <w:lang w:val="ro-MO"/>
              </w:rPr>
              <w:t>ţ</w:t>
            </w:r>
            <w:r w:rsidRPr="00C815D3">
              <w:rPr>
                <w:rFonts w:ascii="Times New Roman" w:hAnsi="Times New Roman" w:cs="Times New Roman"/>
                <w:bCs/>
                <w:sz w:val="28"/>
                <w:szCs w:val="28"/>
                <w:lang w:val="ro-MO"/>
              </w:rPr>
              <w:t>i</w:t>
            </w:r>
          </w:p>
        </w:tc>
        <w:tc>
          <w:tcPr>
            <w:tcW w:w="3073" w:type="dxa"/>
            <w:shd w:val="clear" w:color="auto" w:fill="auto"/>
          </w:tcPr>
          <w:p w:rsidR="00654693" w:rsidRPr="00C815D3" w:rsidRDefault="00654693" w:rsidP="0030072A">
            <w:pPr>
              <w:jc w:val="center"/>
              <w:rPr>
                <w:rFonts w:ascii="Times New Roman" w:hAnsi="Times New Roman" w:cs="Times New Roman"/>
                <w:sz w:val="28"/>
                <w:szCs w:val="28"/>
                <w:lang w:val="ro-MO"/>
              </w:rPr>
            </w:pPr>
            <w:r w:rsidRPr="00C815D3">
              <w:rPr>
                <w:rFonts w:ascii="Times New Roman" w:hAnsi="Times New Roman" w:cs="Times New Roman"/>
                <w:sz w:val="28"/>
                <w:szCs w:val="28"/>
                <w:lang w:val="ro-MO"/>
              </w:rPr>
              <w:t>3.7</w:t>
            </w:r>
            <w:r w:rsidR="005A6AFA">
              <w:rPr>
                <w:rFonts w:ascii="Times New Roman" w:hAnsi="Times New Roman" w:cs="Times New Roman"/>
                <w:sz w:val="28"/>
                <w:szCs w:val="28"/>
                <w:lang w:val="ro-MO"/>
              </w:rPr>
              <w:t>4</w:t>
            </w:r>
          </w:p>
        </w:tc>
        <w:tc>
          <w:tcPr>
            <w:tcW w:w="3073" w:type="dxa"/>
            <w:shd w:val="clear" w:color="auto" w:fill="auto"/>
          </w:tcPr>
          <w:p w:rsidR="00654693" w:rsidRPr="00C815D3" w:rsidRDefault="00654693" w:rsidP="00C07DCA">
            <w:pPr>
              <w:jc w:val="center"/>
              <w:rPr>
                <w:rFonts w:ascii="Times New Roman" w:hAnsi="Times New Roman" w:cs="Times New Roman"/>
                <w:sz w:val="28"/>
                <w:szCs w:val="28"/>
                <w:lang w:val="ro-MO"/>
              </w:rPr>
            </w:pPr>
            <w:r w:rsidRPr="00C815D3">
              <w:rPr>
                <w:rFonts w:ascii="Times New Roman" w:hAnsi="Times New Roman" w:cs="Times New Roman"/>
                <w:sz w:val="28"/>
                <w:szCs w:val="28"/>
                <w:lang w:val="ro-MO"/>
              </w:rPr>
              <w:t>5.4</w:t>
            </w:r>
          </w:p>
        </w:tc>
      </w:tr>
      <w:tr w:rsidR="00654693" w:rsidRPr="00AD160F" w:rsidTr="001B0998">
        <w:trPr>
          <w:jc w:val="center"/>
        </w:trPr>
        <w:tc>
          <w:tcPr>
            <w:tcW w:w="3072" w:type="dxa"/>
            <w:shd w:val="clear" w:color="auto" w:fill="auto"/>
          </w:tcPr>
          <w:p w:rsidR="00654693" w:rsidRPr="00C815D3" w:rsidRDefault="00654693"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UTA Găgăuzia</w:t>
            </w:r>
          </w:p>
        </w:tc>
        <w:tc>
          <w:tcPr>
            <w:tcW w:w="3073" w:type="dxa"/>
            <w:shd w:val="clear" w:color="auto" w:fill="auto"/>
          </w:tcPr>
          <w:p w:rsidR="00654693" w:rsidRPr="00C815D3" w:rsidRDefault="00654693" w:rsidP="0030072A">
            <w:pPr>
              <w:jc w:val="center"/>
              <w:rPr>
                <w:rFonts w:ascii="Times New Roman" w:hAnsi="Times New Roman" w:cs="Times New Roman"/>
                <w:sz w:val="28"/>
                <w:szCs w:val="28"/>
                <w:lang w:val="ro-MO"/>
              </w:rPr>
            </w:pPr>
            <w:r w:rsidRPr="00C815D3">
              <w:rPr>
                <w:rFonts w:ascii="Times New Roman" w:hAnsi="Times New Roman" w:cs="Times New Roman"/>
                <w:sz w:val="28"/>
                <w:szCs w:val="28"/>
                <w:lang w:val="ro-MO"/>
              </w:rPr>
              <w:t>4.</w:t>
            </w:r>
            <w:r w:rsidR="005A6AFA">
              <w:rPr>
                <w:rFonts w:ascii="Times New Roman" w:hAnsi="Times New Roman" w:cs="Times New Roman"/>
                <w:sz w:val="28"/>
                <w:szCs w:val="28"/>
                <w:lang w:val="ro-MO"/>
              </w:rPr>
              <w:t>59</w:t>
            </w:r>
          </w:p>
        </w:tc>
        <w:tc>
          <w:tcPr>
            <w:tcW w:w="3073" w:type="dxa"/>
            <w:shd w:val="clear" w:color="auto" w:fill="auto"/>
          </w:tcPr>
          <w:p w:rsidR="00654693" w:rsidRPr="00C815D3" w:rsidRDefault="00C07DCA" w:rsidP="0030072A">
            <w:pPr>
              <w:jc w:val="center"/>
              <w:rPr>
                <w:rFonts w:ascii="Times New Roman" w:hAnsi="Times New Roman" w:cs="Times New Roman"/>
                <w:sz w:val="28"/>
                <w:szCs w:val="28"/>
                <w:lang w:val="ro-MO"/>
              </w:rPr>
            </w:pPr>
            <w:r>
              <w:rPr>
                <w:rFonts w:ascii="Times New Roman" w:hAnsi="Times New Roman" w:cs="Times New Roman"/>
                <w:sz w:val="28"/>
                <w:szCs w:val="28"/>
                <w:lang w:val="ro-MO"/>
              </w:rPr>
              <w:t>1.5</w:t>
            </w:r>
          </w:p>
        </w:tc>
      </w:tr>
      <w:tr w:rsidR="00654693" w:rsidRPr="00AD160F" w:rsidTr="001B0998">
        <w:trPr>
          <w:jc w:val="center"/>
        </w:trPr>
        <w:tc>
          <w:tcPr>
            <w:tcW w:w="3072" w:type="dxa"/>
            <w:shd w:val="clear" w:color="auto" w:fill="auto"/>
          </w:tcPr>
          <w:p w:rsidR="00654693" w:rsidRPr="00C815D3" w:rsidRDefault="00654693"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Restul APL</w:t>
            </w:r>
          </w:p>
        </w:tc>
        <w:tc>
          <w:tcPr>
            <w:tcW w:w="3073" w:type="dxa"/>
            <w:shd w:val="clear" w:color="auto" w:fill="auto"/>
          </w:tcPr>
          <w:p w:rsidR="00654693" w:rsidRPr="00C815D3" w:rsidRDefault="005A6AFA" w:rsidP="00C07DCA">
            <w:pPr>
              <w:jc w:val="center"/>
              <w:rPr>
                <w:rFonts w:ascii="Times New Roman" w:hAnsi="Times New Roman" w:cs="Times New Roman"/>
                <w:sz w:val="28"/>
                <w:szCs w:val="28"/>
                <w:lang w:val="ro-MO"/>
              </w:rPr>
            </w:pPr>
            <w:r>
              <w:rPr>
                <w:rFonts w:ascii="Times New Roman" w:hAnsi="Times New Roman" w:cs="Times New Roman"/>
                <w:sz w:val="28"/>
                <w:szCs w:val="28"/>
                <w:lang w:val="ro-MO"/>
              </w:rPr>
              <w:t>69.41</w:t>
            </w:r>
          </w:p>
        </w:tc>
        <w:tc>
          <w:tcPr>
            <w:tcW w:w="3073" w:type="dxa"/>
            <w:shd w:val="clear" w:color="auto" w:fill="auto"/>
          </w:tcPr>
          <w:p w:rsidR="00654693" w:rsidRPr="00C815D3" w:rsidRDefault="00654693" w:rsidP="00C07DCA">
            <w:pPr>
              <w:jc w:val="center"/>
              <w:rPr>
                <w:rFonts w:ascii="Times New Roman" w:hAnsi="Times New Roman" w:cs="Times New Roman"/>
                <w:sz w:val="28"/>
                <w:szCs w:val="28"/>
                <w:lang w:val="ro-MO"/>
              </w:rPr>
            </w:pPr>
            <w:r w:rsidRPr="00C815D3">
              <w:rPr>
                <w:rFonts w:ascii="Times New Roman" w:hAnsi="Times New Roman" w:cs="Times New Roman"/>
                <w:sz w:val="28"/>
                <w:szCs w:val="28"/>
                <w:lang w:val="ro-MO"/>
              </w:rPr>
              <w:t>17.1</w:t>
            </w:r>
          </w:p>
        </w:tc>
      </w:tr>
      <w:tr w:rsidR="00654693" w:rsidRPr="00C815D3" w:rsidTr="001B0998">
        <w:trPr>
          <w:jc w:val="center"/>
        </w:trPr>
        <w:tc>
          <w:tcPr>
            <w:tcW w:w="3072" w:type="dxa"/>
            <w:shd w:val="clear" w:color="auto" w:fill="auto"/>
          </w:tcPr>
          <w:p w:rsidR="00654693" w:rsidRPr="00C815D3" w:rsidRDefault="00654693" w:rsidP="008B3768">
            <w:pPr>
              <w:jc w:val="both"/>
              <w:rPr>
                <w:rFonts w:ascii="Times New Roman" w:hAnsi="Times New Roman" w:cs="Times New Roman"/>
                <w:b/>
                <w:bCs/>
                <w:sz w:val="28"/>
                <w:szCs w:val="28"/>
                <w:lang w:val="ro-MO"/>
              </w:rPr>
            </w:pPr>
            <w:r w:rsidRPr="00C815D3">
              <w:rPr>
                <w:rFonts w:ascii="Times New Roman" w:hAnsi="Times New Roman" w:cs="Times New Roman"/>
                <w:b/>
                <w:bCs/>
                <w:sz w:val="28"/>
                <w:szCs w:val="28"/>
                <w:lang w:val="ro-MO"/>
              </w:rPr>
              <w:t>Total</w:t>
            </w:r>
          </w:p>
        </w:tc>
        <w:tc>
          <w:tcPr>
            <w:tcW w:w="3073" w:type="dxa"/>
            <w:shd w:val="clear" w:color="auto" w:fill="auto"/>
          </w:tcPr>
          <w:p w:rsidR="00654693" w:rsidRPr="00C815D3" w:rsidRDefault="00C07DCA" w:rsidP="0030072A">
            <w:pPr>
              <w:jc w:val="center"/>
              <w:rPr>
                <w:rFonts w:ascii="Times New Roman" w:hAnsi="Times New Roman" w:cs="Times New Roman"/>
                <w:b/>
                <w:sz w:val="28"/>
                <w:szCs w:val="28"/>
                <w:lang w:val="ro-MO"/>
              </w:rPr>
            </w:pPr>
            <w:r>
              <w:rPr>
                <w:rFonts w:ascii="Times New Roman" w:hAnsi="Times New Roman" w:cs="Times New Roman"/>
                <w:b/>
                <w:sz w:val="28"/>
                <w:szCs w:val="28"/>
                <w:lang w:val="ro-MO"/>
              </w:rPr>
              <w:t>100</w:t>
            </w:r>
          </w:p>
        </w:tc>
        <w:tc>
          <w:tcPr>
            <w:tcW w:w="3073" w:type="dxa"/>
            <w:shd w:val="clear" w:color="auto" w:fill="auto"/>
          </w:tcPr>
          <w:p w:rsidR="00654693" w:rsidRPr="00C815D3" w:rsidRDefault="00654693" w:rsidP="0030072A">
            <w:pPr>
              <w:jc w:val="center"/>
              <w:rPr>
                <w:rFonts w:ascii="Times New Roman" w:hAnsi="Times New Roman" w:cs="Times New Roman"/>
                <w:b/>
                <w:sz w:val="28"/>
                <w:szCs w:val="28"/>
                <w:lang w:val="ro-MO"/>
              </w:rPr>
            </w:pPr>
            <w:r w:rsidRPr="00C815D3">
              <w:rPr>
                <w:rFonts w:ascii="Times New Roman" w:hAnsi="Times New Roman" w:cs="Times New Roman"/>
                <w:b/>
                <w:sz w:val="28"/>
                <w:szCs w:val="28"/>
                <w:lang w:val="ro-MO"/>
              </w:rPr>
              <w:t>10</w:t>
            </w:r>
            <w:r w:rsidR="00C07DCA">
              <w:rPr>
                <w:rFonts w:ascii="Times New Roman" w:hAnsi="Times New Roman" w:cs="Times New Roman"/>
                <w:b/>
                <w:sz w:val="28"/>
                <w:szCs w:val="28"/>
                <w:lang w:val="ro-MO"/>
              </w:rPr>
              <w:t>0</w:t>
            </w:r>
          </w:p>
        </w:tc>
      </w:tr>
    </w:tbl>
    <w:p w:rsidR="00AA363A" w:rsidRPr="002526B9" w:rsidRDefault="00AA363A" w:rsidP="008B3768">
      <w:pPr>
        <w:jc w:val="both"/>
        <w:rPr>
          <w:rFonts w:ascii="Times New Roman" w:hAnsi="Times New Roman" w:cs="Times New Roman"/>
          <w:b/>
          <w:sz w:val="10"/>
          <w:szCs w:val="10"/>
          <w:lang w:val="ro-MO"/>
        </w:rPr>
      </w:pPr>
    </w:p>
    <w:p w:rsidR="00C815D3" w:rsidRDefault="00AA363A" w:rsidP="00B826DC">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Foarte probabil ultima pondere de 17,1% este concentrată în mod esen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ial în ora</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ele re</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edin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ă de raion, ceea ce înseamnă că în zona rurală colectarea acestui impozit este aproape egală cu 0. Aceia</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situa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ie este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în cazul TVA-ului, plus administrarea unui sistem de partajare pe baza ariei de colectare ar fi extrem de complicată în cazul acestui impozit. Mai mult, colectarea ambelor impozite este extrem de sensibilă la varia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iile conjuncturii economice (ciclul economic): ea cre</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te foarte mult în perioadele de </w:t>
      </w:r>
      <w:r w:rsidR="00C87DE7" w:rsidRPr="00AD160F">
        <w:rPr>
          <w:rFonts w:ascii="Times New Roman" w:hAnsi="Times New Roman" w:cs="Times New Roman"/>
          <w:sz w:val="28"/>
          <w:szCs w:val="28"/>
          <w:lang w:val="ro-MO"/>
        </w:rPr>
        <w:t>relansare</w:t>
      </w:r>
      <w:r w:rsidRPr="00AD160F">
        <w:rPr>
          <w:rFonts w:ascii="Times New Roman" w:hAnsi="Times New Roman" w:cs="Times New Roman"/>
          <w:sz w:val="28"/>
          <w:szCs w:val="28"/>
          <w:lang w:val="ro-MO"/>
        </w:rPr>
        <w:t xml:space="preserve"> economic</w:t>
      </w:r>
      <w:r w:rsidR="00C87DE7" w:rsidRPr="00AD160F">
        <w:rPr>
          <w:rFonts w:ascii="Times New Roman" w:hAnsi="Times New Roman" w:cs="Times New Roman"/>
          <w:sz w:val="28"/>
          <w:szCs w:val="28"/>
          <w:lang w:val="ro-MO"/>
        </w:rPr>
        <w:t>ă</w:t>
      </w:r>
      <w:r w:rsidRPr="00AD160F">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scade la fel de mult în perioadele de recesiune, ceea ce înseamnă că aceste două impozite nu pot fi folosite ca stabilizatori automa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 ai cheltuielilor </w:t>
      </w:r>
      <w:r w:rsidR="00C815D3">
        <w:rPr>
          <w:rFonts w:ascii="Times New Roman" w:hAnsi="Times New Roman" w:cs="Times New Roman"/>
          <w:sz w:val="28"/>
          <w:szCs w:val="28"/>
          <w:lang w:val="ro-MO"/>
        </w:rPr>
        <w:t>APL</w:t>
      </w:r>
      <w:r w:rsidRPr="00AD160F">
        <w:rPr>
          <w:rFonts w:ascii="Times New Roman" w:hAnsi="Times New Roman" w:cs="Times New Roman"/>
          <w:sz w:val="28"/>
          <w:szCs w:val="28"/>
          <w:lang w:val="ro-MO"/>
        </w:rPr>
        <w:t xml:space="preserve">. </w:t>
      </w:r>
    </w:p>
    <w:p w:rsidR="00AA363A" w:rsidRPr="00AD160F" w:rsidRDefault="00C815D3" w:rsidP="00B826DC">
      <w:pPr>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Ca </w:t>
      </w:r>
      <w:r w:rsidR="002526B9">
        <w:rPr>
          <w:rFonts w:ascii="Times New Roman" w:hAnsi="Times New Roman" w:cs="Times New Roman"/>
          <w:sz w:val="28"/>
          <w:szCs w:val="28"/>
          <w:lang w:val="ro-MO"/>
        </w:rPr>
        <w:t>excep</w:t>
      </w:r>
      <w:r w:rsidR="006F4B00">
        <w:rPr>
          <w:rFonts w:ascii="Times New Roman" w:hAnsi="Times New Roman" w:cs="Times New Roman"/>
          <w:sz w:val="28"/>
          <w:szCs w:val="28"/>
          <w:lang w:val="ro-MO"/>
        </w:rPr>
        <w:t>ţ</w:t>
      </w:r>
      <w:r w:rsidR="002526B9">
        <w:rPr>
          <w:rFonts w:ascii="Times New Roman" w:hAnsi="Times New Roman" w:cs="Times New Roman"/>
          <w:sz w:val="28"/>
          <w:szCs w:val="28"/>
          <w:lang w:val="ro-MO"/>
        </w:rPr>
        <w:t>ie</w:t>
      </w:r>
      <w:r>
        <w:rPr>
          <w:rFonts w:ascii="Times New Roman" w:hAnsi="Times New Roman" w:cs="Times New Roman"/>
          <w:sz w:val="28"/>
          <w:szCs w:val="28"/>
          <w:lang w:val="ro-MO"/>
        </w:rPr>
        <w:t>,</w:t>
      </w:r>
      <w:r w:rsidR="00AA363A" w:rsidRPr="00AD160F">
        <w:rPr>
          <w:rFonts w:ascii="Times New Roman" w:hAnsi="Times New Roman" w:cs="Times New Roman"/>
          <w:sz w:val="28"/>
          <w:szCs w:val="28"/>
          <w:lang w:val="ro-MO"/>
        </w:rPr>
        <w:t xml:space="preserve"> </w:t>
      </w:r>
      <w:r w:rsidR="00C87DE7" w:rsidRPr="00AD160F">
        <w:rPr>
          <w:rFonts w:ascii="Times New Roman" w:hAnsi="Times New Roman" w:cs="Times New Roman"/>
          <w:sz w:val="28"/>
          <w:szCs w:val="28"/>
          <w:lang w:val="ro-MO"/>
        </w:rPr>
        <w:t>pornind de la statutul UTA Găgăuzia</w:t>
      </w:r>
      <w:r>
        <w:rPr>
          <w:rFonts w:ascii="Times New Roman" w:hAnsi="Times New Roman" w:cs="Times New Roman"/>
          <w:sz w:val="28"/>
          <w:szCs w:val="28"/>
          <w:lang w:val="ro-MO"/>
        </w:rPr>
        <w:t>, pentru această unitate administrativ-teritorială</w:t>
      </w:r>
      <w:r w:rsidR="00C87DE7" w:rsidRPr="00AD160F">
        <w:rPr>
          <w:rFonts w:ascii="Times New Roman" w:hAnsi="Times New Roman" w:cs="Times New Roman"/>
          <w:sz w:val="28"/>
          <w:szCs w:val="28"/>
          <w:lang w:val="ro-MO"/>
        </w:rPr>
        <w:t xml:space="preserve"> se propune să fie </w:t>
      </w:r>
      <w:r w:rsidR="00AA363A" w:rsidRPr="00AD160F">
        <w:rPr>
          <w:rFonts w:ascii="Times New Roman" w:hAnsi="Times New Roman" w:cs="Times New Roman"/>
          <w:sz w:val="28"/>
          <w:szCs w:val="28"/>
          <w:lang w:val="ro-MO"/>
        </w:rPr>
        <w:t>men</w:t>
      </w:r>
      <w:r w:rsidR="006F4B00">
        <w:rPr>
          <w:rFonts w:ascii="Times New Roman" w:hAnsi="Times New Roman" w:cs="Times New Roman"/>
          <w:sz w:val="28"/>
          <w:szCs w:val="28"/>
          <w:lang w:val="ro-MO"/>
        </w:rPr>
        <w:t>ţ</w:t>
      </w:r>
      <w:r w:rsidR="00AA363A" w:rsidRPr="00AD160F">
        <w:rPr>
          <w:rFonts w:ascii="Times New Roman" w:hAnsi="Times New Roman" w:cs="Times New Roman"/>
          <w:sz w:val="28"/>
          <w:szCs w:val="28"/>
          <w:lang w:val="ro-MO"/>
        </w:rPr>
        <w:t xml:space="preserve">inut actualul sistem de partajare al TVA </w:t>
      </w:r>
      <w:r w:rsidR="006F4B00">
        <w:rPr>
          <w:rFonts w:ascii="Times New Roman" w:hAnsi="Times New Roman" w:cs="Times New Roman"/>
          <w:sz w:val="28"/>
          <w:szCs w:val="28"/>
          <w:lang w:val="ro-MO"/>
        </w:rPr>
        <w:t>ş</w:t>
      </w:r>
      <w:r>
        <w:rPr>
          <w:rFonts w:ascii="Times New Roman" w:hAnsi="Times New Roman" w:cs="Times New Roman"/>
          <w:sz w:val="28"/>
          <w:szCs w:val="28"/>
          <w:lang w:val="ro-MO"/>
        </w:rPr>
        <w:t>i accizelor.</w:t>
      </w:r>
    </w:p>
    <w:p w:rsidR="00AA363A" w:rsidRPr="00C815D3" w:rsidRDefault="00AA363A" w:rsidP="008B3768">
      <w:pPr>
        <w:jc w:val="both"/>
        <w:rPr>
          <w:rFonts w:ascii="Times New Roman" w:hAnsi="Times New Roman" w:cs="Times New Roman"/>
          <w:sz w:val="10"/>
          <w:szCs w:val="10"/>
          <w:lang w:val="ro-MO"/>
        </w:rPr>
      </w:pPr>
    </w:p>
    <w:p w:rsidR="00AA363A" w:rsidRPr="00AD160F" w:rsidRDefault="00AA363A" w:rsidP="00B826DC">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Această recomandare este general acceptată la nivel interna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ional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în literatura de specialitate. </w:t>
      </w:r>
      <w:r w:rsidR="00C87DE7" w:rsidRPr="00AD160F">
        <w:rPr>
          <w:rFonts w:ascii="Times New Roman" w:hAnsi="Times New Roman" w:cs="Times New Roman"/>
          <w:sz w:val="28"/>
          <w:szCs w:val="28"/>
          <w:lang w:val="ro-MO"/>
        </w:rPr>
        <w:t>O argumentare empirică se con</w:t>
      </w:r>
      <w:r w:rsidR="006F4B00">
        <w:rPr>
          <w:rFonts w:ascii="Times New Roman" w:hAnsi="Times New Roman" w:cs="Times New Roman"/>
          <w:sz w:val="28"/>
          <w:szCs w:val="28"/>
          <w:lang w:val="ro-MO"/>
        </w:rPr>
        <w:t>ţ</w:t>
      </w:r>
      <w:r w:rsidR="00C87DE7" w:rsidRPr="00AD160F">
        <w:rPr>
          <w:rFonts w:ascii="Times New Roman" w:hAnsi="Times New Roman" w:cs="Times New Roman"/>
          <w:sz w:val="28"/>
          <w:szCs w:val="28"/>
          <w:lang w:val="ro-MO"/>
        </w:rPr>
        <w:t>ine în</w:t>
      </w:r>
      <w:r w:rsidRPr="00AD160F">
        <w:rPr>
          <w:rFonts w:ascii="Times New Roman" w:hAnsi="Times New Roman" w:cs="Times New Roman"/>
          <w:sz w:val="28"/>
          <w:szCs w:val="28"/>
          <w:lang w:val="ro-MO"/>
        </w:rPr>
        <w:t xml:space="preserve"> tabelul 2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graficul 1 de mai jos, realizate pe baza datelor din perioada </w:t>
      </w:r>
      <w:r w:rsidR="00C87DE7" w:rsidRPr="00AD160F">
        <w:rPr>
          <w:rFonts w:ascii="Times New Roman" w:hAnsi="Times New Roman" w:cs="Times New Roman"/>
          <w:sz w:val="28"/>
          <w:szCs w:val="28"/>
          <w:lang w:val="ro-MO"/>
        </w:rPr>
        <w:t xml:space="preserve">anilor </w:t>
      </w:r>
      <w:r w:rsidRPr="00AD160F">
        <w:rPr>
          <w:rFonts w:ascii="Times New Roman" w:hAnsi="Times New Roman" w:cs="Times New Roman"/>
          <w:sz w:val="28"/>
          <w:szCs w:val="28"/>
          <w:lang w:val="ro-MO"/>
        </w:rPr>
        <w:t>2006 – 2010.</w:t>
      </w:r>
      <w:r w:rsidR="00E80FAA" w:rsidRPr="00E80FAA">
        <w:rPr>
          <w:rFonts w:ascii="Times New Roman" w:hAnsi="Times New Roman" w:cs="Times New Roman"/>
          <w:sz w:val="28"/>
          <w:szCs w:val="28"/>
          <w:lang w:val="ro-MO"/>
        </w:rPr>
        <w:t xml:space="preserve"> </w:t>
      </w:r>
      <w:r w:rsidR="00503065" w:rsidDel="00503065">
        <w:rPr>
          <w:rFonts w:ascii="Times New Roman" w:hAnsi="Times New Roman" w:cs="Times New Roman"/>
          <w:sz w:val="28"/>
          <w:szCs w:val="28"/>
          <w:lang w:val="ro-MO"/>
        </w:rPr>
        <w:t xml:space="preserve"> </w:t>
      </w:r>
      <w:r w:rsidR="001C68AD">
        <w:rPr>
          <w:rFonts w:ascii="Times New Roman" w:hAnsi="Times New Roman" w:cs="Times New Roman"/>
          <w:sz w:val="28"/>
          <w:szCs w:val="28"/>
          <w:lang w:val="ro-MO"/>
        </w:rPr>
        <w:t>V</w:t>
      </w:r>
      <w:r w:rsidR="00454A46">
        <w:rPr>
          <w:rFonts w:ascii="Times New Roman" w:hAnsi="Times New Roman" w:cs="Times New Roman"/>
          <w:sz w:val="28"/>
          <w:szCs w:val="28"/>
          <w:lang w:val="ro-MO"/>
        </w:rPr>
        <w:t xml:space="preserve">alorile din anii 2006, 2007, 2008, 2009, 2010 au fost </w:t>
      </w:r>
      <w:r w:rsidR="001C68AD">
        <w:rPr>
          <w:rFonts w:ascii="Times New Roman" w:hAnsi="Times New Roman" w:cs="Times New Roman"/>
          <w:sz w:val="28"/>
          <w:szCs w:val="28"/>
          <w:lang w:val="ro-MO"/>
        </w:rPr>
        <w:t xml:space="preserve">ajustate la valorile anului </w:t>
      </w:r>
      <w:r w:rsidR="00454A46">
        <w:rPr>
          <w:rFonts w:ascii="Times New Roman" w:hAnsi="Times New Roman" w:cs="Times New Roman"/>
          <w:sz w:val="28"/>
          <w:szCs w:val="28"/>
          <w:lang w:val="ro-MO"/>
        </w:rPr>
        <w:t xml:space="preserve"> 2005</w:t>
      </w:r>
      <w:r w:rsidR="001C68AD">
        <w:rPr>
          <w:rFonts w:ascii="Times New Roman" w:hAnsi="Times New Roman" w:cs="Times New Roman"/>
          <w:sz w:val="28"/>
          <w:szCs w:val="28"/>
          <w:lang w:val="ro-MO"/>
        </w:rPr>
        <w:t>,</w:t>
      </w:r>
      <w:r w:rsidR="00454A46">
        <w:rPr>
          <w:rFonts w:ascii="Times New Roman" w:hAnsi="Times New Roman" w:cs="Times New Roman"/>
          <w:sz w:val="28"/>
          <w:szCs w:val="28"/>
          <w:lang w:val="ro-MO"/>
        </w:rPr>
        <w:t xml:space="preserve"> prin eliminarea influen</w:t>
      </w:r>
      <w:r w:rsidR="006F4B00">
        <w:rPr>
          <w:rFonts w:ascii="Times New Roman" w:hAnsi="Times New Roman" w:cs="Times New Roman"/>
          <w:sz w:val="28"/>
          <w:szCs w:val="28"/>
          <w:lang w:val="ro-MO"/>
        </w:rPr>
        <w:t>ţ</w:t>
      </w:r>
      <w:r w:rsidR="00454A46">
        <w:rPr>
          <w:rFonts w:ascii="Times New Roman" w:hAnsi="Times New Roman" w:cs="Times New Roman"/>
          <w:sz w:val="28"/>
          <w:szCs w:val="28"/>
          <w:lang w:val="ro-MO"/>
        </w:rPr>
        <w:t>ei infla</w:t>
      </w:r>
      <w:r w:rsidR="006F4B00">
        <w:rPr>
          <w:rFonts w:ascii="Times New Roman" w:hAnsi="Times New Roman" w:cs="Times New Roman"/>
          <w:sz w:val="28"/>
          <w:szCs w:val="28"/>
          <w:lang w:val="ro-MO"/>
        </w:rPr>
        <w:t>ţ</w:t>
      </w:r>
      <w:r w:rsidR="00454A46">
        <w:rPr>
          <w:rFonts w:ascii="Times New Roman" w:hAnsi="Times New Roman" w:cs="Times New Roman"/>
          <w:sz w:val="28"/>
          <w:szCs w:val="28"/>
          <w:lang w:val="ro-MO"/>
        </w:rPr>
        <w:t>iei din perioada respectivă, putându-se face astfel compara</w:t>
      </w:r>
      <w:r w:rsidR="006F4B00">
        <w:rPr>
          <w:rFonts w:ascii="Times New Roman" w:hAnsi="Times New Roman" w:cs="Times New Roman"/>
          <w:sz w:val="28"/>
          <w:szCs w:val="28"/>
          <w:lang w:val="ro-MO"/>
        </w:rPr>
        <w:t>ţ</w:t>
      </w:r>
      <w:r w:rsidR="00454A46">
        <w:rPr>
          <w:rFonts w:ascii="Times New Roman" w:hAnsi="Times New Roman" w:cs="Times New Roman"/>
          <w:sz w:val="28"/>
          <w:szCs w:val="28"/>
          <w:lang w:val="ro-MO"/>
        </w:rPr>
        <w:t>ii mult mai corecte, având la bază un etalon monetar stabil</w:t>
      </w:r>
      <w:r w:rsidR="00E80FAA" w:rsidRPr="00E80FAA">
        <w:rPr>
          <w:rFonts w:ascii="Times New Roman" w:hAnsi="Times New Roman" w:cs="Times New Roman"/>
          <w:sz w:val="28"/>
          <w:szCs w:val="28"/>
          <w:lang w:val="ro-MO"/>
        </w:rPr>
        <w:t>.</w:t>
      </w:r>
      <w:r w:rsidRPr="00AD160F">
        <w:rPr>
          <w:rFonts w:ascii="Times New Roman" w:hAnsi="Times New Roman" w:cs="Times New Roman"/>
          <w:sz w:val="28"/>
          <w:szCs w:val="28"/>
          <w:lang w:val="ro-MO"/>
        </w:rPr>
        <w:t xml:space="preserve"> Este evident că IVPF este foarte stabil de-a lungul perioadei, cu o u</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oară scădere în ultimii 3 ani 2008-2010. Atât TVA cât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IVPJ sunt foarte volatile, cu cre</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teri de 9%-10%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scăderi de peste 18% - evolu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ia IVPJ în 2008 fiind influen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ată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de modificările legislative din 2008: rate 0% în anumite condi</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ii.</w:t>
      </w:r>
    </w:p>
    <w:p w:rsidR="00AA363A" w:rsidRPr="002526B9" w:rsidRDefault="00AA363A" w:rsidP="008B3768">
      <w:pPr>
        <w:jc w:val="both"/>
        <w:rPr>
          <w:rFonts w:ascii="Times New Roman" w:hAnsi="Times New Roman" w:cs="Times New Roman"/>
          <w:sz w:val="10"/>
          <w:szCs w:val="10"/>
          <w:lang w:val="ro-MO"/>
        </w:rPr>
      </w:pPr>
    </w:p>
    <w:p w:rsidR="002526B9" w:rsidRDefault="00AA363A" w:rsidP="002526B9">
      <w:pPr>
        <w:ind w:firstLine="720"/>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Rezumând, tabelul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graficul de mai jos, arată de ce IVPF, fiind cel mai stabil impozit na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ional, este recomandat să fie partajat pe baza ariei de colectare între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ia centrală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cea locală, iar TVA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IVPJ nu se califică pentru aceasta. </w:t>
      </w:r>
    </w:p>
    <w:p w:rsidR="00E0749A" w:rsidRDefault="00E0749A" w:rsidP="00C07DCA">
      <w:pPr>
        <w:jc w:val="center"/>
        <w:rPr>
          <w:rFonts w:ascii="Times New Roman" w:hAnsi="Times New Roman" w:cs="Times New Roman"/>
          <w:sz w:val="28"/>
          <w:szCs w:val="28"/>
          <w:lang w:val="ro-MO"/>
        </w:rPr>
      </w:pPr>
    </w:p>
    <w:p w:rsidR="00C07DCA" w:rsidRDefault="002526B9" w:rsidP="00C07DCA">
      <w:pPr>
        <w:jc w:val="center"/>
        <w:rPr>
          <w:rFonts w:ascii="Times New Roman" w:hAnsi="Times New Roman" w:cs="Times New Roman"/>
          <w:sz w:val="28"/>
          <w:szCs w:val="28"/>
          <w:lang w:val="ro-MO"/>
        </w:rPr>
      </w:pPr>
      <w:r>
        <w:rPr>
          <w:rFonts w:ascii="Times New Roman" w:hAnsi="Times New Roman" w:cs="Times New Roman"/>
          <w:sz w:val="28"/>
          <w:szCs w:val="28"/>
          <w:lang w:val="ro-MO"/>
        </w:rPr>
        <w:t>Tabel</w:t>
      </w:r>
      <w:r w:rsidR="00800A12">
        <w:rPr>
          <w:rFonts w:ascii="Times New Roman" w:hAnsi="Times New Roman" w:cs="Times New Roman"/>
          <w:sz w:val="28"/>
          <w:szCs w:val="28"/>
          <w:lang w:val="ro-MO"/>
        </w:rPr>
        <w:t>ul</w:t>
      </w:r>
      <w:r>
        <w:rPr>
          <w:rFonts w:ascii="Times New Roman" w:hAnsi="Times New Roman" w:cs="Times New Roman"/>
          <w:sz w:val="28"/>
          <w:szCs w:val="28"/>
          <w:lang w:val="ro-MO"/>
        </w:rPr>
        <w:t xml:space="preserve"> 2</w:t>
      </w:r>
      <w:r w:rsidR="008859D0">
        <w:rPr>
          <w:rFonts w:ascii="Times New Roman" w:hAnsi="Times New Roman" w:cs="Times New Roman"/>
          <w:sz w:val="28"/>
          <w:szCs w:val="28"/>
          <w:lang w:val="ro-MO"/>
        </w:rPr>
        <w:t>. I</w:t>
      </w:r>
      <w:r w:rsidR="00454A46">
        <w:rPr>
          <w:rFonts w:ascii="Times New Roman" w:hAnsi="Times New Roman" w:cs="Times New Roman"/>
          <w:sz w:val="28"/>
          <w:szCs w:val="28"/>
          <w:lang w:val="ro-MO"/>
        </w:rPr>
        <w:t>ndicii anuali de cre</w:t>
      </w:r>
      <w:r w:rsidR="006F4B00">
        <w:rPr>
          <w:rFonts w:ascii="Times New Roman" w:hAnsi="Times New Roman" w:cs="Times New Roman"/>
          <w:sz w:val="28"/>
          <w:szCs w:val="28"/>
          <w:lang w:val="ro-MO"/>
        </w:rPr>
        <w:t>ş</w:t>
      </w:r>
      <w:r w:rsidR="00454A46">
        <w:rPr>
          <w:rFonts w:ascii="Times New Roman" w:hAnsi="Times New Roman" w:cs="Times New Roman"/>
          <w:sz w:val="28"/>
          <w:szCs w:val="28"/>
          <w:lang w:val="ro-MO"/>
        </w:rPr>
        <w:t>tere ai principalilor</w:t>
      </w:r>
    </w:p>
    <w:p w:rsidR="00E4421E" w:rsidRDefault="00454A46" w:rsidP="00C07DCA">
      <w:pPr>
        <w:jc w:val="center"/>
        <w:rPr>
          <w:rFonts w:ascii="Times New Roman" w:hAnsi="Times New Roman" w:cs="Times New Roman"/>
          <w:sz w:val="28"/>
          <w:szCs w:val="28"/>
          <w:lang w:val="ro-MO"/>
        </w:rPr>
      </w:pPr>
      <w:r>
        <w:rPr>
          <w:rFonts w:ascii="Times New Roman" w:hAnsi="Times New Roman" w:cs="Times New Roman"/>
          <w:sz w:val="28"/>
          <w:szCs w:val="28"/>
          <w:lang w:val="ro-MO"/>
        </w:rPr>
        <w:t xml:space="preserve"> indicatori financiari-bugetari</w:t>
      </w:r>
      <w:r w:rsidR="00C07DCA">
        <w:rPr>
          <w:rFonts w:ascii="Times New Roman" w:hAnsi="Times New Roman" w:cs="Times New Roman"/>
          <w:sz w:val="28"/>
          <w:szCs w:val="28"/>
          <w:lang w:val="ro-M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350"/>
        <w:gridCol w:w="1350"/>
        <w:gridCol w:w="1350"/>
        <w:gridCol w:w="1350"/>
        <w:gridCol w:w="1440"/>
      </w:tblGrid>
      <w:tr w:rsidR="00AA363A" w:rsidRPr="00AD160F" w:rsidTr="00C87DE7">
        <w:trPr>
          <w:trHeight w:val="300"/>
          <w:jc w:val="center"/>
        </w:trPr>
        <w:tc>
          <w:tcPr>
            <w:tcW w:w="2268" w:type="dxa"/>
            <w:shd w:val="clear" w:color="auto" w:fill="auto"/>
            <w:noWrap/>
          </w:tcPr>
          <w:p w:rsidR="00AA363A" w:rsidRPr="00AD160F" w:rsidRDefault="00AA363A" w:rsidP="008B3768">
            <w:pPr>
              <w:jc w:val="both"/>
              <w:rPr>
                <w:rFonts w:ascii="Times New Roman" w:hAnsi="Times New Roman" w:cs="Times New Roman"/>
                <w:b/>
                <w:bCs/>
                <w:sz w:val="28"/>
                <w:szCs w:val="28"/>
                <w:lang w:val="ro-MO"/>
              </w:rPr>
            </w:pPr>
          </w:p>
        </w:tc>
        <w:tc>
          <w:tcPr>
            <w:tcW w:w="6840" w:type="dxa"/>
            <w:gridSpan w:val="5"/>
            <w:shd w:val="clear" w:color="auto" w:fill="auto"/>
            <w:noWrap/>
          </w:tcPr>
          <w:p w:rsidR="00AA363A" w:rsidRPr="00AD160F" w:rsidRDefault="00C815D3" w:rsidP="00847892">
            <w:pPr>
              <w:jc w:val="center"/>
              <w:rPr>
                <w:rFonts w:ascii="Times New Roman" w:hAnsi="Times New Roman" w:cs="Times New Roman"/>
                <w:b/>
                <w:bCs/>
                <w:sz w:val="28"/>
                <w:szCs w:val="28"/>
                <w:lang w:val="ro-MO"/>
              </w:rPr>
            </w:pPr>
            <w:r>
              <w:rPr>
                <w:rFonts w:ascii="Times New Roman" w:hAnsi="Times New Roman" w:cs="Times New Roman"/>
                <w:b/>
                <w:bCs/>
                <w:sz w:val="28"/>
                <w:szCs w:val="28"/>
                <w:lang w:val="ro-MO"/>
              </w:rPr>
              <w:t>Indicii</w:t>
            </w:r>
            <w:r w:rsidR="00847892" w:rsidRPr="00AD160F">
              <w:rPr>
                <w:rFonts w:ascii="Times New Roman" w:hAnsi="Times New Roman" w:cs="Times New Roman"/>
                <w:b/>
                <w:bCs/>
                <w:sz w:val="28"/>
                <w:szCs w:val="28"/>
                <w:lang w:val="ro-MO"/>
              </w:rPr>
              <w:t xml:space="preserve"> a</w:t>
            </w:r>
            <w:r w:rsidR="00AA363A" w:rsidRPr="00AD160F">
              <w:rPr>
                <w:rFonts w:ascii="Times New Roman" w:hAnsi="Times New Roman" w:cs="Times New Roman"/>
                <w:b/>
                <w:bCs/>
                <w:sz w:val="28"/>
                <w:szCs w:val="28"/>
                <w:lang w:val="ro-MO"/>
              </w:rPr>
              <w:t xml:space="preserve">nuali calculaţi </w:t>
            </w:r>
            <w:r w:rsidR="00847892" w:rsidRPr="00AD160F">
              <w:rPr>
                <w:rFonts w:ascii="Times New Roman" w:hAnsi="Times New Roman" w:cs="Times New Roman"/>
                <w:b/>
                <w:bCs/>
                <w:sz w:val="28"/>
                <w:szCs w:val="28"/>
                <w:lang w:val="ro-MO"/>
              </w:rPr>
              <w:t>(î</w:t>
            </w:r>
            <w:r w:rsidR="00AA363A" w:rsidRPr="00AD160F">
              <w:rPr>
                <w:rFonts w:ascii="Times New Roman" w:hAnsi="Times New Roman" w:cs="Times New Roman"/>
                <w:b/>
                <w:bCs/>
                <w:sz w:val="28"/>
                <w:szCs w:val="28"/>
                <w:lang w:val="ro-MO"/>
              </w:rPr>
              <w:t xml:space="preserve">n MDL </w:t>
            </w:r>
            <w:r w:rsidR="00E80FAA" w:rsidRPr="00E80FAA">
              <w:rPr>
                <w:rFonts w:ascii="Times New Roman" w:hAnsi="Times New Roman" w:cs="Times New Roman"/>
                <w:b/>
                <w:bCs/>
                <w:sz w:val="28"/>
                <w:szCs w:val="28"/>
                <w:lang w:val="ro-MO"/>
              </w:rPr>
              <w:t>constanţi 2005</w:t>
            </w:r>
            <w:r w:rsidR="00847892" w:rsidRPr="00AD160F">
              <w:rPr>
                <w:rFonts w:ascii="Times New Roman" w:hAnsi="Times New Roman" w:cs="Times New Roman"/>
                <w:b/>
                <w:bCs/>
                <w:sz w:val="28"/>
                <w:szCs w:val="28"/>
                <w:lang w:val="ro-MO"/>
              </w:rPr>
              <w:t>)</w:t>
            </w:r>
          </w:p>
        </w:tc>
      </w:tr>
      <w:tr w:rsidR="00AA363A" w:rsidRPr="00AD160F" w:rsidTr="00C87DE7">
        <w:trPr>
          <w:trHeight w:val="315"/>
          <w:jc w:val="center"/>
        </w:trPr>
        <w:tc>
          <w:tcPr>
            <w:tcW w:w="2268" w:type="dxa"/>
            <w:shd w:val="clear" w:color="auto" w:fill="auto"/>
            <w:noWrap/>
          </w:tcPr>
          <w:p w:rsidR="00AA363A" w:rsidRPr="00AD160F" w:rsidRDefault="00AA363A" w:rsidP="008B3768">
            <w:pPr>
              <w:jc w:val="both"/>
              <w:rPr>
                <w:rFonts w:ascii="Times New Roman" w:hAnsi="Times New Roman" w:cs="Times New Roman"/>
                <w:b/>
                <w:bCs/>
                <w:sz w:val="28"/>
                <w:szCs w:val="28"/>
                <w:lang w:val="ro-MO"/>
              </w:rPr>
            </w:pPr>
            <w:r w:rsidRPr="00AD160F">
              <w:rPr>
                <w:rFonts w:ascii="Times New Roman" w:hAnsi="Times New Roman" w:cs="Times New Roman"/>
                <w:b/>
                <w:bCs/>
                <w:sz w:val="28"/>
                <w:szCs w:val="28"/>
                <w:lang w:val="ro-MO"/>
              </w:rPr>
              <w:t>An</w:t>
            </w:r>
          </w:p>
        </w:tc>
        <w:tc>
          <w:tcPr>
            <w:tcW w:w="1350" w:type="dxa"/>
            <w:shd w:val="clear" w:color="auto" w:fill="auto"/>
            <w:noWrap/>
          </w:tcPr>
          <w:p w:rsidR="00AA363A" w:rsidRPr="006F4B00" w:rsidRDefault="00AA363A" w:rsidP="00B826DC">
            <w:pPr>
              <w:jc w:val="center"/>
              <w:rPr>
                <w:rFonts w:ascii="Times New Roman" w:hAnsi="Times New Roman" w:cs="Times New Roman"/>
                <w:b/>
                <w:bCs/>
                <w:sz w:val="24"/>
                <w:szCs w:val="24"/>
              </w:rPr>
            </w:pPr>
            <w:r w:rsidRPr="006F4B00">
              <w:rPr>
                <w:rFonts w:ascii="Times New Roman" w:hAnsi="Times New Roman" w:cs="Times New Roman"/>
                <w:b/>
                <w:bCs/>
                <w:sz w:val="24"/>
                <w:szCs w:val="24"/>
                <w:lang w:val="ro-MO"/>
              </w:rPr>
              <w:t>2006</w:t>
            </w:r>
            <w:r w:rsidR="006F4B00">
              <w:rPr>
                <w:rFonts w:ascii="Times New Roman" w:hAnsi="Times New Roman" w:cs="Times New Roman"/>
                <w:b/>
                <w:bCs/>
                <w:sz w:val="24"/>
                <w:szCs w:val="24"/>
              </w:rPr>
              <w:t>/2005</w:t>
            </w:r>
          </w:p>
        </w:tc>
        <w:tc>
          <w:tcPr>
            <w:tcW w:w="1350" w:type="dxa"/>
            <w:shd w:val="clear" w:color="auto" w:fill="auto"/>
            <w:noWrap/>
          </w:tcPr>
          <w:p w:rsidR="00AA363A" w:rsidRPr="006F4B00" w:rsidRDefault="00AA363A" w:rsidP="00B826DC">
            <w:pPr>
              <w:jc w:val="center"/>
              <w:rPr>
                <w:rFonts w:ascii="Times New Roman" w:hAnsi="Times New Roman" w:cs="Times New Roman"/>
                <w:b/>
                <w:bCs/>
                <w:sz w:val="24"/>
                <w:szCs w:val="24"/>
                <w:lang w:val="ro-MO"/>
              </w:rPr>
            </w:pPr>
            <w:r w:rsidRPr="006F4B00">
              <w:rPr>
                <w:rFonts w:ascii="Times New Roman" w:hAnsi="Times New Roman" w:cs="Times New Roman"/>
                <w:b/>
                <w:bCs/>
                <w:sz w:val="24"/>
                <w:szCs w:val="24"/>
                <w:lang w:val="ro-MO"/>
              </w:rPr>
              <w:t>2007</w:t>
            </w:r>
            <w:r w:rsidR="006F4B00">
              <w:rPr>
                <w:rFonts w:ascii="Times New Roman" w:hAnsi="Times New Roman" w:cs="Times New Roman"/>
                <w:b/>
                <w:bCs/>
                <w:sz w:val="24"/>
                <w:szCs w:val="24"/>
                <w:lang w:val="ro-MO"/>
              </w:rPr>
              <w:t>/2006</w:t>
            </w:r>
          </w:p>
        </w:tc>
        <w:tc>
          <w:tcPr>
            <w:tcW w:w="1350" w:type="dxa"/>
            <w:shd w:val="clear" w:color="auto" w:fill="auto"/>
            <w:noWrap/>
          </w:tcPr>
          <w:p w:rsidR="00AA363A" w:rsidRPr="006F4B00" w:rsidRDefault="00AA363A" w:rsidP="00B826DC">
            <w:pPr>
              <w:jc w:val="center"/>
              <w:rPr>
                <w:rFonts w:ascii="Times New Roman" w:hAnsi="Times New Roman" w:cs="Times New Roman"/>
                <w:b/>
                <w:bCs/>
                <w:sz w:val="24"/>
                <w:szCs w:val="24"/>
                <w:lang w:val="ro-MO"/>
              </w:rPr>
            </w:pPr>
            <w:r w:rsidRPr="006F4B00">
              <w:rPr>
                <w:rFonts w:ascii="Times New Roman" w:hAnsi="Times New Roman" w:cs="Times New Roman"/>
                <w:b/>
                <w:bCs/>
                <w:sz w:val="24"/>
                <w:szCs w:val="24"/>
                <w:lang w:val="ro-MO"/>
              </w:rPr>
              <w:t>2008</w:t>
            </w:r>
            <w:r w:rsidR="006F4B00">
              <w:rPr>
                <w:rFonts w:ascii="Times New Roman" w:hAnsi="Times New Roman" w:cs="Times New Roman"/>
                <w:b/>
                <w:bCs/>
                <w:sz w:val="24"/>
                <w:szCs w:val="24"/>
                <w:lang w:val="ro-MO"/>
              </w:rPr>
              <w:t>/2007</w:t>
            </w:r>
          </w:p>
        </w:tc>
        <w:tc>
          <w:tcPr>
            <w:tcW w:w="1350" w:type="dxa"/>
            <w:shd w:val="clear" w:color="auto" w:fill="auto"/>
            <w:noWrap/>
          </w:tcPr>
          <w:p w:rsidR="00AA363A" w:rsidRPr="006F4B00" w:rsidRDefault="00AA363A" w:rsidP="00B826DC">
            <w:pPr>
              <w:jc w:val="center"/>
              <w:rPr>
                <w:rFonts w:ascii="Times New Roman" w:hAnsi="Times New Roman" w:cs="Times New Roman"/>
                <w:b/>
                <w:bCs/>
                <w:sz w:val="24"/>
                <w:szCs w:val="24"/>
                <w:lang w:val="ro-MO"/>
              </w:rPr>
            </w:pPr>
            <w:r w:rsidRPr="006F4B00">
              <w:rPr>
                <w:rFonts w:ascii="Times New Roman" w:hAnsi="Times New Roman" w:cs="Times New Roman"/>
                <w:b/>
                <w:bCs/>
                <w:sz w:val="24"/>
                <w:szCs w:val="24"/>
                <w:lang w:val="ro-MO"/>
              </w:rPr>
              <w:t>2009</w:t>
            </w:r>
            <w:r w:rsidR="006F4B00">
              <w:rPr>
                <w:rFonts w:ascii="Times New Roman" w:hAnsi="Times New Roman" w:cs="Times New Roman"/>
                <w:b/>
                <w:bCs/>
                <w:sz w:val="24"/>
                <w:szCs w:val="24"/>
                <w:lang w:val="ro-MO"/>
              </w:rPr>
              <w:t>/2008</w:t>
            </w:r>
          </w:p>
        </w:tc>
        <w:tc>
          <w:tcPr>
            <w:tcW w:w="1440" w:type="dxa"/>
            <w:shd w:val="clear" w:color="auto" w:fill="auto"/>
            <w:noWrap/>
          </w:tcPr>
          <w:p w:rsidR="00AA363A" w:rsidRPr="006F4B00" w:rsidRDefault="00AA363A" w:rsidP="00B826DC">
            <w:pPr>
              <w:jc w:val="center"/>
              <w:rPr>
                <w:rFonts w:ascii="Times New Roman" w:hAnsi="Times New Roman" w:cs="Times New Roman"/>
                <w:b/>
                <w:bCs/>
                <w:sz w:val="24"/>
                <w:szCs w:val="24"/>
                <w:lang w:val="ro-MO"/>
              </w:rPr>
            </w:pPr>
            <w:r w:rsidRPr="006F4B00">
              <w:rPr>
                <w:rFonts w:ascii="Times New Roman" w:hAnsi="Times New Roman" w:cs="Times New Roman"/>
                <w:b/>
                <w:bCs/>
                <w:sz w:val="24"/>
                <w:szCs w:val="24"/>
                <w:lang w:val="ro-MO"/>
              </w:rPr>
              <w:t>2010</w:t>
            </w:r>
            <w:r w:rsidR="006F4B00">
              <w:rPr>
                <w:rFonts w:ascii="Times New Roman" w:hAnsi="Times New Roman" w:cs="Times New Roman"/>
                <w:b/>
                <w:bCs/>
                <w:sz w:val="24"/>
                <w:szCs w:val="24"/>
                <w:lang w:val="ro-MO"/>
              </w:rPr>
              <w:t>/2009</w:t>
            </w:r>
          </w:p>
        </w:tc>
      </w:tr>
      <w:tr w:rsidR="00AA363A" w:rsidRPr="00AD160F" w:rsidTr="00C87DE7">
        <w:trPr>
          <w:trHeight w:val="315"/>
          <w:jc w:val="center"/>
        </w:trPr>
        <w:tc>
          <w:tcPr>
            <w:tcW w:w="2268" w:type="dxa"/>
            <w:shd w:val="clear" w:color="auto" w:fill="auto"/>
            <w:noWrap/>
          </w:tcPr>
          <w:p w:rsidR="00AA363A" w:rsidRPr="00C815D3" w:rsidRDefault="00AA363A"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PIB</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100.0</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104.6</w:t>
            </w:r>
          </w:p>
        </w:tc>
        <w:tc>
          <w:tcPr>
            <w:tcW w:w="1350" w:type="dxa"/>
            <w:shd w:val="clear" w:color="auto" w:fill="auto"/>
            <w:noWrap/>
          </w:tcPr>
          <w:p w:rsidR="00AA363A" w:rsidRPr="00AD160F" w:rsidRDefault="00AA363A" w:rsidP="00C87DE7">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10</w:t>
            </w:r>
            <w:r w:rsidR="00C07DCA">
              <w:rPr>
                <w:rFonts w:ascii="Times New Roman" w:hAnsi="Times New Roman" w:cs="Times New Roman"/>
                <w:sz w:val="28"/>
                <w:szCs w:val="28"/>
                <w:lang w:val="ro-MO"/>
              </w:rPr>
              <w:t>6.0</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87.6</w:t>
            </w:r>
          </w:p>
        </w:tc>
        <w:tc>
          <w:tcPr>
            <w:tcW w:w="144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107.8</w:t>
            </w:r>
          </w:p>
        </w:tc>
      </w:tr>
      <w:tr w:rsidR="00AA363A" w:rsidRPr="00AD160F" w:rsidTr="00C87DE7">
        <w:trPr>
          <w:trHeight w:val="315"/>
          <w:jc w:val="center"/>
        </w:trPr>
        <w:tc>
          <w:tcPr>
            <w:tcW w:w="2268" w:type="dxa"/>
            <w:shd w:val="clear" w:color="auto" w:fill="auto"/>
            <w:noWrap/>
          </w:tcPr>
          <w:p w:rsidR="00AA363A" w:rsidRPr="00C815D3" w:rsidRDefault="00AA363A"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Venituri Totale</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100.0</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106.5</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101.4</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89.4</w:t>
            </w:r>
          </w:p>
        </w:tc>
        <w:tc>
          <w:tcPr>
            <w:tcW w:w="144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108.8</w:t>
            </w:r>
          </w:p>
        </w:tc>
      </w:tr>
      <w:tr w:rsidR="00AA363A" w:rsidRPr="00AD160F" w:rsidTr="00C87DE7">
        <w:trPr>
          <w:trHeight w:val="315"/>
          <w:jc w:val="center"/>
        </w:trPr>
        <w:tc>
          <w:tcPr>
            <w:tcW w:w="2268" w:type="dxa"/>
            <w:shd w:val="clear" w:color="auto" w:fill="auto"/>
            <w:noWrap/>
          </w:tcPr>
          <w:p w:rsidR="00AA363A" w:rsidRPr="00C815D3" w:rsidRDefault="00AA363A"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IVPF</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100.0</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100.4</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98.6</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98.1</w:t>
            </w:r>
          </w:p>
        </w:tc>
        <w:tc>
          <w:tcPr>
            <w:tcW w:w="144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95.9</w:t>
            </w:r>
          </w:p>
        </w:tc>
      </w:tr>
      <w:tr w:rsidR="00AA363A" w:rsidRPr="00AD160F" w:rsidTr="00C87DE7">
        <w:trPr>
          <w:trHeight w:val="315"/>
          <w:jc w:val="center"/>
        </w:trPr>
        <w:tc>
          <w:tcPr>
            <w:tcW w:w="2268" w:type="dxa"/>
            <w:shd w:val="clear" w:color="auto" w:fill="auto"/>
            <w:noWrap/>
          </w:tcPr>
          <w:p w:rsidR="00AA363A" w:rsidRPr="00C815D3" w:rsidRDefault="00AA363A"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TVA</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100.0</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104.4</w:t>
            </w:r>
          </w:p>
        </w:tc>
        <w:tc>
          <w:tcPr>
            <w:tcW w:w="1350" w:type="dxa"/>
            <w:shd w:val="clear" w:color="auto" w:fill="auto"/>
            <w:noWrap/>
          </w:tcPr>
          <w:p w:rsidR="00AA363A" w:rsidRPr="00AD160F" w:rsidRDefault="00AA363A" w:rsidP="00C07DCA">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106.2</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81.9</w:t>
            </w:r>
          </w:p>
        </w:tc>
        <w:tc>
          <w:tcPr>
            <w:tcW w:w="1440" w:type="dxa"/>
            <w:shd w:val="clear" w:color="auto" w:fill="auto"/>
            <w:noWrap/>
          </w:tcPr>
          <w:p w:rsidR="00AA363A" w:rsidRPr="00AD160F" w:rsidRDefault="00AA363A" w:rsidP="00C07DCA">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110.6</w:t>
            </w:r>
          </w:p>
        </w:tc>
      </w:tr>
      <w:tr w:rsidR="00AA363A" w:rsidRPr="00AD160F" w:rsidTr="00C87DE7">
        <w:trPr>
          <w:trHeight w:val="315"/>
          <w:jc w:val="center"/>
        </w:trPr>
        <w:tc>
          <w:tcPr>
            <w:tcW w:w="2268" w:type="dxa"/>
            <w:shd w:val="clear" w:color="auto" w:fill="auto"/>
            <w:noWrap/>
          </w:tcPr>
          <w:p w:rsidR="00AA363A" w:rsidRPr="00C815D3" w:rsidRDefault="00AA363A" w:rsidP="008B3768">
            <w:pPr>
              <w:jc w:val="both"/>
              <w:rPr>
                <w:rFonts w:ascii="Times New Roman" w:hAnsi="Times New Roman" w:cs="Times New Roman"/>
                <w:bCs/>
                <w:sz w:val="28"/>
                <w:szCs w:val="28"/>
                <w:lang w:val="ro-MO"/>
              </w:rPr>
            </w:pPr>
            <w:r w:rsidRPr="00C815D3">
              <w:rPr>
                <w:rFonts w:ascii="Times New Roman" w:hAnsi="Times New Roman" w:cs="Times New Roman"/>
                <w:bCs/>
                <w:sz w:val="28"/>
                <w:szCs w:val="28"/>
                <w:lang w:val="ro-MO"/>
              </w:rPr>
              <w:t>IVPJ</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100.0</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109.7</w:t>
            </w:r>
          </w:p>
        </w:tc>
        <w:tc>
          <w:tcPr>
            <w:tcW w:w="135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45.8</w:t>
            </w:r>
          </w:p>
        </w:tc>
        <w:tc>
          <w:tcPr>
            <w:tcW w:w="1350" w:type="dxa"/>
            <w:shd w:val="clear" w:color="auto" w:fill="auto"/>
            <w:noWrap/>
          </w:tcPr>
          <w:p w:rsidR="00AA363A" w:rsidRPr="00AD160F" w:rsidRDefault="00AA363A" w:rsidP="00C07DCA">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58.7</w:t>
            </w:r>
          </w:p>
        </w:tc>
        <w:tc>
          <w:tcPr>
            <w:tcW w:w="1440" w:type="dxa"/>
            <w:shd w:val="clear" w:color="auto" w:fill="auto"/>
            <w:noWrap/>
          </w:tcPr>
          <w:p w:rsidR="00AA363A" w:rsidRPr="00AD160F" w:rsidRDefault="00C07DCA" w:rsidP="00C87DE7">
            <w:pPr>
              <w:jc w:val="center"/>
              <w:rPr>
                <w:rFonts w:ascii="Times New Roman" w:hAnsi="Times New Roman" w:cs="Times New Roman"/>
                <w:sz w:val="28"/>
                <w:szCs w:val="28"/>
                <w:lang w:val="ro-MO"/>
              </w:rPr>
            </w:pPr>
            <w:r>
              <w:rPr>
                <w:rFonts w:ascii="Times New Roman" w:hAnsi="Times New Roman" w:cs="Times New Roman"/>
                <w:sz w:val="28"/>
                <w:szCs w:val="28"/>
                <w:lang w:val="ro-MO"/>
              </w:rPr>
              <w:t>103.5</w:t>
            </w:r>
          </w:p>
        </w:tc>
      </w:tr>
    </w:tbl>
    <w:p w:rsidR="00E4421E" w:rsidRDefault="00847892">
      <w:pPr>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                                                                                                    </w:t>
      </w:r>
      <w:r w:rsidR="002526B9">
        <w:rPr>
          <w:rFonts w:ascii="Times New Roman" w:hAnsi="Times New Roman" w:cs="Times New Roman"/>
          <w:sz w:val="28"/>
          <w:szCs w:val="28"/>
          <w:lang w:val="ro-MO"/>
        </w:rPr>
        <w:t xml:space="preserve">                               </w:t>
      </w:r>
      <w:r w:rsidR="008859D0">
        <w:rPr>
          <w:rFonts w:ascii="Times New Roman" w:hAnsi="Times New Roman" w:cs="Times New Roman"/>
          <w:sz w:val="28"/>
          <w:szCs w:val="28"/>
          <w:lang w:val="ro-MO"/>
        </w:rPr>
        <w:t xml:space="preserve">  </w:t>
      </w:r>
    </w:p>
    <w:p w:rsidR="002531B8" w:rsidRPr="00AD160F" w:rsidRDefault="002531B8" w:rsidP="00847892">
      <w:pPr>
        <w:jc w:val="center"/>
        <w:rPr>
          <w:rFonts w:ascii="Times New Roman" w:hAnsi="Times New Roman" w:cs="Times New Roman"/>
          <w:sz w:val="28"/>
          <w:szCs w:val="28"/>
          <w:lang w:val="ro-MO"/>
        </w:rPr>
      </w:pPr>
      <w:r w:rsidRPr="002531B8">
        <w:rPr>
          <w:rFonts w:ascii="Times New Roman" w:hAnsi="Times New Roman" w:cs="Times New Roman"/>
          <w:noProof/>
          <w:sz w:val="28"/>
          <w:szCs w:val="28"/>
          <w:lang w:val="ru-RU" w:eastAsia="ru-RU"/>
        </w:rPr>
        <w:lastRenderedPageBreak/>
        <w:drawing>
          <wp:inline distT="0" distB="0" distL="0" distR="0">
            <wp:extent cx="5402580" cy="3794760"/>
            <wp:effectExtent l="19050" t="0" r="2667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7892" w:rsidRPr="00AD160F" w:rsidRDefault="00847892" w:rsidP="00847892">
      <w:pPr>
        <w:jc w:val="center"/>
        <w:rPr>
          <w:rFonts w:ascii="Times New Roman" w:hAnsi="Times New Roman" w:cs="Times New Roman"/>
          <w:sz w:val="28"/>
          <w:szCs w:val="28"/>
          <w:lang w:val="ro-MO"/>
        </w:rPr>
      </w:pPr>
    </w:p>
    <w:p w:rsidR="00AA363A" w:rsidRPr="00836AB3" w:rsidRDefault="00B826DC" w:rsidP="00935F97">
      <w:pPr>
        <w:ind w:firstLine="567"/>
        <w:jc w:val="both"/>
        <w:rPr>
          <w:rFonts w:ascii="Times New Roman" w:hAnsi="Times New Roman" w:cs="Times New Roman"/>
          <w:i/>
          <w:sz w:val="28"/>
          <w:szCs w:val="28"/>
          <w:lang w:val="ro-MO"/>
        </w:rPr>
      </w:pPr>
      <w:r w:rsidRPr="00836AB3">
        <w:rPr>
          <w:rFonts w:ascii="Times New Roman" w:hAnsi="Times New Roman" w:cs="Times New Roman"/>
          <w:i/>
          <w:sz w:val="28"/>
          <w:szCs w:val="28"/>
          <w:lang w:val="ro-MO"/>
        </w:rPr>
        <w:t>III.</w:t>
      </w:r>
      <w:r w:rsidR="00AA363A" w:rsidRPr="00836AB3">
        <w:rPr>
          <w:rFonts w:ascii="Times New Roman" w:hAnsi="Times New Roman" w:cs="Times New Roman"/>
          <w:i/>
          <w:sz w:val="28"/>
          <w:szCs w:val="28"/>
          <w:lang w:val="ro-MO"/>
        </w:rPr>
        <w:t xml:space="preserve">4. Utilizarea exclusivă a </w:t>
      </w:r>
      <w:r w:rsidR="00847892" w:rsidRPr="00836AB3">
        <w:rPr>
          <w:rFonts w:ascii="Times New Roman" w:hAnsi="Times New Roman" w:cs="Times New Roman"/>
          <w:i/>
          <w:sz w:val="28"/>
          <w:szCs w:val="28"/>
          <w:lang w:val="ro-MO"/>
        </w:rPr>
        <w:t>IVPF</w:t>
      </w:r>
      <w:r w:rsidR="00AA363A" w:rsidRPr="00836AB3">
        <w:rPr>
          <w:rFonts w:ascii="Times New Roman" w:hAnsi="Times New Roman" w:cs="Times New Roman"/>
          <w:i/>
          <w:sz w:val="28"/>
          <w:szCs w:val="28"/>
          <w:lang w:val="ro-MO"/>
        </w:rPr>
        <w:t xml:space="preserve"> în sistemul de impozite partajate pe baza ariei de colectare</w:t>
      </w:r>
    </w:p>
    <w:p w:rsidR="00AA363A" w:rsidRPr="002526B9" w:rsidRDefault="00AA363A" w:rsidP="008B3768">
      <w:pPr>
        <w:jc w:val="both"/>
        <w:rPr>
          <w:rFonts w:ascii="Times New Roman" w:hAnsi="Times New Roman" w:cs="Times New Roman"/>
          <w:sz w:val="10"/>
          <w:szCs w:val="10"/>
          <w:lang w:val="ro-MO"/>
        </w:rPr>
      </w:pPr>
    </w:p>
    <w:p w:rsidR="00326F3A" w:rsidRDefault="00AA363A" w:rsidP="00935F97">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Utilizarea în sistemul de impozite partajate pe baza ariei de colectare </w:t>
      </w:r>
      <w:r w:rsidR="00C815D3" w:rsidRPr="00AD160F">
        <w:rPr>
          <w:rFonts w:ascii="Times New Roman" w:hAnsi="Times New Roman" w:cs="Times New Roman"/>
          <w:sz w:val="28"/>
          <w:szCs w:val="28"/>
          <w:lang w:val="ro-MO"/>
        </w:rPr>
        <w:t>numai</w:t>
      </w:r>
      <w:r w:rsidRPr="00AD160F">
        <w:rPr>
          <w:rFonts w:ascii="Times New Roman" w:hAnsi="Times New Roman" w:cs="Times New Roman"/>
          <w:sz w:val="28"/>
          <w:szCs w:val="28"/>
          <w:lang w:val="ro-MO"/>
        </w:rPr>
        <w:t xml:space="preserve"> a Impozitului pe Venitul Persoanelor Fizice (IVPF) – cel mai utilizat la nivel interna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ional pentru acest scop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singurul recomandat de literatura de specialitate din domeniul finan</w:t>
      </w:r>
      <w:r w:rsidR="006F4B00">
        <w:rPr>
          <w:rFonts w:ascii="Times New Roman" w:hAnsi="Times New Roman" w:cs="Times New Roman"/>
          <w:sz w:val="28"/>
          <w:szCs w:val="28"/>
          <w:lang w:val="ro-MO"/>
        </w:rPr>
        <w:t>ţ</w:t>
      </w:r>
      <w:r w:rsidR="00326F3A">
        <w:rPr>
          <w:rFonts w:ascii="Times New Roman" w:hAnsi="Times New Roman" w:cs="Times New Roman"/>
          <w:sz w:val="28"/>
          <w:szCs w:val="28"/>
          <w:lang w:val="ro-MO"/>
        </w:rPr>
        <w:t>elor publice, întrucît în situaţii de criză impactul colectării acestuia asupra bugeteleor unităţilor administrtiv–teritoriale este nesemnificativ.</w:t>
      </w:r>
      <w:r w:rsidRPr="00AD160F">
        <w:rPr>
          <w:rFonts w:ascii="Times New Roman" w:hAnsi="Times New Roman" w:cs="Times New Roman"/>
          <w:sz w:val="28"/>
          <w:szCs w:val="28"/>
          <w:lang w:val="ro-MO"/>
        </w:rPr>
        <w:t xml:space="preserve"> </w:t>
      </w:r>
    </w:p>
    <w:p w:rsidR="00AA363A" w:rsidRPr="00AD160F" w:rsidRDefault="00AA363A" w:rsidP="00935F97">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IVPF este cel mai stabil impozit de-a lungul unui ciclu economic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este cel mai pu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in eterogen distribuit la nivel teritorial:</w:t>
      </w:r>
    </w:p>
    <w:p w:rsidR="00AA363A" w:rsidRPr="002526B9" w:rsidRDefault="00AA363A" w:rsidP="008B3768">
      <w:pPr>
        <w:jc w:val="both"/>
        <w:rPr>
          <w:rFonts w:ascii="Times New Roman" w:hAnsi="Times New Roman" w:cs="Times New Roman"/>
          <w:sz w:val="10"/>
          <w:szCs w:val="10"/>
          <w:lang w:val="ro-MO"/>
        </w:rPr>
      </w:pPr>
    </w:p>
    <w:p w:rsidR="00E4421E" w:rsidRDefault="00AA363A" w:rsidP="00C07DCA">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Tabel</w:t>
      </w:r>
      <w:r w:rsidR="00800A12">
        <w:rPr>
          <w:rFonts w:ascii="Times New Roman" w:hAnsi="Times New Roman" w:cs="Times New Roman"/>
          <w:sz w:val="28"/>
          <w:szCs w:val="28"/>
          <w:lang w:val="ro-MO"/>
        </w:rPr>
        <w:t>ul</w:t>
      </w:r>
      <w:r w:rsidRPr="00AD160F">
        <w:rPr>
          <w:rFonts w:ascii="Times New Roman" w:hAnsi="Times New Roman" w:cs="Times New Roman"/>
          <w:sz w:val="28"/>
          <w:szCs w:val="28"/>
          <w:lang w:val="ro-MO"/>
        </w:rPr>
        <w:t xml:space="preserve"> 3</w:t>
      </w:r>
      <w:r w:rsidR="008859D0">
        <w:rPr>
          <w:rFonts w:ascii="Times New Roman" w:hAnsi="Times New Roman" w:cs="Times New Roman"/>
          <w:sz w:val="28"/>
          <w:szCs w:val="28"/>
          <w:lang w:val="ro-MO"/>
        </w:rPr>
        <w:t>.  D</w:t>
      </w:r>
      <w:r w:rsidR="00B90DCD">
        <w:rPr>
          <w:rFonts w:ascii="Times New Roman" w:hAnsi="Times New Roman" w:cs="Times New Roman"/>
          <w:sz w:val="28"/>
          <w:szCs w:val="28"/>
          <w:lang w:val="ro-MO"/>
        </w:rPr>
        <w:t>istribu</w:t>
      </w:r>
      <w:r w:rsidR="006F4B00">
        <w:rPr>
          <w:rFonts w:ascii="Times New Roman" w:hAnsi="Times New Roman" w:cs="Times New Roman"/>
          <w:sz w:val="28"/>
          <w:szCs w:val="28"/>
          <w:lang w:val="ro-MO"/>
        </w:rPr>
        <w:t>ţ</w:t>
      </w:r>
      <w:r w:rsidR="00C07DCA">
        <w:rPr>
          <w:rFonts w:ascii="Times New Roman" w:hAnsi="Times New Roman" w:cs="Times New Roman"/>
          <w:sz w:val="28"/>
          <w:szCs w:val="28"/>
          <w:lang w:val="ro-MO"/>
        </w:rPr>
        <w:t>ia teritorială a IVPF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4"/>
        <w:gridCol w:w="3178"/>
        <w:gridCol w:w="2954"/>
      </w:tblGrid>
      <w:tr w:rsidR="00AA363A" w:rsidRPr="00AD160F" w:rsidTr="00847892">
        <w:trPr>
          <w:jc w:val="center"/>
        </w:trPr>
        <w:tc>
          <w:tcPr>
            <w:tcW w:w="3224" w:type="dxa"/>
            <w:shd w:val="clear" w:color="auto" w:fill="auto"/>
          </w:tcPr>
          <w:p w:rsidR="00AA363A" w:rsidRPr="00AD160F" w:rsidRDefault="00AA363A" w:rsidP="008B3768">
            <w:pPr>
              <w:jc w:val="both"/>
              <w:rPr>
                <w:rFonts w:ascii="Times New Roman" w:hAnsi="Times New Roman" w:cs="Times New Roman"/>
                <w:b/>
                <w:bCs/>
                <w:sz w:val="28"/>
                <w:szCs w:val="28"/>
                <w:lang w:val="ro-MO"/>
              </w:rPr>
            </w:pPr>
            <w:r w:rsidRPr="00AD160F">
              <w:rPr>
                <w:rFonts w:ascii="Times New Roman" w:hAnsi="Times New Roman" w:cs="Times New Roman"/>
                <w:b/>
                <w:bCs/>
                <w:sz w:val="28"/>
                <w:szCs w:val="28"/>
                <w:lang w:val="ro-MO"/>
              </w:rPr>
              <w:t>Administra</w:t>
            </w:r>
            <w:r w:rsidR="006F4B00">
              <w:rPr>
                <w:rFonts w:ascii="Times New Roman" w:hAnsi="Times New Roman" w:cs="Times New Roman"/>
                <w:b/>
                <w:bCs/>
                <w:sz w:val="28"/>
                <w:szCs w:val="28"/>
                <w:lang w:val="ro-MO"/>
              </w:rPr>
              <w:t>ţ</w:t>
            </w:r>
            <w:r w:rsidRPr="00AD160F">
              <w:rPr>
                <w:rFonts w:ascii="Times New Roman" w:hAnsi="Times New Roman" w:cs="Times New Roman"/>
                <w:b/>
                <w:bCs/>
                <w:sz w:val="28"/>
                <w:szCs w:val="28"/>
                <w:lang w:val="ro-MO"/>
              </w:rPr>
              <w:t>ia Locală</w:t>
            </w:r>
          </w:p>
        </w:tc>
        <w:tc>
          <w:tcPr>
            <w:tcW w:w="3178" w:type="dxa"/>
            <w:shd w:val="clear" w:color="auto" w:fill="auto"/>
          </w:tcPr>
          <w:p w:rsidR="00AA363A" w:rsidRPr="00AD160F" w:rsidRDefault="00B826DC" w:rsidP="00B826DC">
            <w:pPr>
              <w:jc w:val="center"/>
              <w:rPr>
                <w:rFonts w:ascii="Times New Roman" w:hAnsi="Times New Roman" w:cs="Times New Roman"/>
                <w:b/>
                <w:bCs/>
                <w:sz w:val="28"/>
                <w:szCs w:val="28"/>
                <w:lang w:val="ro-MO"/>
              </w:rPr>
            </w:pPr>
            <w:r w:rsidRPr="00AD160F">
              <w:rPr>
                <w:rFonts w:ascii="Times New Roman" w:hAnsi="Times New Roman" w:cs="Times New Roman"/>
                <w:b/>
                <w:bCs/>
                <w:sz w:val="28"/>
                <w:szCs w:val="28"/>
                <w:lang w:val="ro-MO"/>
              </w:rPr>
              <w:t>Ponderea p</w:t>
            </w:r>
            <w:r w:rsidR="00AA363A" w:rsidRPr="00AD160F">
              <w:rPr>
                <w:rFonts w:ascii="Times New Roman" w:hAnsi="Times New Roman" w:cs="Times New Roman"/>
                <w:b/>
                <w:bCs/>
                <w:sz w:val="28"/>
                <w:szCs w:val="28"/>
                <w:lang w:val="ro-MO"/>
              </w:rPr>
              <w:t>opula</w:t>
            </w:r>
            <w:r w:rsidR="006F4B00">
              <w:rPr>
                <w:rFonts w:ascii="Times New Roman" w:hAnsi="Times New Roman" w:cs="Times New Roman"/>
                <w:b/>
                <w:bCs/>
                <w:sz w:val="28"/>
                <w:szCs w:val="28"/>
                <w:lang w:val="ro-MO"/>
              </w:rPr>
              <w:t>ţ</w:t>
            </w:r>
            <w:r w:rsidR="00AA363A" w:rsidRPr="00AD160F">
              <w:rPr>
                <w:rFonts w:ascii="Times New Roman" w:hAnsi="Times New Roman" w:cs="Times New Roman"/>
                <w:b/>
                <w:bCs/>
                <w:sz w:val="28"/>
                <w:szCs w:val="28"/>
                <w:lang w:val="ro-MO"/>
              </w:rPr>
              <w:t>iei</w:t>
            </w:r>
          </w:p>
        </w:tc>
        <w:tc>
          <w:tcPr>
            <w:tcW w:w="2954" w:type="dxa"/>
            <w:shd w:val="clear" w:color="auto" w:fill="auto"/>
          </w:tcPr>
          <w:p w:rsidR="00AA363A" w:rsidRPr="00AD160F" w:rsidRDefault="00AA363A" w:rsidP="00B826DC">
            <w:pPr>
              <w:jc w:val="center"/>
              <w:rPr>
                <w:rFonts w:ascii="Times New Roman" w:hAnsi="Times New Roman" w:cs="Times New Roman"/>
                <w:b/>
                <w:bCs/>
                <w:sz w:val="28"/>
                <w:szCs w:val="28"/>
                <w:lang w:val="ro-MO"/>
              </w:rPr>
            </w:pPr>
            <w:r w:rsidRPr="00AD160F">
              <w:rPr>
                <w:rFonts w:ascii="Times New Roman" w:hAnsi="Times New Roman" w:cs="Times New Roman"/>
                <w:b/>
                <w:bCs/>
                <w:sz w:val="28"/>
                <w:szCs w:val="28"/>
                <w:lang w:val="ro-MO"/>
              </w:rPr>
              <w:t>Ponderea IVPF</w:t>
            </w:r>
          </w:p>
        </w:tc>
      </w:tr>
      <w:tr w:rsidR="00AA363A" w:rsidRPr="00AD160F" w:rsidTr="00847892">
        <w:trPr>
          <w:jc w:val="center"/>
        </w:trPr>
        <w:tc>
          <w:tcPr>
            <w:tcW w:w="3224" w:type="dxa"/>
            <w:shd w:val="clear" w:color="auto" w:fill="auto"/>
          </w:tcPr>
          <w:p w:rsidR="00AA363A" w:rsidRPr="00AD160F" w:rsidRDefault="00AA363A" w:rsidP="008B3768">
            <w:pPr>
              <w:jc w:val="both"/>
              <w:rPr>
                <w:rFonts w:ascii="Times New Roman" w:hAnsi="Times New Roman" w:cs="Times New Roman"/>
                <w:bCs/>
                <w:sz w:val="28"/>
                <w:szCs w:val="28"/>
                <w:lang w:val="ro-MO"/>
              </w:rPr>
            </w:pPr>
            <w:r w:rsidRPr="00AD160F">
              <w:rPr>
                <w:rFonts w:ascii="Times New Roman" w:hAnsi="Times New Roman" w:cs="Times New Roman"/>
                <w:bCs/>
                <w:sz w:val="28"/>
                <w:szCs w:val="28"/>
                <w:lang w:val="ro-MO"/>
              </w:rPr>
              <w:t>Chi</w:t>
            </w:r>
            <w:r w:rsidR="006F4B00">
              <w:rPr>
                <w:rFonts w:ascii="Times New Roman" w:hAnsi="Times New Roman" w:cs="Times New Roman"/>
                <w:bCs/>
                <w:sz w:val="28"/>
                <w:szCs w:val="28"/>
                <w:lang w:val="ro-MO"/>
              </w:rPr>
              <w:t>ş</w:t>
            </w:r>
            <w:r w:rsidRPr="00AD160F">
              <w:rPr>
                <w:rFonts w:ascii="Times New Roman" w:hAnsi="Times New Roman" w:cs="Times New Roman"/>
                <w:bCs/>
                <w:sz w:val="28"/>
                <w:szCs w:val="28"/>
                <w:lang w:val="ro-MO"/>
              </w:rPr>
              <w:t>inău</w:t>
            </w:r>
          </w:p>
        </w:tc>
        <w:tc>
          <w:tcPr>
            <w:tcW w:w="3178" w:type="dxa"/>
            <w:shd w:val="clear" w:color="auto" w:fill="auto"/>
          </w:tcPr>
          <w:p w:rsidR="00AA363A" w:rsidRPr="00AD160F" w:rsidRDefault="00AA363A" w:rsidP="00935F97">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22.</w:t>
            </w:r>
            <w:r w:rsidR="005A6AFA">
              <w:rPr>
                <w:rFonts w:ascii="Times New Roman" w:hAnsi="Times New Roman" w:cs="Times New Roman"/>
                <w:sz w:val="28"/>
                <w:szCs w:val="28"/>
                <w:lang w:val="ro-MO"/>
              </w:rPr>
              <w:t>26</w:t>
            </w:r>
          </w:p>
        </w:tc>
        <w:tc>
          <w:tcPr>
            <w:tcW w:w="2954" w:type="dxa"/>
            <w:shd w:val="clear" w:color="auto" w:fill="auto"/>
          </w:tcPr>
          <w:p w:rsidR="00AA363A" w:rsidRPr="00AD160F" w:rsidRDefault="00AA363A" w:rsidP="001B0998">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65.5</w:t>
            </w:r>
          </w:p>
        </w:tc>
      </w:tr>
      <w:tr w:rsidR="00AA363A" w:rsidRPr="00AD160F" w:rsidTr="00847892">
        <w:trPr>
          <w:jc w:val="center"/>
        </w:trPr>
        <w:tc>
          <w:tcPr>
            <w:tcW w:w="3224" w:type="dxa"/>
            <w:shd w:val="clear" w:color="auto" w:fill="auto"/>
          </w:tcPr>
          <w:p w:rsidR="00AA363A" w:rsidRPr="00AD160F" w:rsidRDefault="00AA363A" w:rsidP="008B3768">
            <w:pPr>
              <w:jc w:val="both"/>
              <w:rPr>
                <w:rFonts w:ascii="Times New Roman" w:hAnsi="Times New Roman" w:cs="Times New Roman"/>
                <w:bCs/>
                <w:sz w:val="28"/>
                <w:szCs w:val="28"/>
                <w:lang w:val="ro-MO"/>
              </w:rPr>
            </w:pPr>
            <w:r w:rsidRPr="00AD160F">
              <w:rPr>
                <w:rFonts w:ascii="Times New Roman" w:hAnsi="Times New Roman" w:cs="Times New Roman"/>
                <w:bCs/>
                <w:sz w:val="28"/>
                <w:szCs w:val="28"/>
                <w:lang w:val="ro-MO"/>
              </w:rPr>
              <w:t>Băl</w:t>
            </w:r>
            <w:r w:rsidR="006F4B00">
              <w:rPr>
                <w:rFonts w:ascii="Times New Roman" w:hAnsi="Times New Roman" w:cs="Times New Roman"/>
                <w:bCs/>
                <w:sz w:val="28"/>
                <w:szCs w:val="28"/>
                <w:lang w:val="ro-MO"/>
              </w:rPr>
              <w:t>ţ</w:t>
            </w:r>
            <w:r w:rsidRPr="00AD160F">
              <w:rPr>
                <w:rFonts w:ascii="Times New Roman" w:hAnsi="Times New Roman" w:cs="Times New Roman"/>
                <w:bCs/>
                <w:sz w:val="28"/>
                <w:szCs w:val="28"/>
                <w:lang w:val="ro-MO"/>
              </w:rPr>
              <w:t>i</w:t>
            </w:r>
          </w:p>
        </w:tc>
        <w:tc>
          <w:tcPr>
            <w:tcW w:w="3178" w:type="dxa"/>
            <w:shd w:val="clear" w:color="auto" w:fill="auto"/>
          </w:tcPr>
          <w:p w:rsidR="00AA363A" w:rsidRPr="00AD160F" w:rsidRDefault="00AA363A" w:rsidP="00935F97">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3.7</w:t>
            </w:r>
            <w:r w:rsidR="005A6AFA">
              <w:rPr>
                <w:rFonts w:ascii="Times New Roman" w:hAnsi="Times New Roman" w:cs="Times New Roman"/>
                <w:sz w:val="28"/>
                <w:szCs w:val="28"/>
                <w:lang w:val="ro-MO"/>
              </w:rPr>
              <w:t>4</w:t>
            </w:r>
          </w:p>
        </w:tc>
        <w:tc>
          <w:tcPr>
            <w:tcW w:w="2954" w:type="dxa"/>
            <w:shd w:val="clear" w:color="auto" w:fill="auto"/>
          </w:tcPr>
          <w:p w:rsidR="00AA363A" w:rsidRPr="00AD160F" w:rsidRDefault="001B0998" w:rsidP="00935F97">
            <w:pPr>
              <w:jc w:val="center"/>
              <w:rPr>
                <w:rFonts w:ascii="Times New Roman" w:hAnsi="Times New Roman" w:cs="Times New Roman"/>
                <w:sz w:val="28"/>
                <w:szCs w:val="28"/>
                <w:lang w:val="ro-MO"/>
              </w:rPr>
            </w:pPr>
            <w:r>
              <w:rPr>
                <w:rFonts w:ascii="Times New Roman" w:hAnsi="Times New Roman" w:cs="Times New Roman"/>
                <w:sz w:val="28"/>
                <w:szCs w:val="28"/>
                <w:lang w:val="ro-MO"/>
              </w:rPr>
              <w:t>5.2</w:t>
            </w:r>
          </w:p>
        </w:tc>
      </w:tr>
      <w:tr w:rsidR="00AA363A" w:rsidRPr="00AD160F" w:rsidTr="00847892">
        <w:trPr>
          <w:jc w:val="center"/>
        </w:trPr>
        <w:tc>
          <w:tcPr>
            <w:tcW w:w="3224" w:type="dxa"/>
            <w:shd w:val="clear" w:color="auto" w:fill="auto"/>
          </w:tcPr>
          <w:p w:rsidR="00AA363A" w:rsidRPr="00AD160F" w:rsidRDefault="00AA363A" w:rsidP="008B3768">
            <w:pPr>
              <w:jc w:val="both"/>
              <w:rPr>
                <w:rFonts w:ascii="Times New Roman" w:hAnsi="Times New Roman" w:cs="Times New Roman"/>
                <w:bCs/>
                <w:sz w:val="28"/>
                <w:szCs w:val="28"/>
                <w:lang w:val="ro-MO"/>
              </w:rPr>
            </w:pPr>
            <w:r w:rsidRPr="00AD160F">
              <w:rPr>
                <w:rFonts w:ascii="Times New Roman" w:hAnsi="Times New Roman" w:cs="Times New Roman"/>
                <w:bCs/>
                <w:sz w:val="28"/>
                <w:szCs w:val="28"/>
                <w:lang w:val="ro-MO"/>
              </w:rPr>
              <w:t>UTA Găgăuzia</w:t>
            </w:r>
          </w:p>
        </w:tc>
        <w:tc>
          <w:tcPr>
            <w:tcW w:w="3178" w:type="dxa"/>
            <w:shd w:val="clear" w:color="auto" w:fill="auto"/>
          </w:tcPr>
          <w:p w:rsidR="00AA363A" w:rsidRPr="00AD160F" w:rsidRDefault="00AA363A" w:rsidP="001B0998">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4.</w:t>
            </w:r>
            <w:r w:rsidR="005A6AFA">
              <w:rPr>
                <w:rFonts w:ascii="Times New Roman" w:hAnsi="Times New Roman" w:cs="Times New Roman"/>
                <w:sz w:val="28"/>
                <w:szCs w:val="28"/>
                <w:lang w:val="ro-MO"/>
              </w:rPr>
              <w:t>59</w:t>
            </w:r>
          </w:p>
        </w:tc>
        <w:tc>
          <w:tcPr>
            <w:tcW w:w="2954" w:type="dxa"/>
            <w:shd w:val="clear" w:color="auto" w:fill="auto"/>
          </w:tcPr>
          <w:p w:rsidR="00AA363A" w:rsidRPr="00AD160F" w:rsidRDefault="001B0998" w:rsidP="00935F97">
            <w:pPr>
              <w:jc w:val="center"/>
              <w:rPr>
                <w:rFonts w:ascii="Times New Roman" w:hAnsi="Times New Roman" w:cs="Times New Roman"/>
                <w:sz w:val="28"/>
                <w:szCs w:val="28"/>
                <w:lang w:val="ro-MO"/>
              </w:rPr>
            </w:pPr>
            <w:r>
              <w:rPr>
                <w:rFonts w:ascii="Times New Roman" w:hAnsi="Times New Roman" w:cs="Times New Roman"/>
                <w:sz w:val="28"/>
                <w:szCs w:val="28"/>
                <w:lang w:val="ro-MO"/>
              </w:rPr>
              <w:t>1.9</w:t>
            </w:r>
          </w:p>
        </w:tc>
      </w:tr>
      <w:tr w:rsidR="00AA363A" w:rsidRPr="00AD160F" w:rsidTr="00847892">
        <w:trPr>
          <w:jc w:val="center"/>
        </w:trPr>
        <w:tc>
          <w:tcPr>
            <w:tcW w:w="3224" w:type="dxa"/>
            <w:shd w:val="clear" w:color="auto" w:fill="auto"/>
          </w:tcPr>
          <w:p w:rsidR="00AA363A" w:rsidRPr="00AD160F" w:rsidRDefault="00AA363A" w:rsidP="008B3768">
            <w:pPr>
              <w:jc w:val="both"/>
              <w:rPr>
                <w:rFonts w:ascii="Times New Roman" w:hAnsi="Times New Roman" w:cs="Times New Roman"/>
                <w:bCs/>
                <w:sz w:val="28"/>
                <w:szCs w:val="28"/>
                <w:lang w:val="ro-MO"/>
              </w:rPr>
            </w:pPr>
            <w:r w:rsidRPr="00AD160F">
              <w:rPr>
                <w:rFonts w:ascii="Times New Roman" w:hAnsi="Times New Roman" w:cs="Times New Roman"/>
                <w:bCs/>
                <w:sz w:val="28"/>
                <w:szCs w:val="28"/>
                <w:lang w:val="ro-MO"/>
              </w:rPr>
              <w:t>Restul APL</w:t>
            </w:r>
          </w:p>
        </w:tc>
        <w:tc>
          <w:tcPr>
            <w:tcW w:w="3178" w:type="dxa"/>
            <w:shd w:val="clear" w:color="auto" w:fill="auto"/>
          </w:tcPr>
          <w:p w:rsidR="00AA363A" w:rsidRPr="00AD160F" w:rsidRDefault="005A6AFA" w:rsidP="001B0998">
            <w:pPr>
              <w:jc w:val="center"/>
              <w:rPr>
                <w:rFonts w:ascii="Times New Roman" w:hAnsi="Times New Roman" w:cs="Times New Roman"/>
                <w:sz w:val="28"/>
                <w:szCs w:val="28"/>
                <w:lang w:val="ro-MO"/>
              </w:rPr>
            </w:pPr>
            <w:r>
              <w:rPr>
                <w:rFonts w:ascii="Times New Roman" w:hAnsi="Times New Roman" w:cs="Times New Roman"/>
                <w:sz w:val="28"/>
                <w:szCs w:val="28"/>
                <w:lang w:val="ro-MO"/>
              </w:rPr>
              <w:t>69.41</w:t>
            </w:r>
          </w:p>
        </w:tc>
        <w:tc>
          <w:tcPr>
            <w:tcW w:w="2954" w:type="dxa"/>
            <w:shd w:val="clear" w:color="auto" w:fill="auto"/>
          </w:tcPr>
          <w:p w:rsidR="00AA363A" w:rsidRPr="00AD160F" w:rsidRDefault="00AA363A" w:rsidP="001B0998">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27.4</w:t>
            </w:r>
          </w:p>
        </w:tc>
      </w:tr>
      <w:tr w:rsidR="001B0998" w:rsidRPr="00AD160F" w:rsidTr="00847892">
        <w:trPr>
          <w:jc w:val="center"/>
        </w:trPr>
        <w:tc>
          <w:tcPr>
            <w:tcW w:w="3224" w:type="dxa"/>
            <w:shd w:val="clear" w:color="auto" w:fill="auto"/>
          </w:tcPr>
          <w:p w:rsidR="001B0998" w:rsidRPr="001B0998" w:rsidRDefault="001B0998" w:rsidP="008B3768">
            <w:pPr>
              <w:jc w:val="both"/>
              <w:rPr>
                <w:rFonts w:ascii="Times New Roman" w:hAnsi="Times New Roman" w:cs="Times New Roman"/>
                <w:b/>
                <w:bCs/>
                <w:sz w:val="28"/>
                <w:szCs w:val="28"/>
                <w:lang w:val="ro-MO"/>
              </w:rPr>
            </w:pPr>
            <w:r w:rsidRPr="001B0998">
              <w:rPr>
                <w:rFonts w:ascii="Times New Roman" w:hAnsi="Times New Roman" w:cs="Times New Roman"/>
                <w:b/>
                <w:bCs/>
                <w:sz w:val="28"/>
                <w:szCs w:val="28"/>
                <w:lang w:val="ro-MO"/>
              </w:rPr>
              <w:t>Total</w:t>
            </w:r>
          </w:p>
        </w:tc>
        <w:tc>
          <w:tcPr>
            <w:tcW w:w="3178" w:type="dxa"/>
            <w:shd w:val="clear" w:color="auto" w:fill="auto"/>
          </w:tcPr>
          <w:p w:rsidR="001B0998" w:rsidRPr="001B0998" w:rsidRDefault="001B0998" w:rsidP="00935F97">
            <w:pPr>
              <w:jc w:val="center"/>
              <w:rPr>
                <w:rFonts w:ascii="Times New Roman" w:hAnsi="Times New Roman" w:cs="Times New Roman"/>
                <w:b/>
                <w:sz w:val="28"/>
                <w:szCs w:val="28"/>
                <w:lang w:val="ro-MO"/>
              </w:rPr>
            </w:pPr>
            <w:r w:rsidRPr="001B0998">
              <w:rPr>
                <w:rFonts w:ascii="Times New Roman" w:hAnsi="Times New Roman" w:cs="Times New Roman"/>
                <w:b/>
                <w:sz w:val="28"/>
                <w:szCs w:val="28"/>
                <w:lang w:val="ro-MO"/>
              </w:rPr>
              <w:t>100</w:t>
            </w:r>
          </w:p>
        </w:tc>
        <w:tc>
          <w:tcPr>
            <w:tcW w:w="2954" w:type="dxa"/>
            <w:shd w:val="clear" w:color="auto" w:fill="auto"/>
          </w:tcPr>
          <w:p w:rsidR="001B0998" w:rsidRPr="001B0998" w:rsidRDefault="001B0998" w:rsidP="00935F97">
            <w:pPr>
              <w:jc w:val="center"/>
              <w:rPr>
                <w:rFonts w:ascii="Times New Roman" w:hAnsi="Times New Roman" w:cs="Times New Roman"/>
                <w:b/>
                <w:sz w:val="28"/>
                <w:szCs w:val="28"/>
                <w:lang w:val="ro-MO"/>
              </w:rPr>
            </w:pPr>
            <w:r w:rsidRPr="001B0998">
              <w:rPr>
                <w:rFonts w:ascii="Times New Roman" w:hAnsi="Times New Roman" w:cs="Times New Roman"/>
                <w:b/>
                <w:sz w:val="28"/>
                <w:szCs w:val="28"/>
                <w:lang w:val="ro-MO"/>
              </w:rPr>
              <w:t>100</w:t>
            </w:r>
          </w:p>
        </w:tc>
      </w:tr>
    </w:tbl>
    <w:p w:rsidR="00AA363A" w:rsidRPr="002526B9" w:rsidRDefault="00AA363A" w:rsidP="008B3768">
      <w:pPr>
        <w:jc w:val="both"/>
        <w:rPr>
          <w:rFonts w:ascii="Times New Roman" w:hAnsi="Times New Roman" w:cs="Times New Roman"/>
          <w:sz w:val="10"/>
          <w:szCs w:val="10"/>
          <w:lang w:val="ro-MO"/>
        </w:rPr>
      </w:pPr>
    </w:p>
    <w:p w:rsidR="00AA363A" w:rsidRPr="00AD160F" w:rsidRDefault="00AA363A" w:rsidP="00935F97">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Chiar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IVPF este destul de eterogen distribuit teritorial, ceea ce va avea efecte clare asupra nivelurilor cotelor sale de partajare. Deoarece IVPF este mai pu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in sensibil la evolu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ia ciclurilor economice, sistemul de partajare pe baza ariei de colectare, ce utilizează acest impozit, poate fi folosit ca un stabilizator automat al chelt</w:t>
      </w:r>
      <w:r w:rsidR="00EC4FBC" w:rsidRPr="00AD160F">
        <w:rPr>
          <w:rFonts w:ascii="Times New Roman" w:hAnsi="Times New Roman" w:cs="Times New Roman"/>
          <w:sz w:val="28"/>
          <w:szCs w:val="28"/>
          <w:lang w:val="ro-MO"/>
        </w:rPr>
        <w:t>uielilor administra</w:t>
      </w:r>
      <w:r w:rsidR="006F4B00">
        <w:rPr>
          <w:rFonts w:ascii="Times New Roman" w:hAnsi="Times New Roman" w:cs="Times New Roman"/>
          <w:sz w:val="28"/>
          <w:szCs w:val="28"/>
          <w:lang w:val="ro-MO"/>
        </w:rPr>
        <w:t>ţ</w:t>
      </w:r>
      <w:r w:rsidR="00EC4FBC" w:rsidRPr="00AD160F">
        <w:rPr>
          <w:rFonts w:ascii="Times New Roman" w:hAnsi="Times New Roman" w:cs="Times New Roman"/>
          <w:sz w:val="28"/>
          <w:szCs w:val="28"/>
          <w:lang w:val="ro-MO"/>
        </w:rPr>
        <w:t>iei locale.</w:t>
      </w:r>
    </w:p>
    <w:p w:rsidR="00AA363A" w:rsidRPr="00647A4D" w:rsidRDefault="00AA363A" w:rsidP="008B3768">
      <w:pPr>
        <w:jc w:val="both"/>
        <w:rPr>
          <w:rFonts w:ascii="Times New Roman" w:hAnsi="Times New Roman" w:cs="Times New Roman"/>
          <w:b/>
          <w:color w:val="365F91"/>
          <w:sz w:val="10"/>
          <w:szCs w:val="10"/>
          <w:lang w:val="ro-MO"/>
        </w:rPr>
      </w:pPr>
    </w:p>
    <w:p w:rsidR="002D74E2" w:rsidRDefault="002D74E2" w:rsidP="00935F97">
      <w:pPr>
        <w:ind w:firstLine="567"/>
        <w:jc w:val="both"/>
        <w:rPr>
          <w:rFonts w:ascii="Times New Roman" w:hAnsi="Times New Roman" w:cs="Times New Roman"/>
          <w:i/>
          <w:sz w:val="28"/>
          <w:szCs w:val="28"/>
          <w:lang w:val="ro-MO"/>
        </w:rPr>
      </w:pPr>
    </w:p>
    <w:p w:rsidR="00C07DCA" w:rsidRDefault="00C07DCA" w:rsidP="00935F97">
      <w:pPr>
        <w:ind w:firstLine="567"/>
        <w:jc w:val="both"/>
        <w:rPr>
          <w:rFonts w:ascii="Times New Roman" w:hAnsi="Times New Roman" w:cs="Times New Roman"/>
          <w:i/>
          <w:sz w:val="28"/>
          <w:szCs w:val="28"/>
          <w:lang w:val="ro-MO"/>
        </w:rPr>
      </w:pPr>
    </w:p>
    <w:p w:rsidR="002D74E2" w:rsidRDefault="002D74E2" w:rsidP="00935F97">
      <w:pPr>
        <w:ind w:firstLine="567"/>
        <w:jc w:val="both"/>
        <w:rPr>
          <w:rFonts w:ascii="Times New Roman" w:hAnsi="Times New Roman" w:cs="Times New Roman"/>
          <w:i/>
          <w:sz w:val="28"/>
          <w:szCs w:val="28"/>
          <w:lang w:val="ro-MO"/>
        </w:rPr>
      </w:pPr>
    </w:p>
    <w:p w:rsidR="00AA363A" w:rsidRPr="00836AB3" w:rsidRDefault="00B826DC" w:rsidP="00935F97">
      <w:pPr>
        <w:ind w:firstLine="567"/>
        <w:jc w:val="both"/>
        <w:rPr>
          <w:rFonts w:ascii="Times New Roman" w:hAnsi="Times New Roman" w:cs="Times New Roman"/>
          <w:i/>
          <w:sz w:val="28"/>
          <w:szCs w:val="28"/>
          <w:lang w:val="ro-MO"/>
        </w:rPr>
      </w:pPr>
      <w:r w:rsidRPr="00836AB3">
        <w:rPr>
          <w:rFonts w:ascii="Times New Roman" w:hAnsi="Times New Roman" w:cs="Times New Roman"/>
          <w:i/>
          <w:sz w:val="28"/>
          <w:szCs w:val="28"/>
          <w:lang w:val="ro-MO"/>
        </w:rPr>
        <w:lastRenderedPageBreak/>
        <w:t>III.</w:t>
      </w:r>
      <w:r w:rsidR="00AA363A" w:rsidRPr="00836AB3">
        <w:rPr>
          <w:rFonts w:ascii="Times New Roman" w:hAnsi="Times New Roman" w:cs="Times New Roman"/>
          <w:i/>
          <w:sz w:val="28"/>
          <w:szCs w:val="28"/>
          <w:lang w:val="ro-MO"/>
        </w:rPr>
        <w:t>5. Cote de partajare diferite pe categorii de administra</w:t>
      </w:r>
      <w:r w:rsidR="006F4B00">
        <w:rPr>
          <w:rFonts w:ascii="Times New Roman" w:hAnsi="Times New Roman" w:cs="Times New Roman"/>
          <w:i/>
          <w:sz w:val="28"/>
          <w:szCs w:val="28"/>
          <w:lang w:val="ro-MO"/>
        </w:rPr>
        <w:t>ţ</w:t>
      </w:r>
      <w:r w:rsidR="00AA363A" w:rsidRPr="00836AB3">
        <w:rPr>
          <w:rFonts w:ascii="Times New Roman" w:hAnsi="Times New Roman" w:cs="Times New Roman"/>
          <w:i/>
          <w:sz w:val="28"/>
          <w:szCs w:val="28"/>
          <w:lang w:val="ro-MO"/>
        </w:rPr>
        <w:t xml:space="preserve">ii publice locale </w:t>
      </w:r>
    </w:p>
    <w:p w:rsidR="00AA363A" w:rsidRPr="002526B9" w:rsidRDefault="00AA363A" w:rsidP="008B3768">
      <w:pPr>
        <w:jc w:val="both"/>
        <w:rPr>
          <w:rFonts w:ascii="Times New Roman" w:hAnsi="Times New Roman" w:cs="Times New Roman"/>
          <w:i/>
          <w:sz w:val="10"/>
          <w:szCs w:val="10"/>
          <w:lang w:val="ro-MO"/>
        </w:rPr>
      </w:pPr>
    </w:p>
    <w:p w:rsidR="00C815D3" w:rsidRDefault="00AA363A" w:rsidP="00935F97">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Pentru stabilirea cotelor de partajare a IVPF </w:t>
      </w:r>
      <w:r w:rsidR="00935F97" w:rsidRPr="00AD160F">
        <w:rPr>
          <w:rFonts w:ascii="Times New Roman" w:hAnsi="Times New Roman" w:cs="Times New Roman"/>
          <w:sz w:val="28"/>
          <w:szCs w:val="28"/>
          <w:lang w:val="ro-MO"/>
        </w:rPr>
        <w:t>prin</w:t>
      </w:r>
      <w:r w:rsidRPr="00AD160F">
        <w:rPr>
          <w:rFonts w:ascii="Times New Roman" w:hAnsi="Times New Roman" w:cs="Times New Roman"/>
          <w:sz w:val="28"/>
          <w:szCs w:val="28"/>
          <w:lang w:val="ro-MO"/>
        </w:rPr>
        <w:t xml:space="preserve"> lege, pentru toate unită</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ile administrativ</w:t>
      </w:r>
      <w:r w:rsidR="00935F97" w:rsidRPr="00AD160F">
        <w:rPr>
          <w:rFonts w:ascii="Times New Roman" w:hAnsi="Times New Roman" w:cs="Times New Roman"/>
          <w:sz w:val="28"/>
          <w:szCs w:val="28"/>
          <w:lang w:val="ro-MO"/>
        </w:rPr>
        <w:t>-</w:t>
      </w:r>
      <w:r w:rsidRPr="00AD160F">
        <w:rPr>
          <w:rFonts w:ascii="Times New Roman" w:hAnsi="Times New Roman" w:cs="Times New Roman"/>
          <w:sz w:val="28"/>
          <w:szCs w:val="28"/>
          <w:lang w:val="ro-MO"/>
        </w:rPr>
        <w:t>teritoriale, acestea fiind influen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ate de distribu</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ia teritorială a acestui impozit, </w:t>
      </w:r>
      <w:r w:rsidR="00CA43FA" w:rsidRPr="00AD160F">
        <w:rPr>
          <w:rFonts w:ascii="Times New Roman" w:hAnsi="Times New Roman" w:cs="Times New Roman"/>
          <w:sz w:val="28"/>
          <w:szCs w:val="28"/>
          <w:lang w:val="ro-MO"/>
        </w:rPr>
        <w:t>actuala modificare a legii finan</w:t>
      </w:r>
      <w:r w:rsidR="006F4B00">
        <w:rPr>
          <w:rFonts w:ascii="Times New Roman" w:hAnsi="Times New Roman" w:cs="Times New Roman"/>
          <w:sz w:val="28"/>
          <w:szCs w:val="28"/>
          <w:lang w:val="ro-MO"/>
        </w:rPr>
        <w:t>ţ</w:t>
      </w:r>
      <w:r w:rsidR="00CA43FA" w:rsidRPr="00AD160F">
        <w:rPr>
          <w:rFonts w:ascii="Times New Roman" w:hAnsi="Times New Roman" w:cs="Times New Roman"/>
          <w:sz w:val="28"/>
          <w:szCs w:val="28"/>
          <w:lang w:val="ro-MO"/>
        </w:rPr>
        <w:t>elor publice</w:t>
      </w:r>
      <w:r w:rsidRPr="00AD160F">
        <w:rPr>
          <w:rFonts w:ascii="Times New Roman" w:hAnsi="Times New Roman" w:cs="Times New Roman"/>
          <w:sz w:val="28"/>
          <w:szCs w:val="28"/>
          <w:lang w:val="ro-MO"/>
        </w:rPr>
        <w:t xml:space="preserve"> propune 4 rate specifice:</w:t>
      </w:r>
    </w:p>
    <w:p w:rsidR="00C815D3" w:rsidRDefault="00AA363A" w:rsidP="00C815D3">
      <w:pPr>
        <w:pStyle w:val="ListParagraph"/>
        <w:numPr>
          <w:ilvl w:val="0"/>
          <w:numId w:val="20"/>
        </w:numPr>
        <w:ind w:left="993" w:hanging="426"/>
        <w:jc w:val="both"/>
        <w:rPr>
          <w:rFonts w:ascii="Times New Roman" w:hAnsi="Times New Roman" w:cs="Times New Roman"/>
          <w:sz w:val="28"/>
          <w:szCs w:val="28"/>
          <w:lang w:val="ro-MO"/>
        </w:rPr>
      </w:pPr>
      <w:r w:rsidRPr="00C815D3">
        <w:rPr>
          <w:rFonts w:ascii="Times New Roman" w:hAnsi="Times New Roman" w:cs="Times New Roman"/>
          <w:sz w:val="28"/>
          <w:szCs w:val="28"/>
          <w:lang w:val="ro-MO"/>
        </w:rPr>
        <w:t>pentru Chi</w:t>
      </w:r>
      <w:r w:rsidR="006F4B00">
        <w:rPr>
          <w:rFonts w:ascii="Times New Roman" w:hAnsi="Times New Roman" w:cs="Times New Roman"/>
          <w:sz w:val="28"/>
          <w:szCs w:val="28"/>
          <w:lang w:val="ro-MO"/>
        </w:rPr>
        <w:t>ş</w:t>
      </w:r>
      <w:r w:rsidRPr="00C815D3">
        <w:rPr>
          <w:rFonts w:ascii="Times New Roman" w:hAnsi="Times New Roman" w:cs="Times New Roman"/>
          <w:sz w:val="28"/>
          <w:szCs w:val="28"/>
          <w:lang w:val="ro-MO"/>
        </w:rPr>
        <w:t xml:space="preserve">inău </w:t>
      </w:r>
      <w:r w:rsidR="006F4B00">
        <w:rPr>
          <w:rFonts w:ascii="Times New Roman" w:hAnsi="Times New Roman" w:cs="Times New Roman"/>
          <w:sz w:val="28"/>
          <w:szCs w:val="28"/>
          <w:lang w:val="ro-MO"/>
        </w:rPr>
        <w:t>ş</w:t>
      </w:r>
      <w:r w:rsidRPr="00C815D3">
        <w:rPr>
          <w:rFonts w:ascii="Times New Roman" w:hAnsi="Times New Roman" w:cs="Times New Roman"/>
          <w:sz w:val="28"/>
          <w:szCs w:val="28"/>
          <w:lang w:val="ro-MO"/>
        </w:rPr>
        <w:t>i Băl</w:t>
      </w:r>
      <w:r w:rsidR="006F4B00">
        <w:rPr>
          <w:rFonts w:ascii="Times New Roman" w:hAnsi="Times New Roman" w:cs="Times New Roman"/>
          <w:sz w:val="28"/>
          <w:szCs w:val="28"/>
          <w:lang w:val="ro-MO"/>
        </w:rPr>
        <w:t>ţ</w:t>
      </w:r>
      <w:r w:rsidRPr="00C815D3">
        <w:rPr>
          <w:rFonts w:ascii="Times New Roman" w:hAnsi="Times New Roman" w:cs="Times New Roman"/>
          <w:sz w:val="28"/>
          <w:szCs w:val="28"/>
          <w:lang w:val="ro-MO"/>
        </w:rPr>
        <w:t>i;</w:t>
      </w:r>
    </w:p>
    <w:p w:rsidR="00C815D3" w:rsidRDefault="00AA363A" w:rsidP="00C815D3">
      <w:pPr>
        <w:pStyle w:val="ListParagraph"/>
        <w:numPr>
          <w:ilvl w:val="0"/>
          <w:numId w:val="20"/>
        </w:numPr>
        <w:ind w:left="993" w:hanging="426"/>
        <w:jc w:val="both"/>
        <w:rPr>
          <w:rFonts w:ascii="Times New Roman" w:hAnsi="Times New Roman" w:cs="Times New Roman"/>
          <w:sz w:val="28"/>
          <w:szCs w:val="28"/>
          <w:lang w:val="ro-MO"/>
        </w:rPr>
      </w:pPr>
      <w:r w:rsidRPr="00C815D3">
        <w:rPr>
          <w:rFonts w:ascii="Times New Roman" w:hAnsi="Times New Roman" w:cs="Times New Roman"/>
          <w:sz w:val="28"/>
          <w:szCs w:val="28"/>
          <w:lang w:val="ro-MO"/>
        </w:rPr>
        <w:t>pentru consiliile raionale</w:t>
      </w:r>
      <w:r w:rsidR="00CA43FA" w:rsidRPr="00C815D3">
        <w:rPr>
          <w:rFonts w:ascii="Times New Roman" w:hAnsi="Times New Roman" w:cs="Times New Roman"/>
          <w:sz w:val="28"/>
          <w:szCs w:val="28"/>
          <w:lang w:val="ro-MO"/>
        </w:rPr>
        <w:t>, inclusiv UTA Găgăuzia</w:t>
      </w:r>
      <w:r w:rsidRPr="00C815D3">
        <w:rPr>
          <w:rFonts w:ascii="Times New Roman" w:hAnsi="Times New Roman" w:cs="Times New Roman"/>
          <w:sz w:val="28"/>
          <w:szCs w:val="28"/>
          <w:lang w:val="ro-MO"/>
        </w:rPr>
        <w:t xml:space="preserve">; </w:t>
      </w:r>
    </w:p>
    <w:p w:rsidR="00C815D3" w:rsidRDefault="00AA363A" w:rsidP="00C815D3">
      <w:pPr>
        <w:pStyle w:val="ListParagraph"/>
        <w:numPr>
          <w:ilvl w:val="0"/>
          <w:numId w:val="20"/>
        </w:numPr>
        <w:ind w:left="993" w:hanging="426"/>
        <w:jc w:val="both"/>
        <w:rPr>
          <w:rFonts w:ascii="Times New Roman" w:hAnsi="Times New Roman" w:cs="Times New Roman"/>
          <w:sz w:val="28"/>
          <w:szCs w:val="28"/>
          <w:lang w:val="ro-MO"/>
        </w:rPr>
      </w:pPr>
      <w:r w:rsidRPr="00C815D3">
        <w:rPr>
          <w:rFonts w:ascii="Times New Roman" w:hAnsi="Times New Roman" w:cs="Times New Roman"/>
          <w:sz w:val="28"/>
          <w:szCs w:val="28"/>
          <w:lang w:val="ro-MO"/>
        </w:rPr>
        <w:t>pentru ora</w:t>
      </w:r>
      <w:r w:rsidR="006F4B00">
        <w:rPr>
          <w:rFonts w:ascii="Times New Roman" w:hAnsi="Times New Roman" w:cs="Times New Roman"/>
          <w:sz w:val="28"/>
          <w:szCs w:val="28"/>
          <w:lang w:val="ro-MO"/>
        </w:rPr>
        <w:t>ş</w:t>
      </w:r>
      <w:r w:rsidRPr="00C815D3">
        <w:rPr>
          <w:rFonts w:ascii="Times New Roman" w:hAnsi="Times New Roman" w:cs="Times New Roman"/>
          <w:sz w:val="28"/>
          <w:szCs w:val="28"/>
          <w:lang w:val="ro-MO"/>
        </w:rPr>
        <w:t>ele re</w:t>
      </w:r>
      <w:r w:rsidR="006F4B00">
        <w:rPr>
          <w:rFonts w:ascii="Times New Roman" w:hAnsi="Times New Roman" w:cs="Times New Roman"/>
          <w:sz w:val="28"/>
          <w:szCs w:val="28"/>
          <w:lang w:val="ro-MO"/>
        </w:rPr>
        <w:t>ş</w:t>
      </w:r>
      <w:r w:rsidRPr="00C815D3">
        <w:rPr>
          <w:rFonts w:ascii="Times New Roman" w:hAnsi="Times New Roman" w:cs="Times New Roman"/>
          <w:sz w:val="28"/>
          <w:szCs w:val="28"/>
          <w:lang w:val="ro-MO"/>
        </w:rPr>
        <w:t>edin</w:t>
      </w:r>
      <w:r w:rsidR="006F4B00">
        <w:rPr>
          <w:rFonts w:ascii="Times New Roman" w:hAnsi="Times New Roman" w:cs="Times New Roman"/>
          <w:sz w:val="28"/>
          <w:szCs w:val="28"/>
          <w:lang w:val="ro-MO"/>
        </w:rPr>
        <w:t>ţ</w:t>
      </w:r>
      <w:r w:rsidRPr="00C815D3">
        <w:rPr>
          <w:rFonts w:ascii="Times New Roman" w:hAnsi="Times New Roman" w:cs="Times New Roman"/>
          <w:sz w:val="28"/>
          <w:szCs w:val="28"/>
          <w:lang w:val="ro-MO"/>
        </w:rPr>
        <w:t xml:space="preserve">ă de raion; </w:t>
      </w:r>
    </w:p>
    <w:p w:rsidR="00C815D3" w:rsidRDefault="00AA363A" w:rsidP="00C815D3">
      <w:pPr>
        <w:pStyle w:val="ListParagraph"/>
        <w:numPr>
          <w:ilvl w:val="0"/>
          <w:numId w:val="20"/>
        </w:numPr>
        <w:ind w:left="993" w:hanging="426"/>
        <w:jc w:val="both"/>
        <w:rPr>
          <w:rFonts w:ascii="Times New Roman" w:hAnsi="Times New Roman" w:cs="Times New Roman"/>
          <w:sz w:val="28"/>
          <w:szCs w:val="28"/>
          <w:lang w:val="ro-MO"/>
        </w:rPr>
      </w:pPr>
      <w:r w:rsidRPr="00C815D3">
        <w:rPr>
          <w:rFonts w:ascii="Times New Roman" w:hAnsi="Times New Roman" w:cs="Times New Roman"/>
          <w:sz w:val="28"/>
          <w:szCs w:val="28"/>
          <w:lang w:val="ro-MO"/>
        </w:rPr>
        <w:t>pentru restul unită</w:t>
      </w:r>
      <w:r w:rsidR="006F4B00">
        <w:rPr>
          <w:rFonts w:ascii="Times New Roman" w:hAnsi="Times New Roman" w:cs="Times New Roman"/>
          <w:sz w:val="28"/>
          <w:szCs w:val="28"/>
          <w:lang w:val="ro-MO"/>
        </w:rPr>
        <w:t>ţ</w:t>
      </w:r>
      <w:r w:rsidRPr="00C815D3">
        <w:rPr>
          <w:rFonts w:ascii="Times New Roman" w:hAnsi="Times New Roman" w:cs="Times New Roman"/>
          <w:sz w:val="28"/>
          <w:szCs w:val="28"/>
          <w:lang w:val="ro-MO"/>
        </w:rPr>
        <w:t>ilor administrativ teritoriale de niv</w:t>
      </w:r>
      <w:r w:rsidR="00935F97" w:rsidRPr="00C815D3">
        <w:rPr>
          <w:rFonts w:ascii="Times New Roman" w:hAnsi="Times New Roman" w:cs="Times New Roman"/>
          <w:sz w:val="28"/>
          <w:szCs w:val="28"/>
          <w:lang w:val="ro-MO"/>
        </w:rPr>
        <w:t>elul întîi</w:t>
      </w:r>
      <w:r w:rsidRPr="00C815D3">
        <w:rPr>
          <w:rFonts w:ascii="Times New Roman" w:hAnsi="Times New Roman" w:cs="Times New Roman"/>
          <w:sz w:val="28"/>
          <w:szCs w:val="28"/>
          <w:lang w:val="ro-MO"/>
        </w:rPr>
        <w:t>.</w:t>
      </w:r>
    </w:p>
    <w:p w:rsidR="002506AC" w:rsidRPr="002506AC" w:rsidRDefault="00AA363A" w:rsidP="002506AC">
      <w:pPr>
        <w:ind w:firstLine="567"/>
        <w:jc w:val="both"/>
        <w:rPr>
          <w:rFonts w:ascii="Times New Roman" w:hAnsi="Times New Roman" w:cs="Times New Roman"/>
          <w:sz w:val="10"/>
          <w:szCs w:val="10"/>
          <w:lang w:val="ro-MO"/>
        </w:rPr>
      </w:pPr>
      <w:r w:rsidRPr="002506AC">
        <w:rPr>
          <w:rFonts w:ascii="Times New Roman" w:hAnsi="Times New Roman" w:cs="Times New Roman"/>
          <w:sz w:val="28"/>
          <w:szCs w:val="28"/>
          <w:lang w:val="ro-MO"/>
        </w:rPr>
        <w:t xml:space="preserve"> </w:t>
      </w:r>
    </w:p>
    <w:p w:rsidR="002506AC" w:rsidRDefault="00AA363A" w:rsidP="00935F97">
      <w:pPr>
        <w:ind w:firstLine="567"/>
        <w:jc w:val="both"/>
        <w:rPr>
          <w:rFonts w:ascii="Times New Roman" w:hAnsi="Times New Roman" w:cs="Times New Roman"/>
          <w:sz w:val="28"/>
          <w:szCs w:val="28"/>
          <w:lang w:val="ro-MO"/>
        </w:rPr>
      </w:pPr>
      <w:r w:rsidRPr="002506AC">
        <w:rPr>
          <w:rFonts w:ascii="Times New Roman" w:hAnsi="Times New Roman" w:cs="Times New Roman"/>
          <w:sz w:val="28"/>
          <w:szCs w:val="28"/>
          <w:lang w:val="ro-MO"/>
        </w:rPr>
        <w:t xml:space="preserve">Valorile specifice ale acestor cote de partajare </w:t>
      </w:r>
      <w:r w:rsidR="002506AC">
        <w:rPr>
          <w:rFonts w:ascii="Times New Roman" w:hAnsi="Times New Roman" w:cs="Times New Roman"/>
          <w:sz w:val="28"/>
          <w:szCs w:val="28"/>
          <w:lang w:val="ro-MO"/>
        </w:rPr>
        <w:t>au fost</w:t>
      </w:r>
      <w:r w:rsidRPr="002506AC">
        <w:rPr>
          <w:rFonts w:ascii="Times New Roman" w:hAnsi="Times New Roman" w:cs="Times New Roman"/>
          <w:sz w:val="28"/>
          <w:szCs w:val="28"/>
          <w:lang w:val="ro-MO"/>
        </w:rPr>
        <w:t xml:space="preserve"> testate </w:t>
      </w:r>
      <w:r w:rsidR="00935F97" w:rsidRPr="002506AC">
        <w:rPr>
          <w:rFonts w:ascii="Times New Roman" w:hAnsi="Times New Roman" w:cs="Times New Roman"/>
          <w:sz w:val="28"/>
          <w:szCs w:val="28"/>
          <w:lang w:val="ro-MO"/>
        </w:rPr>
        <w:t xml:space="preserve">cu ajutorul </w:t>
      </w:r>
      <w:r w:rsidRPr="002506AC">
        <w:rPr>
          <w:rFonts w:ascii="Times New Roman" w:hAnsi="Times New Roman" w:cs="Times New Roman"/>
          <w:sz w:val="28"/>
          <w:szCs w:val="28"/>
          <w:lang w:val="ro-MO"/>
        </w:rPr>
        <w:t xml:space="preserve"> modele</w:t>
      </w:r>
      <w:r w:rsidR="00935F97" w:rsidRPr="002506AC">
        <w:rPr>
          <w:rFonts w:ascii="Times New Roman" w:hAnsi="Times New Roman" w:cs="Times New Roman"/>
          <w:sz w:val="28"/>
          <w:szCs w:val="28"/>
          <w:lang w:val="ro-MO"/>
        </w:rPr>
        <w:t>lor</w:t>
      </w:r>
      <w:r w:rsidRPr="002506AC">
        <w:rPr>
          <w:rFonts w:ascii="Times New Roman" w:hAnsi="Times New Roman" w:cs="Times New Roman"/>
          <w:sz w:val="28"/>
          <w:szCs w:val="28"/>
          <w:lang w:val="ro-MO"/>
        </w:rPr>
        <w:t xml:space="preserve"> de simulare.</w:t>
      </w:r>
    </w:p>
    <w:p w:rsidR="002506AC" w:rsidRPr="002506AC" w:rsidRDefault="002506AC" w:rsidP="00935F97">
      <w:pPr>
        <w:ind w:firstLine="567"/>
        <w:jc w:val="both"/>
        <w:rPr>
          <w:rFonts w:ascii="Times New Roman" w:hAnsi="Times New Roman" w:cs="Times New Roman"/>
          <w:sz w:val="10"/>
          <w:szCs w:val="10"/>
          <w:lang w:val="ro-MO"/>
        </w:rPr>
      </w:pPr>
    </w:p>
    <w:p w:rsidR="00AA363A" w:rsidRPr="00AD160F" w:rsidRDefault="00AA363A" w:rsidP="00935F97">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 Aceste 4 cote de partajare distincte sunt consecin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a directă a:</w:t>
      </w:r>
    </w:p>
    <w:p w:rsidR="00935F97" w:rsidRPr="00AD160F" w:rsidRDefault="00935F97" w:rsidP="00935F97">
      <w:pPr>
        <w:pStyle w:val="ListParagraph"/>
        <w:numPr>
          <w:ilvl w:val="0"/>
          <w:numId w:val="8"/>
        </w:numPr>
        <w:tabs>
          <w:tab w:val="left" w:pos="851"/>
          <w:tab w:val="left" w:pos="993"/>
        </w:tabs>
        <w:ind w:left="567" w:firstLine="142"/>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e</w:t>
      </w:r>
      <w:r w:rsidR="00AA363A" w:rsidRPr="00AD160F">
        <w:rPr>
          <w:rFonts w:ascii="Times New Roman" w:hAnsi="Times New Roman" w:cs="Times New Roman"/>
          <w:sz w:val="28"/>
          <w:szCs w:val="28"/>
          <w:lang w:val="ro-MO"/>
        </w:rPr>
        <w:t>terogenităţii relative a distribu</w:t>
      </w:r>
      <w:r w:rsidR="006F4B00">
        <w:rPr>
          <w:rFonts w:ascii="Times New Roman" w:hAnsi="Times New Roman" w:cs="Times New Roman"/>
          <w:sz w:val="28"/>
          <w:szCs w:val="28"/>
          <w:lang w:val="ro-MO"/>
        </w:rPr>
        <w:t>ţ</w:t>
      </w:r>
      <w:r w:rsidR="00AA363A" w:rsidRPr="00AD160F">
        <w:rPr>
          <w:rFonts w:ascii="Times New Roman" w:hAnsi="Times New Roman" w:cs="Times New Roman"/>
          <w:sz w:val="28"/>
          <w:szCs w:val="28"/>
          <w:lang w:val="ro-MO"/>
        </w:rPr>
        <w:t>iei teritoriale a IVP</w:t>
      </w:r>
      <w:r w:rsidRPr="00AD160F">
        <w:rPr>
          <w:rFonts w:ascii="Times New Roman" w:hAnsi="Times New Roman" w:cs="Times New Roman"/>
          <w:sz w:val="28"/>
          <w:szCs w:val="28"/>
          <w:lang w:val="ro-MO"/>
        </w:rPr>
        <w:t>F</w:t>
      </w:r>
      <w:r w:rsidR="00AA363A" w:rsidRPr="00AD160F">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sidR="00AA363A" w:rsidRPr="00AD160F">
        <w:rPr>
          <w:rFonts w:ascii="Times New Roman" w:hAnsi="Times New Roman" w:cs="Times New Roman"/>
          <w:sz w:val="28"/>
          <w:szCs w:val="28"/>
          <w:lang w:val="ro-MO"/>
        </w:rPr>
        <w:t>i</w:t>
      </w:r>
    </w:p>
    <w:p w:rsidR="00AA363A" w:rsidRPr="00AD160F" w:rsidRDefault="00935F97" w:rsidP="00935F97">
      <w:pPr>
        <w:pStyle w:val="ListParagraph"/>
        <w:numPr>
          <w:ilvl w:val="0"/>
          <w:numId w:val="8"/>
        </w:numPr>
        <w:tabs>
          <w:tab w:val="left" w:pos="851"/>
          <w:tab w:val="left" w:pos="993"/>
        </w:tabs>
        <w:ind w:left="567" w:firstLine="142"/>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u</w:t>
      </w:r>
      <w:r w:rsidR="00AA363A" w:rsidRPr="00AD160F">
        <w:rPr>
          <w:rFonts w:ascii="Times New Roman" w:hAnsi="Times New Roman" w:cs="Times New Roman"/>
          <w:sz w:val="28"/>
          <w:szCs w:val="28"/>
          <w:lang w:val="ro-MO"/>
        </w:rPr>
        <w:t xml:space="preserve">tilizării complete a transferului general </w:t>
      </w:r>
      <w:r w:rsidR="00CA43FA" w:rsidRPr="00AD160F">
        <w:rPr>
          <w:rFonts w:ascii="Times New Roman" w:hAnsi="Times New Roman" w:cs="Times New Roman"/>
          <w:sz w:val="28"/>
          <w:szCs w:val="28"/>
          <w:lang w:val="ro-MO"/>
        </w:rPr>
        <w:t>din actualul sistem</w:t>
      </w:r>
      <w:r w:rsidR="00AA363A" w:rsidRPr="00AD160F">
        <w:rPr>
          <w:rFonts w:ascii="Times New Roman" w:hAnsi="Times New Roman" w:cs="Times New Roman"/>
          <w:sz w:val="28"/>
          <w:szCs w:val="28"/>
          <w:lang w:val="ro-MO"/>
        </w:rPr>
        <w:t xml:space="preserve"> pentru acoperirea transferului condi</w:t>
      </w:r>
      <w:r w:rsidR="006F4B00">
        <w:rPr>
          <w:rFonts w:ascii="Times New Roman" w:hAnsi="Times New Roman" w:cs="Times New Roman"/>
          <w:sz w:val="28"/>
          <w:szCs w:val="28"/>
          <w:lang w:val="ro-MO"/>
        </w:rPr>
        <w:t>ţ</w:t>
      </w:r>
      <w:r w:rsidR="00AA363A" w:rsidRPr="00AD160F">
        <w:rPr>
          <w:rFonts w:ascii="Times New Roman" w:hAnsi="Times New Roman" w:cs="Times New Roman"/>
          <w:sz w:val="28"/>
          <w:szCs w:val="28"/>
          <w:lang w:val="ro-MO"/>
        </w:rPr>
        <w:t>ionat pentru educa</w:t>
      </w:r>
      <w:r w:rsidR="006F4B00">
        <w:rPr>
          <w:rFonts w:ascii="Times New Roman" w:hAnsi="Times New Roman" w:cs="Times New Roman"/>
          <w:sz w:val="28"/>
          <w:szCs w:val="28"/>
          <w:lang w:val="ro-MO"/>
        </w:rPr>
        <w:t>ţ</w:t>
      </w:r>
      <w:r w:rsidR="00AA363A" w:rsidRPr="00AD160F">
        <w:rPr>
          <w:rFonts w:ascii="Times New Roman" w:hAnsi="Times New Roman" w:cs="Times New Roman"/>
          <w:sz w:val="28"/>
          <w:szCs w:val="28"/>
          <w:lang w:val="ro-MO"/>
        </w:rPr>
        <w:t>ie.</w:t>
      </w:r>
    </w:p>
    <w:p w:rsidR="00AA363A" w:rsidRPr="002506AC" w:rsidRDefault="00AA363A" w:rsidP="008B3768">
      <w:pPr>
        <w:ind w:left="360"/>
        <w:contextualSpacing/>
        <w:jc w:val="both"/>
        <w:rPr>
          <w:rFonts w:ascii="Times New Roman" w:hAnsi="Times New Roman" w:cs="Times New Roman"/>
          <w:sz w:val="10"/>
          <w:szCs w:val="10"/>
          <w:lang w:val="ro-MO"/>
        </w:rPr>
      </w:pPr>
    </w:p>
    <w:p w:rsidR="00AA363A" w:rsidRPr="00AD160F" w:rsidRDefault="00AA363A" w:rsidP="00FE172C">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Cauza a) impune cote de partajare relativ scăzute, rămânând astfel suficiente resurse pentru echilibrare – cote mai ridicate ar avantaja numai câteva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ii locale mai bogate (Chi</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inău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Băl</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w:t>
      </w:r>
      <w:r w:rsidR="00FE172C" w:rsidRPr="00AD160F">
        <w:rPr>
          <w:rFonts w:ascii="Times New Roman" w:hAnsi="Times New Roman" w:cs="Times New Roman"/>
          <w:sz w:val="28"/>
          <w:szCs w:val="28"/>
          <w:lang w:val="ro-MO"/>
        </w:rPr>
        <w:t xml:space="preserve"> - </w:t>
      </w:r>
      <w:r w:rsidRPr="00AD160F">
        <w:rPr>
          <w:rFonts w:ascii="Times New Roman" w:hAnsi="Times New Roman" w:cs="Times New Roman"/>
          <w:sz w:val="28"/>
          <w:szCs w:val="28"/>
          <w:lang w:val="ro-MO"/>
        </w:rPr>
        <w:t xml:space="preserve">în primul rând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ora</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ele re</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edin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ă de raion</w:t>
      </w:r>
      <w:r w:rsidR="00FE172C" w:rsidRPr="00AD160F">
        <w:rPr>
          <w:rFonts w:ascii="Times New Roman" w:hAnsi="Times New Roman" w:cs="Times New Roman"/>
          <w:sz w:val="28"/>
          <w:szCs w:val="28"/>
          <w:lang w:val="ro-MO"/>
        </w:rPr>
        <w:t xml:space="preserve"> - </w:t>
      </w:r>
      <w:r w:rsidRPr="00AD160F">
        <w:rPr>
          <w:rFonts w:ascii="Times New Roman" w:hAnsi="Times New Roman" w:cs="Times New Roman"/>
          <w:sz w:val="28"/>
          <w:szCs w:val="28"/>
          <w:lang w:val="ro-MO"/>
        </w:rPr>
        <w:t>în al doilea), reducând în acela</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timp resursele rămase pentru echilibrare.</w:t>
      </w:r>
    </w:p>
    <w:p w:rsidR="00AA363A" w:rsidRPr="002506AC" w:rsidRDefault="00AA363A" w:rsidP="008B3768">
      <w:pPr>
        <w:jc w:val="both"/>
        <w:rPr>
          <w:rFonts w:ascii="Times New Roman" w:hAnsi="Times New Roman" w:cs="Times New Roman"/>
          <w:sz w:val="10"/>
          <w:szCs w:val="10"/>
          <w:lang w:val="ro-MO"/>
        </w:rPr>
      </w:pPr>
    </w:p>
    <w:p w:rsidR="00AA363A" w:rsidRPr="00AD160F" w:rsidRDefault="00AA363A" w:rsidP="00FE172C">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Cauza b), </w:t>
      </w:r>
      <w:r w:rsidR="00FE172C" w:rsidRPr="00AD160F">
        <w:rPr>
          <w:rFonts w:ascii="Times New Roman" w:hAnsi="Times New Roman" w:cs="Times New Roman"/>
          <w:sz w:val="28"/>
          <w:szCs w:val="28"/>
          <w:lang w:val="ro-MO"/>
        </w:rPr>
        <w:t>condi</w:t>
      </w:r>
      <w:r w:rsidR="006F4B00">
        <w:rPr>
          <w:rFonts w:ascii="Times New Roman" w:hAnsi="Times New Roman" w:cs="Times New Roman"/>
          <w:sz w:val="28"/>
          <w:szCs w:val="28"/>
          <w:lang w:val="ro-MO"/>
        </w:rPr>
        <w:t>ţ</w:t>
      </w:r>
      <w:r w:rsidR="00FE172C" w:rsidRPr="00AD160F">
        <w:rPr>
          <w:rFonts w:ascii="Times New Roman" w:hAnsi="Times New Roman" w:cs="Times New Roman"/>
          <w:sz w:val="28"/>
          <w:szCs w:val="28"/>
          <w:lang w:val="ro-MO"/>
        </w:rPr>
        <w:t>ionată de</w:t>
      </w:r>
      <w:r w:rsidRPr="00AD160F">
        <w:rPr>
          <w:rFonts w:ascii="Times New Roman" w:hAnsi="Times New Roman" w:cs="Times New Roman"/>
          <w:sz w:val="28"/>
          <w:szCs w:val="28"/>
          <w:lang w:val="ro-MO"/>
        </w:rPr>
        <w:t xml:space="preserve"> principiul esen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ial de p</w:t>
      </w:r>
      <w:r w:rsidR="00FE172C" w:rsidRPr="00AD160F">
        <w:rPr>
          <w:rFonts w:ascii="Times New Roman" w:hAnsi="Times New Roman" w:cs="Times New Roman"/>
          <w:sz w:val="28"/>
          <w:szCs w:val="28"/>
          <w:lang w:val="ro-MO"/>
        </w:rPr>
        <w:t>ăstrar</w:t>
      </w:r>
      <w:r w:rsidRPr="00AD160F">
        <w:rPr>
          <w:rFonts w:ascii="Times New Roman" w:hAnsi="Times New Roman" w:cs="Times New Roman"/>
          <w:sz w:val="28"/>
          <w:szCs w:val="28"/>
          <w:lang w:val="ro-MO"/>
        </w:rPr>
        <w:t xml:space="preserve">e a actualei anvelope financiare pentru </w:t>
      </w:r>
      <w:r w:rsidR="00FE172C" w:rsidRPr="00AD160F">
        <w:rPr>
          <w:rFonts w:ascii="Times New Roman" w:hAnsi="Times New Roman" w:cs="Times New Roman"/>
          <w:sz w:val="28"/>
          <w:szCs w:val="28"/>
          <w:lang w:val="ro-MO"/>
        </w:rPr>
        <w:t>APL</w:t>
      </w:r>
      <w:r w:rsidRPr="00AD160F">
        <w:rPr>
          <w:rFonts w:ascii="Times New Roman" w:hAnsi="Times New Roman" w:cs="Times New Roman"/>
          <w:sz w:val="28"/>
          <w:szCs w:val="28"/>
          <w:lang w:val="ro-MO"/>
        </w:rPr>
        <w:t>, limitează fondurile ce urmează a fi distribuite pe bază de formulă (Fond</w:t>
      </w:r>
      <w:r w:rsidR="00CA43FA" w:rsidRPr="00AD160F">
        <w:rPr>
          <w:rFonts w:ascii="Times New Roman" w:hAnsi="Times New Roman" w:cs="Times New Roman"/>
          <w:sz w:val="28"/>
          <w:szCs w:val="28"/>
          <w:lang w:val="ro-MO"/>
        </w:rPr>
        <w:t>ul</w:t>
      </w:r>
      <w:r w:rsidRPr="00AD160F">
        <w:rPr>
          <w:rFonts w:ascii="Times New Roman" w:hAnsi="Times New Roman" w:cs="Times New Roman"/>
          <w:sz w:val="28"/>
          <w:szCs w:val="28"/>
          <w:lang w:val="ro-MO"/>
        </w:rPr>
        <w:t xml:space="preserve"> de </w:t>
      </w:r>
      <w:r w:rsidR="00CA43FA" w:rsidRPr="00AD160F">
        <w:rPr>
          <w:rFonts w:ascii="Times New Roman" w:hAnsi="Times New Roman" w:cs="Times New Roman"/>
          <w:sz w:val="28"/>
          <w:szCs w:val="28"/>
          <w:lang w:val="ro-MO"/>
        </w:rPr>
        <w:t>Sus</w:t>
      </w:r>
      <w:r w:rsidR="006F4B00">
        <w:rPr>
          <w:rFonts w:ascii="Times New Roman" w:hAnsi="Times New Roman" w:cs="Times New Roman"/>
          <w:sz w:val="28"/>
          <w:szCs w:val="28"/>
          <w:lang w:val="ro-MO"/>
        </w:rPr>
        <w:t>ţ</w:t>
      </w:r>
      <w:r w:rsidR="00CA43FA" w:rsidRPr="00AD160F">
        <w:rPr>
          <w:rFonts w:ascii="Times New Roman" w:hAnsi="Times New Roman" w:cs="Times New Roman"/>
          <w:sz w:val="28"/>
          <w:szCs w:val="28"/>
          <w:lang w:val="ro-MO"/>
        </w:rPr>
        <w:t>inere Financiară – FS</w:t>
      </w:r>
      <w:r w:rsidRPr="00AD160F">
        <w:rPr>
          <w:rFonts w:ascii="Times New Roman" w:hAnsi="Times New Roman" w:cs="Times New Roman"/>
          <w:sz w:val="28"/>
          <w:szCs w:val="28"/>
          <w:lang w:val="ro-MO"/>
        </w:rPr>
        <w:t xml:space="preserve">F) </w:t>
      </w:r>
      <w:r w:rsidR="002506AC" w:rsidRPr="002506AC">
        <w:rPr>
          <w:rFonts w:ascii="Times New Roman" w:hAnsi="Times New Roman" w:cs="Times New Roman"/>
          <w:sz w:val="28"/>
          <w:szCs w:val="28"/>
          <w:lang w:val="ro-MO"/>
        </w:rPr>
        <w:t>numai</w:t>
      </w:r>
      <w:r w:rsidRPr="00AD160F">
        <w:rPr>
          <w:rFonts w:ascii="Times New Roman" w:hAnsi="Times New Roman" w:cs="Times New Roman"/>
          <w:sz w:val="28"/>
          <w:szCs w:val="28"/>
          <w:lang w:val="ro-MO"/>
        </w:rPr>
        <w:t xml:space="preserve"> la ceea ce a rămas din IVPF, după distribuirea prin sistemul de partajare pe baza ariei de colectate </w:t>
      </w:r>
      <w:r w:rsidR="006F4B00">
        <w:rPr>
          <w:rFonts w:ascii="Times New Roman" w:hAnsi="Times New Roman" w:cs="Times New Roman"/>
          <w:sz w:val="28"/>
          <w:szCs w:val="28"/>
          <w:u w:val="single"/>
          <w:lang w:val="ro-MO"/>
        </w:rPr>
        <w:t>Ş</w:t>
      </w:r>
      <w:r w:rsidRPr="00AD160F">
        <w:rPr>
          <w:rFonts w:ascii="Times New Roman" w:hAnsi="Times New Roman" w:cs="Times New Roman"/>
          <w:sz w:val="28"/>
          <w:szCs w:val="28"/>
          <w:u w:val="single"/>
          <w:lang w:val="ro-MO"/>
        </w:rPr>
        <w:t>I</w:t>
      </w:r>
      <w:r w:rsidRPr="00AD160F">
        <w:rPr>
          <w:rFonts w:ascii="Times New Roman" w:hAnsi="Times New Roman" w:cs="Times New Roman"/>
          <w:sz w:val="28"/>
          <w:szCs w:val="28"/>
          <w:lang w:val="ro-MO"/>
        </w:rPr>
        <w:t xml:space="preserve"> la </w:t>
      </w:r>
      <w:r w:rsidR="00523BBC" w:rsidRPr="00AD160F">
        <w:rPr>
          <w:rFonts w:ascii="Times New Roman" w:hAnsi="Times New Roman" w:cs="Times New Roman"/>
          <w:sz w:val="28"/>
          <w:szCs w:val="28"/>
          <w:lang w:val="ro-MO"/>
        </w:rPr>
        <w:t>alte mijloace financiare – stabilite în limita disponibilă</w:t>
      </w:r>
      <w:r w:rsidR="006F4B00">
        <w:rPr>
          <w:rFonts w:ascii="Times New Roman" w:hAnsi="Times New Roman" w:cs="Times New Roman"/>
          <w:sz w:val="28"/>
          <w:szCs w:val="28"/>
          <w:lang w:val="ro-MO"/>
        </w:rPr>
        <w:t>ţ</w:t>
      </w:r>
      <w:r w:rsidR="00EC4FBC" w:rsidRPr="00AD160F">
        <w:rPr>
          <w:rFonts w:ascii="Times New Roman" w:hAnsi="Times New Roman" w:cs="Times New Roman"/>
          <w:sz w:val="28"/>
          <w:szCs w:val="28"/>
          <w:lang w:val="ro-MO"/>
        </w:rPr>
        <w:t>ilor la</w:t>
      </w:r>
      <w:r w:rsidR="00523BBC" w:rsidRPr="00AD160F">
        <w:rPr>
          <w:rFonts w:ascii="Times New Roman" w:hAnsi="Times New Roman" w:cs="Times New Roman"/>
          <w:sz w:val="28"/>
          <w:szCs w:val="28"/>
          <w:lang w:val="ro-MO"/>
        </w:rPr>
        <w:t xml:space="preserve"> bugetul</w:t>
      </w:r>
      <w:r w:rsidR="00EC4FBC" w:rsidRPr="00AD160F">
        <w:rPr>
          <w:rFonts w:ascii="Times New Roman" w:hAnsi="Times New Roman" w:cs="Times New Roman"/>
          <w:sz w:val="28"/>
          <w:szCs w:val="28"/>
          <w:lang w:val="ro-MO"/>
        </w:rPr>
        <w:t xml:space="preserve"> de stat</w:t>
      </w:r>
      <w:r w:rsidR="00FE172C" w:rsidRPr="00AD160F">
        <w:rPr>
          <w:rFonts w:ascii="Times New Roman" w:hAnsi="Times New Roman" w:cs="Times New Roman"/>
          <w:sz w:val="28"/>
          <w:szCs w:val="28"/>
          <w:lang w:val="ro-MO"/>
        </w:rPr>
        <w:t>,</w:t>
      </w:r>
      <w:r w:rsidR="00EC4FBC" w:rsidRPr="00AD160F">
        <w:rPr>
          <w:rFonts w:ascii="Times New Roman" w:hAnsi="Times New Roman" w:cs="Times New Roman"/>
          <w:sz w:val="28"/>
          <w:szCs w:val="28"/>
          <w:lang w:val="ro-MO"/>
        </w:rPr>
        <w:t xml:space="preserve"> în condi</w:t>
      </w:r>
      <w:r w:rsidR="006F4B00">
        <w:rPr>
          <w:rFonts w:ascii="Times New Roman" w:hAnsi="Times New Roman" w:cs="Times New Roman"/>
          <w:sz w:val="28"/>
          <w:szCs w:val="28"/>
          <w:lang w:val="ro-MO"/>
        </w:rPr>
        <w:t>ţ</w:t>
      </w:r>
      <w:r w:rsidR="00EC4FBC" w:rsidRPr="00AD160F">
        <w:rPr>
          <w:rFonts w:ascii="Times New Roman" w:hAnsi="Times New Roman" w:cs="Times New Roman"/>
          <w:sz w:val="28"/>
          <w:szCs w:val="28"/>
          <w:lang w:val="ro-MO"/>
        </w:rPr>
        <w:t>iile păstră</w:t>
      </w:r>
      <w:r w:rsidR="00523BBC" w:rsidRPr="00AD160F">
        <w:rPr>
          <w:rFonts w:ascii="Times New Roman" w:hAnsi="Times New Roman" w:cs="Times New Roman"/>
          <w:sz w:val="28"/>
          <w:szCs w:val="28"/>
          <w:lang w:val="ro-MO"/>
        </w:rPr>
        <w:t xml:space="preserve">rii echilibrului macro-economic </w:t>
      </w:r>
      <w:r w:rsidR="00EC4FBC" w:rsidRPr="00AD160F">
        <w:rPr>
          <w:rFonts w:ascii="Times New Roman" w:hAnsi="Times New Roman" w:cs="Times New Roman"/>
          <w:sz w:val="28"/>
          <w:szCs w:val="28"/>
          <w:lang w:val="ro-MO"/>
        </w:rPr>
        <w:t>.</w:t>
      </w:r>
    </w:p>
    <w:p w:rsidR="00AA363A" w:rsidRPr="002526B9" w:rsidRDefault="00AA363A" w:rsidP="008B3768">
      <w:pPr>
        <w:jc w:val="both"/>
        <w:rPr>
          <w:rFonts w:ascii="Times New Roman" w:hAnsi="Times New Roman" w:cs="Times New Roman"/>
          <w:sz w:val="10"/>
          <w:szCs w:val="10"/>
          <w:lang w:val="ro-MO"/>
        </w:rPr>
      </w:pPr>
    </w:p>
    <w:p w:rsidR="00AA363A" w:rsidRPr="00836AB3" w:rsidRDefault="00371292" w:rsidP="00FE172C">
      <w:pPr>
        <w:ind w:firstLine="567"/>
        <w:jc w:val="both"/>
        <w:rPr>
          <w:rFonts w:ascii="Times New Roman" w:hAnsi="Times New Roman" w:cs="Times New Roman"/>
          <w:i/>
          <w:sz w:val="28"/>
          <w:szCs w:val="28"/>
          <w:lang w:val="ro-MO"/>
        </w:rPr>
      </w:pPr>
      <w:r w:rsidRPr="00836AB3">
        <w:rPr>
          <w:rFonts w:ascii="Times New Roman" w:hAnsi="Times New Roman" w:cs="Times New Roman"/>
          <w:i/>
          <w:sz w:val="28"/>
          <w:szCs w:val="28"/>
          <w:lang w:val="ro-MO"/>
        </w:rPr>
        <w:t>III.</w:t>
      </w:r>
      <w:r w:rsidR="00523BBC" w:rsidRPr="00836AB3">
        <w:rPr>
          <w:rFonts w:ascii="Times New Roman" w:hAnsi="Times New Roman" w:cs="Times New Roman"/>
          <w:i/>
          <w:sz w:val="28"/>
          <w:szCs w:val="28"/>
          <w:lang w:val="ro-MO"/>
        </w:rPr>
        <w:t>6. Alocarea t</w:t>
      </w:r>
      <w:r w:rsidR="00AA363A" w:rsidRPr="00836AB3">
        <w:rPr>
          <w:rFonts w:ascii="Times New Roman" w:hAnsi="Times New Roman" w:cs="Times New Roman"/>
          <w:i/>
          <w:sz w:val="28"/>
          <w:szCs w:val="28"/>
          <w:lang w:val="ro-MO"/>
        </w:rPr>
        <w:t>ransferu</w:t>
      </w:r>
      <w:r w:rsidR="00523BBC" w:rsidRPr="00836AB3">
        <w:rPr>
          <w:rFonts w:ascii="Times New Roman" w:hAnsi="Times New Roman" w:cs="Times New Roman"/>
          <w:i/>
          <w:sz w:val="28"/>
          <w:szCs w:val="28"/>
          <w:lang w:val="ro-MO"/>
        </w:rPr>
        <w:t>rilor cu destina</w:t>
      </w:r>
      <w:r w:rsidR="006F4B00">
        <w:rPr>
          <w:rFonts w:ascii="Times New Roman" w:hAnsi="Times New Roman" w:cs="Times New Roman"/>
          <w:i/>
          <w:sz w:val="28"/>
          <w:szCs w:val="28"/>
          <w:lang w:val="ro-MO"/>
        </w:rPr>
        <w:t>ţ</w:t>
      </w:r>
      <w:r w:rsidR="00523BBC" w:rsidRPr="00836AB3">
        <w:rPr>
          <w:rFonts w:ascii="Times New Roman" w:hAnsi="Times New Roman" w:cs="Times New Roman"/>
          <w:i/>
          <w:sz w:val="28"/>
          <w:szCs w:val="28"/>
          <w:lang w:val="ro-MO"/>
        </w:rPr>
        <w:t>ie generală, de echilibrare</w:t>
      </w:r>
      <w:r w:rsidR="00AA363A" w:rsidRPr="00836AB3">
        <w:rPr>
          <w:rFonts w:ascii="Times New Roman" w:hAnsi="Times New Roman" w:cs="Times New Roman"/>
          <w:i/>
          <w:sz w:val="28"/>
          <w:szCs w:val="28"/>
          <w:lang w:val="ro-MO"/>
        </w:rPr>
        <w:t xml:space="preserve">  </w:t>
      </w:r>
    </w:p>
    <w:p w:rsidR="00AA363A" w:rsidRPr="002526B9" w:rsidRDefault="00AA363A" w:rsidP="008B3768">
      <w:pPr>
        <w:jc w:val="both"/>
        <w:rPr>
          <w:rFonts w:ascii="Times New Roman" w:hAnsi="Times New Roman" w:cs="Times New Roman"/>
          <w:sz w:val="10"/>
          <w:szCs w:val="10"/>
          <w:lang w:val="ro-MO"/>
        </w:rPr>
      </w:pPr>
    </w:p>
    <w:p w:rsidR="00EC4FBC" w:rsidRDefault="00AA363A" w:rsidP="00FE172C">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Fondul de </w:t>
      </w:r>
      <w:r w:rsidR="00523BBC" w:rsidRPr="00AD160F">
        <w:rPr>
          <w:rFonts w:ascii="Times New Roman" w:hAnsi="Times New Roman" w:cs="Times New Roman"/>
          <w:sz w:val="28"/>
          <w:szCs w:val="28"/>
          <w:lang w:val="ro-MO"/>
        </w:rPr>
        <w:t>Sus</w:t>
      </w:r>
      <w:r w:rsidR="006F4B00">
        <w:rPr>
          <w:rFonts w:ascii="Times New Roman" w:hAnsi="Times New Roman" w:cs="Times New Roman"/>
          <w:sz w:val="28"/>
          <w:szCs w:val="28"/>
          <w:lang w:val="ro-MO"/>
        </w:rPr>
        <w:t>ţ</w:t>
      </w:r>
      <w:r w:rsidR="00523BBC" w:rsidRPr="00AD160F">
        <w:rPr>
          <w:rFonts w:ascii="Times New Roman" w:hAnsi="Times New Roman" w:cs="Times New Roman"/>
          <w:sz w:val="28"/>
          <w:szCs w:val="28"/>
          <w:lang w:val="ro-MO"/>
        </w:rPr>
        <w:t>inere Financiară a</w:t>
      </w:r>
      <w:r w:rsidR="00FE172C" w:rsidRPr="00AD160F">
        <w:rPr>
          <w:rFonts w:ascii="Times New Roman" w:hAnsi="Times New Roman" w:cs="Times New Roman"/>
          <w:sz w:val="28"/>
          <w:szCs w:val="28"/>
          <w:lang w:val="ro-MO"/>
        </w:rPr>
        <w:t>l</w:t>
      </w:r>
      <w:r w:rsidR="00523BBC" w:rsidRPr="00AD160F">
        <w:rPr>
          <w:rFonts w:ascii="Times New Roman" w:hAnsi="Times New Roman" w:cs="Times New Roman"/>
          <w:sz w:val="28"/>
          <w:szCs w:val="28"/>
          <w:lang w:val="ro-MO"/>
        </w:rPr>
        <w:t xml:space="preserve"> autorită</w:t>
      </w:r>
      <w:r w:rsidR="006F4B00">
        <w:rPr>
          <w:rFonts w:ascii="Times New Roman" w:hAnsi="Times New Roman" w:cs="Times New Roman"/>
          <w:sz w:val="28"/>
          <w:szCs w:val="28"/>
          <w:lang w:val="ro-MO"/>
        </w:rPr>
        <w:t>ţ</w:t>
      </w:r>
      <w:r w:rsidR="00523BBC" w:rsidRPr="00AD160F">
        <w:rPr>
          <w:rFonts w:ascii="Times New Roman" w:hAnsi="Times New Roman" w:cs="Times New Roman"/>
          <w:sz w:val="28"/>
          <w:szCs w:val="28"/>
          <w:lang w:val="ro-MO"/>
        </w:rPr>
        <w:t>ilor locale (FS</w:t>
      </w:r>
      <w:r w:rsidRPr="00AD160F">
        <w:rPr>
          <w:rFonts w:ascii="Times New Roman" w:hAnsi="Times New Roman" w:cs="Times New Roman"/>
          <w:sz w:val="28"/>
          <w:szCs w:val="28"/>
          <w:lang w:val="ro-MO"/>
        </w:rPr>
        <w:t xml:space="preserve">F) va fi </w:t>
      </w:r>
      <w:r w:rsidR="00C815D3" w:rsidRPr="00AD160F">
        <w:rPr>
          <w:rFonts w:ascii="Times New Roman" w:hAnsi="Times New Roman" w:cs="Times New Roman"/>
          <w:sz w:val="28"/>
          <w:szCs w:val="28"/>
          <w:lang w:val="ro-MO"/>
        </w:rPr>
        <w:t>singura</w:t>
      </w:r>
      <w:r w:rsidRPr="00AD160F">
        <w:rPr>
          <w:rFonts w:ascii="Times New Roman" w:hAnsi="Times New Roman" w:cs="Times New Roman"/>
          <w:sz w:val="28"/>
          <w:szCs w:val="28"/>
          <w:lang w:val="ro-MO"/>
        </w:rPr>
        <w:t xml:space="preserve"> resursă pentru </w:t>
      </w:r>
      <w:r w:rsidR="00523BBC" w:rsidRPr="00AD160F">
        <w:rPr>
          <w:rFonts w:ascii="Times New Roman" w:hAnsi="Times New Roman" w:cs="Times New Roman"/>
          <w:sz w:val="28"/>
          <w:szCs w:val="28"/>
          <w:lang w:val="ro-MO"/>
        </w:rPr>
        <w:t>transferurile cu destina</w:t>
      </w:r>
      <w:r w:rsidR="006F4B00">
        <w:rPr>
          <w:rFonts w:ascii="Times New Roman" w:hAnsi="Times New Roman" w:cs="Times New Roman"/>
          <w:sz w:val="28"/>
          <w:szCs w:val="28"/>
          <w:lang w:val="ro-MO"/>
        </w:rPr>
        <w:t>ţ</w:t>
      </w:r>
      <w:r w:rsidR="00523BBC" w:rsidRPr="00AD160F">
        <w:rPr>
          <w:rFonts w:ascii="Times New Roman" w:hAnsi="Times New Roman" w:cs="Times New Roman"/>
          <w:sz w:val="28"/>
          <w:szCs w:val="28"/>
          <w:lang w:val="ro-MO"/>
        </w:rPr>
        <w:t xml:space="preserve">ie generală, de echilibrare, destinate </w:t>
      </w:r>
      <w:r w:rsidR="00FE172C" w:rsidRPr="00AD160F">
        <w:rPr>
          <w:rFonts w:ascii="Times New Roman" w:hAnsi="Times New Roman" w:cs="Times New Roman"/>
          <w:sz w:val="28"/>
          <w:szCs w:val="28"/>
          <w:lang w:val="ro-MO"/>
        </w:rPr>
        <w:t>APL</w:t>
      </w:r>
      <w:r w:rsidRPr="00AD160F">
        <w:rPr>
          <w:rFonts w:ascii="Times New Roman" w:hAnsi="Times New Roman" w:cs="Times New Roman"/>
          <w:sz w:val="28"/>
          <w:szCs w:val="28"/>
          <w:lang w:val="ro-MO"/>
        </w:rPr>
        <w:t xml:space="preserve">. Sistemul de </w:t>
      </w:r>
      <w:r w:rsidR="00523BBC" w:rsidRPr="00AD160F">
        <w:rPr>
          <w:rFonts w:ascii="Times New Roman" w:hAnsi="Times New Roman" w:cs="Times New Roman"/>
          <w:sz w:val="28"/>
          <w:szCs w:val="28"/>
          <w:lang w:val="ro-MO"/>
        </w:rPr>
        <w:t>aloca</w:t>
      </w:r>
      <w:r w:rsidRPr="00AD160F">
        <w:rPr>
          <w:rFonts w:ascii="Times New Roman" w:hAnsi="Times New Roman" w:cs="Times New Roman"/>
          <w:sz w:val="28"/>
          <w:szCs w:val="28"/>
          <w:lang w:val="ro-MO"/>
        </w:rPr>
        <w:t xml:space="preserve">re pentru </w:t>
      </w:r>
      <w:r w:rsidR="00523BBC" w:rsidRPr="00AD160F">
        <w:rPr>
          <w:rFonts w:ascii="Times New Roman" w:hAnsi="Times New Roman" w:cs="Times New Roman"/>
          <w:sz w:val="28"/>
          <w:szCs w:val="28"/>
          <w:lang w:val="ro-MO"/>
        </w:rPr>
        <w:t>Fondul de Echilibrare Bugetară</w:t>
      </w:r>
      <w:r w:rsidRPr="00AD160F">
        <w:rPr>
          <w:rFonts w:ascii="Times New Roman" w:hAnsi="Times New Roman" w:cs="Times New Roman"/>
          <w:sz w:val="28"/>
          <w:szCs w:val="28"/>
          <w:lang w:val="ro-MO"/>
        </w:rPr>
        <w:t xml:space="preserve"> (</w:t>
      </w:r>
      <w:r w:rsidR="00523BBC" w:rsidRPr="00AD160F">
        <w:rPr>
          <w:rFonts w:ascii="Times New Roman" w:hAnsi="Times New Roman" w:cs="Times New Roman"/>
          <w:sz w:val="28"/>
          <w:szCs w:val="28"/>
          <w:lang w:val="ro-MO"/>
        </w:rPr>
        <w:t>FEB1</w:t>
      </w:r>
      <w:r w:rsidRPr="00AD160F">
        <w:rPr>
          <w:rFonts w:ascii="Times New Roman" w:hAnsi="Times New Roman" w:cs="Times New Roman"/>
          <w:sz w:val="28"/>
          <w:szCs w:val="28"/>
          <w:lang w:val="ro-MO"/>
        </w:rPr>
        <w:t xml:space="preserve">) pentru APL 1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a </w:t>
      </w:r>
      <w:r w:rsidR="00523BBC" w:rsidRPr="00AD160F">
        <w:rPr>
          <w:rFonts w:ascii="Times New Roman" w:hAnsi="Times New Roman" w:cs="Times New Roman"/>
          <w:sz w:val="28"/>
          <w:szCs w:val="28"/>
          <w:lang w:val="ro-MO"/>
        </w:rPr>
        <w:t xml:space="preserve">Fondul de Echilibrare Bugetară (FEB2) </w:t>
      </w:r>
      <w:r w:rsidRPr="00AD160F">
        <w:rPr>
          <w:rFonts w:ascii="Times New Roman" w:hAnsi="Times New Roman" w:cs="Times New Roman"/>
          <w:sz w:val="28"/>
          <w:szCs w:val="28"/>
          <w:lang w:val="ro-MO"/>
        </w:rPr>
        <w:t xml:space="preserve">pentru APL 2, se va </w:t>
      </w:r>
      <w:r w:rsidR="00523BBC" w:rsidRPr="00AD160F">
        <w:rPr>
          <w:rFonts w:ascii="Times New Roman" w:hAnsi="Times New Roman" w:cs="Times New Roman"/>
          <w:sz w:val="28"/>
          <w:szCs w:val="28"/>
          <w:lang w:val="ro-MO"/>
        </w:rPr>
        <w:t xml:space="preserve">baza, în principiu, pe un set de indicatori de bază care aproximează bine atât </w:t>
      </w:r>
      <w:r w:rsidR="00FE172C" w:rsidRPr="00AD160F">
        <w:rPr>
          <w:rFonts w:ascii="Times New Roman" w:hAnsi="Times New Roman" w:cs="Times New Roman"/>
          <w:sz w:val="28"/>
          <w:szCs w:val="28"/>
          <w:lang w:val="ro-MO"/>
        </w:rPr>
        <w:t>capacitatea financiară</w:t>
      </w:r>
      <w:r w:rsidR="00523BBC" w:rsidRPr="00AD160F">
        <w:rPr>
          <w:rFonts w:ascii="Times New Roman" w:hAnsi="Times New Roman" w:cs="Times New Roman"/>
          <w:sz w:val="28"/>
          <w:szCs w:val="28"/>
          <w:lang w:val="ro-MO"/>
        </w:rPr>
        <w:t xml:space="preserve"> locală, cât </w:t>
      </w:r>
      <w:r w:rsidR="006F4B00">
        <w:rPr>
          <w:rFonts w:ascii="Times New Roman" w:hAnsi="Times New Roman" w:cs="Times New Roman"/>
          <w:sz w:val="28"/>
          <w:szCs w:val="28"/>
          <w:lang w:val="ro-MO"/>
        </w:rPr>
        <w:t>ş</w:t>
      </w:r>
      <w:r w:rsidR="00523BBC" w:rsidRPr="00AD160F">
        <w:rPr>
          <w:rFonts w:ascii="Times New Roman" w:hAnsi="Times New Roman" w:cs="Times New Roman"/>
          <w:sz w:val="28"/>
          <w:szCs w:val="28"/>
          <w:lang w:val="ro-MO"/>
        </w:rPr>
        <w:t>i nevoile de servicii publice la nivel local: capacitatea fiscală pe l</w:t>
      </w:r>
      <w:r w:rsidRPr="00AD160F">
        <w:rPr>
          <w:rFonts w:ascii="Times New Roman" w:hAnsi="Times New Roman" w:cs="Times New Roman"/>
          <w:sz w:val="28"/>
          <w:szCs w:val="28"/>
          <w:lang w:val="ro-MO"/>
        </w:rPr>
        <w:t>ocuitor (</w:t>
      </w:r>
      <w:r w:rsidR="00523BBC" w:rsidRPr="00AD160F">
        <w:rPr>
          <w:rFonts w:ascii="Times New Roman" w:hAnsi="Times New Roman" w:cs="Times New Roman"/>
          <w:sz w:val="28"/>
          <w:szCs w:val="28"/>
          <w:lang w:val="ro-MO"/>
        </w:rPr>
        <w:t>C</w:t>
      </w:r>
      <w:r w:rsidRPr="00AD160F">
        <w:rPr>
          <w:rFonts w:ascii="Times New Roman" w:hAnsi="Times New Roman" w:cs="Times New Roman"/>
          <w:sz w:val="28"/>
          <w:szCs w:val="28"/>
          <w:lang w:val="ro-MO"/>
        </w:rPr>
        <w:t>F</w:t>
      </w:r>
      <w:r w:rsidR="00523BBC" w:rsidRPr="00AD160F">
        <w:rPr>
          <w:rFonts w:ascii="Times New Roman" w:hAnsi="Times New Roman" w:cs="Times New Roman"/>
          <w:sz w:val="28"/>
          <w:szCs w:val="28"/>
          <w:lang w:val="ro-MO"/>
        </w:rPr>
        <w:t>L), popula</w:t>
      </w:r>
      <w:r w:rsidR="006F4B00">
        <w:rPr>
          <w:rFonts w:ascii="Times New Roman" w:hAnsi="Times New Roman" w:cs="Times New Roman"/>
          <w:sz w:val="28"/>
          <w:szCs w:val="28"/>
          <w:lang w:val="ro-MO"/>
        </w:rPr>
        <w:t>ţ</w:t>
      </w:r>
      <w:r w:rsidR="00523BBC" w:rsidRPr="00AD160F">
        <w:rPr>
          <w:rFonts w:ascii="Times New Roman" w:hAnsi="Times New Roman" w:cs="Times New Roman"/>
          <w:sz w:val="28"/>
          <w:szCs w:val="28"/>
          <w:lang w:val="ro-MO"/>
        </w:rPr>
        <w:t xml:space="preserve">ia </w:t>
      </w:r>
      <w:r w:rsidR="006F4B00">
        <w:rPr>
          <w:rFonts w:ascii="Times New Roman" w:hAnsi="Times New Roman" w:cs="Times New Roman"/>
          <w:sz w:val="28"/>
          <w:szCs w:val="28"/>
          <w:lang w:val="ro-MO"/>
        </w:rPr>
        <w:t>ş</w:t>
      </w:r>
      <w:r w:rsidR="00523BBC" w:rsidRPr="00AD160F">
        <w:rPr>
          <w:rFonts w:ascii="Times New Roman" w:hAnsi="Times New Roman" w:cs="Times New Roman"/>
          <w:sz w:val="28"/>
          <w:szCs w:val="28"/>
          <w:lang w:val="ro-MO"/>
        </w:rPr>
        <w:t>i suprafa</w:t>
      </w:r>
      <w:r w:rsidR="006F4B00">
        <w:rPr>
          <w:rFonts w:ascii="Times New Roman" w:hAnsi="Times New Roman" w:cs="Times New Roman"/>
          <w:sz w:val="28"/>
          <w:szCs w:val="28"/>
          <w:lang w:val="ro-MO"/>
        </w:rPr>
        <w:t>ţ</w:t>
      </w:r>
      <w:r w:rsidR="00523BBC" w:rsidRPr="00AD160F">
        <w:rPr>
          <w:rFonts w:ascii="Times New Roman" w:hAnsi="Times New Roman" w:cs="Times New Roman"/>
          <w:sz w:val="28"/>
          <w:szCs w:val="28"/>
          <w:lang w:val="ro-MO"/>
        </w:rPr>
        <w:t>a UAT. Se</w:t>
      </w:r>
      <w:r w:rsidRPr="00AD160F">
        <w:rPr>
          <w:rFonts w:ascii="Times New Roman" w:hAnsi="Times New Roman" w:cs="Times New Roman"/>
          <w:sz w:val="28"/>
          <w:szCs w:val="28"/>
          <w:lang w:val="ro-MO"/>
        </w:rPr>
        <w:t xml:space="preserve"> consideră, pe baza experien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ei interna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ionale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a literaturii de specialitate, că ace</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ti indicatori reflectă bine, atât capacitatea de a genera resurse financiare, cât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nevoia de servicii publice a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iei publice locale. Stabilirea aloca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iilor financiare pentru diferite destina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ii, stabilirea priorită</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ilor în utilizarea resurselor financiare </w:t>
      </w:r>
      <w:r w:rsidR="00C815D3" w:rsidRPr="00AD160F">
        <w:rPr>
          <w:rFonts w:ascii="Times New Roman" w:hAnsi="Times New Roman" w:cs="Times New Roman"/>
          <w:sz w:val="28"/>
          <w:szCs w:val="28"/>
          <w:lang w:val="ro-MO"/>
        </w:rPr>
        <w:t xml:space="preserve">vor fi </w:t>
      </w:r>
      <w:r w:rsidRPr="00AD160F">
        <w:rPr>
          <w:rFonts w:ascii="Times New Roman" w:hAnsi="Times New Roman" w:cs="Times New Roman"/>
          <w:sz w:val="28"/>
          <w:szCs w:val="28"/>
          <w:lang w:val="ro-MO"/>
        </w:rPr>
        <w:t>decizii</w:t>
      </w:r>
      <w:r w:rsidR="00EC4FBC" w:rsidRPr="00AD160F">
        <w:rPr>
          <w:rFonts w:ascii="Times New Roman" w:hAnsi="Times New Roman" w:cs="Times New Roman"/>
          <w:sz w:val="28"/>
          <w:szCs w:val="28"/>
          <w:lang w:val="ro-MO"/>
        </w:rPr>
        <w:t xml:space="preserve"> exclusiv locale</w:t>
      </w:r>
      <w:r w:rsidRPr="00AD160F">
        <w:rPr>
          <w:rFonts w:ascii="Times New Roman" w:hAnsi="Times New Roman" w:cs="Times New Roman"/>
          <w:sz w:val="28"/>
          <w:szCs w:val="28"/>
          <w:lang w:val="ro-MO"/>
        </w:rPr>
        <w:t xml:space="preserve">. </w:t>
      </w:r>
    </w:p>
    <w:p w:rsidR="002D74E2" w:rsidRDefault="002D74E2">
      <w:pPr>
        <w:ind w:firstLine="567"/>
        <w:jc w:val="both"/>
        <w:rPr>
          <w:rFonts w:ascii="Times New Roman" w:hAnsi="Times New Roman" w:cs="Times New Roman"/>
          <w:i/>
          <w:sz w:val="28"/>
          <w:szCs w:val="28"/>
          <w:lang w:val="ro-MO"/>
        </w:rPr>
      </w:pPr>
    </w:p>
    <w:p w:rsidR="00E4421E" w:rsidRDefault="00E80FAA">
      <w:pPr>
        <w:ind w:firstLine="567"/>
        <w:jc w:val="both"/>
        <w:rPr>
          <w:rFonts w:ascii="Times New Roman" w:hAnsi="Times New Roman" w:cs="Times New Roman"/>
          <w:sz w:val="28"/>
          <w:szCs w:val="28"/>
          <w:lang w:val="ro-MO"/>
        </w:rPr>
      </w:pPr>
      <w:r w:rsidRPr="00E80FAA">
        <w:rPr>
          <w:rFonts w:ascii="Times New Roman" w:hAnsi="Times New Roman" w:cs="Times New Roman"/>
          <w:i/>
          <w:sz w:val="28"/>
          <w:szCs w:val="28"/>
          <w:lang w:val="ro-MO"/>
        </w:rPr>
        <w:t>III.7. Stimularea colectării veniturilor proprii de către administra</w:t>
      </w:r>
      <w:r w:rsidR="006F4B00">
        <w:rPr>
          <w:rFonts w:ascii="Times New Roman" w:hAnsi="Times New Roman" w:cs="Times New Roman"/>
          <w:i/>
          <w:sz w:val="28"/>
          <w:szCs w:val="28"/>
          <w:lang w:val="ro-MO"/>
        </w:rPr>
        <w:t>ţ</w:t>
      </w:r>
      <w:r w:rsidRPr="00E80FAA">
        <w:rPr>
          <w:rFonts w:ascii="Times New Roman" w:hAnsi="Times New Roman" w:cs="Times New Roman"/>
          <w:i/>
          <w:sz w:val="28"/>
          <w:szCs w:val="28"/>
          <w:lang w:val="ro-MO"/>
        </w:rPr>
        <w:t>iile locale</w:t>
      </w:r>
    </w:p>
    <w:p w:rsidR="00C07DCA" w:rsidRPr="00C07DCA" w:rsidRDefault="00C07DCA">
      <w:pPr>
        <w:ind w:firstLine="567"/>
        <w:jc w:val="both"/>
        <w:rPr>
          <w:rFonts w:ascii="Times New Roman" w:hAnsi="Times New Roman" w:cs="Times New Roman"/>
          <w:sz w:val="10"/>
          <w:szCs w:val="10"/>
          <w:lang w:val="ro-MO"/>
        </w:rPr>
      </w:pPr>
    </w:p>
    <w:p w:rsidR="00E4421E" w:rsidRDefault="001B3CAA">
      <w:pPr>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Sistemul propus are me</w:t>
      </w:r>
      <w:r w:rsidR="008859D0">
        <w:rPr>
          <w:rFonts w:ascii="Times New Roman" w:hAnsi="Times New Roman" w:cs="Times New Roman"/>
          <w:sz w:val="28"/>
          <w:szCs w:val="28"/>
          <w:lang w:val="ro-MO"/>
        </w:rPr>
        <w:t>nirea de a</w:t>
      </w:r>
      <w:r>
        <w:rPr>
          <w:rFonts w:ascii="Times New Roman" w:hAnsi="Times New Roman" w:cs="Times New Roman"/>
          <w:sz w:val="28"/>
          <w:szCs w:val="28"/>
          <w:lang w:val="ro-MO"/>
        </w:rPr>
        <w:t xml:space="preserve"> stimula foarte mult colectarea veniturilor proprii ale administra</w:t>
      </w:r>
      <w:r w:rsidR="006F4B00">
        <w:rPr>
          <w:rFonts w:ascii="Times New Roman" w:hAnsi="Times New Roman" w:cs="Times New Roman"/>
          <w:sz w:val="28"/>
          <w:szCs w:val="28"/>
          <w:lang w:val="ro-MO"/>
        </w:rPr>
        <w:t>ţ</w:t>
      </w:r>
      <w:r>
        <w:rPr>
          <w:rFonts w:ascii="Times New Roman" w:hAnsi="Times New Roman" w:cs="Times New Roman"/>
          <w:sz w:val="28"/>
          <w:szCs w:val="28"/>
          <w:lang w:val="ro-MO"/>
        </w:rPr>
        <w:t>iilor locale prin două mecanisme. În primul rând cheltuielile administra</w:t>
      </w:r>
      <w:r w:rsidR="006F4B00">
        <w:rPr>
          <w:rFonts w:ascii="Times New Roman" w:hAnsi="Times New Roman" w:cs="Times New Roman"/>
          <w:sz w:val="28"/>
          <w:szCs w:val="28"/>
          <w:lang w:val="ro-MO"/>
        </w:rPr>
        <w:t>ţ</w:t>
      </w:r>
      <w:r>
        <w:rPr>
          <w:rFonts w:ascii="Times New Roman" w:hAnsi="Times New Roman" w:cs="Times New Roman"/>
          <w:sz w:val="28"/>
          <w:szCs w:val="28"/>
          <w:lang w:val="ro-MO"/>
        </w:rPr>
        <w:t xml:space="preserve">iilor locale vor fi determinate după aplicarea noului sistem, de nivelul </w:t>
      </w:r>
      <w:r>
        <w:rPr>
          <w:rFonts w:ascii="Times New Roman" w:hAnsi="Times New Roman" w:cs="Times New Roman"/>
          <w:sz w:val="28"/>
          <w:szCs w:val="28"/>
          <w:lang w:val="ro-MO"/>
        </w:rPr>
        <w:lastRenderedPageBreak/>
        <w:t>veniturilor ob</w:t>
      </w:r>
      <w:r w:rsidR="006F4B00">
        <w:rPr>
          <w:rFonts w:ascii="Times New Roman" w:hAnsi="Times New Roman" w:cs="Times New Roman"/>
          <w:sz w:val="28"/>
          <w:szCs w:val="28"/>
          <w:lang w:val="ro-MO"/>
        </w:rPr>
        <w:t>ţ</w:t>
      </w:r>
      <w:r>
        <w:rPr>
          <w:rFonts w:ascii="Times New Roman" w:hAnsi="Times New Roman" w:cs="Times New Roman"/>
          <w:sz w:val="28"/>
          <w:szCs w:val="28"/>
          <w:lang w:val="ro-MO"/>
        </w:rPr>
        <w:t xml:space="preserve">inute de fiecare UAT </w:t>
      </w:r>
      <w:r w:rsidR="006F4B00">
        <w:rPr>
          <w:rFonts w:ascii="Times New Roman" w:hAnsi="Times New Roman" w:cs="Times New Roman"/>
          <w:sz w:val="28"/>
          <w:szCs w:val="28"/>
          <w:lang w:val="ro-MO"/>
        </w:rPr>
        <w:t>ş</w:t>
      </w:r>
      <w:r>
        <w:rPr>
          <w:rFonts w:ascii="Times New Roman" w:hAnsi="Times New Roman" w:cs="Times New Roman"/>
          <w:sz w:val="28"/>
          <w:szCs w:val="28"/>
          <w:lang w:val="ro-MO"/>
        </w:rPr>
        <w:t xml:space="preserve">i nu de valoarea estimată la nivel central, ca în prezent (art. 10, alin.2 lit b) </w:t>
      </w:r>
      <w:r w:rsidR="006F4B00">
        <w:rPr>
          <w:rFonts w:ascii="Times New Roman" w:hAnsi="Times New Roman" w:cs="Times New Roman"/>
          <w:sz w:val="28"/>
          <w:szCs w:val="28"/>
          <w:lang w:val="ro-MO"/>
        </w:rPr>
        <w:t>ş</w:t>
      </w:r>
      <w:r>
        <w:rPr>
          <w:rFonts w:ascii="Times New Roman" w:hAnsi="Times New Roman" w:cs="Times New Roman"/>
          <w:sz w:val="28"/>
          <w:szCs w:val="28"/>
          <w:lang w:val="ro-MO"/>
        </w:rPr>
        <w:t>i c). Astfel</w:t>
      </w:r>
      <w:r w:rsidR="008859D0">
        <w:rPr>
          <w:rFonts w:ascii="Times New Roman" w:hAnsi="Times New Roman" w:cs="Times New Roman"/>
          <w:sz w:val="28"/>
          <w:szCs w:val="28"/>
          <w:lang w:val="ro-MO"/>
        </w:rPr>
        <w:t>,</w:t>
      </w:r>
      <w:r>
        <w:rPr>
          <w:rFonts w:ascii="Times New Roman" w:hAnsi="Times New Roman" w:cs="Times New Roman"/>
          <w:sz w:val="28"/>
          <w:szCs w:val="28"/>
          <w:lang w:val="ro-MO"/>
        </w:rPr>
        <w:t xml:space="preserve"> fiecare UAT va fi direct interesată să colecteze cât mai multe venituri pentru a putea cheltui </w:t>
      </w:r>
      <w:r w:rsidR="0089240D">
        <w:rPr>
          <w:rFonts w:ascii="Times New Roman" w:hAnsi="Times New Roman" w:cs="Times New Roman"/>
          <w:sz w:val="28"/>
          <w:szCs w:val="28"/>
          <w:lang w:val="ro-MO"/>
        </w:rPr>
        <w:t xml:space="preserve">mai mult </w:t>
      </w:r>
      <w:r>
        <w:rPr>
          <w:rFonts w:ascii="Times New Roman" w:hAnsi="Times New Roman" w:cs="Times New Roman"/>
          <w:sz w:val="28"/>
          <w:szCs w:val="28"/>
          <w:lang w:val="ro-MO"/>
        </w:rPr>
        <w:t>potrivit nevoilor sale specifice – în prezent acest stimulent nu func</w:t>
      </w:r>
      <w:r w:rsidR="006F4B00">
        <w:rPr>
          <w:rFonts w:ascii="Times New Roman" w:hAnsi="Times New Roman" w:cs="Times New Roman"/>
          <w:sz w:val="28"/>
          <w:szCs w:val="28"/>
          <w:lang w:val="ro-MO"/>
        </w:rPr>
        <w:t>ţ</w:t>
      </w:r>
      <w:r>
        <w:rPr>
          <w:rFonts w:ascii="Times New Roman" w:hAnsi="Times New Roman" w:cs="Times New Roman"/>
          <w:sz w:val="28"/>
          <w:szCs w:val="28"/>
          <w:lang w:val="ro-MO"/>
        </w:rPr>
        <w:t>ionează, cheltuielile efective la nivel de UAT fiind plafonate de ceea ce se nume</w:t>
      </w:r>
      <w:r w:rsidR="006F4B00">
        <w:rPr>
          <w:rFonts w:ascii="Times New Roman" w:hAnsi="Times New Roman" w:cs="Times New Roman"/>
          <w:sz w:val="28"/>
          <w:szCs w:val="28"/>
          <w:lang w:val="ro-MO"/>
        </w:rPr>
        <w:t>ş</w:t>
      </w:r>
      <w:r>
        <w:rPr>
          <w:rFonts w:ascii="Times New Roman" w:hAnsi="Times New Roman" w:cs="Times New Roman"/>
          <w:sz w:val="28"/>
          <w:szCs w:val="28"/>
          <w:lang w:val="ro-MO"/>
        </w:rPr>
        <w:t>te ”cheltuieli publice ce revin în medie pe un locuitor„</w:t>
      </w:r>
      <w:r w:rsidR="0089240D">
        <w:rPr>
          <w:rFonts w:ascii="Times New Roman" w:hAnsi="Times New Roman" w:cs="Times New Roman"/>
          <w:sz w:val="28"/>
          <w:szCs w:val="28"/>
          <w:lang w:val="ro-MO"/>
        </w:rPr>
        <w:t>, iar administra</w:t>
      </w:r>
      <w:r w:rsidR="006F4B00">
        <w:rPr>
          <w:rFonts w:ascii="Times New Roman" w:hAnsi="Times New Roman" w:cs="Times New Roman"/>
          <w:sz w:val="28"/>
          <w:szCs w:val="28"/>
          <w:lang w:val="ro-MO"/>
        </w:rPr>
        <w:t>ţ</w:t>
      </w:r>
      <w:r w:rsidR="0089240D">
        <w:rPr>
          <w:rFonts w:ascii="Times New Roman" w:hAnsi="Times New Roman" w:cs="Times New Roman"/>
          <w:sz w:val="28"/>
          <w:szCs w:val="28"/>
          <w:lang w:val="ro-MO"/>
        </w:rPr>
        <w:t>iile locale nu au nici un interes în cre</w:t>
      </w:r>
      <w:r w:rsidR="006F4B00">
        <w:rPr>
          <w:rFonts w:ascii="Times New Roman" w:hAnsi="Times New Roman" w:cs="Times New Roman"/>
          <w:sz w:val="28"/>
          <w:szCs w:val="28"/>
          <w:lang w:val="ro-MO"/>
        </w:rPr>
        <w:t>ş</w:t>
      </w:r>
      <w:r w:rsidR="0089240D">
        <w:rPr>
          <w:rFonts w:ascii="Times New Roman" w:hAnsi="Times New Roman" w:cs="Times New Roman"/>
          <w:sz w:val="28"/>
          <w:szCs w:val="28"/>
          <w:lang w:val="ro-MO"/>
        </w:rPr>
        <w:t>terea colectării veniturilor proprii</w:t>
      </w:r>
      <w:r>
        <w:rPr>
          <w:rFonts w:ascii="Times New Roman" w:hAnsi="Times New Roman" w:cs="Times New Roman"/>
          <w:sz w:val="28"/>
          <w:szCs w:val="28"/>
          <w:lang w:val="ro-MO"/>
        </w:rPr>
        <w:t>.</w:t>
      </w:r>
      <w:r w:rsidR="0089240D">
        <w:rPr>
          <w:rFonts w:ascii="Times New Roman" w:hAnsi="Times New Roman" w:cs="Times New Roman"/>
          <w:sz w:val="28"/>
          <w:szCs w:val="28"/>
          <w:lang w:val="ro-MO"/>
        </w:rPr>
        <w:t xml:space="preserve"> Dimpotrivă au interesul electoral să păstreze taxele </w:t>
      </w:r>
      <w:r w:rsidR="006F4B00">
        <w:rPr>
          <w:rFonts w:ascii="Times New Roman" w:hAnsi="Times New Roman" w:cs="Times New Roman"/>
          <w:sz w:val="28"/>
          <w:szCs w:val="28"/>
          <w:lang w:val="ro-MO"/>
        </w:rPr>
        <w:t>ş</w:t>
      </w:r>
      <w:r w:rsidR="0089240D">
        <w:rPr>
          <w:rFonts w:ascii="Times New Roman" w:hAnsi="Times New Roman" w:cs="Times New Roman"/>
          <w:sz w:val="28"/>
          <w:szCs w:val="28"/>
          <w:lang w:val="ro-MO"/>
        </w:rPr>
        <w:t>i impozitele locale cât mai mici sau chiar să nu le colecteze.</w:t>
      </w:r>
    </w:p>
    <w:p w:rsidR="00E4421E" w:rsidRDefault="0089240D">
      <w:pPr>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În al doilea rând</w:t>
      </w:r>
      <w:r w:rsidR="008859D0">
        <w:rPr>
          <w:rFonts w:ascii="Times New Roman" w:hAnsi="Times New Roman" w:cs="Times New Roman"/>
          <w:sz w:val="28"/>
          <w:szCs w:val="28"/>
          <w:lang w:val="ro-MO"/>
        </w:rPr>
        <w:t>,</w:t>
      </w:r>
      <w:r>
        <w:rPr>
          <w:rFonts w:ascii="Times New Roman" w:hAnsi="Times New Roman" w:cs="Times New Roman"/>
          <w:sz w:val="28"/>
          <w:szCs w:val="28"/>
          <w:lang w:val="ro-MO"/>
        </w:rPr>
        <w:t xml:space="preserve"> în calcularea indicatorului capacitate fiscală pe locuitor se utilizează numai veniturile din cota partajată din impozitul pe venit persoane fizice (IVPF), făcând abstrac</w:t>
      </w:r>
      <w:r w:rsidR="006F4B00">
        <w:rPr>
          <w:rFonts w:ascii="Times New Roman" w:hAnsi="Times New Roman" w:cs="Times New Roman"/>
          <w:sz w:val="28"/>
          <w:szCs w:val="28"/>
          <w:lang w:val="ro-MO"/>
        </w:rPr>
        <w:t>ţ</w:t>
      </w:r>
      <w:r>
        <w:rPr>
          <w:rFonts w:ascii="Times New Roman" w:hAnsi="Times New Roman" w:cs="Times New Roman"/>
          <w:sz w:val="28"/>
          <w:szCs w:val="28"/>
          <w:lang w:val="ro-MO"/>
        </w:rPr>
        <w:t xml:space="preserve">ie de veniturile proprii ale unei UAT. În acest fel colectarea mai bună a veniturilor proprii </w:t>
      </w:r>
      <w:r w:rsidR="008859D0">
        <w:rPr>
          <w:rFonts w:ascii="Times New Roman" w:hAnsi="Times New Roman" w:cs="Times New Roman"/>
          <w:sz w:val="28"/>
          <w:szCs w:val="28"/>
          <w:lang w:val="ro-MO"/>
        </w:rPr>
        <w:t>nu influen</w:t>
      </w:r>
      <w:r w:rsidR="006F4B00">
        <w:rPr>
          <w:rFonts w:ascii="Times New Roman" w:hAnsi="Times New Roman" w:cs="Times New Roman"/>
          <w:sz w:val="28"/>
          <w:szCs w:val="28"/>
          <w:lang w:val="ro-MO"/>
        </w:rPr>
        <w:t>ţ</w:t>
      </w:r>
      <w:r w:rsidR="008859D0">
        <w:rPr>
          <w:rFonts w:ascii="Times New Roman" w:hAnsi="Times New Roman" w:cs="Times New Roman"/>
          <w:sz w:val="28"/>
          <w:szCs w:val="28"/>
          <w:lang w:val="ro-MO"/>
        </w:rPr>
        <w:t xml:space="preserve">ează </w:t>
      </w:r>
      <w:r>
        <w:rPr>
          <w:rFonts w:ascii="Times New Roman" w:hAnsi="Times New Roman" w:cs="Times New Roman"/>
          <w:sz w:val="28"/>
          <w:szCs w:val="28"/>
          <w:lang w:val="ro-MO"/>
        </w:rPr>
        <w:t>sumele de echilibrare primite de un UAT, ceea ce reprezintă un alt stimulent important utilizare a bazei fiscale proprii.</w:t>
      </w:r>
    </w:p>
    <w:p w:rsidR="00E4421E" w:rsidRDefault="001B3CAA">
      <w:pPr>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p>
    <w:p w:rsidR="009F54EF" w:rsidRPr="00AD160F" w:rsidRDefault="00836AB3" w:rsidP="00FE172C">
      <w:pPr>
        <w:ind w:firstLine="567"/>
        <w:jc w:val="both"/>
        <w:rPr>
          <w:rFonts w:ascii="Times New Roman" w:hAnsi="Times New Roman" w:cs="Times New Roman"/>
          <w:b/>
          <w:sz w:val="28"/>
          <w:szCs w:val="28"/>
          <w:lang w:val="ro-MO"/>
        </w:rPr>
      </w:pPr>
      <w:r>
        <w:rPr>
          <w:rFonts w:ascii="Times New Roman" w:hAnsi="Times New Roman" w:cs="Times New Roman"/>
          <w:b/>
          <w:sz w:val="28"/>
          <w:szCs w:val="28"/>
          <w:lang w:val="ro-MO"/>
        </w:rPr>
        <w:t>IV.</w:t>
      </w:r>
      <w:r w:rsidR="00FE172C" w:rsidRPr="00AD160F">
        <w:rPr>
          <w:rFonts w:ascii="Times New Roman" w:hAnsi="Times New Roman" w:cs="Times New Roman"/>
          <w:b/>
          <w:sz w:val="28"/>
          <w:szCs w:val="28"/>
          <w:lang w:val="ro-MO"/>
        </w:rPr>
        <w:t xml:space="preserve"> Evaluarea i</w:t>
      </w:r>
      <w:r w:rsidR="009F54EF" w:rsidRPr="00AD160F">
        <w:rPr>
          <w:rFonts w:ascii="Times New Roman" w:hAnsi="Times New Roman" w:cs="Times New Roman"/>
          <w:b/>
          <w:sz w:val="28"/>
          <w:szCs w:val="28"/>
          <w:lang w:val="ro-MO"/>
        </w:rPr>
        <w:t>mpactului</w:t>
      </w:r>
    </w:p>
    <w:p w:rsidR="009F54EF" w:rsidRPr="00402130" w:rsidRDefault="009F54EF" w:rsidP="008B3768">
      <w:pPr>
        <w:jc w:val="both"/>
        <w:rPr>
          <w:rFonts w:ascii="Times New Roman" w:hAnsi="Times New Roman" w:cs="Times New Roman"/>
          <w:sz w:val="10"/>
          <w:szCs w:val="10"/>
          <w:lang w:val="ro-MO"/>
        </w:rPr>
      </w:pPr>
    </w:p>
    <w:p w:rsidR="00AA363A" w:rsidRPr="00AD160F" w:rsidRDefault="00573A70" w:rsidP="00FE172C">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Impactul tuturor acestor măsuri de politică publică va fi măsurat potrivit criteriilor de mai jos:</w:t>
      </w:r>
    </w:p>
    <w:p w:rsidR="00573A70" w:rsidRPr="00402130" w:rsidRDefault="00573A70" w:rsidP="008B3768">
      <w:pPr>
        <w:jc w:val="both"/>
        <w:rPr>
          <w:rFonts w:ascii="Times New Roman" w:hAnsi="Times New Roman" w:cs="Times New Roman"/>
          <w:b/>
          <w:color w:val="365F91"/>
          <w:sz w:val="10"/>
          <w:szCs w:val="10"/>
          <w:lang w:val="ro-MO"/>
        </w:rPr>
      </w:pPr>
    </w:p>
    <w:p w:rsidR="00573A70" w:rsidRPr="00AD160F" w:rsidRDefault="00F74A22" w:rsidP="008B3768">
      <w:pPr>
        <w:pStyle w:val="ListParagraph"/>
        <w:numPr>
          <w:ilvl w:val="0"/>
          <w:numId w:val="13"/>
        </w:numPr>
        <w:jc w:val="both"/>
        <w:rPr>
          <w:rFonts w:ascii="Times New Roman" w:hAnsi="Times New Roman" w:cs="Times New Roman"/>
          <w:b/>
          <w:color w:val="365F91"/>
          <w:sz w:val="28"/>
          <w:szCs w:val="28"/>
          <w:lang w:val="ro-MO"/>
        </w:rPr>
      </w:pPr>
      <w:r w:rsidRPr="00AD160F">
        <w:rPr>
          <w:rFonts w:ascii="Times New Roman" w:hAnsi="Times New Roman" w:cs="Times New Roman"/>
          <w:b/>
          <w:sz w:val="28"/>
          <w:szCs w:val="28"/>
          <w:lang w:val="ro-MO"/>
        </w:rPr>
        <w:t>Criterii c</w:t>
      </w:r>
      <w:r w:rsidR="00573A70" w:rsidRPr="00AD160F">
        <w:rPr>
          <w:rFonts w:ascii="Times New Roman" w:hAnsi="Times New Roman" w:cs="Times New Roman"/>
          <w:b/>
          <w:sz w:val="28"/>
          <w:szCs w:val="28"/>
          <w:lang w:val="ro-MO"/>
        </w:rPr>
        <w:t>alitative</w:t>
      </w:r>
      <w:r w:rsidRPr="00AD160F">
        <w:rPr>
          <w:rFonts w:ascii="Times New Roman" w:hAnsi="Times New Roman" w:cs="Times New Roman"/>
          <w:b/>
          <w:sz w:val="28"/>
          <w:szCs w:val="28"/>
          <w:lang w:val="ro-MO"/>
        </w:rPr>
        <w:t>:</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Crearea de stimulente pentru consolidarea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dezvoltarea bazei de venituri proprii a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iei publice locale;</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Predictibilitatea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stabilitatea sistemului;</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Transparen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ă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responsabilitate;</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Simplitate;</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Consolidarea autonomiei financiare a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iei publice locale ca principal instrument de dezvoltare al democra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iei locale;</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Sprijinirea dezvoltării economice locale;</w:t>
      </w:r>
    </w:p>
    <w:p w:rsidR="00573A70" w:rsidRPr="00AD160F" w:rsidRDefault="00573A70" w:rsidP="00402130">
      <w:pPr>
        <w:numPr>
          <w:ilvl w:val="0"/>
          <w:numId w:val="10"/>
        </w:numPr>
        <w:tabs>
          <w:tab w:val="left" w:pos="567"/>
          <w:tab w:val="left" w:pos="851"/>
        </w:tabs>
        <w:ind w:left="0"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Păstrarea stabilită</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ii macro-economice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 xml:space="preserve">i eficacitatea instrumentelor de politică fiscală anti-ciclică.  </w:t>
      </w:r>
    </w:p>
    <w:p w:rsidR="00573A70" w:rsidRPr="00402130" w:rsidRDefault="00573A70" w:rsidP="008B3768">
      <w:pPr>
        <w:jc w:val="both"/>
        <w:rPr>
          <w:rFonts w:ascii="Times New Roman" w:hAnsi="Times New Roman" w:cs="Times New Roman"/>
          <w:b/>
          <w:color w:val="365F91"/>
          <w:sz w:val="10"/>
          <w:szCs w:val="10"/>
          <w:lang w:val="ro-MO"/>
        </w:rPr>
      </w:pPr>
    </w:p>
    <w:p w:rsidR="006221EE" w:rsidRDefault="006221EE" w:rsidP="00F74A22">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 xml:space="preserve">Evaluarea impactului (pozitiv sau negativ) potrivit criteriilor calitative s-a făcut prin analiza multi-criterială, existând 4 praguri/nivele pozitive sau negative: impact (pozitiv/negativ) scăzut (Sz = +/- 1), impact (pozitiv/negativ) mediu (M = +/- 2), impact (pozitiv/negativ) semnificativ (Sf = +/- 3)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impact (pozitiv/negativ) ridicat (R = +/- 4). Rezultatul final al evaluării impactului modificărilor propuse la legea finan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elor publice locale este:</w:t>
      </w:r>
    </w:p>
    <w:p w:rsidR="00E106F9" w:rsidRDefault="00E106F9" w:rsidP="00F74A22">
      <w:pPr>
        <w:ind w:firstLine="567"/>
        <w:jc w:val="both"/>
        <w:rPr>
          <w:rFonts w:ascii="Times New Roman" w:hAnsi="Times New Roman" w:cs="Times New Roman"/>
          <w:sz w:val="28"/>
          <w:szCs w:val="28"/>
          <w:lang w:val="ro-MO"/>
        </w:rPr>
      </w:pPr>
    </w:p>
    <w:p w:rsidR="00E4421E" w:rsidRDefault="00C4138F" w:rsidP="00C07DCA">
      <w:pPr>
        <w:jc w:val="center"/>
        <w:rPr>
          <w:rFonts w:ascii="Times New Roman" w:hAnsi="Times New Roman" w:cs="Times New Roman"/>
          <w:sz w:val="28"/>
          <w:szCs w:val="28"/>
          <w:lang w:val="ro-MO"/>
        </w:rPr>
      </w:pPr>
      <w:r w:rsidRPr="00AD160F">
        <w:rPr>
          <w:rFonts w:ascii="Times New Roman" w:hAnsi="Times New Roman" w:cs="Times New Roman"/>
          <w:sz w:val="28"/>
          <w:szCs w:val="28"/>
          <w:lang w:val="ro-MO"/>
        </w:rPr>
        <w:t>Tabel</w:t>
      </w:r>
      <w:r w:rsidR="00800A12">
        <w:rPr>
          <w:rFonts w:ascii="Times New Roman" w:hAnsi="Times New Roman" w:cs="Times New Roman"/>
          <w:sz w:val="28"/>
          <w:szCs w:val="28"/>
          <w:lang w:val="ro-MO"/>
        </w:rPr>
        <w:t>ul</w:t>
      </w:r>
      <w:r w:rsidRPr="00AD160F">
        <w:rPr>
          <w:rFonts w:ascii="Times New Roman" w:hAnsi="Times New Roman" w:cs="Times New Roman"/>
          <w:sz w:val="28"/>
          <w:szCs w:val="28"/>
          <w:lang w:val="ro-MO"/>
        </w:rPr>
        <w:t xml:space="preserve"> 4</w:t>
      </w:r>
      <w:r w:rsidR="00194687">
        <w:rPr>
          <w:rFonts w:ascii="Times New Roman" w:hAnsi="Times New Roman" w:cs="Times New Roman"/>
          <w:sz w:val="28"/>
          <w:szCs w:val="28"/>
          <w:lang w:val="ro-MO"/>
        </w:rPr>
        <w:t>. E</w:t>
      </w:r>
      <w:r w:rsidR="00B90DCD">
        <w:rPr>
          <w:rFonts w:ascii="Times New Roman" w:hAnsi="Times New Roman" w:cs="Times New Roman"/>
          <w:sz w:val="28"/>
          <w:szCs w:val="28"/>
          <w:lang w:val="ro-MO"/>
        </w:rPr>
        <w:t xml:space="preserve">valuarea </w:t>
      </w:r>
      <w:r w:rsidR="00EF269B">
        <w:rPr>
          <w:rFonts w:ascii="Times New Roman" w:hAnsi="Times New Roman" w:cs="Times New Roman"/>
          <w:sz w:val="28"/>
          <w:szCs w:val="28"/>
          <w:lang w:val="ro-MO"/>
        </w:rPr>
        <w:t>i</w:t>
      </w:r>
      <w:r w:rsidR="00B90DCD">
        <w:rPr>
          <w:rFonts w:ascii="Times New Roman" w:hAnsi="Times New Roman" w:cs="Times New Roman"/>
          <w:sz w:val="28"/>
          <w:szCs w:val="28"/>
          <w:lang w:val="ro-MO"/>
        </w:rPr>
        <w:t>mpactului</w:t>
      </w:r>
      <w:r w:rsidR="00800A12">
        <w:rPr>
          <w:rFonts w:ascii="Times New Roman" w:hAnsi="Times New Roman" w:cs="Times New Roman"/>
          <w:sz w:val="28"/>
          <w:szCs w:val="28"/>
          <w:lang w:val="ro-MO"/>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4558"/>
      </w:tblGrid>
      <w:tr w:rsidR="006221EE" w:rsidRPr="00AD160F" w:rsidTr="00FE172C">
        <w:tc>
          <w:tcPr>
            <w:tcW w:w="4798" w:type="dxa"/>
            <w:shd w:val="clear" w:color="auto" w:fill="auto"/>
          </w:tcPr>
          <w:p w:rsidR="006221EE" w:rsidRPr="00AD160F" w:rsidRDefault="006221EE" w:rsidP="00B338EE">
            <w:pPr>
              <w:pStyle w:val="NormalWeb"/>
              <w:ind w:firstLine="0"/>
              <w:jc w:val="center"/>
              <w:rPr>
                <w:rFonts w:ascii="Times New Roman" w:hAnsi="Times New Roman"/>
                <w:b/>
                <w:sz w:val="28"/>
                <w:szCs w:val="28"/>
                <w:lang w:val="ro-MO"/>
              </w:rPr>
            </w:pPr>
            <w:r w:rsidRPr="00AD160F">
              <w:rPr>
                <w:rFonts w:ascii="Times New Roman" w:hAnsi="Times New Roman"/>
                <w:b/>
                <w:sz w:val="28"/>
                <w:szCs w:val="28"/>
                <w:lang w:val="ro-MO"/>
              </w:rPr>
              <w:t>Indicator</w:t>
            </w:r>
          </w:p>
        </w:tc>
        <w:tc>
          <w:tcPr>
            <w:tcW w:w="4558" w:type="dxa"/>
            <w:shd w:val="clear" w:color="auto" w:fill="auto"/>
          </w:tcPr>
          <w:p w:rsidR="006221EE" w:rsidRDefault="006221EE" w:rsidP="00B338EE">
            <w:pPr>
              <w:pStyle w:val="NormalWeb"/>
              <w:ind w:firstLine="0"/>
              <w:jc w:val="center"/>
              <w:rPr>
                <w:rFonts w:ascii="Times New Roman" w:hAnsi="Times New Roman"/>
                <w:b/>
                <w:sz w:val="28"/>
                <w:szCs w:val="28"/>
                <w:lang w:val="ro-MO"/>
              </w:rPr>
            </w:pPr>
            <w:r w:rsidRPr="00AD160F">
              <w:rPr>
                <w:rFonts w:ascii="Times New Roman" w:hAnsi="Times New Roman"/>
                <w:b/>
                <w:sz w:val="28"/>
                <w:szCs w:val="28"/>
                <w:lang w:val="ro-MO"/>
              </w:rPr>
              <w:t xml:space="preserve">Impactul </w:t>
            </w:r>
            <w:r w:rsidR="002506AC">
              <w:rPr>
                <w:rFonts w:ascii="Times New Roman" w:hAnsi="Times New Roman"/>
                <w:b/>
                <w:sz w:val="28"/>
                <w:szCs w:val="28"/>
                <w:lang w:val="ro-MO"/>
              </w:rPr>
              <w:t>e</w:t>
            </w:r>
            <w:r w:rsidRPr="00AD160F">
              <w:rPr>
                <w:rFonts w:ascii="Times New Roman" w:hAnsi="Times New Roman"/>
                <w:b/>
                <w:sz w:val="28"/>
                <w:szCs w:val="28"/>
                <w:lang w:val="ro-MO"/>
              </w:rPr>
              <w:t>valuat</w:t>
            </w:r>
          </w:p>
          <w:p w:rsidR="00B338EE" w:rsidRPr="00AD160F" w:rsidRDefault="00B338EE" w:rsidP="00B338EE">
            <w:pPr>
              <w:pStyle w:val="NormalWeb"/>
              <w:ind w:firstLine="0"/>
              <w:jc w:val="center"/>
              <w:rPr>
                <w:rFonts w:ascii="Times New Roman" w:hAnsi="Times New Roman"/>
                <w:b/>
                <w:sz w:val="28"/>
                <w:szCs w:val="28"/>
                <w:lang w:val="ro-MO"/>
              </w:rPr>
            </w:pPr>
          </w:p>
        </w:tc>
      </w:tr>
      <w:tr w:rsidR="006221EE" w:rsidRPr="00AD160F" w:rsidTr="00FE172C">
        <w:tc>
          <w:tcPr>
            <w:tcW w:w="4798" w:type="dxa"/>
            <w:shd w:val="clear" w:color="auto" w:fill="auto"/>
          </w:tcPr>
          <w:p w:rsidR="006221EE" w:rsidRPr="00AD160F" w:rsidRDefault="006221EE"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 xml:space="preserve">Crearea de stimulente pentru consolidarea </w:t>
            </w:r>
            <w:r w:rsidR="006F4B00">
              <w:rPr>
                <w:rFonts w:ascii="Times New Roman" w:hAnsi="Times New Roman"/>
                <w:sz w:val="28"/>
                <w:szCs w:val="28"/>
                <w:lang w:val="ro-MO"/>
              </w:rPr>
              <w:t>ş</w:t>
            </w:r>
            <w:r w:rsidRPr="00AD160F">
              <w:rPr>
                <w:rFonts w:ascii="Times New Roman" w:hAnsi="Times New Roman"/>
                <w:sz w:val="28"/>
                <w:szCs w:val="28"/>
                <w:lang w:val="ro-MO"/>
              </w:rPr>
              <w:t>i dezvoltarea bazei de venituri proprii a administra</w:t>
            </w:r>
            <w:r w:rsidR="006F4B00">
              <w:rPr>
                <w:rFonts w:ascii="Times New Roman" w:hAnsi="Times New Roman"/>
                <w:sz w:val="28"/>
                <w:szCs w:val="28"/>
                <w:lang w:val="ro-MO"/>
              </w:rPr>
              <w:t>ţ</w:t>
            </w:r>
            <w:r w:rsidRPr="00AD160F">
              <w:rPr>
                <w:rFonts w:ascii="Times New Roman" w:hAnsi="Times New Roman"/>
                <w:sz w:val="28"/>
                <w:szCs w:val="28"/>
                <w:lang w:val="ro-MO"/>
              </w:rPr>
              <w:t xml:space="preserve">iei publice </w:t>
            </w:r>
            <w:bookmarkStart w:id="0" w:name="_GoBack"/>
            <w:bookmarkEnd w:id="0"/>
            <w:r w:rsidRPr="00AD160F">
              <w:rPr>
                <w:rFonts w:ascii="Times New Roman" w:hAnsi="Times New Roman"/>
                <w:sz w:val="28"/>
                <w:szCs w:val="28"/>
                <w:lang w:val="ro-MO"/>
              </w:rPr>
              <w:t>locale</w:t>
            </w:r>
          </w:p>
        </w:tc>
        <w:tc>
          <w:tcPr>
            <w:tcW w:w="4558" w:type="dxa"/>
            <w:shd w:val="clear" w:color="auto" w:fill="auto"/>
          </w:tcPr>
          <w:p w:rsidR="006221EE" w:rsidRPr="002506AC" w:rsidRDefault="006221EE" w:rsidP="008B3768">
            <w:pPr>
              <w:pStyle w:val="NormalWeb"/>
              <w:ind w:firstLine="0"/>
              <w:rPr>
                <w:rFonts w:ascii="Times New Roman" w:hAnsi="Times New Roman"/>
                <w:sz w:val="28"/>
                <w:szCs w:val="28"/>
                <w:lang w:val="ro-MO"/>
              </w:rPr>
            </w:pPr>
            <w:r w:rsidRPr="002506AC">
              <w:rPr>
                <w:rFonts w:ascii="Times New Roman" w:hAnsi="Times New Roman"/>
                <w:sz w:val="28"/>
                <w:szCs w:val="28"/>
                <w:lang w:val="ro-MO"/>
              </w:rPr>
              <w:t>Ridicat - R pozitiv = 4</w:t>
            </w:r>
          </w:p>
        </w:tc>
      </w:tr>
      <w:tr w:rsidR="006221EE" w:rsidRPr="00AD160F" w:rsidTr="00FE172C">
        <w:tc>
          <w:tcPr>
            <w:tcW w:w="4798" w:type="dxa"/>
            <w:shd w:val="clear" w:color="auto" w:fill="auto"/>
          </w:tcPr>
          <w:p w:rsidR="006221EE" w:rsidRPr="00AD160F" w:rsidRDefault="006221EE"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 xml:space="preserve">Predictibilitatea </w:t>
            </w:r>
            <w:r w:rsidR="006F4B00">
              <w:rPr>
                <w:rFonts w:ascii="Times New Roman" w:hAnsi="Times New Roman"/>
                <w:sz w:val="28"/>
                <w:szCs w:val="28"/>
                <w:lang w:val="ro-MO"/>
              </w:rPr>
              <w:t>ş</w:t>
            </w:r>
            <w:r w:rsidRPr="00AD160F">
              <w:rPr>
                <w:rFonts w:ascii="Times New Roman" w:hAnsi="Times New Roman"/>
                <w:sz w:val="28"/>
                <w:szCs w:val="28"/>
                <w:lang w:val="ro-MO"/>
              </w:rPr>
              <w:t>i stabilitatea sistemului</w:t>
            </w:r>
          </w:p>
        </w:tc>
        <w:tc>
          <w:tcPr>
            <w:tcW w:w="4558" w:type="dxa"/>
            <w:shd w:val="clear" w:color="auto" w:fill="auto"/>
          </w:tcPr>
          <w:p w:rsidR="006221EE" w:rsidRPr="002506AC" w:rsidRDefault="006221EE" w:rsidP="008B3768">
            <w:pPr>
              <w:pStyle w:val="NormalWeb"/>
              <w:ind w:firstLine="0"/>
              <w:rPr>
                <w:rFonts w:ascii="Times New Roman" w:hAnsi="Times New Roman"/>
                <w:sz w:val="28"/>
                <w:szCs w:val="28"/>
                <w:lang w:val="ro-MO"/>
              </w:rPr>
            </w:pPr>
            <w:r w:rsidRPr="002506AC">
              <w:rPr>
                <w:rFonts w:ascii="Times New Roman" w:hAnsi="Times New Roman"/>
                <w:sz w:val="28"/>
                <w:szCs w:val="28"/>
                <w:lang w:val="ro-MO"/>
              </w:rPr>
              <w:t>Ridicat – R pozitiv = 4</w:t>
            </w:r>
          </w:p>
        </w:tc>
      </w:tr>
      <w:tr w:rsidR="006221EE" w:rsidRPr="00AD160F" w:rsidTr="00FE172C">
        <w:tc>
          <w:tcPr>
            <w:tcW w:w="4798" w:type="dxa"/>
            <w:shd w:val="clear" w:color="auto" w:fill="auto"/>
          </w:tcPr>
          <w:p w:rsidR="006221EE" w:rsidRPr="00AD160F" w:rsidRDefault="006221EE"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Transparen</w:t>
            </w:r>
            <w:r w:rsidR="006F4B00">
              <w:rPr>
                <w:rFonts w:ascii="Times New Roman" w:hAnsi="Times New Roman"/>
                <w:sz w:val="28"/>
                <w:szCs w:val="28"/>
                <w:lang w:val="ro-MO"/>
              </w:rPr>
              <w:t>ţ</w:t>
            </w:r>
            <w:r w:rsidRPr="00AD160F">
              <w:rPr>
                <w:rFonts w:ascii="Times New Roman" w:hAnsi="Times New Roman"/>
                <w:sz w:val="28"/>
                <w:szCs w:val="28"/>
                <w:lang w:val="ro-MO"/>
              </w:rPr>
              <w:t xml:space="preserve">ă </w:t>
            </w:r>
            <w:r w:rsidR="006F4B00">
              <w:rPr>
                <w:rFonts w:ascii="Times New Roman" w:hAnsi="Times New Roman"/>
                <w:sz w:val="28"/>
                <w:szCs w:val="28"/>
                <w:lang w:val="ro-MO"/>
              </w:rPr>
              <w:t>ş</w:t>
            </w:r>
            <w:r w:rsidRPr="00AD160F">
              <w:rPr>
                <w:rFonts w:ascii="Times New Roman" w:hAnsi="Times New Roman"/>
                <w:sz w:val="28"/>
                <w:szCs w:val="28"/>
                <w:lang w:val="ro-MO"/>
              </w:rPr>
              <w:t>i responsabilitate</w:t>
            </w:r>
          </w:p>
        </w:tc>
        <w:tc>
          <w:tcPr>
            <w:tcW w:w="4558" w:type="dxa"/>
            <w:shd w:val="clear" w:color="auto" w:fill="auto"/>
          </w:tcPr>
          <w:p w:rsidR="006221EE" w:rsidRPr="002506AC" w:rsidRDefault="006221EE" w:rsidP="008B3768">
            <w:pPr>
              <w:pStyle w:val="NormalWeb"/>
              <w:ind w:firstLine="0"/>
              <w:rPr>
                <w:rFonts w:ascii="Times New Roman" w:hAnsi="Times New Roman"/>
                <w:sz w:val="28"/>
                <w:szCs w:val="28"/>
                <w:lang w:val="ro-MO"/>
              </w:rPr>
            </w:pPr>
            <w:r w:rsidRPr="002506AC">
              <w:rPr>
                <w:rFonts w:ascii="Times New Roman" w:hAnsi="Times New Roman"/>
                <w:sz w:val="28"/>
                <w:szCs w:val="28"/>
                <w:lang w:val="ro-MO"/>
              </w:rPr>
              <w:t>Semnificativ – Sf pozitiv = 3</w:t>
            </w:r>
          </w:p>
        </w:tc>
      </w:tr>
      <w:tr w:rsidR="006221EE" w:rsidRPr="00AD160F" w:rsidTr="00FE172C">
        <w:tc>
          <w:tcPr>
            <w:tcW w:w="4798" w:type="dxa"/>
            <w:shd w:val="clear" w:color="auto" w:fill="auto"/>
          </w:tcPr>
          <w:p w:rsidR="006221EE" w:rsidRPr="00194687" w:rsidRDefault="006221EE" w:rsidP="00194687">
            <w:pPr>
              <w:pStyle w:val="NormalWeb"/>
              <w:ind w:firstLine="0"/>
              <w:rPr>
                <w:rFonts w:ascii="Times New Roman" w:hAnsi="Times New Roman"/>
                <w:sz w:val="28"/>
                <w:szCs w:val="28"/>
                <w:lang w:val="ro-MO"/>
              </w:rPr>
            </w:pPr>
            <w:r w:rsidRPr="00194687">
              <w:rPr>
                <w:rFonts w:ascii="Times New Roman" w:hAnsi="Times New Roman"/>
                <w:sz w:val="28"/>
                <w:szCs w:val="28"/>
                <w:lang w:val="ro-MO"/>
              </w:rPr>
              <w:lastRenderedPageBreak/>
              <w:t>Simplitate</w:t>
            </w:r>
          </w:p>
        </w:tc>
        <w:tc>
          <w:tcPr>
            <w:tcW w:w="4558" w:type="dxa"/>
            <w:shd w:val="clear" w:color="auto" w:fill="auto"/>
          </w:tcPr>
          <w:p w:rsidR="006221EE" w:rsidRPr="00194687" w:rsidRDefault="00194687" w:rsidP="00EF269B">
            <w:pPr>
              <w:pStyle w:val="NormalWeb"/>
              <w:ind w:firstLine="0"/>
              <w:rPr>
                <w:rFonts w:ascii="Times New Roman" w:hAnsi="Times New Roman"/>
                <w:sz w:val="28"/>
                <w:szCs w:val="28"/>
                <w:lang w:val="ro-MO"/>
              </w:rPr>
            </w:pPr>
            <w:r>
              <w:rPr>
                <w:rFonts w:ascii="Times New Roman" w:hAnsi="Times New Roman"/>
                <w:sz w:val="28"/>
                <w:szCs w:val="28"/>
                <w:lang w:val="ro-MO"/>
              </w:rPr>
              <w:t>S</w:t>
            </w:r>
            <w:r w:rsidR="006221EE" w:rsidRPr="00194687">
              <w:rPr>
                <w:rFonts w:ascii="Times New Roman" w:hAnsi="Times New Roman"/>
                <w:sz w:val="28"/>
                <w:szCs w:val="28"/>
                <w:lang w:val="ro-MO"/>
              </w:rPr>
              <w:t xml:space="preserve">căzut – Sz </w:t>
            </w:r>
            <w:r w:rsidR="00EF269B">
              <w:rPr>
                <w:rFonts w:ascii="Times New Roman" w:hAnsi="Times New Roman"/>
                <w:sz w:val="28"/>
                <w:szCs w:val="28"/>
                <w:lang w:val="ro-MO"/>
              </w:rPr>
              <w:t>pozitiv =</w:t>
            </w:r>
            <w:r w:rsidR="006221EE" w:rsidRPr="00194687">
              <w:rPr>
                <w:rFonts w:ascii="Times New Roman" w:hAnsi="Times New Roman"/>
                <w:sz w:val="28"/>
                <w:szCs w:val="28"/>
                <w:lang w:val="ro-MO"/>
              </w:rPr>
              <w:t xml:space="preserve"> 1 </w:t>
            </w:r>
          </w:p>
        </w:tc>
      </w:tr>
      <w:tr w:rsidR="00B338EE" w:rsidRPr="00AD160F" w:rsidTr="00FE172C">
        <w:tc>
          <w:tcPr>
            <w:tcW w:w="4798" w:type="dxa"/>
            <w:shd w:val="clear" w:color="auto" w:fill="auto"/>
          </w:tcPr>
          <w:p w:rsidR="00B338EE" w:rsidRPr="00AD160F" w:rsidRDefault="00B338EE"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Consolidarea autonomiei financiare a administra</w:t>
            </w:r>
            <w:r w:rsidR="006F4B00">
              <w:rPr>
                <w:rFonts w:ascii="Times New Roman" w:hAnsi="Times New Roman"/>
                <w:sz w:val="28"/>
                <w:szCs w:val="28"/>
                <w:lang w:val="ro-MO"/>
              </w:rPr>
              <w:t>ţ</w:t>
            </w:r>
            <w:r w:rsidRPr="00AD160F">
              <w:rPr>
                <w:rFonts w:ascii="Times New Roman" w:hAnsi="Times New Roman"/>
                <w:sz w:val="28"/>
                <w:szCs w:val="28"/>
                <w:lang w:val="ro-MO"/>
              </w:rPr>
              <w:t>iei publice locale ca principal instrument de dezvoltare al democra</w:t>
            </w:r>
            <w:r w:rsidR="006F4B00">
              <w:rPr>
                <w:rFonts w:ascii="Times New Roman" w:hAnsi="Times New Roman"/>
                <w:sz w:val="28"/>
                <w:szCs w:val="28"/>
                <w:lang w:val="ro-MO"/>
              </w:rPr>
              <w:t>ţ</w:t>
            </w:r>
            <w:r w:rsidRPr="00AD160F">
              <w:rPr>
                <w:rFonts w:ascii="Times New Roman" w:hAnsi="Times New Roman"/>
                <w:sz w:val="28"/>
                <w:szCs w:val="28"/>
                <w:lang w:val="ro-MO"/>
              </w:rPr>
              <w:t>iei locale</w:t>
            </w:r>
          </w:p>
        </w:tc>
        <w:tc>
          <w:tcPr>
            <w:tcW w:w="4558" w:type="dxa"/>
            <w:shd w:val="clear" w:color="auto" w:fill="auto"/>
          </w:tcPr>
          <w:p w:rsidR="00B338EE" w:rsidRPr="002506AC" w:rsidRDefault="00B338EE" w:rsidP="008B3768">
            <w:pPr>
              <w:pStyle w:val="NormalWeb"/>
              <w:ind w:firstLine="0"/>
              <w:rPr>
                <w:rFonts w:ascii="Times New Roman" w:hAnsi="Times New Roman"/>
                <w:sz w:val="28"/>
                <w:szCs w:val="28"/>
                <w:lang w:val="ro-MO"/>
              </w:rPr>
            </w:pPr>
            <w:r w:rsidRPr="002506AC">
              <w:rPr>
                <w:rFonts w:ascii="Times New Roman" w:hAnsi="Times New Roman"/>
                <w:sz w:val="28"/>
                <w:szCs w:val="28"/>
                <w:lang w:val="ro-MO"/>
              </w:rPr>
              <w:t>Ridicat – R pozitiv = 4</w:t>
            </w:r>
          </w:p>
        </w:tc>
      </w:tr>
      <w:tr w:rsidR="00B338EE" w:rsidRPr="00AD160F" w:rsidTr="00FE172C">
        <w:tc>
          <w:tcPr>
            <w:tcW w:w="4798" w:type="dxa"/>
            <w:shd w:val="clear" w:color="auto" w:fill="auto"/>
          </w:tcPr>
          <w:p w:rsidR="00B338EE" w:rsidRPr="00AD160F" w:rsidRDefault="00B338EE"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Sprijinirea dezvoltării economice locale</w:t>
            </w:r>
          </w:p>
        </w:tc>
        <w:tc>
          <w:tcPr>
            <w:tcW w:w="4558" w:type="dxa"/>
            <w:shd w:val="clear" w:color="auto" w:fill="auto"/>
          </w:tcPr>
          <w:p w:rsidR="00B338EE" w:rsidRPr="002506AC" w:rsidRDefault="00B338EE" w:rsidP="008B3768">
            <w:pPr>
              <w:pStyle w:val="NormalWeb"/>
              <w:ind w:firstLine="0"/>
              <w:rPr>
                <w:rFonts w:ascii="Times New Roman" w:hAnsi="Times New Roman"/>
                <w:sz w:val="28"/>
                <w:szCs w:val="28"/>
                <w:lang w:val="ro-MO"/>
              </w:rPr>
            </w:pPr>
            <w:r w:rsidRPr="002506AC">
              <w:rPr>
                <w:rFonts w:ascii="Times New Roman" w:hAnsi="Times New Roman"/>
                <w:sz w:val="28"/>
                <w:szCs w:val="28"/>
                <w:lang w:val="ro-MO"/>
              </w:rPr>
              <w:t>Semnificativ – Sf pozitiv = 3</w:t>
            </w:r>
          </w:p>
        </w:tc>
      </w:tr>
      <w:tr w:rsidR="00B338EE" w:rsidRPr="00AD160F" w:rsidTr="00FE172C">
        <w:tc>
          <w:tcPr>
            <w:tcW w:w="4798" w:type="dxa"/>
            <w:shd w:val="clear" w:color="auto" w:fill="auto"/>
          </w:tcPr>
          <w:p w:rsidR="00B338EE" w:rsidRPr="00AD160F" w:rsidRDefault="00B338EE"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Păstrarea stabilită</w:t>
            </w:r>
            <w:r w:rsidR="006F4B00">
              <w:rPr>
                <w:rFonts w:ascii="Times New Roman" w:hAnsi="Times New Roman"/>
                <w:sz w:val="28"/>
                <w:szCs w:val="28"/>
                <w:lang w:val="ro-MO"/>
              </w:rPr>
              <w:t>ţ</w:t>
            </w:r>
            <w:r w:rsidRPr="00AD160F">
              <w:rPr>
                <w:rFonts w:ascii="Times New Roman" w:hAnsi="Times New Roman"/>
                <w:sz w:val="28"/>
                <w:szCs w:val="28"/>
                <w:lang w:val="ro-MO"/>
              </w:rPr>
              <w:t xml:space="preserve">ii macro-economice </w:t>
            </w:r>
            <w:r w:rsidR="006F4B00">
              <w:rPr>
                <w:rFonts w:ascii="Times New Roman" w:hAnsi="Times New Roman"/>
                <w:sz w:val="28"/>
                <w:szCs w:val="28"/>
                <w:lang w:val="ro-MO"/>
              </w:rPr>
              <w:t>ş</w:t>
            </w:r>
            <w:r w:rsidRPr="00AD160F">
              <w:rPr>
                <w:rFonts w:ascii="Times New Roman" w:hAnsi="Times New Roman"/>
                <w:sz w:val="28"/>
                <w:szCs w:val="28"/>
                <w:lang w:val="ro-MO"/>
              </w:rPr>
              <w:t>i eficacitatea instrumentelor de politică fiscală anti-ciclică</w:t>
            </w:r>
          </w:p>
        </w:tc>
        <w:tc>
          <w:tcPr>
            <w:tcW w:w="4558" w:type="dxa"/>
            <w:shd w:val="clear" w:color="auto" w:fill="auto"/>
          </w:tcPr>
          <w:p w:rsidR="00B338EE" w:rsidRPr="002506AC" w:rsidRDefault="00B338EE" w:rsidP="008B3768">
            <w:pPr>
              <w:pStyle w:val="NormalWeb"/>
              <w:ind w:firstLine="0"/>
              <w:rPr>
                <w:rFonts w:ascii="Times New Roman" w:hAnsi="Times New Roman"/>
                <w:sz w:val="28"/>
                <w:szCs w:val="28"/>
                <w:lang w:val="ro-MO"/>
              </w:rPr>
            </w:pPr>
            <w:r w:rsidRPr="002506AC">
              <w:rPr>
                <w:rFonts w:ascii="Times New Roman" w:hAnsi="Times New Roman"/>
                <w:sz w:val="28"/>
                <w:szCs w:val="28"/>
                <w:lang w:val="ro-MO"/>
              </w:rPr>
              <w:t>Ridicat – R pozitiv = 4</w:t>
            </w:r>
          </w:p>
        </w:tc>
      </w:tr>
      <w:tr w:rsidR="00B338EE" w:rsidRPr="002506AC" w:rsidTr="00FE172C">
        <w:tc>
          <w:tcPr>
            <w:tcW w:w="4798" w:type="dxa"/>
            <w:shd w:val="clear" w:color="auto" w:fill="auto"/>
          </w:tcPr>
          <w:p w:rsidR="00B338EE" w:rsidRPr="002506AC" w:rsidRDefault="00B338EE" w:rsidP="008B3768">
            <w:pPr>
              <w:pStyle w:val="NormalWeb"/>
              <w:ind w:firstLine="0"/>
              <w:rPr>
                <w:rFonts w:ascii="Times New Roman" w:hAnsi="Times New Roman"/>
                <w:b/>
                <w:sz w:val="28"/>
                <w:szCs w:val="28"/>
                <w:lang w:val="ro-MO"/>
              </w:rPr>
            </w:pPr>
            <w:r w:rsidRPr="002506AC">
              <w:rPr>
                <w:rFonts w:ascii="Times New Roman" w:hAnsi="Times New Roman"/>
                <w:b/>
                <w:sz w:val="28"/>
                <w:szCs w:val="28"/>
                <w:lang w:val="ro-MO"/>
              </w:rPr>
              <w:t>Total Scor Ob</w:t>
            </w:r>
            <w:r w:rsidR="006F4B00">
              <w:rPr>
                <w:rFonts w:ascii="Times New Roman" w:hAnsi="Times New Roman"/>
                <w:b/>
                <w:sz w:val="28"/>
                <w:szCs w:val="28"/>
                <w:lang w:val="ro-MO"/>
              </w:rPr>
              <w:t>ţ</w:t>
            </w:r>
            <w:r w:rsidRPr="002506AC">
              <w:rPr>
                <w:rFonts w:ascii="Times New Roman" w:hAnsi="Times New Roman"/>
                <w:b/>
                <w:sz w:val="28"/>
                <w:szCs w:val="28"/>
                <w:lang w:val="ro-MO"/>
              </w:rPr>
              <w:t>inut/Medie</w:t>
            </w:r>
          </w:p>
        </w:tc>
        <w:tc>
          <w:tcPr>
            <w:tcW w:w="4558" w:type="dxa"/>
            <w:shd w:val="clear" w:color="auto" w:fill="auto"/>
          </w:tcPr>
          <w:p w:rsidR="00B338EE" w:rsidRPr="002506AC" w:rsidRDefault="00B338EE" w:rsidP="00774281">
            <w:pPr>
              <w:pStyle w:val="NormalWeb"/>
              <w:ind w:firstLine="0"/>
              <w:jc w:val="left"/>
              <w:rPr>
                <w:rFonts w:ascii="Times New Roman" w:hAnsi="Times New Roman"/>
                <w:b/>
                <w:sz w:val="28"/>
                <w:szCs w:val="28"/>
                <w:lang w:val="ro-MO"/>
              </w:rPr>
            </w:pPr>
            <w:r>
              <w:rPr>
                <w:rFonts w:ascii="Times New Roman" w:hAnsi="Times New Roman"/>
                <w:b/>
                <w:sz w:val="28"/>
                <w:szCs w:val="28"/>
                <w:lang w:val="ro-MO"/>
              </w:rPr>
              <w:t>24</w:t>
            </w:r>
            <w:r w:rsidRPr="002506AC">
              <w:rPr>
                <w:rFonts w:ascii="Times New Roman" w:hAnsi="Times New Roman"/>
                <w:b/>
                <w:sz w:val="28"/>
                <w:szCs w:val="28"/>
                <w:lang w:val="ro-MO"/>
              </w:rPr>
              <w:t>-3,</w:t>
            </w:r>
            <w:r>
              <w:rPr>
                <w:rFonts w:ascii="Times New Roman" w:hAnsi="Times New Roman"/>
                <w:b/>
                <w:sz w:val="28"/>
                <w:szCs w:val="28"/>
                <w:lang w:val="ro-MO"/>
              </w:rPr>
              <w:t>43</w:t>
            </w:r>
            <w:r w:rsidRPr="002506AC">
              <w:rPr>
                <w:rFonts w:ascii="Times New Roman" w:hAnsi="Times New Roman"/>
                <w:b/>
                <w:sz w:val="28"/>
                <w:szCs w:val="28"/>
                <w:lang w:val="ro-MO"/>
              </w:rPr>
              <w:t xml:space="preserve"> = Impact pozitiv semnificativ </w:t>
            </w:r>
          </w:p>
        </w:tc>
      </w:tr>
    </w:tbl>
    <w:p w:rsidR="00E4421E" w:rsidRDefault="00E4421E" w:rsidP="00F74A22">
      <w:pPr>
        <w:ind w:firstLine="567"/>
        <w:jc w:val="both"/>
        <w:rPr>
          <w:rFonts w:ascii="Times New Roman" w:hAnsi="Times New Roman" w:cs="Times New Roman"/>
          <w:sz w:val="28"/>
          <w:szCs w:val="28"/>
          <w:lang w:val="ro-MO"/>
        </w:rPr>
      </w:pPr>
    </w:p>
    <w:p w:rsidR="00E4421E" w:rsidRDefault="00E4421E" w:rsidP="00F74A22">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Cu referin</w:t>
      </w:r>
      <w:r w:rsidR="006F4B00">
        <w:rPr>
          <w:rFonts w:ascii="Times New Roman" w:hAnsi="Times New Roman" w:cs="Times New Roman"/>
          <w:sz w:val="28"/>
          <w:szCs w:val="28"/>
          <w:lang w:val="ro-RO"/>
        </w:rPr>
        <w:t>ţ</w:t>
      </w:r>
      <w:r>
        <w:rPr>
          <w:rFonts w:ascii="Times New Roman" w:hAnsi="Times New Roman" w:cs="Times New Roman"/>
          <w:sz w:val="28"/>
          <w:szCs w:val="28"/>
          <w:lang w:val="ro-RO"/>
        </w:rPr>
        <w:t>ă la indicatorul ”Simplitate”, a</w:t>
      </w:r>
      <w:r w:rsidRPr="00E4421E">
        <w:rPr>
          <w:rFonts w:ascii="Times New Roman" w:hAnsi="Times New Roman" w:cs="Times New Roman"/>
          <w:sz w:val="28"/>
          <w:szCs w:val="28"/>
          <w:lang w:val="ro-RO"/>
        </w:rPr>
        <w:t xml:space="preserve">ici este o </w:t>
      </w:r>
      <w:r>
        <w:rPr>
          <w:rFonts w:ascii="Times New Roman" w:hAnsi="Times New Roman" w:cs="Times New Roman"/>
          <w:sz w:val="28"/>
          <w:szCs w:val="28"/>
          <w:lang w:val="ro-RO"/>
        </w:rPr>
        <w:t xml:space="preserve">abordare </w:t>
      </w:r>
      <w:r w:rsidRPr="00E4421E">
        <w:rPr>
          <w:rFonts w:ascii="Times New Roman" w:hAnsi="Times New Roman" w:cs="Times New Roman"/>
          <w:sz w:val="28"/>
          <w:szCs w:val="28"/>
          <w:lang w:val="ro-RO"/>
        </w:rPr>
        <w:t xml:space="preserve"> relativ</w:t>
      </w:r>
      <w:r>
        <w:rPr>
          <w:rFonts w:ascii="Times New Roman" w:hAnsi="Times New Roman" w:cs="Times New Roman"/>
          <w:sz w:val="28"/>
          <w:szCs w:val="28"/>
          <w:lang w:val="ro-RO"/>
        </w:rPr>
        <w:t>ă</w:t>
      </w:r>
      <w:r w:rsidRPr="00E4421E">
        <w:rPr>
          <w:rFonts w:ascii="Times New Roman" w:hAnsi="Times New Roman" w:cs="Times New Roman"/>
          <w:sz w:val="28"/>
          <w:szCs w:val="28"/>
          <w:lang w:val="ro-RO"/>
        </w:rPr>
        <w:t>. Raportat la actuala legisla</w:t>
      </w:r>
      <w:r w:rsidR="006F4B00">
        <w:rPr>
          <w:rFonts w:ascii="Times New Roman" w:hAnsi="Times New Roman" w:cs="Times New Roman"/>
          <w:sz w:val="28"/>
          <w:szCs w:val="28"/>
          <w:lang w:val="ro-RO"/>
        </w:rPr>
        <w:t>ţ</w:t>
      </w:r>
      <w:r w:rsidRPr="00E4421E">
        <w:rPr>
          <w:rFonts w:ascii="Times New Roman" w:hAnsi="Times New Roman" w:cs="Times New Roman"/>
          <w:sz w:val="28"/>
          <w:szCs w:val="28"/>
          <w:lang w:val="ro-RO"/>
        </w:rPr>
        <w:t xml:space="preserve">ie </w:t>
      </w:r>
      <w:r w:rsidR="006F4B00">
        <w:rPr>
          <w:rFonts w:ascii="Times New Roman" w:hAnsi="Times New Roman" w:cs="Times New Roman"/>
          <w:sz w:val="28"/>
          <w:szCs w:val="28"/>
          <w:lang w:val="ro-RO"/>
        </w:rPr>
        <w:t>ş</w:t>
      </w:r>
      <w:r w:rsidRPr="00E4421E">
        <w:rPr>
          <w:rFonts w:ascii="Times New Roman" w:hAnsi="Times New Roman" w:cs="Times New Roman"/>
          <w:sz w:val="28"/>
          <w:szCs w:val="28"/>
          <w:lang w:val="ro-RO"/>
        </w:rPr>
        <w:t xml:space="preserve">i formula, formulele propuse de această modificare sunt  mai complicate. Raportat la ceea ce se practică în alte </w:t>
      </w:r>
      <w:r w:rsidR="006F4B00">
        <w:rPr>
          <w:rFonts w:ascii="Times New Roman" w:hAnsi="Times New Roman" w:cs="Times New Roman"/>
          <w:sz w:val="28"/>
          <w:szCs w:val="28"/>
          <w:lang w:val="ro-RO"/>
        </w:rPr>
        <w:t>ţ</w:t>
      </w:r>
      <w:r w:rsidRPr="00E4421E">
        <w:rPr>
          <w:rFonts w:ascii="Times New Roman" w:hAnsi="Times New Roman" w:cs="Times New Roman"/>
          <w:sz w:val="28"/>
          <w:szCs w:val="28"/>
          <w:lang w:val="ro-RO"/>
        </w:rPr>
        <w:t>ări europ</w:t>
      </w:r>
      <w:r>
        <w:rPr>
          <w:rFonts w:ascii="Times New Roman" w:hAnsi="Times New Roman" w:cs="Times New Roman"/>
          <w:sz w:val="28"/>
          <w:szCs w:val="28"/>
          <w:lang w:val="ro-RO"/>
        </w:rPr>
        <w:t>e</w:t>
      </w:r>
      <w:r w:rsidRPr="00E4421E">
        <w:rPr>
          <w:rFonts w:ascii="Times New Roman" w:hAnsi="Times New Roman" w:cs="Times New Roman"/>
          <w:sz w:val="28"/>
          <w:szCs w:val="28"/>
          <w:lang w:val="ro-RO"/>
        </w:rPr>
        <w:t>ne pentru alocarea transferurilor către administra</w:t>
      </w:r>
      <w:r w:rsidR="006F4B00">
        <w:rPr>
          <w:rFonts w:ascii="Times New Roman" w:hAnsi="Times New Roman" w:cs="Times New Roman"/>
          <w:sz w:val="28"/>
          <w:szCs w:val="28"/>
          <w:lang w:val="ro-RO"/>
        </w:rPr>
        <w:t>ţ</w:t>
      </w:r>
      <w:r w:rsidRPr="00E4421E">
        <w:rPr>
          <w:rFonts w:ascii="Times New Roman" w:hAnsi="Times New Roman" w:cs="Times New Roman"/>
          <w:sz w:val="28"/>
          <w:szCs w:val="28"/>
          <w:lang w:val="ro-RO"/>
        </w:rPr>
        <w:t xml:space="preserve">ia locală, ele sunt </w:t>
      </w:r>
      <w:r>
        <w:rPr>
          <w:rFonts w:ascii="Times New Roman" w:hAnsi="Times New Roman" w:cs="Times New Roman"/>
          <w:sz w:val="28"/>
          <w:szCs w:val="28"/>
          <w:lang w:val="ro-RO"/>
        </w:rPr>
        <w:t>foarte simple.</w:t>
      </w:r>
      <w:r w:rsidRPr="00E4421E">
        <w:rPr>
          <w:rFonts w:ascii="Times New Roman" w:hAnsi="Times New Roman" w:cs="Times New Roman"/>
          <w:sz w:val="28"/>
          <w:szCs w:val="28"/>
          <w:lang w:val="ro-RO"/>
        </w:rPr>
        <w:t xml:space="preserve"> De aceea </w:t>
      </w:r>
      <w:r>
        <w:rPr>
          <w:rFonts w:ascii="Times New Roman" w:hAnsi="Times New Roman" w:cs="Times New Roman"/>
          <w:sz w:val="28"/>
          <w:szCs w:val="28"/>
          <w:lang w:val="ro-RO"/>
        </w:rPr>
        <w:t xml:space="preserve">s-a </w:t>
      </w:r>
      <w:r w:rsidRPr="00E4421E">
        <w:rPr>
          <w:rFonts w:ascii="Times New Roman" w:hAnsi="Times New Roman" w:cs="Times New Roman"/>
          <w:sz w:val="28"/>
          <w:szCs w:val="28"/>
          <w:lang w:val="ro-RO"/>
        </w:rPr>
        <w:t>ales o evaluare conservato</w:t>
      </w:r>
      <w:r>
        <w:rPr>
          <w:rFonts w:ascii="Times New Roman" w:hAnsi="Times New Roman" w:cs="Times New Roman"/>
          <w:sz w:val="28"/>
          <w:szCs w:val="28"/>
          <w:lang w:val="ro-RO"/>
        </w:rPr>
        <w:t>a</w:t>
      </w:r>
      <w:r w:rsidRPr="00E4421E">
        <w:rPr>
          <w:rFonts w:ascii="Times New Roman" w:hAnsi="Times New Roman" w:cs="Times New Roman"/>
          <w:sz w:val="28"/>
          <w:szCs w:val="28"/>
          <w:lang w:val="ro-RO"/>
        </w:rPr>
        <w:t>re,  – oricum impactul global, a</w:t>
      </w:r>
      <w:r w:rsidR="006F4B00">
        <w:rPr>
          <w:rFonts w:ascii="Times New Roman" w:hAnsi="Times New Roman" w:cs="Times New Roman"/>
          <w:sz w:val="28"/>
          <w:szCs w:val="28"/>
          <w:lang w:val="ro-RO"/>
        </w:rPr>
        <w:t>ş</w:t>
      </w:r>
      <w:r w:rsidRPr="00E4421E">
        <w:rPr>
          <w:rFonts w:ascii="Times New Roman" w:hAnsi="Times New Roman" w:cs="Times New Roman"/>
          <w:sz w:val="28"/>
          <w:szCs w:val="28"/>
          <w:lang w:val="ro-RO"/>
        </w:rPr>
        <w:t xml:space="preserve">a cum reiese din evaluare este net pozitiv. </w:t>
      </w:r>
    </w:p>
    <w:p w:rsidR="006221EE" w:rsidRPr="00E4421E" w:rsidRDefault="00E4421E" w:rsidP="00F74A22">
      <w:pPr>
        <w:ind w:firstLine="567"/>
        <w:jc w:val="both"/>
        <w:rPr>
          <w:rFonts w:ascii="Times New Roman" w:hAnsi="Times New Roman" w:cs="Times New Roman"/>
          <w:b/>
          <w:color w:val="365F91"/>
          <w:sz w:val="28"/>
          <w:szCs w:val="28"/>
          <w:lang w:val="ro-RO"/>
        </w:rPr>
      </w:pPr>
      <w:r>
        <w:rPr>
          <w:rFonts w:ascii="Times New Roman" w:hAnsi="Times New Roman" w:cs="Times New Roman"/>
          <w:sz w:val="28"/>
          <w:szCs w:val="28"/>
          <w:lang w:val="ro-RO"/>
        </w:rPr>
        <w:t>Ca concluzie generală, s</w:t>
      </w:r>
      <w:r w:rsidR="006221EE" w:rsidRPr="00E4421E">
        <w:rPr>
          <w:rFonts w:ascii="Times New Roman" w:hAnsi="Times New Roman" w:cs="Times New Roman"/>
          <w:sz w:val="28"/>
          <w:szCs w:val="28"/>
          <w:lang w:val="ro-RO"/>
        </w:rPr>
        <w:t xml:space="preserve">e observă că evaluarea globală a criteriilor </w:t>
      </w:r>
      <w:r w:rsidR="002506AC" w:rsidRPr="00E4421E">
        <w:rPr>
          <w:rFonts w:ascii="Times New Roman" w:hAnsi="Times New Roman" w:cs="Times New Roman"/>
          <w:sz w:val="28"/>
          <w:szCs w:val="28"/>
          <w:lang w:val="ro-RO"/>
        </w:rPr>
        <w:t xml:space="preserve">de </w:t>
      </w:r>
      <w:r w:rsidR="006221EE" w:rsidRPr="00E4421E">
        <w:rPr>
          <w:rFonts w:ascii="Times New Roman" w:hAnsi="Times New Roman" w:cs="Times New Roman"/>
          <w:sz w:val="28"/>
          <w:szCs w:val="28"/>
          <w:lang w:val="ro-RO"/>
        </w:rPr>
        <w:t>calitate conduce la un impact semnificativ pozitiv al modificărilor propuse la legea finan</w:t>
      </w:r>
      <w:r w:rsidR="006F4B00">
        <w:rPr>
          <w:rFonts w:ascii="Times New Roman" w:hAnsi="Times New Roman" w:cs="Times New Roman"/>
          <w:sz w:val="28"/>
          <w:szCs w:val="28"/>
          <w:lang w:val="ro-RO"/>
        </w:rPr>
        <w:t>ţ</w:t>
      </w:r>
      <w:r w:rsidR="006221EE" w:rsidRPr="00E4421E">
        <w:rPr>
          <w:rFonts w:ascii="Times New Roman" w:hAnsi="Times New Roman" w:cs="Times New Roman"/>
          <w:sz w:val="28"/>
          <w:szCs w:val="28"/>
          <w:lang w:val="ro-RO"/>
        </w:rPr>
        <w:t>elor publice locale</w:t>
      </w:r>
      <w:r w:rsidR="002526B9" w:rsidRPr="00E4421E">
        <w:rPr>
          <w:rFonts w:ascii="Times New Roman" w:hAnsi="Times New Roman" w:cs="Times New Roman"/>
          <w:sz w:val="28"/>
          <w:szCs w:val="28"/>
          <w:lang w:val="ro-RO"/>
        </w:rPr>
        <w:t>.</w:t>
      </w:r>
    </w:p>
    <w:p w:rsidR="00FE172C" w:rsidRPr="00E0749A" w:rsidRDefault="00FE172C" w:rsidP="008B3768">
      <w:pPr>
        <w:jc w:val="both"/>
        <w:rPr>
          <w:rFonts w:ascii="Times New Roman" w:hAnsi="Times New Roman" w:cs="Times New Roman"/>
          <w:b/>
          <w:color w:val="365F91"/>
          <w:sz w:val="10"/>
          <w:szCs w:val="10"/>
          <w:lang w:val="ro-MO"/>
        </w:rPr>
      </w:pPr>
    </w:p>
    <w:p w:rsidR="00573A70" w:rsidRDefault="00573A70" w:rsidP="00F74A22">
      <w:pPr>
        <w:ind w:firstLine="567"/>
        <w:jc w:val="both"/>
        <w:rPr>
          <w:rFonts w:ascii="Times New Roman" w:hAnsi="Times New Roman" w:cs="Times New Roman"/>
          <w:b/>
          <w:color w:val="365F91"/>
          <w:sz w:val="28"/>
          <w:szCs w:val="28"/>
          <w:lang w:val="ro-MO"/>
        </w:rPr>
      </w:pPr>
      <w:r w:rsidRPr="00AD160F">
        <w:rPr>
          <w:rFonts w:ascii="Times New Roman" w:hAnsi="Times New Roman" w:cs="Times New Roman"/>
          <w:b/>
          <w:sz w:val="28"/>
          <w:szCs w:val="28"/>
          <w:lang w:val="ro-MO"/>
        </w:rPr>
        <w:t>B. Criterii Cantitative</w:t>
      </w:r>
      <w:r w:rsidRPr="00AD160F">
        <w:rPr>
          <w:rFonts w:ascii="Times New Roman" w:hAnsi="Times New Roman" w:cs="Times New Roman"/>
          <w:b/>
          <w:color w:val="365F91"/>
          <w:sz w:val="28"/>
          <w:szCs w:val="28"/>
          <w:lang w:val="ro-MO"/>
        </w:rPr>
        <w:t xml:space="preserve"> </w:t>
      </w:r>
    </w:p>
    <w:p w:rsidR="00774281" w:rsidRPr="00AD160F" w:rsidRDefault="00861A32" w:rsidP="00F74A22">
      <w:pPr>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La criterii cantitative pot fi atribuite:</w:t>
      </w:r>
    </w:p>
    <w:p w:rsidR="00F74A22" w:rsidRPr="00AD160F" w:rsidRDefault="00573A70" w:rsidP="00774281">
      <w:pPr>
        <w:numPr>
          <w:ilvl w:val="0"/>
          <w:numId w:val="11"/>
        </w:numPr>
        <w:tabs>
          <w:tab w:val="left" w:pos="851"/>
        </w:tabs>
        <w:spacing w:before="120"/>
        <w:ind w:left="0" w:firstLine="567"/>
        <w:contextualSpacing/>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Impactul schimbărilor planificate: număr de ”pierzători” la ambele nivele de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 locală, grupa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 pe i) raioane; ii) după popula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 iii) după pierderea relativă (în procente) în rapo</w:t>
      </w:r>
      <w:r w:rsidR="00402130">
        <w:rPr>
          <w:rFonts w:ascii="Times New Roman" w:hAnsi="Times New Roman" w:cs="Times New Roman"/>
          <w:sz w:val="28"/>
          <w:szCs w:val="28"/>
          <w:lang w:val="ro-MO"/>
        </w:rPr>
        <w:t>rt de alocarea bugetară din 2010</w:t>
      </w:r>
      <w:r w:rsidR="00C31AC4" w:rsidRPr="00AD160F">
        <w:rPr>
          <w:rFonts w:ascii="Times New Roman" w:hAnsi="Times New Roman" w:cs="Times New Roman"/>
          <w:sz w:val="28"/>
          <w:szCs w:val="28"/>
          <w:lang w:val="ro-MO"/>
        </w:rPr>
        <w:t>;</w:t>
      </w:r>
    </w:p>
    <w:p w:rsidR="00573A70" w:rsidRDefault="00573A70" w:rsidP="00774281">
      <w:pPr>
        <w:numPr>
          <w:ilvl w:val="0"/>
          <w:numId w:val="11"/>
        </w:numPr>
        <w:tabs>
          <w:tab w:val="left" w:pos="851"/>
        </w:tabs>
        <w:spacing w:before="120"/>
        <w:ind w:left="0" w:firstLine="567"/>
        <w:contextualSpacing/>
        <w:jc w:val="both"/>
        <w:rPr>
          <w:rFonts w:ascii="Times New Roman" w:hAnsi="Times New Roman" w:cs="Times New Roman"/>
          <w:sz w:val="28"/>
          <w:szCs w:val="28"/>
          <w:lang w:val="ro-MO"/>
        </w:rPr>
      </w:pPr>
      <w:r w:rsidRPr="00AD160F">
        <w:rPr>
          <w:rFonts w:ascii="Times New Roman" w:hAnsi="Times New Roman" w:cs="Times New Roman"/>
          <w:sz w:val="28"/>
          <w:szCs w:val="28"/>
          <w:lang w:val="ro-MO"/>
        </w:rPr>
        <w:t>Un număr de indicatori reflectând autonomia financiară a administra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iei locale: ponderea veniturilor proprii în total venituri; ponderea veniturilor autonome (veniturile proprie + veniturile din cota de defalcare a IVPF) în total venituri; ponderea veniturilor cu destina</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ie generală (veniturile proprie + veniturile din cota de defalcare a IVPF + veniturile din transferul de echilibrare/general) în total venituri.</w:t>
      </w:r>
    </w:p>
    <w:p w:rsidR="00573A70" w:rsidRPr="00402130" w:rsidRDefault="00573A70" w:rsidP="008B3768">
      <w:pPr>
        <w:jc w:val="both"/>
        <w:rPr>
          <w:rFonts w:ascii="Times New Roman" w:hAnsi="Times New Roman" w:cs="Times New Roman"/>
          <w:sz w:val="10"/>
          <w:szCs w:val="10"/>
          <w:lang w:val="ro-MO"/>
        </w:rPr>
      </w:pPr>
    </w:p>
    <w:p w:rsidR="00FE172C" w:rsidRDefault="006221EE" w:rsidP="00FE172C">
      <w:pPr>
        <w:pStyle w:val="NormalWeb"/>
        <w:ind w:firstLine="426"/>
        <w:rPr>
          <w:rFonts w:ascii="Times New Roman" w:hAnsi="Times New Roman"/>
          <w:sz w:val="28"/>
          <w:szCs w:val="28"/>
          <w:lang w:val="ro-MO"/>
        </w:rPr>
      </w:pPr>
      <w:r w:rsidRPr="00AD160F">
        <w:rPr>
          <w:rFonts w:ascii="Times New Roman" w:hAnsi="Times New Roman"/>
          <w:sz w:val="28"/>
          <w:szCs w:val="28"/>
          <w:lang w:val="ro-MO"/>
        </w:rPr>
        <w:t>Rezultatele pentru aceste criterii cantitative sunt prezentate în tabelele de mai jos:</w:t>
      </w:r>
    </w:p>
    <w:p w:rsidR="001B0998" w:rsidRPr="00E0749A" w:rsidRDefault="001B0998" w:rsidP="00C07DCA">
      <w:pPr>
        <w:pStyle w:val="NormalWeb"/>
        <w:ind w:firstLine="0"/>
        <w:jc w:val="center"/>
        <w:rPr>
          <w:rFonts w:ascii="Times New Roman" w:hAnsi="Times New Roman"/>
          <w:sz w:val="10"/>
          <w:szCs w:val="10"/>
          <w:lang w:val="ro-MO"/>
        </w:rPr>
      </w:pPr>
    </w:p>
    <w:p w:rsidR="001B0998" w:rsidRDefault="00C4138F" w:rsidP="00C07DCA">
      <w:pPr>
        <w:pStyle w:val="NormalWeb"/>
        <w:ind w:firstLine="0"/>
        <w:jc w:val="center"/>
        <w:rPr>
          <w:rFonts w:ascii="Times New Roman" w:hAnsi="Times New Roman"/>
          <w:sz w:val="28"/>
          <w:szCs w:val="28"/>
          <w:lang w:val="ro-MO"/>
        </w:rPr>
      </w:pPr>
      <w:r w:rsidRPr="00AD160F">
        <w:rPr>
          <w:rFonts w:ascii="Times New Roman" w:hAnsi="Times New Roman"/>
          <w:sz w:val="28"/>
          <w:szCs w:val="28"/>
          <w:lang w:val="ro-MO"/>
        </w:rPr>
        <w:t>Tabel</w:t>
      </w:r>
      <w:r w:rsidR="00875E19">
        <w:rPr>
          <w:rFonts w:ascii="Times New Roman" w:hAnsi="Times New Roman"/>
          <w:sz w:val="28"/>
          <w:szCs w:val="28"/>
          <w:lang w:val="ro-MO"/>
        </w:rPr>
        <w:t>ul</w:t>
      </w:r>
      <w:r w:rsidRPr="00AD160F">
        <w:rPr>
          <w:rFonts w:ascii="Times New Roman" w:hAnsi="Times New Roman"/>
          <w:sz w:val="28"/>
          <w:szCs w:val="28"/>
          <w:lang w:val="ro-MO"/>
        </w:rPr>
        <w:t xml:space="preserve"> </w:t>
      </w:r>
      <w:r w:rsidR="000541EE">
        <w:rPr>
          <w:rFonts w:ascii="Times New Roman" w:hAnsi="Times New Roman"/>
          <w:sz w:val="28"/>
          <w:szCs w:val="28"/>
          <w:lang w:val="ro-MO"/>
        </w:rPr>
        <w:t>5</w:t>
      </w:r>
      <w:r w:rsidR="00E4421E">
        <w:rPr>
          <w:rFonts w:ascii="Times New Roman" w:hAnsi="Times New Roman"/>
          <w:sz w:val="28"/>
          <w:szCs w:val="28"/>
          <w:lang w:val="ro-MO"/>
        </w:rPr>
        <w:t>. N</w:t>
      </w:r>
      <w:r w:rsidR="00B90DCD">
        <w:rPr>
          <w:rFonts w:ascii="Times New Roman" w:hAnsi="Times New Roman"/>
          <w:sz w:val="28"/>
          <w:szCs w:val="28"/>
          <w:lang w:val="ro-MO"/>
        </w:rPr>
        <w:t>umărul de UAT - uri pierzătoare la nivelul 1,</w:t>
      </w:r>
    </w:p>
    <w:p w:rsidR="00B90DCD" w:rsidRPr="00AD160F" w:rsidRDefault="00B90DCD" w:rsidP="00C07DCA">
      <w:pPr>
        <w:pStyle w:val="NormalWeb"/>
        <w:ind w:firstLine="0"/>
        <w:jc w:val="center"/>
        <w:rPr>
          <w:rFonts w:ascii="Times New Roman" w:hAnsi="Times New Roman"/>
          <w:sz w:val="28"/>
          <w:szCs w:val="28"/>
          <w:lang w:val="ro-MO"/>
        </w:rPr>
      </w:pPr>
      <w:r>
        <w:rPr>
          <w:rFonts w:ascii="Times New Roman" w:hAnsi="Times New Roman"/>
          <w:sz w:val="28"/>
          <w:szCs w:val="28"/>
          <w:lang w:val="ro-MO"/>
        </w:rPr>
        <w:t xml:space="preserve"> în func</w:t>
      </w:r>
      <w:r w:rsidR="006F4B00">
        <w:rPr>
          <w:rFonts w:ascii="Times New Roman" w:hAnsi="Times New Roman"/>
          <w:sz w:val="28"/>
          <w:szCs w:val="28"/>
          <w:lang w:val="ro-MO"/>
        </w:rPr>
        <w:t>ţ</w:t>
      </w:r>
      <w:r>
        <w:rPr>
          <w:rFonts w:ascii="Times New Roman" w:hAnsi="Times New Roman"/>
          <w:sz w:val="28"/>
          <w:szCs w:val="28"/>
          <w:lang w:val="ro-MO"/>
        </w:rPr>
        <w:t>ie de numărul de locuitori</w:t>
      </w:r>
      <w:r w:rsidR="001C22B2">
        <w:rPr>
          <w:rFonts w:ascii="Times New Roman" w:hAnsi="Times New Roman"/>
          <w:sz w:val="28"/>
          <w:szCs w:val="28"/>
          <w:lang w:val="ro-MO"/>
        </w:rPr>
        <w:t>.</w:t>
      </w:r>
    </w:p>
    <w:p w:rsidR="00E4421E" w:rsidRPr="00E0749A" w:rsidRDefault="00E4421E">
      <w:pPr>
        <w:pStyle w:val="NormalWeb"/>
        <w:ind w:firstLine="0"/>
        <w:jc w:val="left"/>
        <w:rPr>
          <w:rFonts w:ascii="Times New Roman" w:hAnsi="Times New Roman"/>
          <w:sz w:val="10"/>
          <w:szCs w:val="10"/>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2977"/>
        <w:gridCol w:w="2977"/>
      </w:tblGrid>
      <w:tr w:rsidR="003413CE" w:rsidRPr="00AD160F" w:rsidTr="001B0998">
        <w:tc>
          <w:tcPr>
            <w:tcW w:w="3510" w:type="dxa"/>
            <w:shd w:val="clear" w:color="auto" w:fill="auto"/>
          </w:tcPr>
          <w:p w:rsidR="003413CE" w:rsidRPr="002506AC" w:rsidRDefault="003413CE" w:rsidP="008B3768">
            <w:pPr>
              <w:pStyle w:val="NormalWeb"/>
              <w:ind w:firstLine="0"/>
              <w:rPr>
                <w:rFonts w:ascii="Times New Roman" w:hAnsi="Times New Roman"/>
                <w:b/>
                <w:sz w:val="24"/>
                <w:szCs w:val="24"/>
                <w:lang w:val="ro-MO"/>
              </w:rPr>
            </w:pPr>
            <w:r w:rsidRPr="002506AC">
              <w:rPr>
                <w:rFonts w:ascii="Times New Roman" w:hAnsi="Times New Roman"/>
                <w:b/>
                <w:sz w:val="24"/>
                <w:szCs w:val="24"/>
                <w:lang w:val="ro-MO"/>
              </w:rPr>
              <w:t>Tip de UAT de nivel 1</w:t>
            </w:r>
          </w:p>
        </w:tc>
        <w:tc>
          <w:tcPr>
            <w:tcW w:w="2977" w:type="dxa"/>
            <w:shd w:val="clear" w:color="auto" w:fill="auto"/>
          </w:tcPr>
          <w:p w:rsidR="003413CE" w:rsidRPr="002506AC" w:rsidRDefault="009F2128" w:rsidP="009F2128">
            <w:pPr>
              <w:pStyle w:val="NormalWeb"/>
              <w:ind w:firstLine="0"/>
              <w:jc w:val="center"/>
              <w:rPr>
                <w:rFonts w:ascii="Times New Roman" w:hAnsi="Times New Roman"/>
                <w:b/>
                <w:sz w:val="24"/>
                <w:szCs w:val="24"/>
                <w:lang w:val="ro-MO"/>
              </w:rPr>
            </w:pPr>
            <w:r w:rsidRPr="002506AC">
              <w:rPr>
                <w:rFonts w:ascii="Times New Roman" w:hAnsi="Times New Roman"/>
                <w:b/>
                <w:sz w:val="24"/>
                <w:szCs w:val="24"/>
                <w:lang w:val="ro-MO"/>
              </w:rPr>
              <w:t xml:space="preserve">Număr de UAT </w:t>
            </w:r>
            <w:r w:rsidR="003413CE" w:rsidRPr="002506AC">
              <w:rPr>
                <w:rFonts w:ascii="Times New Roman" w:hAnsi="Times New Roman"/>
                <w:b/>
                <w:sz w:val="24"/>
                <w:szCs w:val="24"/>
                <w:lang w:val="ro-MO"/>
              </w:rPr>
              <w:t>de nivel</w:t>
            </w:r>
            <w:r w:rsidRPr="002506AC">
              <w:rPr>
                <w:rFonts w:ascii="Times New Roman" w:hAnsi="Times New Roman"/>
                <w:b/>
                <w:sz w:val="24"/>
                <w:szCs w:val="24"/>
                <w:lang w:val="ro-MO"/>
              </w:rPr>
              <w:t>ul întîi</w:t>
            </w:r>
          </w:p>
        </w:tc>
        <w:tc>
          <w:tcPr>
            <w:tcW w:w="2977" w:type="dxa"/>
            <w:shd w:val="clear" w:color="auto" w:fill="auto"/>
          </w:tcPr>
          <w:p w:rsidR="003413CE" w:rsidRPr="002506AC" w:rsidRDefault="003413CE" w:rsidP="009F2128">
            <w:pPr>
              <w:pStyle w:val="NormalWeb"/>
              <w:ind w:firstLine="0"/>
              <w:jc w:val="center"/>
              <w:rPr>
                <w:rFonts w:ascii="Times New Roman" w:hAnsi="Times New Roman"/>
                <w:b/>
                <w:sz w:val="24"/>
                <w:szCs w:val="24"/>
                <w:lang w:val="ro-MO"/>
              </w:rPr>
            </w:pPr>
            <w:r w:rsidRPr="002506AC">
              <w:rPr>
                <w:rFonts w:ascii="Times New Roman" w:hAnsi="Times New Roman"/>
                <w:b/>
                <w:sz w:val="24"/>
                <w:szCs w:val="24"/>
                <w:lang w:val="ro-MO"/>
              </w:rPr>
              <w:t>Număr de pierzători – rezultat în urma simulării</w:t>
            </w:r>
          </w:p>
        </w:tc>
      </w:tr>
      <w:tr w:rsidR="005A6AFA" w:rsidRPr="00AD160F" w:rsidTr="001B0998">
        <w:trPr>
          <w:trHeight w:val="343"/>
        </w:trPr>
        <w:tc>
          <w:tcPr>
            <w:tcW w:w="3510" w:type="dxa"/>
            <w:shd w:val="clear" w:color="auto" w:fill="auto"/>
          </w:tcPr>
          <w:p w:rsidR="005A6AFA" w:rsidRPr="00AD160F" w:rsidRDefault="005A6AFA"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Sub 1500 locuitori</w:t>
            </w:r>
          </w:p>
        </w:tc>
        <w:tc>
          <w:tcPr>
            <w:tcW w:w="2977" w:type="dxa"/>
            <w:shd w:val="clear" w:color="auto" w:fill="auto"/>
          </w:tcPr>
          <w:p w:rsidR="005A6AFA" w:rsidRPr="002506AC" w:rsidRDefault="005A6AFA" w:rsidP="00FE172C">
            <w:pPr>
              <w:jc w:val="center"/>
              <w:rPr>
                <w:rFonts w:ascii="Times New Roman" w:hAnsi="Times New Roman" w:cs="Times New Roman"/>
                <w:bCs/>
                <w:color w:val="000000"/>
                <w:sz w:val="28"/>
                <w:szCs w:val="28"/>
                <w:lang w:val="ro-MO"/>
              </w:rPr>
            </w:pPr>
            <w:r w:rsidRPr="002506AC">
              <w:rPr>
                <w:rFonts w:ascii="Times New Roman" w:hAnsi="Times New Roman" w:cs="Times New Roman"/>
                <w:bCs/>
                <w:color w:val="000000"/>
                <w:sz w:val="28"/>
                <w:szCs w:val="28"/>
                <w:lang w:val="ro-MO"/>
              </w:rPr>
              <w:t>2</w:t>
            </w:r>
            <w:r w:rsidR="0071443C">
              <w:rPr>
                <w:rFonts w:ascii="Times New Roman" w:hAnsi="Times New Roman" w:cs="Times New Roman"/>
                <w:bCs/>
                <w:color w:val="000000"/>
                <w:sz w:val="28"/>
                <w:szCs w:val="28"/>
                <w:lang w:val="ro-MO"/>
              </w:rPr>
              <w:t>49</w:t>
            </w:r>
          </w:p>
        </w:tc>
        <w:tc>
          <w:tcPr>
            <w:tcW w:w="2977" w:type="dxa"/>
            <w:shd w:val="clear" w:color="auto" w:fill="auto"/>
            <w:vAlign w:val="center"/>
          </w:tcPr>
          <w:p w:rsidR="005A6AFA" w:rsidRPr="001D24FA" w:rsidRDefault="00940E16" w:rsidP="00FE172C">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lang w:val="ro-MO"/>
              </w:rPr>
              <w:t>67</w:t>
            </w:r>
          </w:p>
        </w:tc>
      </w:tr>
      <w:tr w:rsidR="00940E16" w:rsidRPr="00AD160F" w:rsidTr="001B0998">
        <w:tc>
          <w:tcPr>
            <w:tcW w:w="3510" w:type="dxa"/>
            <w:shd w:val="clear" w:color="auto" w:fill="auto"/>
          </w:tcPr>
          <w:p w:rsidR="00940E16" w:rsidRPr="00AD160F" w:rsidRDefault="00940E16" w:rsidP="00846D62">
            <w:pPr>
              <w:pStyle w:val="NormalWeb"/>
              <w:ind w:firstLine="0"/>
              <w:rPr>
                <w:rFonts w:ascii="Times New Roman" w:hAnsi="Times New Roman"/>
                <w:sz w:val="28"/>
                <w:szCs w:val="28"/>
                <w:lang w:val="ro-MO"/>
              </w:rPr>
            </w:pPr>
            <w:r w:rsidRPr="00AD160F">
              <w:rPr>
                <w:rFonts w:ascii="Times New Roman" w:hAnsi="Times New Roman"/>
                <w:sz w:val="28"/>
                <w:szCs w:val="28"/>
                <w:lang w:val="ro-MO"/>
              </w:rPr>
              <w:t>Între 1501–5000 locuitori</w:t>
            </w:r>
          </w:p>
        </w:tc>
        <w:tc>
          <w:tcPr>
            <w:tcW w:w="2977" w:type="dxa"/>
            <w:shd w:val="clear" w:color="auto" w:fill="auto"/>
          </w:tcPr>
          <w:p w:rsidR="00940E16" w:rsidRPr="002506AC" w:rsidRDefault="00940E16" w:rsidP="00FE172C">
            <w:pPr>
              <w:jc w:val="center"/>
              <w:rPr>
                <w:rFonts w:ascii="Times New Roman" w:hAnsi="Times New Roman" w:cs="Times New Roman"/>
                <w:bCs/>
                <w:color w:val="000000"/>
                <w:sz w:val="28"/>
                <w:szCs w:val="28"/>
                <w:lang w:val="ro-MO"/>
              </w:rPr>
            </w:pPr>
            <w:r w:rsidRPr="002506AC">
              <w:rPr>
                <w:rFonts w:ascii="Times New Roman" w:hAnsi="Times New Roman" w:cs="Times New Roman"/>
                <w:bCs/>
                <w:color w:val="000000"/>
                <w:sz w:val="28"/>
                <w:szCs w:val="28"/>
                <w:lang w:val="ro-MO"/>
              </w:rPr>
              <w:t>5</w:t>
            </w:r>
            <w:r w:rsidR="0071443C">
              <w:rPr>
                <w:rFonts w:ascii="Times New Roman" w:hAnsi="Times New Roman" w:cs="Times New Roman"/>
                <w:bCs/>
                <w:color w:val="000000"/>
                <w:sz w:val="28"/>
                <w:szCs w:val="28"/>
                <w:lang w:val="ro-MO"/>
              </w:rPr>
              <w:t>47</w:t>
            </w:r>
          </w:p>
        </w:tc>
        <w:tc>
          <w:tcPr>
            <w:tcW w:w="2977" w:type="dxa"/>
            <w:shd w:val="clear" w:color="auto" w:fill="auto"/>
            <w:vAlign w:val="center"/>
          </w:tcPr>
          <w:p w:rsidR="00940E16" w:rsidRPr="00940E16" w:rsidRDefault="00940E16" w:rsidP="00940E16">
            <w:pPr>
              <w:jc w:val="center"/>
              <w:rPr>
                <w:rFonts w:ascii="Times New Roman" w:hAnsi="Times New Roman" w:cs="Times New Roman"/>
                <w:bCs/>
                <w:color w:val="000000"/>
                <w:sz w:val="28"/>
                <w:szCs w:val="28"/>
                <w:lang w:val="ro-MO"/>
              </w:rPr>
            </w:pPr>
            <w:r w:rsidRPr="00940E16">
              <w:rPr>
                <w:rFonts w:ascii="Times New Roman" w:hAnsi="Times New Roman" w:cs="Times New Roman"/>
                <w:bCs/>
                <w:color w:val="000000"/>
                <w:sz w:val="28"/>
                <w:szCs w:val="28"/>
                <w:lang w:val="ro-MO"/>
              </w:rPr>
              <w:t>167</w:t>
            </w:r>
          </w:p>
        </w:tc>
      </w:tr>
      <w:tr w:rsidR="00940E16" w:rsidRPr="00AD160F" w:rsidTr="001B0998">
        <w:tc>
          <w:tcPr>
            <w:tcW w:w="3510" w:type="dxa"/>
            <w:shd w:val="clear" w:color="auto" w:fill="auto"/>
          </w:tcPr>
          <w:p w:rsidR="00940E16" w:rsidRPr="00AD160F" w:rsidRDefault="00940E16" w:rsidP="00846D62">
            <w:pPr>
              <w:pStyle w:val="NormalWeb"/>
              <w:ind w:firstLine="0"/>
              <w:jc w:val="left"/>
              <w:rPr>
                <w:rFonts w:ascii="Times New Roman" w:hAnsi="Times New Roman"/>
                <w:sz w:val="28"/>
                <w:szCs w:val="28"/>
                <w:lang w:val="ro-MO"/>
              </w:rPr>
            </w:pPr>
            <w:r w:rsidRPr="00AD160F">
              <w:rPr>
                <w:rFonts w:ascii="Times New Roman" w:hAnsi="Times New Roman"/>
                <w:sz w:val="28"/>
                <w:szCs w:val="28"/>
                <w:lang w:val="ro-MO"/>
              </w:rPr>
              <w:t>Între 5001–10000 locuitori</w:t>
            </w:r>
          </w:p>
        </w:tc>
        <w:tc>
          <w:tcPr>
            <w:tcW w:w="2977" w:type="dxa"/>
            <w:shd w:val="clear" w:color="auto" w:fill="auto"/>
          </w:tcPr>
          <w:p w:rsidR="00940E16" w:rsidRPr="002506AC" w:rsidRDefault="008D2E80" w:rsidP="00FE172C">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lang w:val="ro-MO"/>
              </w:rPr>
              <w:t>66</w:t>
            </w:r>
          </w:p>
        </w:tc>
        <w:tc>
          <w:tcPr>
            <w:tcW w:w="2977" w:type="dxa"/>
            <w:shd w:val="clear" w:color="auto" w:fill="auto"/>
            <w:vAlign w:val="center"/>
          </w:tcPr>
          <w:p w:rsidR="00940E16" w:rsidRPr="00940E16" w:rsidRDefault="00940E16" w:rsidP="00940E16">
            <w:pPr>
              <w:jc w:val="center"/>
              <w:rPr>
                <w:rFonts w:ascii="Times New Roman" w:hAnsi="Times New Roman" w:cs="Times New Roman"/>
                <w:bCs/>
                <w:color w:val="000000"/>
                <w:sz w:val="28"/>
                <w:szCs w:val="28"/>
                <w:lang w:val="ro-MO"/>
              </w:rPr>
            </w:pPr>
            <w:r w:rsidRPr="00940E16">
              <w:rPr>
                <w:rFonts w:ascii="Times New Roman" w:hAnsi="Times New Roman" w:cs="Times New Roman"/>
                <w:bCs/>
                <w:color w:val="000000"/>
                <w:sz w:val="28"/>
                <w:szCs w:val="28"/>
                <w:lang w:val="ro-MO"/>
              </w:rPr>
              <w:t>30</w:t>
            </w:r>
          </w:p>
        </w:tc>
      </w:tr>
      <w:tr w:rsidR="00940E16" w:rsidRPr="00AD160F" w:rsidTr="001B0998">
        <w:tc>
          <w:tcPr>
            <w:tcW w:w="3510" w:type="dxa"/>
            <w:shd w:val="clear" w:color="auto" w:fill="auto"/>
          </w:tcPr>
          <w:p w:rsidR="00940E16" w:rsidRPr="00AD160F" w:rsidRDefault="00940E16" w:rsidP="00846D62">
            <w:pPr>
              <w:pStyle w:val="NormalWeb"/>
              <w:ind w:firstLine="0"/>
              <w:jc w:val="left"/>
              <w:rPr>
                <w:rFonts w:ascii="Times New Roman" w:hAnsi="Times New Roman"/>
                <w:sz w:val="28"/>
                <w:szCs w:val="28"/>
                <w:lang w:val="ro-MO"/>
              </w:rPr>
            </w:pPr>
            <w:r w:rsidRPr="00AD160F">
              <w:rPr>
                <w:rFonts w:ascii="Times New Roman" w:hAnsi="Times New Roman"/>
                <w:sz w:val="28"/>
                <w:szCs w:val="28"/>
                <w:lang w:val="ro-MO"/>
              </w:rPr>
              <w:t>Între 10001–50000 locuitori</w:t>
            </w:r>
          </w:p>
        </w:tc>
        <w:tc>
          <w:tcPr>
            <w:tcW w:w="2977" w:type="dxa"/>
            <w:shd w:val="clear" w:color="auto" w:fill="auto"/>
          </w:tcPr>
          <w:p w:rsidR="00940E16" w:rsidRPr="002506AC" w:rsidRDefault="008D2E80" w:rsidP="00FE172C">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lang w:val="ro-MO"/>
              </w:rPr>
              <w:t>34</w:t>
            </w:r>
          </w:p>
        </w:tc>
        <w:tc>
          <w:tcPr>
            <w:tcW w:w="2977" w:type="dxa"/>
            <w:shd w:val="clear" w:color="auto" w:fill="auto"/>
            <w:vAlign w:val="center"/>
          </w:tcPr>
          <w:p w:rsidR="00940E16" w:rsidRPr="00940E16" w:rsidRDefault="00940E16" w:rsidP="00940E16">
            <w:pPr>
              <w:jc w:val="center"/>
              <w:rPr>
                <w:rFonts w:ascii="Times New Roman" w:hAnsi="Times New Roman" w:cs="Times New Roman"/>
                <w:bCs/>
                <w:color w:val="000000"/>
                <w:sz w:val="28"/>
                <w:szCs w:val="28"/>
                <w:lang w:val="ro-MO"/>
              </w:rPr>
            </w:pPr>
            <w:r w:rsidRPr="00940E16">
              <w:rPr>
                <w:rFonts w:ascii="Times New Roman" w:hAnsi="Times New Roman" w:cs="Times New Roman"/>
                <w:bCs/>
                <w:color w:val="000000"/>
                <w:sz w:val="28"/>
                <w:szCs w:val="28"/>
                <w:lang w:val="ro-MO"/>
              </w:rPr>
              <w:t>6</w:t>
            </w:r>
          </w:p>
        </w:tc>
      </w:tr>
      <w:tr w:rsidR="00940E16" w:rsidRPr="00AD160F" w:rsidTr="001B0998">
        <w:tc>
          <w:tcPr>
            <w:tcW w:w="3510" w:type="dxa"/>
            <w:shd w:val="clear" w:color="auto" w:fill="auto"/>
          </w:tcPr>
          <w:p w:rsidR="00940E16" w:rsidRPr="00AD160F" w:rsidRDefault="00940E16"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Peste 50000 locuitori</w:t>
            </w:r>
          </w:p>
        </w:tc>
        <w:tc>
          <w:tcPr>
            <w:tcW w:w="2977" w:type="dxa"/>
            <w:shd w:val="clear" w:color="auto" w:fill="auto"/>
          </w:tcPr>
          <w:p w:rsidR="00940E16" w:rsidRPr="002506AC" w:rsidRDefault="00940E16" w:rsidP="00FE172C">
            <w:pPr>
              <w:jc w:val="center"/>
              <w:rPr>
                <w:rFonts w:ascii="Times New Roman" w:hAnsi="Times New Roman" w:cs="Times New Roman"/>
                <w:bCs/>
                <w:color w:val="000000"/>
                <w:sz w:val="28"/>
                <w:szCs w:val="28"/>
                <w:lang w:val="ro-MO"/>
              </w:rPr>
            </w:pPr>
            <w:r w:rsidRPr="002506AC">
              <w:rPr>
                <w:rFonts w:ascii="Times New Roman" w:hAnsi="Times New Roman" w:cs="Times New Roman"/>
                <w:bCs/>
                <w:color w:val="000000"/>
                <w:sz w:val="28"/>
                <w:szCs w:val="28"/>
                <w:lang w:val="ro-MO"/>
              </w:rPr>
              <w:t>0</w:t>
            </w:r>
          </w:p>
        </w:tc>
        <w:tc>
          <w:tcPr>
            <w:tcW w:w="2977" w:type="dxa"/>
            <w:shd w:val="clear" w:color="auto" w:fill="auto"/>
            <w:vAlign w:val="center"/>
          </w:tcPr>
          <w:p w:rsidR="00940E16" w:rsidRPr="00940E16" w:rsidRDefault="00940E16" w:rsidP="00940E16">
            <w:pPr>
              <w:jc w:val="center"/>
              <w:rPr>
                <w:rFonts w:ascii="Times New Roman" w:hAnsi="Times New Roman" w:cs="Times New Roman"/>
                <w:bCs/>
                <w:color w:val="000000"/>
                <w:sz w:val="28"/>
                <w:szCs w:val="28"/>
                <w:lang w:val="ro-MO"/>
              </w:rPr>
            </w:pPr>
            <w:r w:rsidRPr="00940E16">
              <w:rPr>
                <w:rFonts w:ascii="Times New Roman" w:hAnsi="Times New Roman" w:cs="Times New Roman"/>
                <w:bCs/>
                <w:color w:val="000000"/>
                <w:sz w:val="28"/>
                <w:szCs w:val="28"/>
                <w:lang w:val="ro-MO"/>
              </w:rPr>
              <w:t>0</w:t>
            </w:r>
          </w:p>
        </w:tc>
      </w:tr>
      <w:tr w:rsidR="00940E16" w:rsidRPr="00402130" w:rsidTr="001B0998">
        <w:tc>
          <w:tcPr>
            <w:tcW w:w="3510" w:type="dxa"/>
            <w:shd w:val="clear" w:color="auto" w:fill="auto"/>
          </w:tcPr>
          <w:p w:rsidR="00940E16" w:rsidRPr="00402130" w:rsidRDefault="00940E16" w:rsidP="008B3768">
            <w:pPr>
              <w:pStyle w:val="NormalWeb"/>
              <w:ind w:firstLine="0"/>
              <w:rPr>
                <w:rFonts w:ascii="Times New Roman" w:hAnsi="Times New Roman"/>
                <w:b/>
                <w:sz w:val="28"/>
                <w:szCs w:val="28"/>
                <w:lang w:val="ro-MO"/>
              </w:rPr>
            </w:pPr>
            <w:r w:rsidRPr="00402130">
              <w:rPr>
                <w:rFonts w:ascii="Times New Roman" w:hAnsi="Times New Roman"/>
                <w:b/>
                <w:sz w:val="28"/>
                <w:szCs w:val="28"/>
                <w:lang w:val="ro-MO"/>
              </w:rPr>
              <w:t>Total</w:t>
            </w:r>
          </w:p>
        </w:tc>
        <w:tc>
          <w:tcPr>
            <w:tcW w:w="2977" w:type="dxa"/>
            <w:shd w:val="clear" w:color="auto" w:fill="auto"/>
          </w:tcPr>
          <w:p w:rsidR="00940E16" w:rsidRPr="00402130" w:rsidRDefault="00940E16" w:rsidP="00FE172C">
            <w:pPr>
              <w:pStyle w:val="NormalWeb"/>
              <w:ind w:firstLine="0"/>
              <w:jc w:val="center"/>
              <w:rPr>
                <w:rFonts w:ascii="Times New Roman" w:hAnsi="Times New Roman"/>
                <w:b/>
                <w:sz w:val="28"/>
                <w:szCs w:val="28"/>
                <w:lang w:val="ro-MO"/>
              </w:rPr>
            </w:pPr>
            <w:r w:rsidRPr="00402130">
              <w:rPr>
                <w:rFonts w:ascii="Times New Roman" w:hAnsi="Times New Roman"/>
                <w:b/>
                <w:sz w:val="28"/>
                <w:szCs w:val="28"/>
                <w:lang w:val="ro-MO"/>
              </w:rPr>
              <w:t>896</w:t>
            </w:r>
          </w:p>
        </w:tc>
        <w:tc>
          <w:tcPr>
            <w:tcW w:w="2977" w:type="dxa"/>
            <w:shd w:val="clear" w:color="auto" w:fill="auto"/>
          </w:tcPr>
          <w:p w:rsidR="00940E16" w:rsidRPr="005A6AFA" w:rsidRDefault="00940E16" w:rsidP="00FE172C">
            <w:pPr>
              <w:pStyle w:val="NormalWeb"/>
              <w:ind w:firstLine="0"/>
              <w:jc w:val="center"/>
              <w:rPr>
                <w:rFonts w:ascii="Times New Roman" w:hAnsi="Times New Roman"/>
                <w:b/>
                <w:sz w:val="28"/>
                <w:szCs w:val="28"/>
                <w:lang w:val="ro-MO"/>
              </w:rPr>
            </w:pPr>
            <w:r>
              <w:rPr>
                <w:rFonts w:ascii="Times New Roman" w:hAnsi="Times New Roman"/>
                <w:b/>
                <w:sz w:val="28"/>
                <w:szCs w:val="28"/>
                <w:lang w:val="ro-MO"/>
              </w:rPr>
              <w:t>270</w:t>
            </w:r>
          </w:p>
        </w:tc>
      </w:tr>
    </w:tbl>
    <w:p w:rsidR="00AA363A" w:rsidRPr="00402130" w:rsidRDefault="00AA363A" w:rsidP="008B3768">
      <w:pPr>
        <w:pStyle w:val="NormalWeb"/>
        <w:rPr>
          <w:rFonts w:ascii="Times New Roman" w:hAnsi="Times New Roman"/>
          <w:b/>
          <w:sz w:val="28"/>
          <w:szCs w:val="28"/>
          <w:lang w:val="ro-MO"/>
        </w:rPr>
      </w:pPr>
    </w:p>
    <w:p w:rsidR="00E4421E" w:rsidRDefault="00C4138F" w:rsidP="00C07DCA">
      <w:pPr>
        <w:pStyle w:val="NormalWeb"/>
        <w:ind w:firstLine="142"/>
        <w:jc w:val="center"/>
        <w:rPr>
          <w:rFonts w:ascii="Times New Roman" w:hAnsi="Times New Roman"/>
          <w:sz w:val="28"/>
          <w:szCs w:val="28"/>
          <w:lang w:val="ro-MO"/>
        </w:rPr>
      </w:pPr>
      <w:r w:rsidRPr="00AD160F">
        <w:rPr>
          <w:rFonts w:ascii="Times New Roman" w:hAnsi="Times New Roman"/>
          <w:sz w:val="28"/>
          <w:szCs w:val="28"/>
          <w:lang w:val="ro-MO"/>
        </w:rPr>
        <w:t xml:space="preserve">Tabel </w:t>
      </w:r>
      <w:r w:rsidR="000541EE">
        <w:rPr>
          <w:rFonts w:ascii="Times New Roman" w:hAnsi="Times New Roman"/>
          <w:sz w:val="28"/>
          <w:szCs w:val="28"/>
          <w:lang w:val="ro-MO"/>
        </w:rPr>
        <w:t>6</w:t>
      </w:r>
      <w:r w:rsidR="00E4421E">
        <w:rPr>
          <w:rFonts w:ascii="Times New Roman" w:hAnsi="Times New Roman"/>
          <w:sz w:val="28"/>
          <w:szCs w:val="28"/>
          <w:lang w:val="ro-MO"/>
        </w:rPr>
        <w:t>. N</w:t>
      </w:r>
      <w:r w:rsidR="00B90DCD">
        <w:rPr>
          <w:rFonts w:ascii="Times New Roman" w:hAnsi="Times New Roman"/>
          <w:sz w:val="28"/>
          <w:szCs w:val="28"/>
          <w:lang w:val="ro-MO"/>
        </w:rPr>
        <w:t>umărul de UAT - uri pierzătoare la nivelul 1, în func</w:t>
      </w:r>
      <w:r w:rsidR="006F4B00">
        <w:rPr>
          <w:rFonts w:ascii="Times New Roman" w:hAnsi="Times New Roman"/>
          <w:sz w:val="28"/>
          <w:szCs w:val="28"/>
          <w:lang w:val="ro-MO"/>
        </w:rPr>
        <w:t>ţ</w:t>
      </w:r>
      <w:r w:rsidR="00B90DCD">
        <w:rPr>
          <w:rFonts w:ascii="Times New Roman" w:hAnsi="Times New Roman"/>
          <w:sz w:val="28"/>
          <w:szCs w:val="28"/>
          <w:lang w:val="ro-MO"/>
        </w:rPr>
        <w:t>ie de procentul de pierdere în buget</w:t>
      </w:r>
      <w:r w:rsidR="001C22B2">
        <w:rPr>
          <w:rFonts w:ascii="Times New Roman" w:hAnsi="Times New Roman"/>
          <w:sz w:val="28"/>
          <w:szCs w:val="28"/>
          <w:lang w:val="ro-MO"/>
        </w:rPr>
        <w:t>.</w:t>
      </w:r>
    </w:p>
    <w:p w:rsidR="007B16DF" w:rsidRPr="00875E19" w:rsidRDefault="007B16DF">
      <w:pPr>
        <w:pStyle w:val="NormalWeb"/>
        <w:ind w:firstLine="0"/>
        <w:jc w:val="left"/>
        <w:rPr>
          <w:rFonts w:ascii="Times New Roman" w:hAnsi="Times New Roman"/>
          <w:sz w:val="16"/>
          <w:szCs w:val="16"/>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2"/>
        <w:gridCol w:w="3432"/>
      </w:tblGrid>
      <w:tr w:rsidR="00414AB1" w:rsidRPr="00AD160F" w:rsidTr="00214CC5">
        <w:tc>
          <w:tcPr>
            <w:tcW w:w="3432" w:type="dxa"/>
            <w:shd w:val="clear" w:color="auto" w:fill="auto"/>
          </w:tcPr>
          <w:p w:rsidR="00414AB1" w:rsidRPr="002506AC" w:rsidRDefault="00414AB1" w:rsidP="008B3768">
            <w:pPr>
              <w:pStyle w:val="NormalWeb"/>
              <w:ind w:firstLine="0"/>
              <w:rPr>
                <w:rFonts w:ascii="Times New Roman" w:hAnsi="Times New Roman"/>
                <w:b/>
                <w:sz w:val="24"/>
                <w:szCs w:val="24"/>
                <w:lang w:val="ro-MO"/>
              </w:rPr>
            </w:pPr>
            <w:r w:rsidRPr="002506AC">
              <w:rPr>
                <w:rFonts w:ascii="Times New Roman" w:hAnsi="Times New Roman"/>
                <w:b/>
                <w:sz w:val="24"/>
                <w:szCs w:val="24"/>
                <w:lang w:val="ro-MO"/>
              </w:rPr>
              <w:t>Procent de pierdere din total buget 2010 – UAT de nivel 1</w:t>
            </w:r>
          </w:p>
        </w:tc>
        <w:tc>
          <w:tcPr>
            <w:tcW w:w="3432" w:type="dxa"/>
            <w:shd w:val="clear" w:color="auto" w:fill="auto"/>
          </w:tcPr>
          <w:p w:rsidR="00414AB1" w:rsidRPr="002506AC" w:rsidRDefault="00414AB1" w:rsidP="008B3768">
            <w:pPr>
              <w:pStyle w:val="NormalWeb"/>
              <w:ind w:firstLine="0"/>
              <w:rPr>
                <w:rFonts w:ascii="Times New Roman" w:hAnsi="Times New Roman"/>
                <w:b/>
                <w:sz w:val="24"/>
                <w:szCs w:val="24"/>
                <w:lang w:val="ro-MO"/>
              </w:rPr>
            </w:pPr>
            <w:r w:rsidRPr="002506AC">
              <w:rPr>
                <w:rFonts w:ascii="Times New Roman" w:hAnsi="Times New Roman"/>
                <w:b/>
                <w:sz w:val="24"/>
                <w:szCs w:val="24"/>
                <w:lang w:val="ro-MO"/>
              </w:rPr>
              <w:t>Număr de pierzători – rezultat în urma simulării</w:t>
            </w:r>
          </w:p>
        </w:tc>
      </w:tr>
      <w:tr w:rsidR="005A6AFA" w:rsidRPr="00AD160F" w:rsidTr="001B0998">
        <w:trPr>
          <w:trHeight w:val="339"/>
        </w:trPr>
        <w:tc>
          <w:tcPr>
            <w:tcW w:w="3432" w:type="dxa"/>
            <w:shd w:val="clear" w:color="auto" w:fill="auto"/>
          </w:tcPr>
          <w:p w:rsidR="005A6AFA" w:rsidRPr="00AD160F" w:rsidRDefault="005A6AFA"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Sub 5%</w:t>
            </w:r>
          </w:p>
        </w:tc>
        <w:tc>
          <w:tcPr>
            <w:tcW w:w="3432" w:type="dxa"/>
            <w:shd w:val="clear" w:color="auto" w:fill="auto"/>
            <w:vAlign w:val="center"/>
          </w:tcPr>
          <w:p w:rsidR="005A6AFA" w:rsidRPr="005A6AFA" w:rsidRDefault="00EE50C1" w:rsidP="00846D62">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lang w:val="ro-MO"/>
              </w:rPr>
              <w:t>48</w:t>
            </w:r>
          </w:p>
        </w:tc>
      </w:tr>
      <w:tr w:rsidR="00EE50C1" w:rsidRPr="00AD160F" w:rsidTr="001B0998">
        <w:trPr>
          <w:trHeight w:val="339"/>
        </w:trPr>
        <w:tc>
          <w:tcPr>
            <w:tcW w:w="3432" w:type="dxa"/>
            <w:shd w:val="clear" w:color="auto" w:fill="auto"/>
          </w:tcPr>
          <w:p w:rsidR="00EE50C1" w:rsidRPr="00AD160F" w:rsidRDefault="00EE50C1"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Între 5% - 10%</w:t>
            </w:r>
          </w:p>
        </w:tc>
        <w:tc>
          <w:tcPr>
            <w:tcW w:w="3432" w:type="dxa"/>
            <w:shd w:val="clear" w:color="auto" w:fill="auto"/>
            <w:vAlign w:val="center"/>
          </w:tcPr>
          <w:p w:rsidR="00EE50C1" w:rsidRPr="00EE50C1" w:rsidRDefault="00EE50C1" w:rsidP="00EE50C1">
            <w:pPr>
              <w:jc w:val="center"/>
              <w:rPr>
                <w:rFonts w:ascii="Times New Roman" w:hAnsi="Times New Roman" w:cs="Times New Roman"/>
                <w:bCs/>
                <w:color w:val="000000"/>
                <w:sz w:val="28"/>
                <w:szCs w:val="28"/>
                <w:lang w:val="ro-MO"/>
              </w:rPr>
            </w:pPr>
            <w:r w:rsidRPr="00EE50C1">
              <w:rPr>
                <w:rFonts w:ascii="Times New Roman" w:hAnsi="Times New Roman" w:cs="Times New Roman"/>
                <w:bCs/>
                <w:color w:val="000000"/>
                <w:sz w:val="28"/>
                <w:szCs w:val="28"/>
                <w:lang w:val="ro-MO"/>
              </w:rPr>
              <w:t>39</w:t>
            </w:r>
          </w:p>
        </w:tc>
      </w:tr>
      <w:tr w:rsidR="00EE50C1" w:rsidRPr="00AD160F" w:rsidTr="001B0998">
        <w:trPr>
          <w:trHeight w:val="339"/>
        </w:trPr>
        <w:tc>
          <w:tcPr>
            <w:tcW w:w="3432" w:type="dxa"/>
            <w:shd w:val="clear" w:color="auto" w:fill="auto"/>
          </w:tcPr>
          <w:p w:rsidR="00EE50C1" w:rsidRPr="00AD160F" w:rsidRDefault="00EE50C1"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Între 10% - 15%</w:t>
            </w:r>
          </w:p>
        </w:tc>
        <w:tc>
          <w:tcPr>
            <w:tcW w:w="3432" w:type="dxa"/>
            <w:shd w:val="clear" w:color="auto" w:fill="auto"/>
            <w:vAlign w:val="center"/>
          </w:tcPr>
          <w:p w:rsidR="00EE50C1" w:rsidRPr="00EE50C1" w:rsidRDefault="00EE50C1" w:rsidP="00EE50C1">
            <w:pPr>
              <w:jc w:val="center"/>
              <w:rPr>
                <w:rFonts w:ascii="Times New Roman" w:hAnsi="Times New Roman" w:cs="Times New Roman"/>
                <w:bCs/>
                <w:color w:val="000000"/>
                <w:sz w:val="28"/>
                <w:szCs w:val="28"/>
                <w:lang w:val="ro-MO"/>
              </w:rPr>
            </w:pPr>
            <w:r w:rsidRPr="00EE50C1">
              <w:rPr>
                <w:rFonts w:ascii="Times New Roman" w:hAnsi="Times New Roman" w:cs="Times New Roman"/>
                <w:bCs/>
                <w:color w:val="000000"/>
                <w:sz w:val="28"/>
                <w:szCs w:val="28"/>
                <w:lang w:val="ro-MO"/>
              </w:rPr>
              <w:t>42</w:t>
            </w:r>
          </w:p>
        </w:tc>
      </w:tr>
      <w:tr w:rsidR="00EE50C1" w:rsidRPr="00AD160F" w:rsidTr="001B0998">
        <w:trPr>
          <w:trHeight w:val="339"/>
        </w:trPr>
        <w:tc>
          <w:tcPr>
            <w:tcW w:w="3432" w:type="dxa"/>
            <w:shd w:val="clear" w:color="auto" w:fill="auto"/>
          </w:tcPr>
          <w:p w:rsidR="00EE50C1" w:rsidRPr="00AD160F" w:rsidRDefault="00EE50C1"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Între 15% - 20%</w:t>
            </w:r>
          </w:p>
        </w:tc>
        <w:tc>
          <w:tcPr>
            <w:tcW w:w="3432" w:type="dxa"/>
            <w:shd w:val="clear" w:color="auto" w:fill="auto"/>
            <w:vAlign w:val="center"/>
          </w:tcPr>
          <w:p w:rsidR="00EE50C1" w:rsidRPr="00EE50C1" w:rsidRDefault="00EE50C1" w:rsidP="00EE50C1">
            <w:pPr>
              <w:jc w:val="center"/>
              <w:rPr>
                <w:rFonts w:ascii="Times New Roman" w:hAnsi="Times New Roman" w:cs="Times New Roman"/>
                <w:bCs/>
                <w:color w:val="000000"/>
                <w:sz w:val="28"/>
                <w:szCs w:val="28"/>
                <w:lang w:val="ro-MO"/>
              </w:rPr>
            </w:pPr>
            <w:r w:rsidRPr="00EE50C1">
              <w:rPr>
                <w:rFonts w:ascii="Times New Roman" w:hAnsi="Times New Roman" w:cs="Times New Roman"/>
                <w:bCs/>
                <w:color w:val="000000"/>
                <w:sz w:val="28"/>
                <w:szCs w:val="28"/>
                <w:lang w:val="ro-MO"/>
              </w:rPr>
              <w:t>35</w:t>
            </w:r>
          </w:p>
        </w:tc>
      </w:tr>
      <w:tr w:rsidR="00EE50C1" w:rsidRPr="00AD160F" w:rsidTr="001B0998">
        <w:trPr>
          <w:trHeight w:val="339"/>
        </w:trPr>
        <w:tc>
          <w:tcPr>
            <w:tcW w:w="3432" w:type="dxa"/>
            <w:shd w:val="clear" w:color="auto" w:fill="auto"/>
          </w:tcPr>
          <w:p w:rsidR="00EE50C1" w:rsidRPr="00AD160F" w:rsidRDefault="00EE50C1"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Între 20% - 25%</w:t>
            </w:r>
          </w:p>
        </w:tc>
        <w:tc>
          <w:tcPr>
            <w:tcW w:w="3432" w:type="dxa"/>
            <w:shd w:val="clear" w:color="auto" w:fill="auto"/>
            <w:vAlign w:val="center"/>
          </w:tcPr>
          <w:p w:rsidR="00EE50C1" w:rsidRPr="00EE50C1" w:rsidRDefault="00EE50C1" w:rsidP="00EE50C1">
            <w:pPr>
              <w:jc w:val="center"/>
              <w:rPr>
                <w:rFonts w:ascii="Times New Roman" w:hAnsi="Times New Roman" w:cs="Times New Roman"/>
                <w:bCs/>
                <w:color w:val="000000"/>
                <w:sz w:val="28"/>
                <w:szCs w:val="28"/>
                <w:lang w:val="ro-MO"/>
              </w:rPr>
            </w:pPr>
            <w:r w:rsidRPr="00EE50C1">
              <w:rPr>
                <w:rFonts w:ascii="Times New Roman" w:hAnsi="Times New Roman" w:cs="Times New Roman"/>
                <w:bCs/>
                <w:color w:val="000000"/>
                <w:sz w:val="28"/>
                <w:szCs w:val="28"/>
                <w:lang w:val="ro-MO"/>
              </w:rPr>
              <w:t>31</w:t>
            </w:r>
          </w:p>
        </w:tc>
      </w:tr>
      <w:tr w:rsidR="00EE50C1" w:rsidRPr="00AD160F" w:rsidTr="001B0998">
        <w:trPr>
          <w:trHeight w:val="339"/>
        </w:trPr>
        <w:tc>
          <w:tcPr>
            <w:tcW w:w="3432" w:type="dxa"/>
            <w:shd w:val="clear" w:color="auto" w:fill="auto"/>
          </w:tcPr>
          <w:p w:rsidR="00EE50C1" w:rsidRPr="00AD160F" w:rsidRDefault="00EE50C1"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Peste 25%</w:t>
            </w:r>
          </w:p>
        </w:tc>
        <w:tc>
          <w:tcPr>
            <w:tcW w:w="3432" w:type="dxa"/>
            <w:shd w:val="clear" w:color="auto" w:fill="auto"/>
            <w:vAlign w:val="center"/>
          </w:tcPr>
          <w:p w:rsidR="00EE50C1" w:rsidRPr="00EE50C1" w:rsidRDefault="00EE50C1" w:rsidP="00EE50C1">
            <w:pPr>
              <w:jc w:val="center"/>
              <w:rPr>
                <w:rFonts w:ascii="Times New Roman" w:hAnsi="Times New Roman" w:cs="Times New Roman"/>
                <w:bCs/>
                <w:color w:val="000000"/>
                <w:sz w:val="28"/>
                <w:szCs w:val="28"/>
                <w:lang w:val="ro-MO"/>
              </w:rPr>
            </w:pPr>
            <w:r w:rsidRPr="00EE50C1">
              <w:rPr>
                <w:rFonts w:ascii="Times New Roman" w:hAnsi="Times New Roman" w:cs="Times New Roman"/>
                <w:bCs/>
                <w:color w:val="000000"/>
                <w:sz w:val="28"/>
                <w:szCs w:val="28"/>
                <w:lang w:val="ro-MO"/>
              </w:rPr>
              <w:t>75</w:t>
            </w:r>
          </w:p>
        </w:tc>
      </w:tr>
      <w:tr w:rsidR="00EE50C1" w:rsidRPr="00402130" w:rsidTr="001B0998">
        <w:trPr>
          <w:trHeight w:val="339"/>
        </w:trPr>
        <w:tc>
          <w:tcPr>
            <w:tcW w:w="3432" w:type="dxa"/>
            <w:shd w:val="clear" w:color="auto" w:fill="auto"/>
          </w:tcPr>
          <w:p w:rsidR="00EE50C1" w:rsidRPr="00402130" w:rsidRDefault="00EE50C1" w:rsidP="008B3768">
            <w:pPr>
              <w:pStyle w:val="NormalWeb"/>
              <w:ind w:firstLine="0"/>
              <w:rPr>
                <w:rFonts w:ascii="Times New Roman" w:hAnsi="Times New Roman"/>
                <w:b/>
                <w:sz w:val="28"/>
                <w:szCs w:val="28"/>
                <w:lang w:val="ro-MO"/>
              </w:rPr>
            </w:pPr>
            <w:r w:rsidRPr="00402130">
              <w:rPr>
                <w:rFonts w:ascii="Times New Roman" w:hAnsi="Times New Roman"/>
                <w:b/>
                <w:sz w:val="28"/>
                <w:szCs w:val="28"/>
                <w:lang w:val="ro-MO"/>
              </w:rPr>
              <w:t>Total</w:t>
            </w:r>
          </w:p>
        </w:tc>
        <w:tc>
          <w:tcPr>
            <w:tcW w:w="3432" w:type="dxa"/>
            <w:shd w:val="clear" w:color="auto" w:fill="auto"/>
          </w:tcPr>
          <w:p w:rsidR="00EE50C1" w:rsidRPr="00EE50C1" w:rsidRDefault="00EE50C1" w:rsidP="002506AC">
            <w:pPr>
              <w:pStyle w:val="NormalWeb"/>
              <w:ind w:firstLine="0"/>
              <w:jc w:val="center"/>
              <w:rPr>
                <w:rFonts w:ascii="Times New Roman" w:hAnsi="Times New Roman"/>
                <w:b/>
                <w:sz w:val="28"/>
                <w:szCs w:val="28"/>
                <w:lang w:val="ro-MO"/>
              </w:rPr>
            </w:pPr>
            <w:r w:rsidRPr="00EE50C1">
              <w:rPr>
                <w:rFonts w:ascii="Times New Roman" w:hAnsi="Times New Roman"/>
                <w:b/>
                <w:sz w:val="28"/>
                <w:szCs w:val="28"/>
                <w:lang w:val="ro-MO"/>
              </w:rPr>
              <w:t>270</w:t>
            </w:r>
          </w:p>
        </w:tc>
      </w:tr>
    </w:tbl>
    <w:p w:rsidR="002526B9" w:rsidRPr="002526B9" w:rsidRDefault="002526B9" w:rsidP="009F2128">
      <w:pPr>
        <w:pStyle w:val="NormalWeb"/>
        <w:ind w:firstLine="0"/>
        <w:jc w:val="right"/>
        <w:rPr>
          <w:rFonts w:ascii="Times New Roman" w:hAnsi="Times New Roman"/>
          <w:sz w:val="10"/>
          <w:szCs w:val="10"/>
          <w:lang w:val="ro-MO"/>
        </w:rPr>
      </w:pPr>
    </w:p>
    <w:p w:rsidR="00E4421E" w:rsidRDefault="00C4138F" w:rsidP="00C07DCA">
      <w:pPr>
        <w:pStyle w:val="NormalWeb"/>
        <w:ind w:firstLine="142"/>
        <w:jc w:val="center"/>
        <w:rPr>
          <w:rFonts w:ascii="Times New Roman" w:hAnsi="Times New Roman"/>
          <w:sz w:val="28"/>
          <w:szCs w:val="28"/>
          <w:lang w:val="ro-MO"/>
        </w:rPr>
      </w:pPr>
      <w:r w:rsidRPr="00AD160F">
        <w:rPr>
          <w:rFonts w:ascii="Times New Roman" w:hAnsi="Times New Roman"/>
          <w:sz w:val="28"/>
          <w:szCs w:val="28"/>
          <w:lang w:val="ro-MO"/>
        </w:rPr>
        <w:t>Tabel</w:t>
      </w:r>
      <w:r w:rsidR="00361BF7">
        <w:rPr>
          <w:rFonts w:ascii="Times New Roman" w:hAnsi="Times New Roman"/>
          <w:sz w:val="28"/>
          <w:szCs w:val="28"/>
          <w:lang w:val="ro-MO"/>
        </w:rPr>
        <w:t>ul</w:t>
      </w:r>
      <w:r w:rsidRPr="00AD160F">
        <w:rPr>
          <w:rFonts w:ascii="Times New Roman" w:hAnsi="Times New Roman"/>
          <w:sz w:val="28"/>
          <w:szCs w:val="28"/>
          <w:lang w:val="ro-MO"/>
        </w:rPr>
        <w:t xml:space="preserve"> </w:t>
      </w:r>
      <w:r w:rsidR="000541EE">
        <w:rPr>
          <w:rFonts w:ascii="Times New Roman" w:hAnsi="Times New Roman"/>
          <w:sz w:val="28"/>
          <w:szCs w:val="28"/>
          <w:lang w:val="ro-MO"/>
        </w:rPr>
        <w:t>7</w:t>
      </w:r>
      <w:r w:rsidR="001C22B2">
        <w:rPr>
          <w:rFonts w:ascii="Times New Roman" w:hAnsi="Times New Roman"/>
          <w:sz w:val="28"/>
          <w:szCs w:val="28"/>
          <w:lang w:val="ro-MO"/>
        </w:rPr>
        <w:t>. N</w:t>
      </w:r>
      <w:r w:rsidR="00B90DCD">
        <w:rPr>
          <w:rFonts w:ascii="Times New Roman" w:hAnsi="Times New Roman"/>
          <w:sz w:val="28"/>
          <w:szCs w:val="28"/>
          <w:lang w:val="ro-MO"/>
        </w:rPr>
        <w:t>umărul de UAT - uri pierzătoare la nivelul 2, în func</w:t>
      </w:r>
      <w:r w:rsidR="006F4B00">
        <w:rPr>
          <w:rFonts w:ascii="Times New Roman" w:hAnsi="Times New Roman"/>
          <w:sz w:val="28"/>
          <w:szCs w:val="28"/>
          <w:lang w:val="ro-MO"/>
        </w:rPr>
        <w:t>ţ</w:t>
      </w:r>
      <w:r w:rsidR="00B90DCD">
        <w:rPr>
          <w:rFonts w:ascii="Times New Roman" w:hAnsi="Times New Roman"/>
          <w:sz w:val="28"/>
          <w:szCs w:val="28"/>
          <w:lang w:val="ro-MO"/>
        </w:rPr>
        <w:t>ie de numărul de locuitori, pentru varianta aleasă</w:t>
      </w:r>
      <w:r w:rsidR="00361BF7">
        <w:rPr>
          <w:rFonts w:ascii="Times New Roman" w:hAnsi="Times New Roman"/>
          <w:sz w:val="28"/>
          <w:szCs w:val="28"/>
          <w:lang w:val="ro-MO"/>
        </w:rPr>
        <w:t>.</w:t>
      </w:r>
    </w:p>
    <w:p w:rsidR="00361BF7" w:rsidRPr="00875E19" w:rsidRDefault="00361BF7">
      <w:pPr>
        <w:pStyle w:val="NormalWeb"/>
        <w:ind w:firstLine="0"/>
        <w:jc w:val="left"/>
        <w:rPr>
          <w:rFonts w:ascii="Times New Roman" w:hAnsi="Times New Roman"/>
          <w:sz w:val="16"/>
          <w:szCs w:val="16"/>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693"/>
        <w:gridCol w:w="2943"/>
      </w:tblGrid>
      <w:tr w:rsidR="00C4138F" w:rsidRPr="00AD160F" w:rsidTr="001B0998">
        <w:tc>
          <w:tcPr>
            <w:tcW w:w="3936" w:type="dxa"/>
            <w:shd w:val="clear" w:color="auto" w:fill="auto"/>
          </w:tcPr>
          <w:p w:rsidR="00C4138F" w:rsidRPr="002506AC" w:rsidRDefault="00C4138F" w:rsidP="008B3768">
            <w:pPr>
              <w:pStyle w:val="NormalWeb"/>
              <w:ind w:firstLine="0"/>
              <w:rPr>
                <w:rFonts w:ascii="Times New Roman" w:hAnsi="Times New Roman"/>
                <w:b/>
                <w:sz w:val="24"/>
                <w:szCs w:val="24"/>
                <w:lang w:val="ro-MO"/>
              </w:rPr>
            </w:pPr>
            <w:r w:rsidRPr="002506AC">
              <w:rPr>
                <w:rFonts w:ascii="Times New Roman" w:hAnsi="Times New Roman"/>
                <w:b/>
                <w:sz w:val="24"/>
                <w:szCs w:val="24"/>
                <w:lang w:val="ro-MO"/>
              </w:rPr>
              <w:t>Tip de UAT de nivel 2</w:t>
            </w:r>
          </w:p>
        </w:tc>
        <w:tc>
          <w:tcPr>
            <w:tcW w:w="2693" w:type="dxa"/>
            <w:shd w:val="clear" w:color="auto" w:fill="auto"/>
          </w:tcPr>
          <w:p w:rsidR="00C4138F" w:rsidRPr="002506AC" w:rsidRDefault="00C4138F" w:rsidP="009F2128">
            <w:pPr>
              <w:pStyle w:val="NormalWeb"/>
              <w:ind w:firstLine="0"/>
              <w:jc w:val="center"/>
              <w:rPr>
                <w:rFonts w:ascii="Times New Roman" w:hAnsi="Times New Roman"/>
                <w:b/>
                <w:sz w:val="24"/>
                <w:szCs w:val="24"/>
                <w:lang w:val="ro-MO"/>
              </w:rPr>
            </w:pPr>
            <w:r w:rsidRPr="002506AC">
              <w:rPr>
                <w:rFonts w:ascii="Times New Roman" w:hAnsi="Times New Roman"/>
                <w:b/>
                <w:sz w:val="24"/>
                <w:szCs w:val="24"/>
                <w:lang w:val="ro-MO"/>
              </w:rPr>
              <w:t>Număr de UAT de nivel</w:t>
            </w:r>
            <w:r w:rsidR="009F2128" w:rsidRPr="002506AC">
              <w:rPr>
                <w:rFonts w:ascii="Times New Roman" w:hAnsi="Times New Roman"/>
                <w:b/>
                <w:sz w:val="24"/>
                <w:szCs w:val="24"/>
                <w:lang w:val="ro-MO"/>
              </w:rPr>
              <w:t>ul al doilea</w:t>
            </w:r>
          </w:p>
        </w:tc>
        <w:tc>
          <w:tcPr>
            <w:tcW w:w="2943" w:type="dxa"/>
            <w:shd w:val="clear" w:color="auto" w:fill="auto"/>
          </w:tcPr>
          <w:p w:rsidR="00C4138F" w:rsidRPr="002506AC" w:rsidRDefault="00C4138F" w:rsidP="009F2128">
            <w:pPr>
              <w:pStyle w:val="NormalWeb"/>
              <w:ind w:firstLine="0"/>
              <w:jc w:val="center"/>
              <w:rPr>
                <w:rFonts w:ascii="Times New Roman" w:hAnsi="Times New Roman"/>
                <w:b/>
                <w:sz w:val="24"/>
                <w:szCs w:val="24"/>
                <w:lang w:val="ro-MO"/>
              </w:rPr>
            </w:pPr>
            <w:r w:rsidRPr="002506AC">
              <w:rPr>
                <w:rFonts w:ascii="Times New Roman" w:hAnsi="Times New Roman"/>
                <w:b/>
                <w:sz w:val="24"/>
                <w:szCs w:val="24"/>
                <w:lang w:val="ro-MO"/>
              </w:rPr>
              <w:t>Număr de pierzători – rezultat în urma simulării</w:t>
            </w:r>
          </w:p>
        </w:tc>
      </w:tr>
      <w:tr w:rsidR="005A6AFA" w:rsidRPr="00AD160F" w:rsidTr="001B0998">
        <w:tc>
          <w:tcPr>
            <w:tcW w:w="3936" w:type="dxa"/>
            <w:shd w:val="clear" w:color="auto" w:fill="auto"/>
          </w:tcPr>
          <w:p w:rsidR="005A6AFA" w:rsidRPr="00AD160F" w:rsidRDefault="005A6AFA"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Sub 50000 locuitori</w:t>
            </w:r>
          </w:p>
        </w:tc>
        <w:tc>
          <w:tcPr>
            <w:tcW w:w="2693" w:type="dxa"/>
            <w:shd w:val="clear" w:color="auto" w:fill="auto"/>
          </w:tcPr>
          <w:p w:rsidR="005A6AFA" w:rsidRPr="002506AC" w:rsidRDefault="008D2E80" w:rsidP="009F2128">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lang w:val="ro-MO"/>
              </w:rPr>
              <w:t>5</w:t>
            </w:r>
          </w:p>
        </w:tc>
        <w:tc>
          <w:tcPr>
            <w:tcW w:w="2943" w:type="dxa"/>
            <w:shd w:val="clear" w:color="auto" w:fill="auto"/>
          </w:tcPr>
          <w:p w:rsidR="005A6AFA" w:rsidRPr="005A6AFA" w:rsidRDefault="00E26397" w:rsidP="009F2128">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rPr>
              <w:t>3</w:t>
            </w:r>
          </w:p>
        </w:tc>
      </w:tr>
      <w:tr w:rsidR="005A6AFA" w:rsidRPr="00AD160F" w:rsidTr="001B0998">
        <w:tc>
          <w:tcPr>
            <w:tcW w:w="3936" w:type="dxa"/>
            <w:shd w:val="clear" w:color="auto" w:fill="auto"/>
          </w:tcPr>
          <w:p w:rsidR="005A6AFA" w:rsidRPr="00AD160F" w:rsidRDefault="005A6AFA"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Între 50001 – 100000 locuitori</w:t>
            </w:r>
          </w:p>
        </w:tc>
        <w:tc>
          <w:tcPr>
            <w:tcW w:w="2693" w:type="dxa"/>
            <w:shd w:val="clear" w:color="auto" w:fill="auto"/>
          </w:tcPr>
          <w:p w:rsidR="005A6AFA" w:rsidRPr="002506AC" w:rsidRDefault="005A6AFA" w:rsidP="009F2128">
            <w:pPr>
              <w:jc w:val="center"/>
              <w:rPr>
                <w:rFonts w:ascii="Times New Roman" w:hAnsi="Times New Roman" w:cs="Times New Roman"/>
                <w:bCs/>
                <w:color w:val="000000"/>
                <w:sz w:val="28"/>
                <w:szCs w:val="28"/>
                <w:lang w:val="ro-MO"/>
              </w:rPr>
            </w:pPr>
            <w:r w:rsidRPr="002506AC">
              <w:rPr>
                <w:rFonts w:ascii="Times New Roman" w:hAnsi="Times New Roman" w:cs="Times New Roman"/>
                <w:bCs/>
                <w:color w:val="000000"/>
                <w:sz w:val="28"/>
                <w:szCs w:val="28"/>
                <w:lang w:val="ro-MO"/>
              </w:rPr>
              <w:t>2</w:t>
            </w:r>
            <w:r w:rsidR="008D2E80">
              <w:rPr>
                <w:rFonts w:ascii="Times New Roman" w:hAnsi="Times New Roman" w:cs="Times New Roman"/>
                <w:bCs/>
                <w:color w:val="000000"/>
                <w:sz w:val="28"/>
                <w:szCs w:val="28"/>
                <w:lang w:val="ro-MO"/>
              </w:rPr>
              <w:t>3</w:t>
            </w:r>
          </w:p>
        </w:tc>
        <w:tc>
          <w:tcPr>
            <w:tcW w:w="2943" w:type="dxa"/>
            <w:shd w:val="clear" w:color="auto" w:fill="auto"/>
          </w:tcPr>
          <w:p w:rsidR="005A6AFA" w:rsidRPr="005A6AFA" w:rsidRDefault="00E26397" w:rsidP="009F2128">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rPr>
              <w:t>11</w:t>
            </w:r>
          </w:p>
        </w:tc>
      </w:tr>
      <w:tr w:rsidR="005A6AFA" w:rsidRPr="00AD160F" w:rsidTr="001B0998">
        <w:tc>
          <w:tcPr>
            <w:tcW w:w="3936" w:type="dxa"/>
            <w:shd w:val="clear" w:color="auto" w:fill="auto"/>
          </w:tcPr>
          <w:p w:rsidR="005A6AFA" w:rsidRPr="00AD160F" w:rsidRDefault="005A6AFA" w:rsidP="008B3768">
            <w:pPr>
              <w:pStyle w:val="NormalWeb"/>
              <w:ind w:firstLine="0"/>
              <w:rPr>
                <w:rFonts w:ascii="Times New Roman" w:hAnsi="Times New Roman"/>
                <w:sz w:val="28"/>
                <w:szCs w:val="28"/>
                <w:lang w:val="ro-MO"/>
              </w:rPr>
            </w:pPr>
            <w:r w:rsidRPr="00AD160F">
              <w:rPr>
                <w:rFonts w:ascii="Times New Roman" w:hAnsi="Times New Roman"/>
                <w:sz w:val="28"/>
                <w:szCs w:val="28"/>
                <w:lang w:val="ro-MO"/>
              </w:rPr>
              <w:t>Peste 100000 locuitori</w:t>
            </w:r>
          </w:p>
        </w:tc>
        <w:tc>
          <w:tcPr>
            <w:tcW w:w="2693" w:type="dxa"/>
            <w:shd w:val="clear" w:color="auto" w:fill="auto"/>
          </w:tcPr>
          <w:p w:rsidR="005A6AFA" w:rsidRPr="002506AC" w:rsidRDefault="005A6AFA" w:rsidP="009F2128">
            <w:pPr>
              <w:jc w:val="center"/>
              <w:rPr>
                <w:rFonts w:ascii="Times New Roman" w:hAnsi="Times New Roman" w:cs="Times New Roman"/>
                <w:bCs/>
                <w:color w:val="000000"/>
                <w:sz w:val="28"/>
                <w:szCs w:val="28"/>
                <w:lang w:val="ro-MO"/>
              </w:rPr>
            </w:pPr>
            <w:r w:rsidRPr="002506AC">
              <w:rPr>
                <w:rFonts w:ascii="Times New Roman" w:hAnsi="Times New Roman" w:cs="Times New Roman"/>
                <w:bCs/>
                <w:color w:val="000000"/>
                <w:sz w:val="28"/>
                <w:szCs w:val="28"/>
                <w:lang w:val="ro-MO"/>
              </w:rPr>
              <w:t>7</w:t>
            </w:r>
          </w:p>
        </w:tc>
        <w:tc>
          <w:tcPr>
            <w:tcW w:w="2943" w:type="dxa"/>
            <w:shd w:val="clear" w:color="auto" w:fill="auto"/>
          </w:tcPr>
          <w:p w:rsidR="005A6AFA" w:rsidRPr="005A6AFA" w:rsidRDefault="00E26397" w:rsidP="009F2128">
            <w:pPr>
              <w:jc w:val="center"/>
              <w:rPr>
                <w:rFonts w:ascii="Times New Roman" w:hAnsi="Times New Roman" w:cs="Times New Roman"/>
                <w:bCs/>
                <w:color w:val="000000"/>
                <w:sz w:val="28"/>
                <w:szCs w:val="28"/>
                <w:lang w:val="ro-MO"/>
              </w:rPr>
            </w:pPr>
            <w:r>
              <w:rPr>
                <w:rFonts w:ascii="Times New Roman" w:hAnsi="Times New Roman" w:cs="Times New Roman"/>
                <w:bCs/>
                <w:color w:val="000000"/>
                <w:sz w:val="28"/>
                <w:szCs w:val="28"/>
              </w:rPr>
              <w:t>2</w:t>
            </w:r>
          </w:p>
        </w:tc>
      </w:tr>
      <w:tr w:rsidR="00C4138F" w:rsidRPr="00AD160F" w:rsidTr="001B0998">
        <w:tc>
          <w:tcPr>
            <w:tcW w:w="3936" w:type="dxa"/>
            <w:shd w:val="clear" w:color="auto" w:fill="auto"/>
          </w:tcPr>
          <w:p w:rsidR="00C4138F" w:rsidRPr="001C22B2" w:rsidRDefault="00C4138F" w:rsidP="008B3768">
            <w:pPr>
              <w:pStyle w:val="NormalWeb"/>
              <w:ind w:firstLine="0"/>
              <w:rPr>
                <w:rFonts w:ascii="Times New Roman" w:hAnsi="Times New Roman"/>
                <w:b/>
                <w:sz w:val="28"/>
                <w:szCs w:val="28"/>
                <w:lang w:val="ro-MO"/>
              </w:rPr>
            </w:pPr>
            <w:r w:rsidRPr="001C22B2">
              <w:rPr>
                <w:rFonts w:ascii="Times New Roman" w:hAnsi="Times New Roman"/>
                <w:b/>
                <w:sz w:val="28"/>
                <w:szCs w:val="28"/>
                <w:lang w:val="ro-MO"/>
              </w:rPr>
              <w:t>Total</w:t>
            </w:r>
          </w:p>
        </w:tc>
        <w:tc>
          <w:tcPr>
            <w:tcW w:w="2693" w:type="dxa"/>
            <w:shd w:val="clear" w:color="auto" w:fill="auto"/>
          </w:tcPr>
          <w:p w:rsidR="00C4138F" w:rsidRPr="001C22B2" w:rsidRDefault="00C4138F" w:rsidP="009F2128">
            <w:pPr>
              <w:jc w:val="center"/>
              <w:rPr>
                <w:rFonts w:ascii="Times New Roman" w:hAnsi="Times New Roman" w:cs="Times New Roman"/>
                <w:b/>
                <w:bCs/>
                <w:color w:val="000000"/>
                <w:sz w:val="28"/>
                <w:szCs w:val="28"/>
                <w:lang w:val="ro-MO"/>
              </w:rPr>
            </w:pPr>
            <w:r w:rsidRPr="001C22B2">
              <w:rPr>
                <w:rFonts w:ascii="Times New Roman" w:hAnsi="Times New Roman" w:cs="Times New Roman"/>
                <w:b/>
                <w:bCs/>
                <w:color w:val="000000"/>
                <w:sz w:val="28"/>
                <w:szCs w:val="28"/>
                <w:lang w:val="ro-MO"/>
              </w:rPr>
              <w:t>35</w:t>
            </w:r>
          </w:p>
        </w:tc>
        <w:tc>
          <w:tcPr>
            <w:tcW w:w="2943" w:type="dxa"/>
            <w:shd w:val="clear" w:color="auto" w:fill="auto"/>
          </w:tcPr>
          <w:p w:rsidR="00C4138F" w:rsidRPr="00E26397" w:rsidRDefault="00E26397" w:rsidP="009F2128">
            <w:pPr>
              <w:jc w:val="center"/>
              <w:rPr>
                <w:rFonts w:ascii="Times New Roman" w:hAnsi="Times New Roman" w:cs="Times New Roman"/>
                <w:b/>
                <w:bCs/>
                <w:color w:val="000000"/>
                <w:sz w:val="28"/>
                <w:szCs w:val="28"/>
                <w:lang w:val="ro-MO"/>
              </w:rPr>
            </w:pPr>
            <w:r w:rsidRPr="00E26397">
              <w:rPr>
                <w:rFonts w:ascii="Times New Roman" w:hAnsi="Times New Roman" w:cs="Times New Roman"/>
                <w:b/>
                <w:bCs/>
                <w:color w:val="000000"/>
                <w:sz w:val="28"/>
                <w:szCs w:val="28"/>
                <w:lang w:val="ro-MO"/>
              </w:rPr>
              <w:t>16</w:t>
            </w:r>
          </w:p>
        </w:tc>
      </w:tr>
    </w:tbl>
    <w:p w:rsidR="00E4421E" w:rsidRDefault="00E4421E">
      <w:pPr>
        <w:pStyle w:val="NormalWeb"/>
        <w:ind w:firstLine="0"/>
        <w:rPr>
          <w:rFonts w:ascii="Times New Roman" w:hAnsi="Times New Roman"/>
          <w:sz w:val="28"/>
          <w:szCs w:val="28"/>
          <w:lang w:val="ro-MO"/>
        </w:rPr>
      </w:pPr>
    </w:p>
    <w:p w:rsidR="00E4421E" w:rsidRDefault="00BC76AE" w:rsidP="00C07DCA">
      <w:pPr>
        <w:pStyle w:val="NormalWeb"/>
        <w:ind w:firstLine="0"/>
        <w:jc w:val="center"/>
        <w:rPr>
          <w:rFonts w:ascii="Times New Roman" w:hAnsi="Times New Roman"/>
          <w:sz w:val="28"/>
          <w:szCs w:val="28"/>
          <w:lang w:val="ro-MO"/>
        </w:rPr>
      </w:pPr>
      <w:r w:rsidRPr="00AD160F">
        <w:rPr>
          <w:rFonts w:ascii="Times New Roman" w:hAnsi="Times New Roman"/>
          <w:sz w:val="28"/>
          <w:szCs w:val="28"/>
          <w:lang w:val="ro-MO"/>
        </w:rPr>
        <w:t>Tabel</w:t>
      </w:r>
      <w:r w:rsidR="00361BF7">
        <w:rPr>
          <w:rFonts w:ascii="Times New Roman" w:hAnsi="Times New Roman"/>
          <w:sz w:val="28"/>
          <w:szCs w:val="28"/>
          <w:lang w:val="ro-MO"/>
        </w:rPr>
        <w:t>ul</w:t>
      </w:r>
      <w:r w:rsidR="000541EE">
        <w:rPr>
          <w:rFonts w:ascii="Times New Roman" w:hAnsi="Times New Roman"/>
          <w:sz w:val="28"/>
          <w:szCs w:val="28"/>
          <w:lang w:val="ro-MO"/>
        </w:rPr>
        <w:t xml:space="preserve"> 8</w:t>
      </w:r>
      <w:r w:rsidR="000A33D0">
        <w:rPr>
          <w:rFonts w:ascii="Times New Roman" w:hAnsi="Times New Roman"/>
          <w:sz w:val="28"/>
          <w:szCs w:val="28"/>
          <w:lang w:val="ro-MO"/>
        </w:rPr>
        <w:t>. E</w:t>
      </w:r>
      <w:r w:rsidR="00B90DCD">
        <w:rPr>
          <w:rFonts w:ascii="Times New Roman" w:hAnsi="Times New Roman"/>
          <w:sz w:val="28"/>
          <w:szCs w:val="28"/>
          <w:lang w:val="ro-MO"/>
        </w:rPr>
        <w:t>volu</w:t>
      </w:r>
      <w:r w:rsidR="006F4B00">
        <w:rPr>
          <w:rFonts w:ascii="Times New Roman" w:hAnsi="Times New Roman"/>
          <w:sz w:val="28"/>
          <w:szCs w:val="28"/>
          <w:lang w:val="ro-MO"/>
        </w:rPr>
        <w:t>ţ</w:t>
      </w:r>
      <w:r w:rsidR="00B90DCD">
        <w:rPr>
          <w:rFonts w:ascii="Times New Roman" w:hAnsi="Times New Roman"/>
          <w:sz w:val="28"/>
          <w:szCs w:val="28"/>
          <w:lang w:val="ro-MO"/>
        </w:rPr>
        <w:t>ia indicatorilor de autonomie financiară</w:t>
      </w:r>
      <w:r w:rsidR="002D74E2">
        <w:rPr>
          <w:rFonts w:ascii="Times New Roman" w:hAnsi="Times New Roman"/>
          <w:sz w:val="28"/>
          <w:szCs w:val="28"/>
          <w:lang w:val="ro-MO"/>
        </w:rPr>
        <w:t xml:space="preserve"> (%).</w:t>
      </w:r>
    </w:p>
    <w:tbl>
      <w:tblPr>
        <w:tblStyle w:val="TableGrid"/>
        <w:tblW w:w="9654" w:type="dxa"/>
        <w:tblLayout w:type="fixed"/>
        <w:tblLook w:val="04A0"/>
      </w:tblPr>
      <w:tblGrid>
        <w:gridCol w:w="1201"/>
        <w:gridCol w:w="1408"/>
        <w:gridCol w:w="1409"/>
        <w:gridCol w:w="1409"/>
        <w:gridCol w:w="1409"/>
        <w:gridCol w:w="1409"/>
        <w:gridCol w:w="1409"/>
      </w:tblGrid>
      <w:tr w:rsidR="002D74E2" w:rsidRPr="002D74E2" w:rsidTr="00C07DCA">
        <w:trPr>
          <w:trHeight w:val="801"/>
        </w:trPr>
        <w:tc>
          <w:tcPr>
            <w:tcW w:w="1201" w:type="dxa"/>
            <w:hideMark/>
          </w:tcPr>
          <w:p w:rsidR="002D74E2" w:rsidRPr="002D74E2" w:rsidRDefault="002D74E2" w:rsidP="002D74E2">
            <w:pPr>
              <w:pStyle w:val="NormalWeb"/>
              <w:rPr>
                <w:rFonts w:ascii="Times New Roman" w:hAnsi="Times New Roman"/>
                <w:sz w:val="28"/>
                <w:szCs w:val="28"/>
              </w:rPr>
            </w:pPr>
          </w:p>
        </w:tc>
        <w:tc>
          <w:tcPr>
            <w:tcW w:w="2817" w:type="dxa"/>
            <w:gridSpan w:val="2"/>
            <w:hideMark/>
          </w:tcPr>
          <w:p w:rsidR="002D74E2" w:rsidRPr="002D74E2" w:rsidRDefault="002D74E2" w:rsidP="002D74E2">
            <w:pPr>
              <w:pStyle w:val="NormalWeb"/>
              <w:ind w:firstLine="0"/>
              <w:jc w:val="center"/>
              <w:rPr>
                <w:rFonts w:ascii="Times New Roman" w:hAnsi="Times New Roman"/>
                <w:b/>
                <w:bCs/>
                <w:sz w:val="24"/>
                <w:szCs w:val="24"/>
                <w:lang w:val="ro-RO"/>
              </w:rPr>
            </w:pPr>
          </w:p>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Ponderea veniturilor proprii</w:t>
            </w:r>
          </w:p>
        </w:tc>
        <w:tc>
          <w:tcPr>
            <w:tcW w:w="2818" w:type="dxa"/>
            <w:gridSpan w:val="2"/>
            <w:hideMark/>
          </w:tcPr>
          <w:p w:rsidR="002D74E2" w:rsidRPr="002D74E2" w:rsidRDefault="002D74E2" w:rsidP="002D74E2">
            <w:pPr>
              <w:pStyle w:val="NormalWeb"/>
              <w:jc w:val="center"/>
              <w:rPr>
                <w:rFonts w:ascii="Times New Roman" w:hAnsi="Times New Roman"/>
                <w:b/>
                <w:bCs/>
                <w:sz w:val="24"/>
                <w:szCs w:val="24"/>
                <w:lang w:val="ro-RO"/>
              </w:rPr>
            </w:pPr>
          </w:p>
          <w:p w:rsidR="002D74E2" w:rsidRPr="002D74E2" w:rsidRDefault="002D74E2" w:rsidP="002D74E2">
            <w:pPr>
              <w:pStyle w:val="NormalWeb"/>
              <w:ind w:firstLine="0"/>
              <w:jc w:val="center"/>
              <w:rPr>
                <w:rFonts w:ascii="Times New Roman" w:hAnsi="Times New Roman"/>
                <w:b/>
                <w:bCs/>
                <w:sz w:val="24"/>
                <w:szCs w:val="24"/>
                <w:lang w:val="ro-RO"/>
              </w:rPr>
            </w:pPr>
            <w:r w:rsidRPr="002D74E2">
              <w:rPr>
                <w:rFonts w:ascii="Times New Roman" w:hAnsi="Times New Roman"/>
                <w:b/>
                <w:bCs/>
                <w:sz w:val="24"/>
                <w:szCs w:val="24"/>
                <w:lang w:val="ro-RO"/>
              </w:rPr>
              <w:t>Ponderea veniturilor autonome</w:t>
            </w:r>
          </w:p>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sz w:val="24"/>
                <w:szCs w:val="24"/>
                <w:lang w:val="ro-RO"/>
              </w:rPr>
              <w:t xml:space="preserve"> </w:t>
            </w:r>
            <w:r w:rsidRPr="002D74E2">
              <w:rPr>
                <w:rFonts w:ascii="Times New Roman" w:hAnsi="Times New Roman"/>
                <w:b/>
                <w:bCs/>
                <w:sz w:val="24"/>
                <w:szCs w:val="24"/>
                <w:lang w:val="ro-RO"/>
              </w:rPr>
              <w:t>(partajate)</w:t>
            </w:r>
          </w:p>
        </w:tc>
        <w:tc>
          <w:tcPr>
            <w:tcW w:w="2818" w:type="dxa"/>
            <w:gridSpan w:val="2"/>
            <w:hideMark/>
          </w:tcPr>
          <w:p w:rsidR="002D74E2" w:rsidRPr="002D74E2" w:rsidRDefault="002D74E2" w:rsidP="002D74E2">
            <w:pPr>
              <w:pStyle w:val="NormalWeb"/>
              <w:ind w:firstLine="0"/>
              <w:jc w:val="center"/>
              <w:rPr>
                <w:rFonts w:ascii="Times New Roman" w:hAnsi="Times New Roman"/>
                <w:b/>
                <w:bCs/>
                <w:sz w:val="24"/>
                <w:szCs w:val="24"/>
              </w:rPr>
            </w:pPr>
            <w:r w:rsidRPr="002D74E2">
              <w:rPr>
                <w:rFonts w:ascii="Times New Roman" w:hAnsi="Times New Roman"/>
                <w:b/>
                <w:bCs/>
                <w:sz w:val="24"/>
                <w:szCs w:val="24"/>
                <w:lang w:val="ro-RO"/>
              </w:rPr>
              <w:t xml:space="preserve">Ponderea veniturilor cu destinație generală </w:t>
            </w:r>
            <w:r w:rsidRPr="002D74E2">
              <w:rPr>
                <w:rFonts w:ascii="Times New Roman" w:hAnsi="Times New Roman"/>
                <w:b/>
                <w:bCs/>
                <w:sz w:val="24"/>
                <w:szCs w:val="24"/>
              </w:rPr>
              <w:t xml:space="preserve"> </w:t>
            </w:r>
          </w:p>
          <w:p w:rsidR="0019539F" w:rsidRPr="002D74E2" w:rsidRDefault="002D74E2" w:rsidP="002D74E2">
            <w:pPr>
              <w:pStyle w:val="NormalWeb"/>
              <w:ind w:firstLine="0"/>
              <w:jc w:val="center"/>
              <w:rPr>
                <w:rFonts w:ascii="Times New Roman" w:hAnsi="Times New Roman"/>
                <w:sz w:val="24"/>
                <w:szCs w:val="24"/>
              </w:rPr>
            </w:pPr>
            <w:r w:rsidRPr="002D74E2">
              <w:rPr>
                <w:rFonts w:ascii="Times New Roman" w:hAnsi="Times New Roman"/>
                <w:b/>
                <w:bCs/>
                <w:sz w:val="24"/>
                <w:szCs w:val="24"/>
                <w:lang w:val="ro-RO"/>
              </w:rPr>
              <w:t>(cu transferuri pentru echilibrare)</w:t>
            </w:r>
          </w:p>
        </w:tc>
      </w:tr>
      <w:tr w:rsidR="002D74E2" w:rsidRPr="002D74E2" w:rsidTr="00C07DCA">
        <w:trPr>
          <w:trHeight w:val="689"/>
        </w:trPr>
        <w:tc>
          <w:tcPr>
            <w:tcW w:w="1201" w:type="dxa"/>
            <w:hideMark/>
          </w:tcPr>
          <w:p w:rsidR="002D74E2" w:rsidRPr="002D74E2" w:rsidRDefault="002D74E2" w:rsidP="002D74E2">
            <w:pPr>
              <w:pStyle w:val="NormalWeb"/>
              <w:rPr>
                <w:rFonts w:ascii="Times New Roman" w:hAnsi="Times New Roman"/>
                <w:sz w:val="28"/>
                <w:szCs w:val="28"/>
              </w:rPr>
            </w:pPr>
          </w:p>
        </w:tc>
        <w:tc>
          <w:tcPr>
            <w:tcW w:w="1408" w:type="dxa"/>
            <w:hideMark/>
          </w:tcPr>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în condițiile existente</w:t>
            </w:r>
          </w:p>
        </w:tc>
        <w:tc>
          <w:tcPr>
            <w:tcW w:w="1409" w:type="dxa"/>
            <w:hideMark/>
          </w:tcPr>
          <w:p w:rsidR="002D74E2"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în condițiile</w:t>
            </w:r>
          </w:p>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noi</w:t>
            </w:r>
          </w:p>
        </w:tc>
        <w:tc>
          <w:tcPr>
            <w:tcW w:w="1409" w:type="dxa"/>
            <w:hideMark/>
          </w:tcPr>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în condițiile existente</w:t>
            </w:r>
          </w:p>
        </w:tc>
        <w:tc>
          <w:tcPr>
            <w:tcW w:w="1409" w:type="dxa"/>
            <w:hideMark/>
          </w:tcPr>
          <w:p w:rsidR="002D74E2"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în condițiile</w:t>
            </w:r>
          </w:p>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noi</w:t>
            </w:r>
          </w:p>
        </w:tc>
        <w:tc>
          <w:tcPr>
            <w:tcW w:w="1409" w:type="dxa"/>
            <w:hideMark/>
          </w:tcPr>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în condițiile existente</w:t>
            </w:r>
          </w:p>
        </w:tc>
        <w:tc>
          <w:tcPr>
            <w:tcW w:w="1409" w:type="dxa"/>
            <w:hideMark/>
          </w:tcPr>
          <w:p w:rsidR="002D74E2"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în condițiile</w:t>
            </w:r>
          </w:p>
          <w:p w:rsidR="0019539F" w:rsidRPr="002D74E2" w:rsidRDefault="002D74E2" w:rsidP="002D74E2">
            <w:pPr>
              <w:pStyle w:val="NormalWeb"/>
              <w:ind w:firstLine="0"/>
              <w:jc w:val="center"/>
              <w:rPr>
                <w:rFonts w:ascii="Times New Roman" w:hAnsi="Times New Roman"/>
                <w:sz w:val="24"/>
                <w:szCs w:val="24"/>
                <w:lang w:val="ru-RU"/>
              </w:rPr>
            </w:pPr>
            <w:r w:rsidRPr="002D74E2">
              <w:rPr>
                <w:rFonts w:ascii="Times New Roman" w:hAnsi="Times New Roman"/>
                <w:b/>
                <w:bCs/>
                <w:sz w:val="24"/>
                <w:szCs w:val="24"/>
                <w:lang w:val="ro-RO"/>
              </w:rPr>
              <w:t>noi</w:t>
            </w:r>
          </w:p>
        </w:tc>
      </w:tr>
      <w:tr w:rsidR="002D74E2" w:rsidRPr="002D74E2" w:rsidTr="002D74E2">
        <w:trPr>
          <w:trHeight w:val="717"/>
        </w:trPr>
        <w:tc>
          <w:tcPr>
            <w:tcW w:w="1201" w:type="dxa"/>
            <w:hideMark/>
          </w:tcPr>
          <w:p w:rsidR="0019539F" w:rsidRPr="002D74E2" w:rsidRDefault="002D74E2" w:rsidP="002D74E2">
            <w:pPr>
              <w:pStyle w:val="NormalWeb"/>
              <w:ind w:firstLine="0"/>
              <w:jc w:val="left"/>
              <w:rPr>
                <w:rFonts w:ascii="Times New Roman" w:hAnsi="Times New Roman"/>
                <w:sz w:val="28"/>
                <w:szCs w:val="28"/>
                <w:lang w:val="ru-RU"/>
              </w:rPr>
            </w:pPr>
            <w:r w:rsidRPr="002D74E2">
              <w:rPr>
                <w:rFonts w:ascii="Times New Roman" w:hAnsi="Times New Roman"/>
                <w:sz w:val="28"/>
                <w:szCs w:val="28"/>
                <w:lang w:val="ro-RO"/>
              </w:rPr>
              <w:t>UAT 2</w:t>
            </w:r>
            <w:r w:rsidRPr="002D74E2">
              <w:rPr>
                <w:rFonts w:ascii="Times New Roman" w:hAnsi="Times New Roman"/>
                <w:b/>
                <w:bCs/>
                <w:sz w:val="28"/>
                <w:szCs w:val="28"/>
              </w:rPr>
              <w:t xml:space="preserve"> </w:t>
            </w:r>
          </w:p>
        </w:tc>
        <w:tc>
          <w:tcPr>
            <w:tcW w:w="1408" w:type="dxa"/>
            <w:hideMark/>
          </w:tcPr>
          <w:p w:rsidR="0019539F" w:rsidRPr="00C07DCA" w:rsidRDefault="002D74E2" w:rsidP="002D74E2">
            <w:pPr>
              <w:pStyle w:val="NormalWeb"/>
              <w:jc w:val="right"/>
              <w:rPr>
                <w:rFonts w:ascii="Times New Roman" w:hAnsi="Times New Roman"/>
                <w:sz w:val="28"/>
                <w:szCs w:val="28"/>
                <w:lang w:val="ru-RU"/>
              </w:rPr>
            </w:pPr>
            <w:r w:rsidRPr="00C07DCA">
              <w:rPr>
                <w:rFonts w:ascii="Times New Roman" w:hAnsi="Times New Roman"/>
                <w:bCs/>
                <w:sz w:val="28"/>
                <w:szCs w:val="28"/>
                <w:lang w:val="ro-RO"/>
              </w:rPr>
              <w:t xml:space="preserve">   </w:t>
            </w:r>
            <w:r w:rsidRPr="00C07DCA">
              <w:rPr>
                <w:rFonts w:ascii="Times New Roman" w:hAnsi="Times New Roman"/>
                <w:bCs/>
                <w:sz w:val="28"/>
                <w:szCs w:val="28"/>
              </w:rPr>
              <w:t>4.9</w:t>
            </w:r>
            <w:r w:rsidRPr="00C07DCA">
              <w:rPr>
                <w:rFonts w:ascii="Times New Roman" w:hAnsi="Times New Roman"/>
                <w:bCs/>
                <w:sz w:val="28"/>
                <w:szCs w:val="28"/>
                <w:lang w:val="ro-RO"/>
              </w:rPr>
              <w:t>8</w:t>
            </w:r>
            <w:r w:rsidRPr="00C07DCA">
              <w:rPr>
                <w:rFonts w:ascii="Times New Roman" w:hAnsi="Times New Roman"/>
                <w:bCs/>
                <w:sz w:val="28"/>
                <w:szCs w:val="28"/>
              </w:rPr>
              <w:t xml:space="preserve"> </w:t>
            </w:r>
          </w:p>
        </w:tc>
        <w:tc>
          <w:tcPr>
            <w:tcW w:w="1409" w:type="dxa"/>
            <w:hideMark/>
          </w:tcPr>
          <w:p w:rsidR="002D74E2" w:rsidRPr="00C07DCA" w:rsidRDefault="002D74E2" w:rsidP="002D74E2">
            <w:pPr>
              <w:pStyle w:val="NormalWeb"/>
              <w:ind w:firstLine="0"/>
              <w:jc w:val="right"/>
              <w:rPr>
                <w:rFonts w:ascii="Times New Roman" w:hAnsi="Times New Roman"/>
                <w:bCs/>
                <w:sz w:val="28"/>
                <w:szCs w:val="28"/>
                <w:lang w:val="ro-RO"/>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lang w:val="ro-RO"/>
              </w:rPr>
              <w:t xml:space="preserve">10.59 </w:t>
            </w:r>
          </w:p>
        </w:tc>
        <w:tc>
          <w:tcPr>
            <w:tcW w:w="1409" w:type="dxa"/>
            <w:hideMark/>
          </w:tcPr>
          <w:p w:rsidR="002D74E2" w:rsidRPr="00C07DCA" w:rsidRDefault="002D74E2" w:rsidP="002D74E2">
            <w:pPr>
              <w:pStyle w:val="NormalWeb"/>
              <w:jc w:val="right"/>
              <w:rPr>
                <w:rFonts w:ascii="Times New Roman" w:hAnsi="Times New Roman"/>
                <w:bCs/>
                <w:sz w:val="28"/>
                <w:szCs w:val="28"/>
                <w:lang w:val="ro-RO"/>
              </w:rPr>
            </w:pPr>
          </w:p>
          <w:p w:rsidR="0019539F" w:rsidRPr="00C07DCA" w:rsidRDefault="002D74E2" w:rsidP="002D74E2">
            <w:pPr>
              <w:pStyle w:val="NormalWeb"/>
              <w:jc w:val="right"/>
              <w:rPr>
                <w:rFonts w:ascii="Times New Roman" w:hAnsi="Times New Roman"/>
                <w:sz w:val="28"/>
                <w:szCs w:val="28"/>
                <w:lang w:val="ru-RU"/>
              </w:rPr>
            </w:pPr>
            <w:r w:rsidRPr="00C07DCA">
              <w:rPr>
                <w:rFonts w:ascii="Times New Roman" w:hAnsi="Times New Roman"/>
                <w:bCs/>
                <w:sz w:val="28"/>
                <w:szCs w:val="28"/>
                <w:lang w:val="ro-RO"/>
              </w:rPr>
              <w:t>4.98</w:t>
            </w:r>
            <w:r w:rsidRPr="00C07DCA">
              <w:rPr>
                <w:rFonts w:ascii="Times New Roman" w:hAnsi="Times New Roman"/>
                <w:bCs/>
                <w:sz w:val="28"/>
                <w:szCs w:val="28"/>
              </w:rPr>
              <w:t xml:space="preserve"> </w:t>
            </w:r>
          </w:p>
        </w:tc>
        <w:tc>
          <w:tcPr>
            <w:tcW w:w="1409" w:type="dxa"/>
            <w:hideMark/>
          </w:tcPr>
          <w:p w:rsidR="002D74E2" w:rsidRPr="00C07DCA" w:rsidRDefault="002D74E2" w:rsidP="002D74E2">
            <w:pPr>
              <w:pStyle w:val="NormalWeb"/>
              <w:ind w:firstLine="0"/>
              <w:jc w:val="right"/>
              <w:rPr>
                <w:rFonts w:ascii="Times New Roman" w:hAnsi="Times New Roman"/>
                <w:bCs/>
                <w:sz w:val="28"/>
                <w:szCs w:val="28"/>
                <w:lang w:val="ro-RO"/>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lang w:val="ro-RO"/>
              </w:rPr>
              <w:t>14.68</w:t>
            </w:r>
            <w:r w:rsidRPr="00C07DCA">
              <w:rPr>
                <w:rFonts w:ascii="Times New Roman" w:hAnsi="Times New Roman"/>
                <w:bCs/>
                <w:sz w:val="28"/>
                <w:szCs w:val="28"/>
              </w:rPr>
              <w:t xml:space="preserve"> </w:t>
            </w:r>
          </w:p>
        </w:tc>
        <w:tc>
          <w:tcPr>
            <w:tcW w:w="1409" w:type="dxa"/>
            <w:hideMark/>
          </w:tcPr>
          <w:p w:rsidR="002D74E2" w:rsidRPr="00C07DCA" w:rsidRDefault="002D74E2" w:rsidP="002D74E2">
            <w:pPr>
              <w:pStyle w:val="NormalWeb"/>
              <w:ind w:firstLine="0"/>
              <w:jc w:val="right"/>
              <w:rPr>
                <w:rFonts w:ascii="Times New Roman" w:hAnsi="Times New Roman"/>
                <w:bCs/>
                <w:sz w:val="28"/>
                <w:szCs w:val="28"/>
                <w:lang w:val="ro-RO"/>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lang w:val="ro-RO"/>
              </w:rPr>
              <w:t>4.98</w:t>
            </w:r>
            <w:r w:rsidRPr="00C07DCA">
              <w:rPr>
                <w:rFonts w:ascii="Times New Roman" w:hAnsi="Times New Roman"/>
                <w:bCs/>
                <w:sz w:val="28"/>
                <w:szCs w:val="28"/>
              </w:rPr>
              <w:t xml:space="preserve"> </w:t>
            </w:r>
          </w:p>
        </w:tc>
        <w:tc>
          <w:tcPr>
            <w:tcW w:w="1409" w:type="dxa"/>
            <w:hideMark/>
          </w:tcPr>
          <w:p w:rsidR="002D74E2" w:rsidRPr="00C07DCA" w:rsidRDefault="002D74E2" w:rsidP="002D74E2">
            <w:pPr>
              <w:pStyle w:val="NormalWeb"/>
              <w:ind w:firstLine="0"/>
              <w:jc w:val="right"/>
              <w:rPr>
                <w:rFonts w:ascii="Times New Roman" w:hAnsi="Times New Roman"/>
                <w:bCs/>
                <w:sz w:val="28"/>
                <w:szCs w:val="28"/>
                <w:lang w:val="ro-RO"/>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lang w:val="ro-RO"/>
              </w:rPr>
              <w:t>36.88</w:t>
            </w:r>
            <w:r w:rsidRPr="00C07DCA">
              <w:rPr>
                <w:rFonts w:ascii="Times New Roman" w:hAnsi="Times New Roman"/>
                <w:bCs/>
                <w:sz w:val="28"/>
                <w:szCs w:val="28"/>
              </w:rPr>
              <w:t xml:space="preserve"> </w:t>
            </w:r>
          </w:p>
        </w:tc>
      </w:tr>
      <w:tr w:rsidR="002D74E2" w:rsidRPr="002D74E2" w:rsidTr="002D74E2">
        <w:trPr>
          <w:trHeight w:val="814"/>
        </w:trPr>
        <w:tc>
          <w:tcPr>
            <w:tcW w:w="1201" w:type="dxa"/>
            <w:hideMark/>
          </w:tcPr>
          <w:p w:rsidR="0019539F" w:rsidRPr="002D74E2" w:rsidRDefault="002D74E2" w:rsidP="002D74E2">
            <w:pPr>
              <w:pStyle w:val="NormalWeb"/>
              <w:ind w:firstLine="0"/>
              <w:jc w:val="left"/>
              <w:rPr>
                <w:rFonts w:ascii="Times New Roman" w:hAnsi="Times New Roman"/>
                <w:sz w:val="28"/>
                <w:szCs w:val="28"/>
                <w:lang w:val="ru-RU"/>
              </w:rPr>
            </w:pPr>
            <w:r w:rsidRPr="002D74E2">
              <w:rPr>
                <w:rFonts w:ascii="Times New Roman" w:hAnsi="Times New Roman"/>
                <w:sz w:val="28"/>
                <w:szCs w:val="28"/>
                <w:lang w:val="ro-RO"/>
              </w:rPr>
              <w:t>UAT 1</w:t>
            </w:r>
            <w:r w:rsidRPr="002D74E2">
              <w:rPr>
                <w:rFonts w:ascii="Times New Roman" w:hAnsi="Times New Roman"/>
                <w:b/>
                <w:bCs/>
                <w:sz w:val="28"/>
                <w:szCs w:val="28"/>
              </w:rPr>
              <w:t xml:space="preserve"> </w:t>
            </w:r>
          </w:p>
        </w:tc>
        <w:tc>
          <w:tcPr>
            <w:tcW w:w="1408" w:type="dxa"/>
            <w:hideMark/>
          </w:tcPr>
          <w:p w:rsidR="002D74E2" w:rsidRPr="00C07DCA" w:rsidRDefault="002D74E2" w:rsidP="002D74E2">
            <w:pPr>
              <w:pStyle w:val="NormalWeb"/>
              <w:jc w:val="right"/>
              <w:rPr>
                <w:rFonts w:ascii="Times New Roman" w:hAnsi="Times New Roman"/>
                <w:bCs/>
                <w:sz w:val="28"/>
                <w:szCs w:val="28"/>
              </w:rPr>
            </w:pPr>
          </w:p>
          <w:p w:rsidR="0019539F" w:rsidRPr="00C07DCA" w:rsidRDefault="002D74E2" w:rsidP="002D74E2">
            <w:pPr>
              <w:pStyle w:val="NormalWeb"/>
              <w:jc w:val="right"/>
              <w:rPr>
                <w:rFonts w:ascii="Times New Roman" w:hAnsi="Times New Roman"/>
                <w:sz w:val="28"/>
                <w:szCs w:val="28"/>
                <w:lang w:val="ru-RU"/>
              </w:rPr>
            </w:pPr>
            <w:r w:rsidRPr="00C07DCA">
              <w:rPr>
                <w:rFonts w:ascii="Times New Roman" w:hAnsi="Times New Roman"/>
                <w:bCs/>
                <w:sz w:val="28"/>
                <w:szCs w:val="28"/>
              </w:rPr>
              <w:t xml:space="preserve">2.76 </w:t>
            </w:r>
          </w:p>
        </w:tc>
        <w:tc>
          <w:tcPr>
            <w:tcW w:w="1409" w:type="dxa"/>
            <w:hideMark/>
          </w:tcPr>
          <w:p w:rsidR="002D74E2" w:rsidRPr="00C07DCA" w:rsidRDefault="002D74E2" w:rsidP="002D74E2">
            <w:pPr>
              <w:pStyle w:val="NormalWeb"/>
              <w:ind w:firstLine="0"/>
              <w:jc w:val="right"/>
              <w:rPr>
                <w:rFonts w:ascii="Times New Roman" w:hAnsi="Times New Roman"/>
                <w:bCs/>
                <w:sz w:val="28"/>
                <w:szCs w:val="28"/>
                <w:lang w:val="ro-RO"/>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lang w:val="ro-RO"/>
              </w:rPr>
              <w:t>10.08</w:t>
            </w:r>
            <w:r w:rsidRPr="00C07DCA">
              <w:rPr>
                <w:rFonts w:ascii="Times New Roman" w:hAnsi="Times New Roman"/>
                <w:bCs/>
                <w:sz w:val="28"/>
                <w:szCs w:val="28"/>
              </w:rPr>
              <w:t xml:space="preserve"> </w:t>
            </w:r>
          </w:p>
        </w:tc>
        <w:tc>
          <w:tcPr>
            <w:tcW w:w="1409" w:type="dxa"/>
            <w:hideMark/>
          </w:tcPr>
          <w:p w:rsidR="002D74E2" w:rsidRPr="00C07DCA" w:rsidRDefault="002D74E2" w:rsidP="002D74E2">
            <w:pPr>
              <w:pStyle w:val="NormalWeb"/>
              <w:jc w:val="right"/>
              <w:rPr>
                <w:rFonts w:ascii="Times New Roman" w:hAnsi="Times New Roman"/>
                <w:bCs/>
                <w:sz w:val="28"/>
                <w:szCs w:val="28"/>
              </w:rPr>
            </w:pPr>
          </w:p>
          <w:p w:rsidR="0019539F" w:rsidRPr="00C07DCA" w:rsidRDefault="002D74E2" w:rsidP="002D74E2">
            <w:pPr>
              <w:pStyle w:val="NormalWeb"/>
              <w:jc w:val="right"/>
              <w:rPr>
                <w:rFonts w:ascii="Times New Roman" w:hAnsi="Times New Roman"/>
                <w:sz w:val="28"/>
                <w:szCs w:val="28"/>
                <w:lang w:val="ru-RU"/>
              </w:rPr>
            </w:pPr>
            <w:r w:rsidRPr="00C07DCA">
              <w:rPr>
                <w:rFonts w:ascii="Times New Roman" w:hAnsi="Times New Roman"/>
                <w:bCs/>
                <w:sz w:val="28"/>
                <w:szCs w:val="28"/>
              </w:rPr>
              <w:t xml:space="preserve">2.76 </w:t>
            </w:r>
          </w:p>
        </w:tc>
        <w:tc>
          <w:tcPr>
            <w:tcW w:w="1409" w:type="dxa"/>
            <w:hideMark/>
          </w:tcPr>
          <w:p w:rsidR="002D74E2" w:rsidRPr="00C07DCA" w:rsidRDefault="002D74E2" w:rsidP="002D74E2">
            <w:pPr>
              <w:pStyle w:val="NormalWeb"/>
              <w:ind w:firstLine="0"/>
              <w:jc w:val="right"/>
              <w:rPr>
                <w:rFonts w:ascii="Times New Roman" w:hAnsi="Times New Roman"/>
                <w:bCs/>
                <w:sz w:val="28"/>
                <w:szCs w:val="28"/>
                <w:lang w:val="ro-RO"/>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lang w:val="ro-RO"/>
              </w:rPr>
              <w:t>14.87</w:t>
            </w:r>
            <w:r w:rsidRPr="00C07DCA">
              <w:rPr>
                <w:rFonts w:ascii="Times New Roman" w:hAnsi="Times New Roman"/>
                <w:bCs/>
                <w:sz w:val="28"/>
                <w:szCs w:val="28"/>
              </w:rPr>
              <w:t xml:space="preserve"> </w:t>
            </w:r>
          </w:p>
        </w:tc>
        <w:tc>
          <w:tcPr>
            <w:tcW w:w="1409" w:type="dxa"/>
            <w:hideMark/>
          </w:tcPr>
          <w:p w:rsidR="002D74E2" w:rsidRPr="00C07DCA" w:rsidRDefault="002D74E2" w:rsidP="002D74E2">
            <w:pPr>
              <w:pStyle w:val="NormalWeb"/>
              <w:ind w:firstLine="0"/>
              <w:jc w:val="right"/>
              <w:rPr>
                <w:rFonts w:ascii="Times New Roman" w:hAnsi="Times New Roman"/>
                <w:bCs/>
                <w:sz w:val="28"/>
                <w:szCs w:val="28"/>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rPr>
              <w:t xml:space="preserve">2.76 </w:t>
            </w:r>
          </w:p>
        </w:tc>
        <w:tc>
          <w:tcPr>
            <w:tcW w:w="1409" w:type="dxa"/>
            <w:hideMark/>
          </w:tcPr>
          <w:p w:rsidR="002D74E2" w:rsidRPr="00C07DCA" w:rsidRDefault="002D74E2" w:rsidP="002D74E2">
            <w:pPr>
              <w:pStyle w:val="NormalWeb"/>
              <w:ind w:firstLine="0"/>
              <w:jc w:val="right"/>
              <w:rPr>
                <w:rFonts w:ascii="Times New Roman" w:hAnsi="Times New Roman"/>
                <w:bCs/>
                <w:sz w:val="28"/>
                <w:szCs w:val="28"/>
              </w:rPr>
            </w:pPr>
          </w:p>
          <w:p w:rsidR="0019539F" w:rsidRPr="00C07DCA" w:rsidRDefault="002D74E2" w:rsidP="002D74E2">
            <w:pPr>
              <w:pStyle w:val="NormalWeb"/>
              <w:ind w:firstLine="0"/>
              <w:jc w:val="right"/>
              <w:rPr>
                <w:rFonts w:ascii="Times New Roman" w:hAnsi="Times New Roman"/>
                <w:sz w:val="28"/>
                <w:szCs w:val="28"/>
                <w:lang w:val="ru-RU"/>
              </w:rPr>
            </w:pPr>
            <w:r w:rsidRPr="00C07DCA">
              <w:rPr>
                <w:rFonts w:ascii="Times New Roman" w:hAnsi="Times New Roman"/>
                <w:bCs/>
                <w:sz w:val="28"/>
                <w:szCs w:val="28"/>
              </w:rPr>
              <w:t xml:space="preserve">21.05 </w:t>
            </w:r>
          </w:p>
        </w:tc>
      </w:tr>
    </w:tbl>
    <w:p w:rsidR="00361BF7" w:rsidRPr="00875E19" w:rsidRDefault="00361BF7">
      <w:pPr>
        <w:pStyle w:val="NormalWeb"/>
        <w:ind w:firstLine="0"/>
        <w:jc w:val="left"/>
        <w:rPr>
          <w:rFonts w:ascii="Times New Roman" w:hAnsi="Times New Roman"/>
          <w:sz w:val="16"/>
          <w:szCs w:val="16"/>
          <w:lang w:val="ro-MO"/>
        </w:rPr>
      </w:pPr>
    </w:p>
    <w:p w:rsidR="0095388A" w:rsidRPr="00AD160F" w:rsidRDefault="00BC76AE" w:rsidP="00C31AC4">
      <w:pPr>
        <w:pStyle w:val="NormalWeb"/>
        <w:rPr>
          <w:rFonts w:ascii="Times New Roman" w:hAnsi="Times New Roman"/>
          <w:sz w:val="28"/>
          <w:szCs w:val="28"/>
          <w:lang w:val="ro-MO"/>
        </w:rPr>
      </w:pPr>
      <w:r w:rsidRPr="00AD160F">
        <w:rPr>
          <w:rFonts w:ascii="Times New Roman" w:hAnsi="Times New Roman"/>
          <w:sz w:val="28"/>
          <w:szCs w:val="28"/>
          <w:lang w:val="ro-MO"/>
        </w:rPr>
        <w:t>Evaluarea impactului pe baza criteriilor cantitative conduce  la următoarele concluzii:</w:t>
      </w:r>
    </w:p>
    <w:p w:rsidR="00BC76AE" w:rsidRPr="00402130" w:rsidRDefault="00BC76AE" w:rsidP="008B3768">
      <w:pPr>
        <w:pStyle w:val="NormalWeb"/>
        <w:ind w:firstLine="0"/>
        <w:rPr>
          <w:rFonts w:ascii="Times New Roman" w:hAnsi="Times New Roman"/>
          <w:sz w:val="10"/>
          <w:szCs w:val="10"/>
          <w:lang w:val="ro-MO"/>
        </w:rPr>
      </w:pPr>
    </w:p>
    <w:p w:rsidR="00BC76AE" w:rsidRPr="00AD160F" w:rsidRDefault="00BC76AE" w:rsidP="00C31AC4">
      <w:pPr>
        <w:pStyle w:val="NormalWeb"/>
        <w:numPr>
          <w:ilvl w:val="0"/>
          <w:numId w:val="1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Disparită</w:t>
      </w:r>
      <w:r w:rsidR="006F4B00">
        <w:rPr>
          <w:rFonts w:ascii="Times New Roman" w:hAnsi="Times New Roman"/>
          <w:sz w:val="28"/>
          <w:szCs w:val="28"/>
          <w:lang w:val="ro-MO"/>
        </w:rPr>
        <w:t>ţ</w:t>
      </w:r>
      <w:r w:rsidRPr="00AD160F">
        <w:rPr>
          <w:rFonts w:ascii="Times New Roman" w:hAnsi="Times New Roman"/>
          <w:sz w:val="28"/>
          <w:szCs w:val="28"/>
          <w:lang w:val="ro-MO"/>
        </w:rPr>
        <w:t>ile în veniturile totale pe locuitor (fără educa</w:t>
      </w:r>
      <w:r w:rsidR="006F4B00">
        <w:rPr>
          <w:rFonts w:ascii="Times New Roman" w:hAnsi="Times New Roman"/>
          <w:sz w:val="28"/>
          <w:szCs w:val="28"/>
          <w:lang w:val="ro-MO"/>
        </w:rPr>
        <w:t>ţ</w:t>
      </w:r>
      <w:r w:rsidRPr="00AD160F">
        <w:rPr>
          <w:rFonts w:ascii="Times New Roman" w:hAnsi="Times New Roman"/>
          <w:sz w:val="28"/>
          <w:szCs w:val="28"/>
          <w:lang w:val="ro-MO"/>
        </w:rPr>
        <w:t>ie care va fii finan</w:t>
      </w:r>
      <w:r w:rsidR="006F4B00">
        <w:rPr>
          <w:rFonts w:ascii="Times New Roman" w:hAnsi="Times New Roman"/>
          <w:sz w:val="28"/>
          <w:szCs w:val="28"/>
          <w:lang w:val="ro-MO"/>
        </w:rPr>
        <w:t>ţ</w:t>
      </w:r>
      <w:r w:rsidRPr="00AD160F">
        <w:rPr>
          <w:rFonts w:ascii="Times New Roman" w:hAnsi="Times New Roman"/>
          <w:sz w:val="28"/>
          <w:szCs w:val="28"/>
          <w:lang w:val="ro-MO"/>
        </w:rPr>
        <w:t>ată printr-un transfer cu destina</w:t>
      </w:r>
      <w:r w:rsidR="006F4B00">
        <w:rPr>
          <w:rFonts w:ascii="Times New Roman" w:hAnsi="Times New Roman"/>
          <w:sz w:val="28"/>
          <w:szCs w:val="28"/>
          <w:lang w:val="ro-MO"/>
        </w:rPr>
        <w:t>ţ</w:t>
      </w:r>
      <w:r w:rsidRPr="00AD160F">
        <w:rPr>
          <w:rFonts w:ascii="Times New Roman" w:hAnsi="Times New Roman"/>
          <w:sz w:val="28"/>
          <w:szCs w:val="28"/>
          <w:lang w:val="ro-MO"/>
        </w:rPr>
        <w:t>ie specială, alocat potrivit unei metodologii stabilite de Guvern) între diversele unită</w:t>
      </w:r>
      <w:r w:rsidR="006F4B00">
        <w:rPr>
          <w:rFonts w:ascii="Times New Roman" w:hAnsi="Times New Roman"/>
          <w:sz w:val="28"/>
          <w:szCs w:val="28"/>
          <w:lang w:val="ro-MO"/>
        </w:rPr>
        <w:t>ţ</w:t>
      </w:r>
      <w:r w:rsidRPr="00AD160F">
        <w:rPr>
          <w:rFonts w:ascii="Times New Roman" w:hAnsi="Times New Roman"/>
          <w:sz w:val="28"/>
          <w:szCs w:val="28"/>
          <w:lang w:val="ro-MO"/>
        </w:rPr>
        <w:t>i administrativ teritoriale de acela</w:t>
      </w:r>
      <w:r w:rsidR="006F4B00">
        <w:rPr>
          <w:rFonts w:ascii="Times New Roman" w:hAnsi="Times New Roman"/>
          <w:sz w:val="28"/>
          <w:szCs w:val="28"/>
          <w:lang w:val="ro-MO"/>
        </w:rPr>
        <w:t>ş</w:t>
      </w:r>
      <w:r w:rsidRPr="00AD160F">
        <w:rPr>
          <w:rFonts w:ascii="Times New Roman" w:hAnsi="Times New Roman"/>
          <w:sz w:val="28"/>
          <w:szCs w:val="28"/>
          <w:lang w:val="ro-MO"/>
        </w:rPr>
        <w:t>i tip se îmbunătă</w:t>
      </w:r>
      <w:r w:rsidR="006F4B00">
        <w:rPr>
          <w:rFonts w:ascii="Times New Roman" w:hAnsi="Times New Roman"/>
          <w:sz w:val="28"/>
          <w:szCs w:val="28"/>
          <w:lang w:val="ro-MO"/>
        </w:rPr>
        <w:t>ţ</w:t>
      </w:r>
      <w:r w:rsidRPr="00AD160F">
        <w:rPr>
          <w:rFonts w:ascii="Times New Roman" w:hAnsi="Times New Roman"/>
          <w:sz w:val="28"/>
          <w:szCs w:val="28"/>
          <w:lang w:val="ro-MO"/>
        </w:rPr>
        <w:t>esc u</w:t>
      </w:r>
      <w:r w:rsidR="006F4B00">
        <w:rPr>
          <w:rFonts w:ascii="Times New Roman" w:hAnsi="Times New Roman"/>
          <w:sz w:val="28"/>
          <w:szCs w:val="28"/>
          <w:lang w:val="ro-MO"/>
        </w:rPr>
        <w:t>ş</w:t>
      </w:r>
      <w:r w:rsidRPr="00AD160F">
        <w:rPr>
          <w:rFonts w:ascii="Times New Roman" w:hAnsi="Times New Roman"/>
          <w:sz w:val="28"/>
          <w:szCs w:val="28"/>
          <w:lang w:val="ro-MO"/>
        </w:rPr>
        <w:t xml:space="preserve">or, atât la nivelul întîi, cît </w:t>
      </w:r>
      <w:r w:rsidR="006F4B00">
        <w:rPr>
          <w:rFonts w:ascii="Times New Roman" w:hAnsi="Times New Roman"/>
          <w:sz w:val="28"/>
          <w:szCs w:val="28"/>
          <w:lang w:val="ro-MO"/>
        </w:rPr>
        <w:t>ş</w:t>
      </w:r>
      <w:r w:rsidRPr="00AD160F">
        <w:rPr>
          <w:rFonts w:ascii="Times New Roman" w:hAnsi="Times New Roman"/>
          <w:sz w:val="28"/>
          <w:szCs w:val="28"/>
          <w:lang w:val="ro-MO"/>
        </w:rPr>
        <w:t>i la nivelul al doilea</w:t>
      </w:r>
      <w:r w:rsidR="009F2128" w:rsidRPr="00AD160F">
        <w:rPr>
          <w:rFonts w:ascii="Times New Roman" w:hAnsi="Times New Roman"/>
          <w:sz w:val="28"/>
          <w:szCs w:val="28"/>
          <w:lang w:val="ro-MO"/>
        </w:rPr>
        <w:t>;</w:t>
      </w:r>
    </w:p>
    <w:p w:rsidR="009F2128" w:rsidRPr="00AD160F" w:rsidRDefault="009F54EF" w:rsidP="00C31AC4">
      <w:pPr>
        <w:pStyle w:val="NormalWeb"/>
        <w:numPr>
          <w:ilvl w:val="0"/>
          <w:numId w:val="1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Numărul de pierzători este la nivelul 1 moderat (</w:t>
      </w:r>
      <w:r w:rsidR="0024594A">
        <w:rPr>
          <w:rFonts w:ascii="Times New Roman" w:hAnsi="Times New Roman"/>
          <w:sz w:val="28"/>
          <w:szCs w:val="28"/>
          <w:lang w:val="ro-MO"/>
        </w:rPr>
        <w:t>270</w:t>
      </w:r>
      <w:r w:rsidRPr="00AD160F">
        <w:rPr>
          <w:rFonts w:ascii="Times New Roman" w:hAnsi="Times New Roman"/>
          <w:sz w:val="28"/>
          <w:szCs w:val="28"/>
          <w:lang w:val="ro-MO"/>
        </w:rPr>
        <w:t xml:space="preserve"> - aproximativ 3</w:t>
      </w:r>
      <w:r w:rsidR="0024594A">
        <w:rPr>
          <w:rFonts w:ascii="Times New Roman" w:hAnsi="Times New Roman"/>
          <w:sz w:val="28"/>
          <w:szCs w:val="28"/>
          <w:lang w:val="ro-MO"/>
        </w:rPr>
        <w:t>0</w:t>
      </w:r>
      <w:r w:rsidRPr="00AD160F">
        <w:rPr>
          <w:rFonts w:ascii="Times New Roman" w:hAnsi="Times New Roman"/>
          <w:sz w:val="28"/>
          <w:szCs w:val="28"/>
          <w:lang w:val="ro-MO"/>
        </w:rPr>
        <w:t xml:space="preserve">% din total UAT 1), dar trebuie subliniat că </w:t>
      </w:r>
      <w:r w:rsidR="0024594A">
        <w:rPr>
          <w:rFonts w:ascii="Times New Roman" w:hAnsi="Times New Roman"/>
          <w:sz w:val="28"/>
          <w:szCs w:val="28"/>
          <w:lang w:val="ro-MO"/>
        </w:rPr>
        <w:t>24,81</w:t>
      </w:r>
      <w:r w:rsidRPr="00AD160F">
        <w:rPr>
          <w:rFonts w:ascii="Times New Roman" w:hAnsi="Times New Roman"/>
          <w:sz w:val="28"/>
          <w:szCs w:val="28"/>
          <w:lang w:val="ro-MO"/>
        </w:rPr>
        <w:t>% (</w:t>
      </w:r>
      <w:r w:rsidR="0024594A">
        <w:rPr>
          <w:rFonts w:ascii="Times New Roman" w:hAnsi="Times New Roman"/>
          <w:sz w:val="28"/>
          <w:szCs w:val="28"/>
          <w:lang w:val="ro-MO"/>
        </w:rPr>
        <w:t>67</w:t>
      </w:r>
      <w:r w:rsidRPr="00AD160F">
        <w:rPr>
          <w:rFonts w:ascii="Times New Roman" w:hAnsi="Times New Roman"/>
          <w:sz w:val="28"/>
          <w:szCs w:val="28"/>
          <w:lang w:val="ro-MO"/>
        </w:rPr>
        <w:t xml:space="preserve">) dintre pierzătorii UAT 1 au sub 1500 de locuitori (deci sub limita legală), iar </w:t>
      </w:r>
      <w:r w:rsidR="0024594A">
        <w:rPr>
          <w:rFonts w:ascii="Times New Roman" w:hAnsi="Times New Roman"/>
          <w:sz w:val="28"/>
          <w:szCs w:val="28"/>
          <w:lang w:val="ro-MO"/>
        </w:rPr>
        <w:t>86,66</w:t>
      </w:r>
      <w:r w:rsidRPr="00AD160F">
        <w:rPr>
          <w:rFonts w:ascii="Times New Roman" w:hAnsi="Times New Roman"/>
          <w:sz w:val="28"/>
          <w:szCs w:val="28"/>
          <w:lang w:val="ro-MO"/>
        </w:rPr>
        <w:t>% (2</w:t>
      </w:r>
      <w:r w:rsidR="0024594A">
        <w:rPr>
          <w:rFonts w:ascii="Times New Roman" w:hAnsi="Times New Roman"/>
          <w:sz w:val="28"/>
          <w:szCs w:val="28"/>
          <w:lang w:val="ro-MO"/>
        </w:rPr>
        <w:t>34</w:t>
      </w:r>
      <w:r w:rsidRPr="00AD160F">
        <w:rPr>
          <w:rFonts w:ascii="Times New Roman" w:hAnsi="Times New Roman"/>
          <w:sz w:val="28"/>
          <w:szCs w:val="28"/>
          <w:lang w:val="ro-MO"/>
        </w:rPr>
        <w:t xml:space="preserve">) dintre pierzători UAT 1 </w:t>
      </w:r>
      <w:r w:rsidRPr="00AD160F">
        <w:rPr>
          <w:rFonts w:ascii="Times New Roman" w:hAnsi="Times New Roman"/>
          <w:sz w:val="28"/>
          <w:szCs w:val="28"/>
          <w:lang w:val="ro-MO"/>
        </w:rPr>
        <w:lastRenderedPageBreak/>
        <w:t>au sub 5000 de locuitori. Toate aceste date eviden</w:t>
      </w:r>
      <w:r w:rsidR="006F4B00">
        <w:rPr>
          <w:rFonts w:ascii="Times New Roman" w:hAnsi="Times New Roman"/>
          <w:sz w:val="28"/>
          <w:szCs w:val="28"/>
          <w:lang w:val="ro-MO"/>
        </w:rPr>
        <w:t>ţ</w:t>
      </w:r>
      <w:r w:rsidRPr="00AD160F">
        <w:rPr>
          <w:rFonts w:ascii="Times New Roman" w:hAnsi="Times New Roman"/>
          <w:sz w:val="28"/>
          <w:szCs w:val="28"/>
          <w:lang w:val="ro-MO"/>
        </w:rPr>
        <w:t>iază nevoia unor forme de consolid</w:t>
      </w:r>
      <w:r w:rsidR="009F2128" w:rsidRPr="00AD160F">
        <w:rPr>
          <w:rFonts w:ascii="Times New Roman" w:hAnsi="Times New Roman"/>
          <w:sz w:val="28"/>
          <w:szCs w:val="28"/>
          <w:lang w:val="ro-MO"/>
        </w:rPr>
        <w:t>are a UAT de nivelul întîi mici;</w:t>
      </w:r>
    </w:p>
    <w:p w:rsidR="009F54EF" w:rsidRPr="00AD160F" w:rsidRDefault="009F54EF" w:rsidP="00C31AC4">
      <w:pPr>
        <w:pStyle w:val="NormalWeb"/>
        <w:numPr>
          <w:ilvl w:val="0"/>
          <w:numId w:val="14"/>
        </w:numPr>
        <w:tabs>
          <w:tab w:val="left" w:pos="851"/>
        </w:tabs>
        <w:ind w:left="0" w:firstLine="567"/>
        <w:rPr>
          <w:rFonts w:ascii="Times New Roman" w:hAnsi="Times New Roman"/>
          <w:sz w:val="28"/>
          <w:szCs w:val="28"/>
          <w:lang w:val="ro-MO"/>
        </w:rPr>
      </w:pPr>
      <w:r w:rsidRPr="00AD160F">
        <w:rPr>
          <w:rFonts w:ascii="Times New Roman" w:hAnsi="Times New Roman"/>
          <w:sz w:val="28"/>
          <w:szCs w:val="28"/>
          <w:lang w:val="ro-MO"/>
        </w:rPr>
        <w:t>Indicatorii de autonomie financiară se îmbunătă</w:t>
      </w:r>
      <w:r w:rsidR="006F4B00">
        <w:rPr>
          <w:rFonts w:ascii="Times New Roman" w:hAnsi="Times New Roman"/>
          <w:sz w:val="28"/>
          <w:szCs w:val="28"/>
          <w:lang w:val="ro-MO"/>
        </w:rPr>
        <w:t>ţ</w:t>
      </w:r>
      <w:r w:rsidRPr="00AD160F">
        <w:rPr>
          <w:rFonts w:ascii="Times New Roman" w:hAnsi="Times New Roman"/>
          <w:sz w:val="28"/>
          <w:szCs w:val="28"/>
          <w:lang w:val="ro-MO"/>
        </w:rPr>
        <w:t>esc semnificativ.</w:t>
      </w:r>
    </w:p>
    <w:p w:rsidR="009F54EF" w:rsidRPr="00402130" w:rsidRDefault="009F54EF" w:rsidP="00C31AC4">
      <w:pPr>
        <w:pStyle w:val="ListParagraph"/>
        <w:tabs>
          <w:tab w:val="left" w:pos="851"/>
        </w:tabs>
        <w:ind w:firstLine="567"/>
        <w:jc w:val="both"/>
        <w:rPr>
          <w:rFonts w:ascii="Times New Roman" w:hAnsi="Times New Roman" w:cs="Times New Roman"/>
          <w:sz w:val="10"/>
          <w:szCs w:val="10"/>
          <w:lang w:val="ro-MO"/>
        </w:rPr>
      </w:pPr>
    </w:p>
    <w:p w:rsidR="009F54EF" w:rsidRDefault="002506AC" w:rsidP="00C31AC4">
      <w:pPr>
        <w:pStyle w:val="NormalWeb"/>
        <w:rPr>
          <w:rFonts w:ascii="Times New Roman" w:hAnsi="Times New Roman"/>
          <w:sz w:val="28"/>
          <w:szCs w:val="28"/>
          <w:lang w:val="ro-MO"/>
        </w:rPr>
      </w:pPr>
      <w:r>
        <w:rPr>
          <w:rFonts w:ascii="Times New Roman" w:hAnsi="Times New Roman"/>
          <w:sz w:val="28"/>
          <w:szCs w:val="28"/>
          <w:lang w:val="ro-MO"/>
        </w:rPr>
        <w:t>A</w:t>
      </w:r>
      <w:r w:rsidR="009F54EF" w:rsidRPr="00AD160F">
        <w:rPr>
          <w:rFonts w:ascii="Times New Roman" w:hAnsi="Times New Roman"/>
          <w:sz w:val="28"/>
          <w:szCs w:val="28"/>
          <w:lang w:val="ro-MO"/>
        </w:rPr>
        <w:t>naliza impactului modificărilor propuse la legea finan</w:t>
      </w:r>
      <w:r w:rsidR="006F4B00">
        <w:rPr>
          <w:rFonts w:ascii="Times New Roman" w:hAnsi="Times New Roman"/>
          <w:sz w:val="28"/>
          <w:szCs w:val="28"/>
          <w:lang w:val="ro-MO"/>
        </w:rPr>
        <w:t>ţ</w:t>
      </w:r>
      <w:r w:rsidR="009F54EF" w:rsidRPr="00AD160F">
        <w:rPr>
          <w:rFonts w:ascii="Times New Roman" w:hAnsi="Times New Roman"/>
          <w:sz w:val="28"/>
          <w:szCs w:val="28"/>
          <w:lang w:val="ro-MO"/>
        </w:rPr>
        <w:t>elor publice locale dovede</w:t>
      </w:r>
      <w:r w:rsidR="006F4B00">
        <w:rPr>
          <w:rFonts w:ascii="Times New Roman" w:hAnsi="Times New Roman"/>
          <w:sz w:val="28"/>
          <w:szCs w:val="28"/>
          <w:lang w:val="ro-MO"/>
        </w:rPr>
        <w:t>ş</w:t>
      </w:r>
      <w:r w:rsidR="009F54EF" w:rsidRPr="00AD160F">
        <w:rPr>
          <w:rFonts w:ascii="Times New Roman" w:hAnsi="Times New Roman"/>
          <w:sz w:val="28"/>
          <w:szCs w:val="28"/>
          <w:lang w:val="ro-MO"/>
        </w:rPr>
        <w:t>te o influen</w:t>
      </w:r>
      <w:r w:rsidR="006F4B00">
        <w:rPr>
          <w:rFonts w:ascii="Times New Roman" w:hAnsi="Times New Roman"/>
          <w:sz w:val="28"/>
          <w:szCs w:val="28"/>
          <w:lang w:val="ro-MO"/>
        </w:rPr>
        <w:t>ţ</w:t>
      </w:r>
      <w:r w:rsidR="009F54EF" w:rsidRPr="00AD160F">
        <w:rPr>
          <w:rFonts w:ascii="Times New Roman" w:hAnsi="Times New Roman"/>
          <w:sz w:val="28"/>
          <w:szCs w:val="28"/>
          <w:lang w:val="ro-MO"/>
        </w:rPr>
        <w:t xml:space="preserve">ă semnificativ pozitivă a acestora asupra principalelor probleme ridicate de </w:t>
      </w:r>
      <w:r w:rsidR="009F2128" w:rsidRPr="00AD160F">
        <w:rPr>
          <w:rFonts w:ascii="Times New Roman" w:hAnsi="Times New Roman"/>
          <w:sz w:val="28"/>
          <w:szCs w:val="28"/>
          <w:lang w:val="ro-MO"/>
        </w:rPr>
        <w:t>SND</w:t>
      </w:r>
      <w:r w:rsidR="009F54EF" w:rsidRPr="00AD160F">
        <w:rPr>
          <w:rFonts w:ascii="Times New Roman" w:hAnsi="Times New Roman"/>
          <w:sz w:val="28"/>
          <w:szCs w:val="28"/>
          <w:lang w:val="ro-MO"/>
        </w:rPr>
        <w:t xml:space="preserve"> în domeniul descentralizării fiscale </w:t>
      </w:r>
      <w:r w:rsidR="006F4B00">
        <w:rPr>
          <w:rFonts w:ascii="Times New Roman" w:hAnsi="Times New Roman"/>
          <w:sz w:val="28"/>
          <w:szCs w:val="28"/>
          <w:lang w:val="ro-MO"/>
        </w:rPr>
        <w:t>ş</w:t>
      </w:r>
      <w:r w:rsidR="009F54EF" w:rsidRPr="00AD160F">
        <w:rPr>
          <w:rFonts w:ascii="Times New Roman" w:hAnsi="Times New Roman"/>
          <w:sz w:val="28"/>
          <w:szCs w:val="28"/>
          <w:lang w:val="ro-MO"/>
        </w:rPr>
        <w:t>i implicit o contribu</w:t>
      </w:r>
      <w:r w:rsidR="006F4B00">
        <w:rPr>
          <w:rFonts w:ascii="Times New Roman" w:hAnsi="Times New Roman"/>
          <w:sz w:val="28"/>
          <w:szCs w:val="28"/>
          <w:lang w:val="ro-MO"/>
        </w:rPr>
        <w:t>ţ</w:t>
      </w:r>
      <w:r w:rsidR="009F54EF" w:rsidRPr="00AD160F">
        <w:rPr>
          <w:rFonts w:ascii="Times New Roman" w:hAnsi="Times New Roman"/>
          <w:sz w:val="28"/>
          <w:szCs w:val="28"/>
          <w:lang w:val="ro-MO"/>
        </w:rPr>
        <w:t xml:space="preserve">ie </w:t>
      </w:r>
      <w:r w:rsidR="00921C69" w:rsidRPr="00AD160F">
        <w:rPr>
          <w:rFonts w:ascii="Times New Roman" w:hAnsi="Times New Roman"/>
          <w:sz w:val="28"/>
          <w:szCs w:val="28"/>
          <w:lang w:val="ro-MO"/>
        </w:rPr>
        <w:t>foarte importantă</w:t>
      </w:r>
      <w:r w:rsidR="009F54EF" w:rsidRPr="00AD160F">
        <w:rPr>
          <w:rFonts w:ascii="Times New Roman" w:hAnsi="Times New Roman"/>
          <w:sz w:val="28"/>
          <w:szCs w:val="28"/>
          <w:lang w:val="ro-MO"/>
        </w:rPr>
        <w:t xml:space="preserve"> la atingerea obiectivului stabil de aceasta</w:t>
      </w:r>
      <w:r w:rsidR="00921C69" w:rsidRPr="00AD160F">
        <w:rPr>
          <w:rFonts w:ascii="Times New Roman" w:hAnsi="Times New Roman"/>
          <w:sz w:val="28"/>
          <w:szCs w:val="28"/>
          <w:lang w:val="ro-MO"/>
        </w:rPr>
        <w:t>.</w:t>
      </w:r>
      <w:r w:rsidR="009F54EF" w:rsidRPr="00AD160F">
        <w:rPr>
          <w:rFonts w:ascii="Times New Roman" w:hAnsi="Times New Roman"/>
          <w:sz w:val="28"/>
          <w:szCs w:val="28"/>
          <w:lang w:val="ro-MO"/>
        </w:rPr>
        <w:t xml:space="preserve"> </w:t>
      </w:r>
    </w:p>
    <w:p w:rsidR="00361BF7" w:rsidRPr="00AD160F" w:rsidRDefault="00361BF7" w:rsidP="00C31AC4">
      <w:pPr>
        <w:pStyle w:val="NormalWeb"/>
        <w:rPr>
          <w:rFonts w:ascii="Times New Roman" w:hAnsi="Times New Roman"/>
          <w:sz w:val="28"/>
          <w:szCs w:val="28"/>
          <w:lang w:val="ro-MO"/>
        </w:rPr>
      </w:pPr>
    </w:p>
    <w:p w:rsidR="0095388A" w:rsidRPr="00402130" w:rsidRDefault="0095388A" w:rsidP="008B3768">
      <w:pPr>
        <w:pStyle w:val="NormalWeb"/>
        <w:ind w:firstLine="0"/>
        <w:rPr>
          <w:rFonts w:ascii="Times New Roman" w:hAnsi="Times New Roman"/>
          <w:sz w:val="10"/>
          <w:szCs w:val="10"/>
          <w:lang w:val="ro-MO"/>
        </w:rPr>
      </w:pPr>
    </w:p>
    <w:p w:rsidR="008008D3" w:rsidRPr="00AD160F" w:rsidRDefault="0095388A" w:rsidP="00402130">
      <w:pPr>
        <w:pStyle w:val="NormalWeb"/>
        <w:numPr>
          <w:ilvl w:val="0"/>
          <w:numId w:val="19"/>
        </w:numPr>
        <w:tabs>
          <w:tab w:val="left" w:pos="851"/>
        </w:tabs>
        <w:ind w:hanging="863"/>
        <w:rPr>
          <w:rFonts w:ascii="Times New Roman" w:hAnsi="Times New Roman"/>
          <w:sz w:val="28"/>
          <w:szCs w:val="28"/>
          <w:lang w:val="ro-MO"/>
        </w:rPr>
      </w:pPr>
      <w:r w:rsidRPr="00AD160F">
        <w:rPr>
          <w:rFonts w:ascii="Times New Roman" w:hAnsi="Times New Roman"/>
          <w:b/>
          <w:sz w:val="28"/>
          <w:szCs w:val="28"/>
          <w:lang w:val="ro-MO"/>
        </w:rPr>
        <w:t>R</w:t>
      </w:r>
      <w:r w:rsidR="008008D3" w:rsidRPr="00AD160F">
        <w:rPr>
          <w:rFonts w:ascii="Times New Roman" w:hAnsi="Times New Roman"/>
          <w:b/>
          <w:sz w:val="28"/>
          <w:szCs w:val="28"/>
          <w:lang w:val="ro-MO"/>
        </w:rPr>
        <w:t>eferinţele la reglementările corespondente ale legislaţiei comunitare</w:t>
      </w:r>
    </w:p>
    <w:p w:rsidR="009F2128" w:rsidRPr="00402130" w:rsidRDefault="009F2128" w:rsidP="009F2128">
      <w:pPr>
        <w:pStyle w:val="NormalWeb"/>
        <w:rPr>
          <w:rFonts w:ascii="Times New Roman" w:hAnsi="Times New Roman"/>
          <w:sz w:val="10"/>
          <w:szCs w:val="10"/>
          <w:lang w:val="ro-MO"/>
        </w:rPr>
      </w:pPr>
    </w:p>
    <w:p w:rsidR="009F2128" w:rsidRPr="00AD160F" w:rsidRDefault="009F2128" w:rsidP="009F2128">
      <w:pPr>
        <w:pStyle w:val="NormalWeb"/>
        <w:rPr>
          <w:rFonts w:ascii="Times New Roman" w:hAnsi="Times New Roman"/>
          <w:sz w:val="28"/>
          <w:szCs w:val="28"/>
          <w:lang w:val="ro-MO"/>
        </w:rPr>
      </w:pPr>
      <w:r w:rsidRPr="00AD160F">
        <w:rPr>
          <w:rFonts w:ascii="Times New Roman" w:hAnsi="Times New Roman"/>
          <w:sz w:val="28"/>
          <w:szCs w:val="28"/>
          <w:lang w:val="ro-MO"/>
        </w:rPr>
        <w:t>În domeniul descentralizării financiare nu există legisla</w:t>
      </w:r>
      <w:r w:rsidR="006F4B00">
        <w:rPr>
          <w:rFonts w:ascii="Times New Roman" w:hAnsi="Times New Roman"/>
          <w:sz w:val="28"/>
          <w:szCs w:val="28"/>
          <w:lang w:val="ro-MO"/>
        </w:rPr>
        <w:t>ţ</w:t>
      </w:r>
      <w:r w:rsidRPr="00AD160F">
        <w:rPr>
          <w:rFonts w:ascii="Times New Roman" w:hAnsi="Times New Roman"/>
          <w:sz w:val="28"/>
          <w:szCs w:val="28"/>
          <w:lang w:val="ro-MO"/>
        </w:rPr>
        <w:t>ie comunitară (aquis comunitar), ci numai legisla</w:t>
      </w:r>
      <w:r w:rsidR="006F4B00">
        <w:rPr>
          <w:rFonts w:ascii="Times New Roman" w:hAnsi="Times New Roman"/>
          <w:sz w:val="28"/>
          <w:szCs w:val="28"/>
          <w:lang w:val="ro-MO"/>
        </w:rPr>
        <w:t>ţ</w:t>
      </w:r>
      <w:r w:rsidRPr="00AD160F">
        <w:rPr>
          <w:rFonts w:ascii="Times New Roman" w:hAnsi="Times New Roman"/>
          <w:sz w:val="28"/>
          <w:szCs w:val="28"/>
          <w:lang w:val="ro-MO"/>
        </w:rPr>
        <w:t>ie na</w:t>
      </w:r>
      <w:r w:rsidR="006F4B00">
        <w:rPr>
          <w:rFonts w:ascii="Times New Roman" w:hAnsi="Times New Roman"/>
          <w:sz w:val="28"/>
          <w:szCs w:val="28"/>
          <w:lang w:val="ro-MO"/>
        </w:rPr>
        <w:t>ţ</w:t>
      </w:r>
      <w:r w:rsidRPr="00AD160F">
        <w:rPr>
          <w:rFonts w:ascii="Times New Roman" w:hAnsi="Times New Roman"/>
          <w:sz w:val="28"/>
          <w:szCs w:val="28"/>
          <w:lang w:val="ro-MO"/>
        </w:rPr>
        <w:t xml:space="preserve">ională specifică a </w:t>
      </w:r>
      <w:r w:rsidR="006F4B00">
        <w:rPr>
          <w:rFonts w:ascii="Times New Roman" w:hAnsi="Times New Roman"/>
          <w:sz w:val="28"/>
          <w:szCs w:val="28"/>
          <w:lang w:val="ro-MO"/>
        </w:rPr>
        <w:t>ţ</w:t>
      </w:r>
      <w:r w:rsidRPr="00AD160F">
        <w:rPr>
          <w:rFonts w:ascii="Times New Roman" w:hAnsi="Times New Roman"/>
          <w:sz w:val="28"/>
          <w:szCs w:val="28"/>
          <w:lang w:val="ro-MO"/>
        </w:rPr>
        <w:t xml:space="preserve">ărilor membre ale Uniunii Europene, care însă trebuie să respecte în principiu Carta Europeană a Autonomiei Locale, ratificată </w:t>
      </w:r>
      <w:r w:rsidR="006F4B00">
        <w:rPr>
          <w:rFonts w:ascii="Times New Roman" w:hAnsi="Times New Roman"/>
          <w:sz w:val="28"/>
          <w:szCs w:val="28"/>
          <w:lang w:val="ro-MO"/>
        </w:rPr>
        <w:t>ş</w:t>
      </w:r>
      <w:r w:rsidRPr="00AD160F">
        <w:rPr>
          <w:rFonts w:ascii="Times New Roman" w:hAnsi="Times New Roman"/>
          <w:sz w:val="28"/>
          <w:szCs w:val="28"/>
          <w:lang w:val="ro-MO"/>
        </w:rPr>
        <w:t xml:space="preserve">i de Republica Moldova </w:t>
      </w:r>
    </w:p>
    <w:p w:rsidR="0095388A" w:rsidRPr="00402130" w:rsidRDefault="0095388A" w:rsidP="008B3768">
      <w:pPr>
        <w:pStyle w:val="NormalWeb"/>
        <w:ind w:firstLine="0"/>
        <w:rPr>
          <w:rFonts w:ascii="Times New Roman" w:hAnsi="Times New Roman"/>
          <w:sz w:val="10"/>
          <w:szCs w:val="10"/>
          <w:lang w:val="ro-MO"/>
        </w:rPr>
      </w:pPr>
    </w:p>
    <w:p w:rsidR="0095388A" w:rsidRPr="00AD160F" w:rsidRDefault="00921C69" w:rsidP="009F2128">
      <w:pPr>
        <w:pStyle w:val="NormalWeb"/>
        <w:rPr>
          <w:rFonts w:ascii="Times New Roman" w:hAnsi="Times New Roman"/>
          <w:sz w:val="28"/>
          <w:szCs w:val="28"/>
          <w:lang w:val="ro-MO"/>
        </w:rPr>
      </w:pPr>
      <w:r w:rsidRPr="00AD160F">
        <w:rPr>
          <w:rFonts w:ascii="Times New Roman" w:hAnsi="Times New Roman"/>
          <w:sz w:val="28"/>
          <w:szCs w:val="28"/>
          <w:lang w:val="ro-MO"/>
        </w:rPr>
        <w:t>Modificările propuse la legea finan</w:t>
      </w:r>
      <w:r w:rsidR="006F4B00">
        <w:rPr>
          <w:rFonts w:ascii="Times New Roman" w:hAnsi="Times New Roman"/>
          <w:sz w:val="28"/>
          <w:szCs w:val="28"/>
          <w:lang w:val="ro-MO"/>
        </w:rPr>
        <w:t>ţ</w:t>
      </w:r>
      <w:r w:rsidRPr="00AD160F">
        <w:rPr>
          <w:rFonts w:ascii="Times New Roman" w:hAnsi="Times New Roman"/>
          <w:sz w:val="28"/>
          <w:szCs w:val="28"/>
          <w:lang w:val="ro-MO"/>
        </w:rPr>
        <w:t xml:space="preserve">elor publice locale consolidează </w:t>
      </w:r>
      <w:r w:rsidR="006F4B00">
        <w:rPr>
          <w:rFonts w:ascii="Times New Roman" w:hAnsi="Times New Roman"/>
          <w:sz w:val="28"/>
          <w:szCs w:val="28"/>
          <w:lang w:val="ro-MO"/>
        </w:rPr>
        <w:t>ş</w:t>
      </w:r>
      <w:r w:rsidRPr="00AD160F">
        <w:rPr>
          <w:rFonts w:ascii="Times New Roman" w:hAnsi="Times New Roman"/>
          <w:sz w:val="28"/>
          <w:szCs w:val="28"/>
          <w:lang w:val="ro-MO"/>
        </w:rPr>
        <w:t>i mai mult conformitatea legisla</w:t>
      </w:r>
      <w:r w:rsidR="006F4B00">
        <w:rPr>
          <w:rFonts w:ascii="Times New Roman" w:hAnsi="Times New Roman"/>
          <w:sz w:val="28"/>
          <w:szCs w:val="28"/>
          <w:lang w:val="ro-MO"/>
        </w:rPr>
        <w:t>ţ</w:t>
      </w:r>
      <w:r w:rsidRPr="00AD160F">
        <w:rPr>
          <w:rFonts w:ascii="Times New Roman" w:hAnsi="Times New Roman"/>
          <w:sz w:val="28"/>
          <w:szCs w:val="28"/>
          <w:lang w:val="ro-MO"/>
        </w:rPr>
        <w:t>iei na</w:t>
      </w:r>
      <w:r w:rsidR="006F4B00">
        <w:rPr>
          <w:rFonts w:ascii="Times New Roman" w:hAnsi="Times New Roman"/>
          <w:sz w:val="28"/>
          <w:szCs w:val="28"/>
          <w:lang w:val="ro-MO"/>
        </w:rPr>
        <w:t>ţ</w:t>
      </w:r>
      <w:r w:rsidRPr="00AD160F">
        <w:rPr>
          <w:rFonts w:ascii="Times New Roman" w:hAnsi="Times New Roman"/>
          <w:sz w:val="28"/>
          <w:szCs w:val="28"/>
          <w:lang w:val="ro-MO"/>
        </w:rPr>
        <w:t xml:space="preserve">ionale cu prevederile Cartei Europene a Autonomiei Locale </w:t>
      </w:r>
      <w:r w:rsidR="006F4B00">
        <w:rPr>
          <w:rFonts w:ascii="Times New Roman" w:hAnsi="Times New Roman"/>
          <w:sz w:val="28"/>
          <w:szCs w:val="28"/>
          <w:lang w:val="ro-MO"/>
        </w:rPr>
        <w:t>ş</w:t>
      </w:r>
      <w:r w:rsidRPr="00AD160F">
        <w:rPr>
          <w:rFonts w:ascii="Times New Roman" w:hAnsi="Times New Roman"/>
          <w:sz w:val="28"/>
          <w:szCs w:val="28"/>
          <w:lang w:val="ro-MO"/>
        </w:rPr>
        <w:t>i cu multe din observa</w:t>
      </w:r>
      <w:r w:rsidR="006F4B00">
        <w:rPr>
          <w:rFonts w:ascii="Times New Roman" w:hAnsi="Times New Roman"/>
          <w:sz w:val="28"/>
          <w:szCs w:val="28"/>
          <w:lang w:val="ro-MO"/>
        </w:rPr>
        <w:t>ţ</w:t>
      </w:r>
      <w:r w:rsidRPr="00AD160F">
        <w:rPr>
          <w:rFonts w:ascii="Times New Roman" w:hAnsi="Times New Roman"/>
          <w:sz w:val="28"/>
          <w:szCs w:val="28"/>
          <w:lang w:val="ro-MO"/>
        </w:rPr>
        <w:t xml:space="preserve">iile critice făcute în procesul de monitorizare de către Consiliul Europei – Congresul Puterilor Locale </w:t>
      </w:r>
      <w:r w:rsidR="006F4B00">
        <w:rPr>
          <w:rFonts w:ascii="Times New Roman" w:hAnsi="Times New Roman"/>
          <w:sz w:val="28"/>
          <w:szCs w:val="28"/>
          <w:lang w:val="ro-MO"/>
        </w:rPr>
        <w:t>ş</w:t>
      </w:r>
      <w:r w:rsidRPr="00AD160F">
        <w:rPr>
          <w:rFonts w:ascii="Times New Roman" w:hAnsi="Times New Roman"/>
          <w:sz w:val="28"/>
          <w:szCs w:val="28"/>
          <w:lang w:val="ro-MO"/>
        </w:rPr>
        <w:t>i Regionale a progreselor făcute de către Republic Moldova.</w:t>
      </w:r>
    </w:p>
    <w:p w:rsidR="00921C69" w:rsidRPr="00402130" w:rsidRDefault="00921C69" w:rsidP="008B3768">
      <w:pPr>
        <w:pStyle w:val="NormalWeb"/>
        <w:ind w:firstLine="0"/>
        <w:rPr>
          <w:rFonts w:ascii="Times New Roman" w:hAnsi="Times New Roman"/>
          <w:sz w:val="10"/>
          <w:szCs w:val="10"/>
          <w:lang w:val="ro-MO"/>
        </w:rPr>
      </w:pPr>
    </w:p>
    <w:p w:rsidR="00921C69" w:rsidRPr="00AD160F" w:rsidRDefault="00921C69" w:rsidP="009F2128">
      <w:pPr>
        <w:pStyle w:val="NormalWeb"/>
        <w:rPr>
          <w:rFonts w:ascii="Times New Roman" w:hAnsi="Times New Roman"/>
          <w:sz w:val="28"/>
          <w:szCs w:val="28"/>
          <w:lang w:val="ro-MO"/>
        </w:rPr>
      </w:pPr>
      <w:r w:rsidRPr="00AD160F">
        <w:rPr>
          <w:rFonts w:ascii="Times New Roman" w:hAnsi="Times New Roman"/>
          <w:sz w:val="28"/>
          <w:szCs w:val="28"/>
          <w:lang w:val="ro-MO"/>
        </w:rPr>
        <w:t>Astfel, modificările propuse sunt în concordan</w:t>
      </w:r>
      <w:r w:rsidR="006F4B00">
        <w:rPr>
          <w:rFonts w:ascii="Times New Roman" w:hAnsi="Times New Roman"/>
          <w:sz w:val="28"/>
          <w:szCs w:val="28"/>
          <w:lang w:val="ro-MO"/>
        </w:rPr>
        <w:t>ţ</w:t>
      </w:r>
      <w:r w:rsidRPr="00AD160F">
        <w:rPr>
          <w:rFonts w:ascii="Times New Roman" w:hAnsi="Times New Roman"/>
          <w:sz w:val="28"/>
          <w:szCs w:val="28"/>
          <w:lang w:val="ro-MO"/>
        </w:rPr>
        <w:t>ă cu prevederile Art.9 din Cartă, referitor la resursele financiare ale autorită</w:t>
      </w:r>
      <w:r w:rsidR="006F4B00">
        <w:rPr>
          <w:rFonts w:ascii="Times New Roman" w:hAnsi="Times New Roman"/>
          <w:sz w:val="28"/>
          <w:szCs w:val="28"/>
          <w:lang w:val="ro-MO"/>
        </w:rPr>
        <w:t>ţ</w:t>
      </w:r>
      <w:r w:rsidRPr="00AD160F">
        <w:rPr>
          <w:rFonts w:ascii="Times New Roman" w:hAnsi="Times New Roman"/>
          <w:sz w:val="28"/>
          <w:szCs w:val="28"/>
          <w:lang w:val="ro-MO"/>
        </w:rPr>
        <w:t xml:space="preserve">ilor locale, în special </w:t>
      </w:r>
      <w:r w:rsidR="004D283F" w:rsidRPr="00AD160F">
        <w:rPr>
          <w:rFonts w:ascii="Times New Roman" w:hAnsi="Times New Roman"/>
          <w:sz w:val="28"/>
          <w:szCs w:val="28"/>
          <w:lang w:val="ro-MO"/>
        </w:rPr>
        <w:t>paragrafele 1,</w:t>
      </w:r>
      <w:r w:rsidR="001B0998">
        <w:rPr>
          <w:rFonts w:ascii="Times New Roman" w:hAnsi="Times New Roman"/>
          <w:sz w:val="28"/>
          <w:szCs w:val="28"/>
          <w:lang w:val="ro-MO"/>
        </w:rPr>
        <w:t xml:space="preserve"> </w:t>
      </w:r>
      <w:r w:rsidR="004D283F" w:rsidRPr="00AD160F">
        <w:rPr>
          <w:rFonts w:ascii="Times New Roman" w:hAnsi="Times New Roman"/>
          <w:sz w:val="28"/>
          <w:szCs w:val="28"/>
          <w:lang w:val="ro-MO"/>
        </w:rPr>
        <w:t>4,</w:t>
      </w:r>
      <w:r w:rsidR="001B0998">
        <w:rPr>
          <w:rFonts w:ascii="Times New Roman" w:hAnsi="Times New Roman"/>
          <w:sz w:val="28"/>
          <w:szCs w:val="28"/>
          <w:lang w:val="ro-MO"/>
        </w:rPr>
        <w:t xml:space="preserve"> </w:t>
      </w:r>
      <w:r w:rsidR="004D283F" w:rsidRPr="00AD160F">
        <w:rPr>
          <w:rFonts w:ascii="Times New Roman" w:hAnsi="Times New Roman"/>
          <w:sz w:val="28"/>
          <w:szCs w:val="28"/>
          <w:lang w:val="ro-MO"/>
        </w:rPr>
        <w:t xml:space="preserve">5 </w:t>
      </w:r>
      <w:r w:rsidR="006F4B00">
        <w:rPr>
          <w:rFonts w:ascii="Times New Roman" w:hAnsi="Times New Roman"/>
          <w:sz w:val="28"/>
          <w:szCs w:val="28"/>
          <w:lang w:val="ro-MO"/>
        </w:rPr>
        <w:t>ş</w:t>
      </w:r>
      <w:r w:rsidR="004D283F" w:rsidRPr="00AD160F">
        <w:rPr>
          <w:rFonts w:ascii="Times New Roman" w:hAnsi="Times New Roman"/>
          <w:sz w:val="28"/>
          <w:szCs w:val="28"/>
          <w:lang w:val="ro-MO"/>
        </w:rPr>
        <w:t>i 7.</w:t>
      </w:r>
    </w:p>
    <w:p w:rsidR="004D283F" w:rsidRPr="00402130" w:rsidRDefault="004D283F" w:rsidP="008B3768">
      <w:pPr>
        <w:pStyle w:val="NormalWeb"/>
        <w:ind w:firstLine="0"/>
        <w:rPr>
          <w:rFonts w:ascii="Times New Roman" w:hAnsi="Times New Roman"/>
          <w:sz w:val="10"/>
          <w:szCs w:val="10"/>
          <w:lang w:val="ro-MO"/>
        </w:rPr>
      </w:pPr>
    </w:p>
    <w:p w:rsidR="004D283F" w:rsidRPr="00AD160F" w:rsidRDefault="004D283F" w:rsidP="009F2128">
      <w:pPr>
        <w:pStyle w:val="NormalWeb"/>
        <w:rPr>
          <w:rFonts w:ascii="Times New Roman" w:hAnsi="Times New Roman"/>
          <w:sz w:val="28"/>
          <w:szCs w:val="28"/>
          <w:lang w:val="ro-MO"/>
        </w:rPr>
      </w:pPr>
      <w:r w:rsidRPr="00AD160F">
        <w:rPr>
          <w:rFonts w:ascii="Times New Roman" w:hAnsi="Times New Roman"/>
          <w:sz w:val="28"/>
          <w:szCs w:val="28"/>
          <w:lang w:val="ro-MO"/>
        </w:rPr>
        <w:t>Pe de altă parte modificările propuse răspund observa</w:t>
      </w:r>
      <w:r w:rsidR="006F4B00">
        <w:rPr>
          <w:rFonts w:ascii="Times New Roman" w:hAnsi="Times New Roman"/>
          <w:sz w:val="28"/>
          <w:szCs w:val="28"/>
          <w:lang w:val="ro-MO"/>
        </w:rPr>
        <w:t>ţ</w:t>
      </w:r>
      <w:r w:rsidRPr="00AD160F">
        <w:rPr>
          <w:rFonts w:ascii="Times New Roman" w:hAnsi="Times New Roman"/>
          <w:sz w:val="28"/>
          <w:szCs w:val="28"/>
          <w:lang w:val="ro-MO"/>
        </w:rPr>
        <w:t xml:space="preserve">iilor critice făcute în procesul de monitorizare a progreselor realizate de Republica Moldova în procesul de descentralizare, realizat de către Consiliul Europei – Congresul Puterilor Locale </w:t>
      </w:r>
      <w:r w:rsidR="006F4B00">
        <w:rPr>
          <w:rFonts w:ascii="Times New Roman" w:hAnsi="Times New Roman"/>
          <w:sz w:val="28"/>
          <w:szCs w:val="28"/>
          <w:lang w:val="ro-MO"/>
        </w:rPr>
        <w:t>ş</w:t>
      </w:r>
      <w:r w:rsidRPr="00AD160F">
        <w:rPr>
          <w:rFonts w:ascii="Times New Roman" w:hAnsi="Times New Roman"/>
          <w:sz w:val="28"/>
          <w:szCs w:val="28"/>
          <w:lang w:val="ro-MO"/>
        </w:rPr>
        <w:t>i Regionale. Astfel</w:t>
      </w:r>
      <w:r w:rsidR="002506AC">
        <w:rPr>
          <w:rFonts w:ascii="Times New Roman" w:hAnsi="Times New Roman"/>
          <w:sz w:val="28"/>
          <w:szCs w:val="28"/>
          <w:lang w:val="ro-MO"/>
        </w:rPr>
        <w:t xml:space="preserve">, </w:t>
      </w:r>
      <w:r w:rsidRPr="00AD160F">
        <w:rPr>
          <w:rFonts w:ascii="Times New Roman" w:hAnsi="Times New Roman"/>
          <w:sz w:val="28"/>
          <w:szCs w:val="28"/>
          <w:lang w:val="ro-MO"/>
        </w:rPr>
        <w:t>Recomandarea 179 din 2005 men</w:t>
      </w:r>
      <w:r w:rsidR="006F4B00">
        <w:rPr>
          <w:rFonts w:ascii="Times New Roman" w:hAnsi="Times New Roman"/>
          <w:sz w:val="28"/>
          <w:szCs w:val="28"/>
          <w:lang w:val="ro-MO"/>
        </w:rPr>
        <w:t>ţ</w:t>
      </w:r>
      <w:r w:rsidRPr="00AD160F">
        <w:rPr>
          <w:rFonts w:ascii="Times New Roman" w:hAnsi="Times New Roman"/>
          <w:sz w:val="28"/>
          <w:szCs w:val="28"/>
          <w:lang w:val="ro-MO"/>
        </w:rPr>
        <w:t>ionează, printre alte observa</w:t>
      </w:r>
      <w:r w:rsidR="006F4B00">
        <w:rPr>
          <w:rFonts w:ascii="Times New Roman" w:hAnsi="Times New Roman"/>
          <w:sz w:val="28"/>
          <w:szCs w:val="28"/>
          <w:lang w:val="ro-MO"/>
        </w:rPr>
        <w:t>ţ</w:t>
      </w:r>
      <w:r w:rsidRPr="00AD160F">
        <w:rPr>
          <w:rFonts w:ascii="Times New Roman" w:hAnsi="Times New Roman"/>
          <w:sz w:val="28"/>
          <w:szCs w:val="28"/>
          <w:lang w:val="ro-MO"/>
        </w:rPr>
        <w:t>ii critice, următoarele:</w:t>
      </w:r>
    </w:p>
    <w:p w:rsidR="004D283F" w:rsidRPr="00402130" w:rsidRDefault="004D283F" w:rsidP="008B3768">
      <w:pPr>
        <w:pStyle w:val="NormalWeb"/>
        <w:ind w:firstLine="0"/>
        <w:rPr>
          <w:rFonts w:ascii="Times New Roman" w:hAnsi="Times New Roman"/>
          <w:sz w:val="10"/>
          <w:szCs w:val="10"/>
          <w:lang w:val="ro-MO"/>
        </w:rPr>
      </w:pPr>
    </w:p>
    <w:p w:rsidR="004D283F" w:rsidRPr="00AD160F" w:rsidRDefault="004D283F" w:rsidP="009F2128">
      <w:pPr>
        <w:pStyle w:val="ListParagraph"/>
        <w:numPr>
          <w:ilvl w:val="0"/>
          <w:numId w:val="15"/>
        </w:numPr>
        <w:tabs>
          <w:tab w:val="left" w:pos="851"/>
        </w:tabs>
        <w:ind w:hanging="153"/>
        <w:jc w:val="both"/>
        <w:rPr>
          <w:rFonts w:ascii="Times New Roman" w:hAnsi="Times New Roman" w:cs="Times New Roman"/>
          <w:sz w:val="28"/>
          <w:szCs w:val="28"/>
          <w:lang w:val="ro-MO" w:eastAsia="fr-FR"/>
        </w:rPr>
      </w:pPr>
      <w:r w:rsidRPr="00AD160F">
        <w:rPr>
          <w:rFonts w:ascii="Times New Roman" w:hAnsi="Times New Roman" w:cs="Times New Roman"/>
          <w:sz w:val="28"/>
          <w:szCs w:val="28"/>
          <w:lang w:val="ro-MO" w:eastAsia="fr-FR"/>
        </w:rPr>
        <w:t xml:space="preserve">caracterul foarte limitat al autonomiei financiare locale ; </w:t>
      </w:r>
    </w:p>
    <w:p w:rsidR="004D283F" w:rsidRPr="00AD160F" w:rsidRDefault="004D283F" w:rsidP="009F2128">
      <w:pPr>
        <w:pStyle w:val="ListParagraph"/>
        <w:numPr>
          <w:ilvl w:val="0"/>
          <w:numId w:val="15"/>
        </w:numPr>
        <w:tabs>
          <w:tab w:val="left" w:pos="851"/>
        </w:tabs>
        <w:ind w:hanging="153"/>
        <w:jc w:val="both"/>
        <w:rPr>
          <w:rFonts w:ascii="Times New Roman" w:hAnsi="Times New Roman" w:cs="Times New Roman"/>
          <w:sz w:val="28"/>
          <w:szCs w:val="28"/>
          <w:lang w:val="ro-MO" w:eastAsia="fr-FR"/>
        </w:rPr>
      </w:pPr>
      <w:r w:rsidRPr="00AD160F">
        <w:rPr>
          <w:rFonts w:ascii="Times New Roman" w:hAnsi="Times New Roman" w:cs="Times New Roman"/>
          <w:sz w:val="28"/>
          <w:szCs w:val="28"/>
          <w:lang w:val="ro-MO" w:eastAsia="fr-FR"/>
        </w:rPr>
        <w:t>în practică, deciziile asupra gestiunii resurselor bugetare ale colectivită</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ilor locale sunt supuse aprobării autorită</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ilor centrale sau a celor raionale;</w:t>
      </w:r>
    </w:p>
    <w:p w:rsidR="004D283F" w:rsidRPr="00AD160F" w:rsidRDefault="004D283F" w:rsidP="009F2128">
      <w:pPr>
        <w:pStyle w:val="ListParagraph"/>
        <w:numPr>
          <w:ilvl w:val="0"/>
          <w:numId w:val="15"/>
        </w:numPr>
        <w:tabs>
          <w:tab w:val="left" w:pos="851"/>
        </w:tabs>
        <w:ind w:hanging="153"/>
        <w:jc w:val="both"/>
        <w:rPr>
          <w:rFonts w:ascii="Times New Roman" w:hAnsi="Times New Roman" w:cs="Times New Roman"/>
          <w:sz w:val="28"/>
          <w:szCs w:val="28"/>
          <w:lang w:val="ro-MO" w:eastAsia="fr-FR"/>
        </w:rPr>
      </w:pPr>
      <w:r w:rsidRPr="00AD160F">
        <w:rPr>
          <w:rFonts w:ascii="Times New Roman" w:hAnsi="Times New Roman" w:cs="Times New Roman"/>
          <w:sz w:val="28"/>
          <w:szCs w:val="28"/>
          <w:lang w:val="ro-MO" w:eastAsia="fr-FR"/>
        </w:rPr>
        <w:t>veniturile colectivită</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 xml:space="preserve">ilor locale provin în principal din transferuri de la nivel central </w:t>
      </w:r>
      <w:r w:rsidR="006F4B00">
        <w:rPr>
          <w:rFonts w:ascii="Times New Roman" w:hAnsi="Times New Roman" w:cs="Times New Roman"/>
          <w:sz w:val="28"/>
          <w:szCs w:val="28"/>
          <w:lang w:val="ro-MO" w:eastAsia="fr-FR"/>
        </w:rPr>
        <w:t>ş</w:t>
      </w:r>
      <w:r w:rsidRPr="00AD160F">
        <w:rPr>
          <w:rFonts w:ascii="Times New Roman" w:hAnsi="Times New Roman" w:cs="Times New Roman"/>
          <w:sz w:val="28"/>
          <w:szCs w:val="28"/>
          <w:lang w:val="ro-MO" w:eastAsia="fr-FR"/>
        </w:rPr>
        <w:t>i raional, ceea ce în mod evident determină o puternică dependen</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ă fa</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 xml:space="preserve">ă de stat </w:t>
      </w:r>
      <w:r w:rsidR="006F4B00">
        <w:rPr>
          <w:rFonts w:ascii="Times New Roman" w:hAnsi="Times New Roman" w:cs="Times New Roman"/>
          <w:sz w:val="28"/>
          <w:szCs w:val="28"/>
          <w:lang w:val="ro-MO" w:eastAsia="fr-FR"/>
        </w:rPr>
        <w:t>ş</w:t>
      </w:r>
      <w:r w:rsidRPr="00AD160F">
        <w:rPr>
          <w:rFonts w:ascii="Times New Roman" w:hAnsi="Times New Roman" w:cs="Times New Roman"/>
          <w:sz w:val="28"/>
          <w:szCs w:val="28"/>
          <w:lang w:val="ro-MO" w:eastAsia="fr-FR"/>
        </w:rPr>
        <w:t>i componentele sale;</w:t>
      </w:r>
    </w:p>
    <w:p w:rsidR="004D283F" w:rsidRPr="00AD160F" w:rsidRDefault="004D283F" w:rsidP="009F2128">
      <w:pPr>
        <w:pStyle w:val="ListParagraph"/>
        <w:numPr>
          <w:ilvl w:val="0"/>
          <w:numId w:val="15"/>
        </w:numPr>
        <w:tabs>
          <w:tab w:val="left" w:pos="851"/>
        </w:tabs>
        <w:ind w:hanging="153"/>
        <w:jc w:val="both"/>
        <w:rPr>
          <w:rFonts w:ascii="Times New Roman" w:hAnsi="Times New Roman" w:cs="Times New Roman"/>
          <w:sz w:val="28"/>
          <w:szCs w:val="28"/>
          <w:lang w:val="ro-MO" w:eastAsia="fr-FR"/>
        </w:rPr>
      </w:pPr>
      <w:r w:rsidRPr="00AD160F">
        <w:rPr>
          <w:rFonts w:ascii="Times New Roman" w:hAnsi="Times New Roman" w:cs="Times New Roman"/>
          <w:sz w:val="28"/>
          <w:szCs w:val="28"/>
          <w:lang w:val="ro-MO" w:eastAsia="fr-FR"/>
        </w:rPr>
        <w:t>controlul foarte constrîngător al gestiunii finan</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elor locale de către raioane, care transferă subven</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iile de stat colectivită</w:t>
      </w:r>
      <w:r w:rsidR="006F4B00">
        <w:rPr>
          <w:rFonts w:ascii="Times New Roman" w:hAnsi="Times New Roman" w:cs="Times New Roman"/>
          <w:sz w:val="28"/>
          <w:szCs w:val="28"/>
          <w:lang w:val="ro-MO" w:eastAsia="fr-FR"/>
        </w:rPr>
        <w:t>ţ</w:t>
      </w:r>
      <w:r w:rsidRPr="00AD160F">
        <w:rPr>
          <w:rFonts w:ascii="Times New Roman" w:hAnsi="Times New Roman" w:cs="Times New Roman"/>
          <w:sz w:val="28"/>
          <w:szCs w:val="28"/>
          <w:lang w:val="ro-MO" w:eastAsia="fr-FR"/>
        </w:rPr>
        <w:t>ilor locale</w:t>
      </w:r>
      <w:r w:rsidR="009F2128" w:rsidRPr="00AD160F">
        <w:rPr>
          <w:rFonts w:ascii="Times New Roman" w:hAnsi="Times New Roman" w:cs="Times New Roman"/>
          <w:sz w:val="28"/>
          <w:szCs w:val="28"/>
          <w:lang w:val="ro-MO" w:eastAsia="fr-FR"/>
        </w:rPr>
        <w:t>.</w:t>
      </w:r>
    </w:p>
    <w:p w:rsidR="004D283F" w:rsidRPr="00402130" w:rsidRDefault="004D283F" w:rsidP="008B3768">
      <w:pPr>
        <w:ind w:left="180" w:hanging="180"/>
        <w:jc w:val="both"/>
        <w:rPr>
          <w:rFonts w:ascii="Times New Roman" w:hAnsi="Times New Roman" w:cs="Times New Roman"/>
          <w:sz w:val="10"/>
          <w:szCs w:val="10"/>
          <w:lang w:val="ro-MO" w:eastAsia="fr-FR"/>
        </w:rPr>
      </w:pPr>
    </w:p>
    <w:p w:rsidR="00173697" w:rsidRPr="00AD160F" w:rsidRDefault="00EB5BA5" w:rsidP="009F2128">
      <w:pPr>
        <w:ind w:firstLine="567"/>
        <w:jc w:val="both"/>
        <w:rPr>
          <w:rFonts w:ascii="Times New Roman" w:hAnsi="Times New Roman" w:cs="Times New Roman"/>
          <w:sz w:val="28"/>
          <w:szCs w:val="28"/>
          <w:lang w:val="ro-MO"/>
        </w:rPr>
      </w:pPr>
      <w:r w:rsidRPr="00AD160F">
        <w:rPr>
          <w:rFonts w:ascii="Times New Roman" w:hAnsi="Times New Roman" w:cs="Times New Roman"/>
          <w:sz w:val="28"/>
          <w:szCs w:val="28"/>
          <w:lang w:val="ro-MO" w:eastAsia="fr-FR"/>
        </w:rPr>
        <w:t xml:space="preserve">Ultimul raport de monitorizare al </w:t>
      </w:r>
      <w:r w:rsidRPr="00AD160F">
        <w:rPr>
          <w:rFonts w:ascii="Times New Roman" w:hAnsi="Times New Roman" w:cs="Times New Roman"/>
          <w:sz w:val="28"/>
          <w:szCs w:val="28"/>
          <w:lang w:val="ro-MO"/>
        </w:rPr>
        <w:t xml:space="preserve">Consiliul Europei – Congresul Puterilor Locale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Regionale</w:t>
      </w:r>
      <w:r w:rsidR="009F2128" w:rsidRPr="00AD160F">
        <w:rPr>
          <w:rFonts w:ascii="Times New Roman" w:hAnsi="Times New Roman" w:cs="Times New Roman"/>
          <w:sz w:val="28"/>
          <w:szCs w:val="28"/>
          <w:lang w:val="ro-MO" w:eastAsia="fr-FR"/>
        </w:rPr>
        <w:t>( februarie – martie 2012)</w:t>
      </w:r>
      <w:r w:rsidR="00173697" w:rsidRPr="00AD160F">
        <w:rPr>
          <w:rFonts w:ascii="Times New Roman" w:hAnsi="Times New Roman" w:cs="Times New Roman"/>
          <w:sz w:val="28"/>
          <w:szCs w:val="28"/>
          <w:lang w:val="ro-MO"/>
        </w:rPr>
        <w:t>, pe lî</w:t>
      </w:r>
      <w:r w:rsidRPr="00AD160F">
        <w:rPr>
          <w:rFonts w:ascii="Times New Roman" w:hAnsi="Times New Roman" w:cs="Times New Roman"/>
          <w:sz w:val="28"/>
          <w:szCs w:val="28"/>
          <w:lang w:val="ro-MO"/>
        </w:rPr>
        <w:t>ngă progresele făcute în implementarea Recomandării 179/2005</w:t>
      </w:r>
      <w:r w:rsidR="003D3E5F">
        <w:rPr>
          <w:rFonts w:ascii="Times New Roman" w:hAnsi="Times New Roman" w:cs="Times New Roman"/>
          <w:sz w:val="28"/>
          <w:szCs w:val="28"/>
          <w:lang w:val="ro-MO"/>
        </w:rPr>
        <w:t xml:space="preserve"> (</w:t>
      </w:r>
      <w:r w:rsidR="009F2128" w:rsidRPr="00AD160F">
        <w:rPr>
          <w:rFonts w:ascii="Times New Roman" w:hAnsi="Times New Roman" w:cs="Times New Roman"/>
          <w:sz w:val="28"/>
          <w:szCs w:val="28"/>
          <w:lang w:val="ro-MO"/>
        </w:rPr>
        <w:t>SND</w:t>
      </w:r>
      <w:r w:rsidR="00173697" w:rsidRPr="00AD160F">
        <w:rPr>
          <w:rFonts w:ascii="Times New Roman" w:hAnsi="Times New Roman" w:cs="Times New Roman"/>
          <w:sz w:val="28"/>
          <w:szCs w:val="28"/>
          <w:lang w:val="ro-MO"/>
        </w:rPr>
        <w:t xml:space="preserve"> </w:t>
      </w:r>
      <w:r w:rsidR="003D3E5F">
        <w:rPr>
          <w:rFonts w:ascii="Times New Roman" w:hAnsi="Times New Roman" w:cs="Times New Roman"/>
          <w:sz w:val="28"/>
          <w:szCs w:val="28"/>
          <w:lang w:val="ro-MO"/>
        </w:rPr>
        <w:t xml:space="preserve">se bucură de aprecieri pozitive), </w:t>
      </w:r>
      <w:r w:rsidR="00173697" w:rsidRPr="00AD160F">
        <w:rPr>
          <w:rFonts w:ascii="Times New Roman" w:hAnsi="Times New Roman" w:cs="Times New Roman"/>
          <w:sz w:val="28"/>
          <w:szCs w:val="28"/>
          <w:lang w:val="ro-MO"/>
        </w:rPr>
        <w:t xml:space="preserve"> </w:t>
      </w:r>
      <w:r w:rsidRPr="00AD160F">
        <w:rPr>
          <w:rFonts w:ascii="Times New Roman" w:hAnsi="Times New Roman" w:cs="Times New Roman"/>
          <w:sz w:val="28"/>
          <w:szCs w:val="28"/>
          <w:lang w:val="ro-MO"/>
        </w:rPr>
        <w:t xml:space="preserve"> </w:t>
      </w:r>
      <w:r w:rsidR="003D3E5F">
        <w:rPr>
          <w:rFonts w:ascii="Times New Roman" w:hAnsi="Times New Roman" w:cs="Times New Roman"/>
          <w:sz w:val="28"/>
          <w:szCs w:val="28"/>
          <w:lang w:val="ro-MO"/>
        </w:rPr>
        <w:t>eviden</w:t>
      </w:r>
      <w:r w:rsidR="006F4B00">
        <w:rPr>
          <w:rFonts w:ascii="Times New Roman" w:hAnsi="Times New Roman" w:cs="Times New Roman"/>
          <w:sz w:val="28"/>
          <w:szCs w:val="28"/>
          <w:lang w:val="ro-MO"/>
        </w:rPr>
        <w:t>ţ</w:t>
      </w:r>
      <w:r w:rsidR="003D3E5F">
        <w:rPr>
          <w:rFonts w:ascii="Times New Roman" w:hAnsi="Times New Roman" w:cs="Times New Roman"/>
          <w:sz w:val="28"/>
          <w:szCs w:val="28"/>
          <w:lang w:val="ro-MO"/>
        </w:rPr>
        <w:t>iază</w:t>
      </w:r>
      <w:r w:rsidR="003D3E5F" w:rsidRPr="00AD160F">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sidRPr="00AD160F">
        <w:rPr>
          <w:rFonts w:ascii="Times New Roman" w:hAnsi="Times New Roman" w:cs="Times New Roman"/>
          <w:sz w:val="28"/>
          <w:szCs w:val="28"/>
          <w:lang w:val="ro-MO"/>
        </w:rPr>
        <w:t>i anumite</w:t>
      </w:r>
      <w:r w:rsidR="00173697" w:rsidRPr="00AD160F">
        <w:rPr>
          <w:rFonts w:ascii="Times New Roman" w:hAnsi="Times New Roman" w:cs="Times New Roman"/>
          <w:sz w:val="28"/>
          <w:szCs w:val="28"/>
          <w:lang w:val="ro-MO"/>
        </w:rPr>
        <w:t xml:space="preserve"> </w:t>
      </w:r>
      <w:r w:rsidR="003D3E5F">
        <w:rPr>
          <w:rFonts w:ascii="Times New Roman" w:hAnsi="Times New Roman" w:cs="Times New Roman"/>
          <w:sz w:val="28"/>
          <w:szCs w:val="28"/>
          <w:lang w:val="ro-MO"/>
        </w:rPr>
        <w:t xml:space="preserve">nerealizări </w:t>
      </w:r>
      <w:r w:rsidR="00173697" w:rsidRPr="00AD160F">
        <w:rPr>
          <w:rFonts w:ascii="Times New Roman" w:hAnsi="Times New Roman" w:cs="Times New Roman"/>
          <w:sz w:val="28"/>
          <w:szCs w:val="28"/>
          <w:lang w:val="ro-MO"/>
        </w:rPr>
        <w:t>în atingerea tuturor obiectivelor din domeniul descentralizării financiare, cu un accent puternic pus pe nevoia dezvoltării autonomiei financiare a administra</w:t>
      </w:r>
      <w:r w:rsidR="006F4B00">
        <w:rPr>
          <w:rFonts w:ascii="Times New Roman" w:hAnsi="Times New Roman" w:cs="Times New Roman"/>
          <w:sz w:val="28"/>
          <w:szCs w:val="28"/>
          <w:lang w:val="ro-MO"/>
        </w:rPr>
        <w:t>ţ</w:t>
      </w:r>
      <w:r w:rsidR="00173697" w:rsidRPr="00AD160F">
        <w:rPr>
          <w:rFonts w:ascii="Times New Roman" w:hAnsi="Times New Roman" w:cs="Times New Roman"/>
          <w:sz w:val="28"/>
          <w:szCs w:val="28"/>
          <w:lang w:val="ro-MO"/>
        </w:rPr>
        <w:t>iei publice locale, pe consolidarea bazei de venituri proprii a APL, pe transparen</w:t>
      </w:r>
      <w:r w:rsidR="006F4B00">
        <w:rPr>
          <w:rFonts w:ascii="Times New Roman" w:hAnsi="Times New Roman" w:cs="Times New Roman"/>
          <w:sz w:val="28"/>
          <w:szCs w:val="28"/>
          <w:lang w:val="ro-MO"/>
        </w:rPr>
        <w:t>ţ</w:t>
      </w:r>
      <w:r w:rsidR="00173697" w:rsidRPr="00AD160F">
        <w:rPr>
          <w:rFonts w:ascii="Times New Roman" w:hAnsi="Times New Roman" w:cs="Times New Roman"/>
          <w:sz w:val="28"/>
          <w:szCs w:val="28"/>
          <w:lang w:val="ro-MO"/>
        </w:rPr>
        <w:t xml:space="preserve">a, predictibilitatea </w:t>
      </w:r>
      <w:r w:rsidR="006F4B00">
        <w:rPr>
          <w:rFonts w:ascii="Times New Roman" w:hAnsi="Times New Roman" w:cs="Times New Roman"/>
          <w:sz w:val="28"/>
          <w:szCs w:val="28"/>
          <w:lang w:val="ro-MO"/>
        </w:rPr>
        <w:t>ş</w:t>
      </w:r>
      <w:r w:rsidR="00173697" w:rsidRPr="00AD160F">
        <w:rPr>
          <w:rFonts w:ascii="Times New Roman" w:hAnsi="Times New Roman" w:cs="Times New Roman"/>
          <w:sz w:val="28"/>
          <w:szCs w:val="28"/>
          <w:lang w:val="ro-MO"/>
        </w:rPr>
        <w:t>i stabilitatea sistemului de transferuri.</w:t>
      </w:r>
    </w:p>
    <w:p w:rsidR="00173697" w:rsidRPr="00402130" w:rsidRDefault="00173697" w:rsidP="008B3768">
      <w:pPr>
        <w:jc w:val="both"/>
        <w:rPr>
          <w:rFonts w:ascii="Times New Roman" w:hAnsi="Times New Roman" w:cs="Times New Roman"/>
          <w:sz w:val="10"/>
          <w:szCs w:val="10"/>
          <w:lang w:val="ro-MO"/>
        </w:rPr>
      </w:pPr>
    </w:p>
    <w:p w:rsidR="00EB5BA5" w:rsidRPr="00AD160F" w:rsidRDefault="009F2128" w:rsidP="009F2128">
      <w:pPr>
        <w:ind w:firstLine="567"/>
        <w:jc w:val="both"/>
        <w:rPr>
          <w:rFonts w:ascii="Times New Roman" w:hAnsi="Times New Roman" w:cs="Times New Roman"/>
          <w:sz w:val="28"/>
          <w:szCs w:val="28"/>
          <w:lang w:val="ro-MO" w:eastAsia="fr-FR"/>
        </w:rPr>
      </w:pPr>
      <w:r w:rsidRPr="00AD160F">
        <w:rPr>
          <w:rFonts w:ascii="Times New Roman" w:hAnsi="Times New Roman" w:cs="Times New Roman"/>
          <w:sz w:val="28"/>
          <w:szCs w:val="28"/>
          <w:lang w:val="ro-MO"/>
        </w:rPr>
        <w:lastRenderedPageBreak/>
        <w:t>E de men</w:t>
      </w:r>
      <w:r w:rsidR="006F4B00">
        <w:rPr>
          <w:rFonts w:ascii="Times New Roman" w:hAnsi="Times New Roman" w:cs="Times New Roman"/>
          <w:sz w:val="28"/>
          <w:szCs w:val="28"/>
          <w:lang w:val="ro-MO"/>
        </w:rPr>
        <w:t>ţ</w:t>
      </w:r>
      <w:r w:rsidRPr="00AD160F">
        <w:rPr>
          <w:rFonts w:ascii="Times New Roman" w:hAnsi="Times New Roman" w:cs="Times New Roman"/>
          <w:sz w:val="28"/>
          <w:szCs w:val="28"/>
          <w:lang w:val="ro-MO"/>
        </w:rPr>
        <w:t xml:space="preserve">ionat, </w:t>
      </w:r>
      <w:r w:rsidR="00173697" w:rsidRPr="00AD160F">
        <w:rPr>
          <w:rFonts w:ascii="Times New Roman" w:hAnsi="Times New Roman" w:cs="Times New Roman"/>
          <w:sz w:val="28"/>
          <w:szCs w:val="28"/>
          <w:lang w:val="ro-MO"/>
        </w:rPr>
        <w:t>că adoptarea modificărilor propuse la legea finan</w:t>
      </w:r>
      <w:r w:rsidR="006F4B00">
        <w:rPr>
          <w:rFonts w:ascii="Times New Roman" w:hAnsi="Times New Roman" w:cs="Times New Roman"/>
          <w:sz w:val="28"/>
          <w:szCs w:val="28"/>
          <w:lang w:val="ro-MO"/>
        </w:rPr>
        <w:t>ţ</w:t>
      </w:r>
      <w:r w:rsidR="00173697" w:rsidRPr="00AD160F">
        <w:rPr>
          <w:rFonts w:ascii="Times New Roman" w:hAnsi="Times New Roman" w:cs="Times New Roman"/>
          <w:sz w:val="28"/>
          <w:szCs w:val="28"/>
          <w:lang w:val="ro-MO"/>
        </w:rPr>
        <w:t>elor publice locale, corespunde întru-totul observa</w:t>
      </w:r>
      <w:r w:rsidR="006F4B00">
        <w:rPr>
          <w:rFonts w:ascii="Times New Roman" w:hAnsi="Times New Roman" w:cs="Times New Roman"/>
          <w:sz w:val="28"/>
          <w:szCs w:val="28"/>
          <w:lang w:val="ro-MO"/>
        </w:rPr>
        <w:t>ţ</w:t>
      </w:r>
      <w:r w:rsidR="00173697" w:rsidRPr="00AD160F">
        <w:rPr>
          <w:rFonts w:ascii="Times New Roman" w:hAnsi="Times New Roman" w:cs="Times New Roman"/>
          <w:sz w:val="28"/>
          <w:szCs w:val="28"/>
          <w:lang w:val="ro-MO"/>
        </w:rPr>
        <w:t>iilor critice</w:t>
      </w:r>
      <w:r w:rsidR="00EB5BA5" w:rsidRPr="00AD160F">
        <w:rPr>
          <w:rFonts w:ascii="Times New Roman" w:hAnsi="Times New Roman" w:cs="Times New Roman"/>
          <w:sz w:val="28"/>
          <w:szCs w:val="28"/>
          <w:lang w:val="ro-MO"/>
        </w:rPr>
        <w:t xml:space="preserve"> </w:t>
      </w:r>
      <w:r w:rsidR="00173697" w:rsidRPr="00AD160F">
        <w:rPr>
          <w:rFonts w:ascii="Times New Roman" w:hAnsi="Times New Roman" w:cs="Times New Roman"/>
          <w:sz w:val="28"/>
          <w:szCs w:val="28"/>
          <w:lang w:val="ro-MO"/>
        </w:rPr>
        <w:t xml:space="preserve">ale Recomandării 179/2005 </w:t>
      </w:r>
      <w:r w:rsidR="006F4B00">
        <w:rPr>
          <w:rFonts w:ascii="Times New Roman" w:hAnsi="Times New Roman" w:cs="Times New Roman"/>
          <w:sz w:val="28"/>
          <w:szCs w:val="28"/>
          <w:lang w:val="ro-MO"/>
        </w:rPr>
        <w:t>ş</w:t>
      </w:r>
      <w:r w:rsidR="00173697" w:rsidRPr="00AD160F">
        <w:rPr>
          <w:rFonts w:ascii="Times New Roman" w:hAnsi="Times New Roman" w:cs="Times New Roman"/>
          <w:sz w:val="28"/>
          <w:szCs w:val="28"/>
          <w:lang w:val="ro-MO"/>
        </w:rPr>
        <w:t>i a</w:t>
      </w:r>
      <w:r w:rsidR="009B18C0" w:rsidRPr="00AD160F">
        <w:rPr>
          <w:rFonts w:ascii="Times New Roman" w:hAnsi="Times New Roman" w:cs="Times New Roman"/>
          <w:sz w:val="28"/>
          <w:szCs w:val="28"/>
          <w:lang w:val="ro-MO"/>
        </w:rPr>
        <w:t>le</w:t>
      </w:r>
      <w:r w:rsidR="00173697" w:rsidRPr="00AD160F">
        <w:rPr>
          <w:rFonts w:ascii="Times New Roman" w:hAnsi="Times New Roman" w:cs="Times New Roman"/>
          <w:sz w:val="28"/>
          <w:szCs w:val="28"/>
          <w:lang w:val="ro-MO"/>
        </w:rPr>
        <w:t xml:space="preserve"> ultimului raport de monitorizare al Consiliul Europei – Congresul Puterilor Locale </w:t>
      </w:r>
      <w:r w:rsidR="006F4B00">
        <w:rPr>
          <w:rFonts w:ascii="Times New Roman" w:hAnsi="Times New Roman" w:cs="Times New Roman"/>
          <w:sz w:val="28"/>
          <w:szCs w:val="28"/>
          <w:lang w:val="ro-MO"/>
        </w:rPr>
        <w:t>ş</w:t>
      </w:r>
      <w:r w:rsidR="00173697" w:rsidRPr="00AD160F">
        <w:rPr>
          <w:rFonts w:ascii="Times New Roman" w:hAnsi="Times New Roman" w:cs="Times New Roman"/>
          <w:sz w:val="28"/>
          <w:szCs w:val="28"/>
          <w:lang w:val="ro-MO"/>
        </w:rPr>
        <w:t>i Regionale</w:t>
      </w:r>
      <w:r w:rsidR="009B18C0" w:rsidRPr="00AD160F">
        <w:rPr>
          <w:rFonts w:ascii="Times New Roman" w:hAnsi="Times New Roman" w:cs="Times New Roman"/>
          <w:sz w:val="28"/>
          <w:szCs w:val="28"/>
          <w:lang w:val="ro-MO"/>
        </w:rPr>
        <w:t xml:space="preserve"> </w:t>
      </w:r>
      <w:r w:rsidR="006F4B00">
        <w:rPr>
          <w:rFonts w:ascii="Times New Roman" w:hAnsi="Times New Roman" w:cs="Times New Roman"/>
          <w:sz w:val="28"/>
          <w:szCs w:val="28"/>
          <w:lang w:val="ro-MO"/>
        </w:rPr>
        <w:t>ş</w:t>
      </w:r>
      <w:r w:rsidR="009B18C0" w:rsidRPr="00AD160F">
        <w:rPr>
          <w:rFonts w:ascii="Times New Roman" w:hAnsi="Times New Roman" w:cs="Times New Roman"/>
          <w:sz w:val="28"/>
          <w:szCs w:val="28"/>
          <w:lang w:val="ro-MO"/>
        </w:rPr>
        <w:t>i vor avea ca efect consolidarea generală</w:t>
      </w:r>
      <w:r w:rsidR="008B6453" w:rsidRPr="00AD160F">
        <w:rPr>
          <w:rFonts w:ascii="Times New Roman" w:hAnsi="Times New Roman" w:cs="Times New Roman"/>
          <w:sz w:val="28"/>
          <w:szCs w:val="28"/>
          <w:lang w:val="ro-MO"/>
        </w:rPr>
        <w:t xml:space="preserve"> a</w:t>
      </w:r>
      <w:r w:rsidR="009B18C0" w:rsidRPr="00AD160F">
        <w:rPr>
          <w:rFonts w:ascii="Times New Roman" w:hAnsi="Times New Roman" w:cs="Times New Roman"/>
          <w:sz w:val="28"/>
          <w:szCs w:val="28"/>
          <w:lang w:val="ro-MO"/>
        </w:rPr>
        <w:t xml:space="preserve"> autonomiei locale în Republica Moldova</w:t>
      </w:r>
      <w:r w:rsidR="00173697" w:rsidRPr="00AD160F">
        <w:rPr>
          <w:rFonts w:ascii="Times New Roman" w:hAnsi="Times New Roman" w:cs="Times New Roman"/>
          <w:sz w:val="28"/>
          <w:szCs w:val="28"/>
          <w:lang w:val="ro-MO"/>
        </w:rPr>
        <w:t xml:space="preserve">. </w:t>
      </w:r>
    </w:p>
    <w:p w:rsidR="0095388A" w:rsidRPr="001B0998" w:rsidRDefault="0095388A" w:rsidP="008B3768">
      <w:pPr>
        <w:pStyle w:val="NormalWeb"/>
        <w:ind w:firstLine="0"/>
        <w:rPr>
          <w:rFonts w:ascii="Times New Roman" w:hAnsi="Times New Roman"/>
          <w:sz w:val="10"/>
          <w:szCs w:val="10"/>
          <w:lang w:val="ro-MO"/>
        </w:rPr>
      </w:pPr>
    </w:p>
    <w:p w:rsidR="008008D3" w:rsidRPr="00AD160F" w:rsidRDefault="00836AB3" w:rsidP="00AF652E">
      <w:pPr>
        <w:pStyle w:val="NormalWeb"/>
        <w:tabs>
          <w:tab w:val="left" w:pos="851"/>
        </w:tabs>
        <w:ind w:firstLine="709"/>
        <w:rPr>
          <w:rFonts w:ascii="Times New Roman" w:hAnsi="Times New Roman"/>
          <w:b/>
          <w:sz w:val="28"/>
          <w:szCs w:val="28"/>
          <w:lang w:val="ro-MO"/>
        </w:rPr>
      </w:pPr>
      <w:r>
        <w:rPr>
          <w:rFonts w:ascii="Times New Roman" w:hAnsi="Times New Roman"/>
          <w:b/>
          <w:sz w:val="28"/>
          <w:szCs w:val="28"/>
          <w:lang w:val="ro-MO"/>
        </w:rPr>
        <w:t xml:space="preserve">VI. </w:t>
      </w:r>
      <w:r w:rsidR="00C815D3">
        <w:rPr>
          <w:rFonts w:ascii="Times New Roman" w:hAnsi="Times New Roman"/>
          <w:b/>
          <w:sz w:val="28"/>
          <w:szCs w:val="28"/>
          <w:lang w:val="ro-MO"/>
        </w:rPr>
        <w:t>Ac</w:t>
      </w:r>
      <w:r w:rsidR="006F4B00">
        <w:rPr>
          <w:rFonts w:ascii="Times New Roman" w:hAnsi="Times New Roman"/>
          <w:b/>
          <w:sz w:val="28"/>
          <w:szCs w:val="28"/>
          <w:lang w:val="ro-MO"/>
        </w:rPr>
        <w:t>ţ</w:t>
      </w:r>
      <w:r w:rsidR="00C815D3">
        <w:rPr>
          <w:rFonts w:ascii="Times New Roman" w:hAnsi="Times New Roman"/>
          <w:b/>
          <w:sz w:val="28"/>
          <w:szCs w:val="28"/>
          <w:lang w:val="ro-MO"/>
        </w:rPr>
        <w:t>iuni</w:t>
      </w:r>
      <w:r w:rsidR="008008D3" w:rsidRPr="00AD160F">
        <w:rPr>
          <w:rFonts w:ascii="Times New Roman" w:hAnsi="Times New Roman"/>
          <w:b/>
          <w:sz w:val="28"/>
          <w:szCs w:val="28"/>
          <w:lang w:val="ro-MO"/>
        </w:rPr>
        <w:t xml:space="preserve"> în cazul în care realizarea noilor reglementări necesită cheltuieli financiare şi de altă natură; </w:t>
      </w:r>
    </w:p>
    <w:p w:rsidR="0095388A" w:rsidRPr="00402130" w:rsidRDefault="0095388A" w:rsidP="008B3768">
      <w:pPr>
        <w:pStyle w:val="NormalWeb"/>
        <w:ind w:firstLine="0"/>
        <w:rPr>
          <w:rFonts w:ascii="Times New Roman" w:hAnsi="Times New Roman"/>
          <w:sz w:val="10"/>
          <w:szCs w:val="10"/>
          <w:lang w:val="ro-MO"/>
        </w:rPr>
      </w:pPr>
    </w:p>
    <w:p w:rsidR="009B18C0" w:rsidRDefault="00CE6D98" w:rsidP="00386E59">
      <w:pPr>
        <w:pStyle w:val="NormalWeb"/>
        <w:rPr>
          <w:rFonts w:ascii="Times New Roman" w:hAnsi="Times New Roman"/>
          <w:sz w:val="28"/>
          <w:szCs w:val="28"/>
          <w:lang w:val="ro-MO"/>
        </w:rPr>
      </w:pPr>
      <w:r w:rsidRPr="00326F3A">
        <w:rPr>
          <w:rFonts w:ascii="Times New Roman" w:hAnsi="Times New Roman"/>
          <w:sz w:val="28"/>
          <w:szCs w:val="28"/>
          <w:lang w:val="ro-MO"/>
        </w:rPr>
        <w:t>Proiectul de lege</w:t>
      </w:r>
      <w:r w:rsidR="009B18C0" w:rsidRPr="00326F3A">
        <w:rPr>
          <w:rFonts w:ascii="Times New Roman" w:hAnsi="Times New Roman"/>
          <w:sz w:val="28"/>
          <w:szCs w:val="28"/>
          <w:lang w:val="ro-MO"/>
        </w:rPr>
        <w:t xml:space="preserve"> prev</w:t>
      </w:r>
      <w:r w:rsidR="00386E59" w:rsidRPr="00326F3A">
        <w:rPr>
          <w:rFonts w:ascii="Times New Roman" w:hAnsi="Times New Roman"/>
          <w:sz w:val="28"/>
          <w:szCs w:val="28"/>
          <w:lang w:val="ro-MO"/>
        </w:rPr>
        <w:t>e</w:t>
      </w:r>
      <w:r w:rsidR="009B18C0" w:rsidRPr="00326F3A">
        <w:rPr>
          <w:rFonts w:ascii="Times New Roman" w:hAnsi="Times New Roman"/>
          <w:sz w:val="28"/>
          <w:szCs w:val="28"/>
          <w:lang w:val="ro-MO"/>
        </w:rPr>
        <w:t>d</w:t>
      </w:r>
      <w:r w:rsidR="00386E59" w:rsidRPr="00326F3A">
        <w:rPr>
          <w:rFonts w:ascii="Times New Roman" w:hAnsi="Times New Roman"/>
          <w:sz w:val="28"/>
          <w:szCs w:val="28"/>
          <w:lang w:val="ro-MO"/>
        </w:rPr>
        <w:t>e</w:t>
      </w:r>
      <w:r w:rsidR="009B18C0" w:rsidRPr="00326F3A">
        <w:rPr>
          <w:rFonts w:ascii="Times New Roman" w:hAnsi="Times New Roman"/>
          <w:sz w:val="28"/>
          <w:szCs w:val="28"/>
          <w:lang w:val="ro-MO"/>
        </w:rPr>
        <w:t xml:space="preserve"> </w:t>
      </w:r>
      <w:r w:rsidR="006F4B00" w:rsidRPr="00326F3A">
        <w:rPr>
          <w:rFonts w:ascii="Times New Roman" w:hAnsi="Times New Roman"/>
          <w:sz w:val="28"/>
          <w:szCs w:val="28"/>
          <w:lang w:val="ro-MO"/>
        </w:rPr>
        <w:t>ş</w:t>
      </w:r>
      <w:r w:rsidR="009B18C0" w:rsidRPr="00326F3A">
        <w:rPr>
          <w:rFonts w:ascii="Times New Roman" w:hAnsi="Times New Roman"/>
          <w:sz w:val="28"/>
          <w:szCs w:val="28"/>
          <w:lang w:val="ro-MO"/>
        </w:rPr>
        <w:t>i stabilirea unui transfer temporar de compensare</w:t>
      </w:r>
      <w:r w:rsidRPr="00326F3A">
        <w:rPr>
          <w:rFonts w:ascii="Times New Roman" w:hAnsi="Times New Roman"/>
          <w:sz w:val="28"/>
          <w:szCs w:val="28"/>
          <w:lang w:val="ro-MO"/>
        </w:rPr>
        <w:t xml:space="preserve"> pentru acoperirea par</w:t>
      </w:r>
      <w:r w:rsidR="006F4B00" w:rsidRPr="00326F3A">
        <w:rPr>
          <w:rFonts w:ascii="Times New Roman" w:hAnsi="Times New Roman"/>
          <w:sz w:val="28"/>
          <w:szCs w:val="28"/>
          <w:lang w:val="ro-MO"/>
        </w:rPr>
        <w:t>ţ</w:t>
      </w:r>
      <w:r w:rsidRPr="00326F3A">
        <w:rPr>
          <w:rFonts w:ascii="Times New Roman" w:hAnsi="Times New Roman"/>
          <w:sz w:val="28"/>
          <w:szCs w:val="28"/>
          <w:lang w:val="ro-MO"/>
        </w:rPr>
        <w:t xml:space="preserve">ială, </w:t>
      </w:r>
      <w:r w:rsidR="00326F3A" w:rsidRPr="00326F3A">
        <w:rPr>
          <w:rFonts w:ascii="Times New Roman" w:hAnsi="Times New Roman"/>
          <w:sz w:val="28"/>
          <w:szCs w:val="28"/>
          <w:lang w:val="ro-MO"/>
        </w:rPr>
        <w:t>în</w:t>
      </w:r>
      <w:r w:rsidRPr="00326F3A">
        <w:rPr>
          <w:rFonts w:ascii="Times New Roman" w:hAnsi="Times New Roman"/>
          <w:sz w:val="28"/>
          <w:szCs w:val="28"/>
          <w:lang w:val="ro-MO"/>
        </w:rPr>
        <w:t xml:space="preserve"> </w:t>
      </w:r>
      <w:r w:rsidR="00463AB5" w:rsidRPr="00326F3A">
        <w:rPr>
          <w:rFonts w:ascii="Times New Roman" w:hAnsi="Times New Roman"/>
          <w:sz w:val="28"/>
          <w:szCs w:val="28"/>
          <w:lang w:val="ro-MO"/>
        </w:rPr>
        <w:t>primii doi ani</w:t>
      </w:r>
      <w:r w:rsidRPr="00326F3A">
        <w:rPr>
          <w:rFonts w:ascii="Times New Roman" w:hAnsi="Times New Roman"/>
          <w:sz w:val="28"/>
          <w:szCs w:val="28"/>
          <w:lang w:val="ro-MO"/>
        </w:rPr>
        <w:t xml:space="preserve"> de aplicare a </w:t>
      </w:r>
      <w:r w:rsidR="00326F3A" w:rsidRPr="00326F3A">
        <w:rPr>
          <w:rFonts w:ascii="Times New Roman" w:hAnsi="Times New Roman"/>
          <w:sz w:val="28"/>
          <w:szCs w:val="28"/>
          <w:lang w:val="ro-MO"/>
        </w:rPr>
        <w:t>prezentei</w:t>
      </w:r>
      <w:r w:rsidRPr="00326F3A">
        <w:rPr>
          <w:rFonts w:ascii="Times New Roman" w:hAnsi="Times New Roman"/>
          <w:sz w:val="28"/>
          <w:szCs w:val="28"/>
          <w:lang w:val="ro-MO"/>
        </w:rPr>
        <w:t xml:space="preserve"> legi, a eventualelor discrepanţe (riscuri) legate de reformarea sistemului de raporturi interbugetare.</w:t>
      </w:r>
      <w:r w:rsidR="009B18C0" w:rsidRPr="00326F3A">
        <w:rPr>
          <w:rFonts w:ascii="Times New Roman" w:hAnsi="Times New Roman"/>
          <w:sz w:val="28"/>
          <w:szCs w:val="28"/>
          <w:lang w:val="ro-MO"/>
        </w:rPr>
        <w:t xml:space="preserve"> </w:t>
      </w:r>
      <w:r w:rsidRPr="00326F3A">
        <w:rPr>
          <w:rFonts w:ascii="Times New Roman" w:hAnsi="Times New Roman"/>
          <w:sz w:val="28"/>
          <w:szCs w:val="28"/>
          <w:lang w:val="ro-MO"/>
        </w:rPr>
        <w:t xml:space="preserve">În acest scop, Guvernul se va abilita cu dreptul de a forma în componenţa bugetului de stat un fond de compensare, în proporţie de pînă la 1% din veniturile  bugetului de stat. Mijloacele fondului în cauză se vor repartiza </w:t>
      </w:r>
      <w:r w:rsidR="00386E59" w:rsidRPr="00326F3A">
        <w:rPr>
          <w:rFonts w:ascii="Times New Roman" w:hAnsi="Times New Roman"/>
          <w:sz w:val="28"/>
          <w:szCs w:val="28"/>
          <w:lang w:val="ro-MO"/>
        </w:rPr>
        <w:t xml:space="preserve">pe UAT, </w:t>
      </w:r>
      <w:r w:rsidRPr="00326F3A">
        <w:rPr>
          <w:rFonts w:ascii="Times New Roman" w:hAnsi="Times New Roman"/>
          <w:sz w:val="28"/>
          <w:szCs w:val="28"/>
          <w:lang w:val="ro-MO"/>
        </w:rPr>
        <w:t xml:space="preserve">conform </w:t>
      </w:r>
      <w:r w:rsidR="00326F3A">
        <w:rPr>
          <w:rFonts w:ascii="Times New Roman" w:hAnsi="Times New Roman"/>
          <w:sz w:val="28"/>
          <w:szCs w:val="28"/>
          <w:lang w:val="ro-MO"/>
        </w:rPr>
        <w:t>deciziilor</w:t>
      </w:r>
      <w:r w:rsidR="00386E59" w:rsidRPr="00326F3A">
        <w:rPr>
          <w:rFonts w:ascii="Times New Roman" w:hAnsi="Times New Roman"/>
          <w:sz w:val="28"/>
          <w:szCs w:val="28"/>
          <w:lang w:val="ro-MO"/>
        </w:rPr>
        <w:t xml:space="preserve"> Guvern</w:t>
      </w:r>
      <w:r w:rsidR="00326F3A">
        <w:rPr>
          <w:rFonts w:ascii="Times New Roman" w:hAnsi="Times New Roman"/>
          <w:sz w:val="28"/>
          <w:szCs w:val="28"/>
          <w:lang w:val="ro-MO"/>
        </w:rPr>
        <w:t>ului</w:t>
      </w:r>
      <w:r w:rsidR="00386E59" w:rsidRPr="00326F3A">
        <w:rPr>
          <w:rFonts w:ascii="Times New Roman" w:hAnsi="Times New Roman"/>
          <w:sz w:val="28"/>
          <w:szCs w:val="28"/>
          <w:lang w:val="ro-MO"/>
        </w:rPr>
        <w:t>.</w:t>
      </w:r>
      <w:r w:rsidR="00386E59" w:rsidRPr="00AD160F">
        <w:rPr>
          <w:rFonts w:ascii="Times New Roman" w:hAnsi="Times New Roman"/>
          <w:sz w:val="28"/>
          <w:szCs w:val="28"/>
          <w:lang w:val="ro-MO"/>
        </w:rPr>
        <w:t xml:space="preserve"> </w:t>
      </w:r>
    </w:p>
    <w:p w:rsidR="000541EE" w:rsidRPr="001B0998" w:rsidRDefault="000541EE" w:rsidP="00386E59">
      <w:pPr>
        <w:pStyle w:val="NormalWeb"/>
        <w:rPr>
          <w:rFonts w:ascii="Times New Roman" w:hAnsi="Times New Roman"/>
          <w:sz w:val="10"/>
          <w:szCs w:val="10"/>
          <w:lang w:val="ro-MO"/>
        </w:rPr>
      </w:pPr>
    </w:p>
    <w:p w:rsidR="000541EE" w:rsidRDefault="00C07DCA" w:rsidP="000541EE">
      <w:pPr>
        <w:pStyle w:val="NormalWeb"/>
        <w:rPr>
          <w:rFonts w:ascii="Times New Roman" w:hAnsi="Times New Roman"/>
          <w:sz w:val="28"/>
          <w:szCs w:val="28"/>
          <w:lang w:val="ro-MO"/>
        </w:rPr>
      </w:pPr>
      <w:r>
        <w:rPr>
          <w:rFonts w:ascii="Times New Roman" w:hAnsi="Times New Roman"/>
          <w:sz w:val="28"/>
          <w:szCs w:val="28"/>
          <w:lang w:val="ro-MO"/>
        </w:rPr>
        <w:t>E de menționat, că</w:t>
      </w:r>
      <w:r w:rsidR="000541EE">
        <w:rPr>
          <w:rFonts w:ascii="Times New Roman" w:hAnsi="Times New Roman"/>
          <w:sz w:val="28"/>
          <w:szCs w:val="28"/>
          <w:lang w:val="ro-MO"/>
        </w:rPr>
        <w:t xml:space="preserve"> conceptul pus la baza proiectului de lege, precum și conținutul acestuia, au fost supuse examinării și dezbaterii la ultimele ședințe ale Grupului de lucru pentru descentralizarea financiară, constituit în cadrul Ministerului Finanțelor, din reprezentanți ai autorităților publice centrale și locale. Grupul de lucru a susținut proiectul în cauză, recomandînd Ministerului Finanțelor coordonarea </w:t>
      </w:r>
      <w:r>
        <w:rPr>
          <w:rFonts w:ascii="Times New Roman" w:hAnsi="Times New Roman"/>
          <w:sz w:val="28"/>
          <w:szCs w:val="28"/>
          <w:lang w:val="ro-MO"/>
        </w:rPr>
        <w:t>lui</w:t>
      </w:r>
      <w:r w:rsidR="000541EE">
        <w:rPr>
          <w:rFonts w:ascii="Times New Roman" w:hAnsi="Times New Roman"/>
          <w:sz w:val="28"/>
          <w:szCs w:val="28"/>
          <w:lang w:val="ro-MO"/>
        </w:rPr>
        <w:t xml:space="preserve">, în modul stabilit, cu </w:t>
      </w:r>
      <w:r>
        <w:rPr>
          <w:rFonts w:ascii="Times New Roman" w:hAnsi="Times New Roman"/>
          <w:sz w:val="28"/>
          <w:szCs w:val="28"/>
          <w:lang w:val="ro-MO"/>
        </w:rPr>
        <w:t>autoritățile</w:t>
      </w:r>
      <w:r w:rsidR="000541EE">
        <w:rPr>
          <w:rFonts w:ascii="Times New Roman" w:hAnsi="Times New Roman"/>
          <w:sz w:val="28"/>
          <w:szCs w:val="28"/>
          <w:lang w:val="ro-MO"/>
        </w:rPr>
        <w:t xml:space="preserve"> interesate.</w:t>
      </w:r>
    </w:p>
    <w:p w:rsidR="00386E59" w:rsidRDefault="00386E59" w:rsidP="008B3768">
      <w:pPr>
        <w:pStyle w:val="NormalWeb"/>
        <w:ind w:firstLine="0"/>
        <w:rPr>
          <w:rFonts w:ascii="Times New Roman" w:hAnsi="Times New Roman"/>
          <w:sz w:val="28"/>
          <w:szCs w:val="28"/>
          <w:lang w:val="ro-MO"/>
        </w:rPr>
      </w:pPr>
    </w:p>
    <w:p w:rsidR="000541EE" w:rsidRDefault="000541EE" w:rsidP="008B3768">
      <w:pPr>
        <w:pStyle w:val="NormalWeb"/>
        <w:ind w:firstLine="0"/>
        <w:rPr>
          <w:rFonts w:ascii="Times New Roman" w:hAnsi="Times New Roman"/>
          <w:sz w:val="28"/>
          <w:szCs w:val="28"/>
          <w:lang w:val="ro-MO"/>
        </w:rPr>
      </w:pPr>
    </w:p>
    <w:p w:rsidR="000541EE" w:rsidRDefault="000541EE" w:rsidP="008B3768">
      <w:pPr>
        <w:pStyle w:val="NormalWeb"/>
        <w:ind w:firstLine="0"/>
        <w:rPr>
          <w:rFonts w:ascii="Times New Roman" w:hAnsi="Times New Roman"/>
          <w:sz w:val="28"/>
          <w:szCs w:val="28"/>
          <w:lang w:val="ro-MO"/>
        </w:rPr>
      </w:pPr>
    </w:p>
    <w:p w:rsidR="000541EE" w:rsidRDefault="000541EE" w:rsidP="000541EE">
      <w:pPr>
        <w:pStyle w:val="NormalWeb"/>
        <w:ind w:firstLine="0"/>
        <w:jc w:val="right"/>
        <w:rPr>
          <w:rFonts w:ascii="Times New Roman" w:hAnsi="Times New Roman"/>
          <w:b/>
          <w:sz w:val="28"/>
          <w:szCs w:val="28"/>
          <w:lang w:val="ro-MO"/>
        </w:rPr>
      </w:pPr>
      <w:r w:rsidRPr="000541EE">
        <w:rPr>
          <w:rFonts w:ascii="Times New Roman" w:hAnsi="Times New Roman"/>
          <w:b/>
          <w:sz w:val="28"/>
          <w:szCs w:val="28"/>
          <w:lang w:val="ro-MO"/>
        </w:rPr>
        <w:t>Ministru</w:t>
      </w:r>
    </w:p>
    <w:p w:rsidR="000541EE" w:rsidRDefault="000541EE" w:rsidP="000541EE">
      <w:pPr>
        <w:pStyle w:val="NormalWeb"/>
        <w:ind w:firstLine="0"/>
        <w:jc w:val="right"/>
        <w:rPr>
          <w:rFonts w:ascii="Times New Roman" w:hAnsi="Times New Roman"/>
          <w:b/>
          <w:sz w:val="28"/>
          <w:szCs w:val="28"/>
          <w:lang w:val="ro-MO"/>
        </w:rPr>
      </w:pPr>
    </w:p>
    <w:p w:rsidR="000541EE" w:rsidRPr="000541EE" w:rsidRDefault="000541EE" w:rsidP="000541EE">
      <w:pPr>
        <w:pStyle w:val="NormalWeb"/>
        <w:ind w:firstLine="0"/>
        <w:jc w:val="right"/>
        <w:rPr>
          <w:rFonts w:ascii="Times New Roman" w:hAnsi="Times New Roman"/>
          <w:b/>
          <w:sz w:val="28"/>
          <w:szCs w:val="28"/>
          <w:lang w:val="ro-MO"/>
        </w:rPr>
      </w:pPr>
      <w:r>
        <w:rPr>
          <w:rFonts w:ascii="Times New Roman" w:hAnsi="Times New Roman"/>
          <w:b/>
          <w:sz w:val="28"/>
          <w:szCs w:val="28"/>
          <w:lang w:val="ro-MO"/>
        </w:rPr>
        <w:t>Veaceslav Negruța</w:t>
      </w:r>
    </w:p>
    <w:p w:rsidR="00386E59" w:rsidRPr="00AD160F" w:rsidRDefault="00386E59" w:rsidP="008B3768">
      <w:pPr>
        <w:pStyle w:val="NormalWeb"/>
        <w:ind w:firstLine="0"/>
        <w:rPr>
          <w:rFonts w:ascii="Times New Roman" w:hAnsi="Times New Roman"/>
          <w:sz w:val="28"/>
          <w:szCs w:val="28"/>
          <w:lang w:val="ro-MO"/>
        </w:rPr>
      </w:pPr>
    </w:p>
    <w:p w:rsidR="00F74A22" w:rsidRPr="00AD160F" w:rsidRDefault="00F74A22" w:rsidP="008B3768">
      <w:pPr>
        <w:jc w:val="both"/>
        <w:rPr>
          <w:rFonts w:ascii="Times New Roman" w:hAnsi="Times New Roman" w:cs="Times New Roman"/>
          <w:sz w:val="28"/>
          <w:szCs w:val="28"/>
          <w:lang w:val="ro-MO"/>
        </w:rPr>
      </w:pPr>
    </w:p>
    <w:p w:rsidR="00F74A22" w:rsidRPr="00AD160F" w:rsidRDefault="00F74A22" w:rsidP="00F74A22">
      <w:pPr>
        <w:spacing w:line="360" w:lineRule="auto"/>
        <w:jc w:val="right"/>
        <w:rPr>
          <w:rFonts w:ascii="Times New Roman" w:hAnsi="Times New Roman" w:cs="Times New Roman"/>
          <w:b/>
          <w:sz w:val="28"/>
          <w:szCs w:val="28"/>
          <w:lang w:val="ro-MO"/>
        </w:rPr>
      </w:pPr>
    </w:p>
    <w:sectPr w:rsidR="00F74A22" w:rsidRPr="00AD160F" w:rsidSect="001B0998">
      <w:footerReference w:type="default" r:id="rId9"/>
      <w:pgSz w:w="11907" w:h="16839" w:code="9"/>
      <w:pgMar w:top="851"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13F" w:rsidRDefault="0078313F" w:rsidP="00B069A6">
      <w:r>
        <w:separator/>
      </w:r>
    </w:p>
  </w:endnote>
  <w:endnote w:type="continuationSeparator" w:id="1">
    <w:p w:rsidR="0078313F" w:rsidRDefault="0078313F" w:rsidP="00B06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928"/>
      <w:docPartObj>
        <w:docPartGallery w:val="Page Numbers (Bottom of Page)"/>
        <w:docPartUnique/>
      </w:docPartObj>
    </w:sdtPr>
    <w:sdtEndPr>
      <w:rPr>
        <w:rFonts w:ascii="Times New Roman" w:hAnsi="Times New Roman" w:cs="Times New Roman"/>
        <w:sz w:val="24"/>
        <w:szCs w:val="24"/>
      </w:rPr>
    </w:sdtEndPr>
    <w:sdtContent>
      <w:p w:rsidR="00544A4E" w:rsidRDefault="00370683">
        <w:pPr>
          <w:pStyle w:val="Footer"/>
          <w:jc w:val="right"/>
        </w:pPr>
        <w:r w:rsidRPr="00F74A22">
          <w:rPr>
            <w:rFonts w:ascii="Times New Roman" w:hAnsi="Times New Roman" w:cs="Times New Roman"/>
            <w:sz w:val="24"/>
            <w:szCs w:val="24"/>
          </w:rPr>
          <w:fldChar w:fldCharType="begin"/>
        </w:r>
        <w:r w:rsidR="00544A4E" w:rsidRPr="00F74A22">
          <w:rPr>
            <w:rFonts w:ascii="Times New Roman" w:hAnsi="Times New Roman" w:cs="Times New Roman"/>
            <w:sz w:val="24"/>
            <w:szCs w:val="24"/>
          </w:rPr>
          <w:instrText xml:space="preserve"> PAGE   \* MERGEFORMAT </w:instrText>
        </w:r>
        <w:r w:rsidRPr="00F74A22">
          <w:rPr>
            <w:rFonts w:ascii="Times New Roman" w:hAnsi="Times New Roman" w:cs="Times New Roman"/>
            <w:sz w:val="24"/>
            <w:szCs w:val="24"/>
          </w:rPr>
          <w:fldChar w:fldCharType="separate"/>
        </w:r>
        <w:r w:rsidR="00E41B5B">
          <w:rPr>
            <w:rFonts w:ascii="Times New Roman" w:hAnsi="Times New Roman" w:cs="Times New Roman"/>
            <w:noProof/>
            <w:sz w:val="24"/>
            <w:szCs w:val="24"/>
          </w:rPr>
          <w:t>1</w:t>
        </w:r>
        <w:r w:rsidRPr="00F74A22">
          <w:rPr>
            <w:rFonts w:ascii="Times New Roman" w:hAnsi="Times New Roman" w:cs="Times New Roman"/>
            <w:sz w:val="24"/>
            <w:szCs w:val="24"/>
          </w:rPr>
          <w:fldChar w:fldCharType="end"/>
        </w:r>
      </w:p>
    </w:sdtContent>
  </w:sdt>
  <w:p w:rsidR="00544A4E" w:rsidRDefault="00544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13F" w:rsidRDefault="0078313F" w:rsidP="00B069A6">
      <w:r>
        <w:separator/>
      </w:r>
    </w:p>
  </w:footnote>
  <w:footnote w:type="continuationSeparator" w:id="1">
    <w:p w:rsidR="0078313F" w:rsidRDefault="0078313F" w:rsidP="00B06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32E"/>
    <w:multiLevelType w:val="hybridMultilevel"/>
    <w:tmpl w:val="68EEFA24"/>
    <w:lvl w:ilvl="0" w:tplc="041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F6958C7"/>
    <w:multiLevelType w:val="hybridMultilevel"/>
    <w:tmpl w:val="7026E6A0"/>
    <w:lvl w:ilvl="0" w:tplc="DB10840E">
      <w:start w:val="1"/>
      <w:numFmt w:val="lowerLetter"/>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31F3E0F"/>
    <w:multiLevelType w:val="hybridMultilevel"/>
    <w:tmpl w:val="E58E1D08"/>
    <w:lvl w:ilvl="0" w:tplc="BFD03A7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93A08"/>
    <w:multiLevelType w:val="hybridMultilevel"/>
    <w:tmpl w:val="89DAF726"/>
    <w:lvl w:ilvl="0" w:tplc="2AFC602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D7E33"/>
    <w:multiLevelType w:val="hybridMultilevel"/>
    <w:tmpl w:val="B72EF8EE"/>
    <w:lvl w:ilvl="0" w:tplc="041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AE6E41"/>
    <w:multiLevelType w:val="hybridMultilevel"/>
    <w:tmpl w:val="9904D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02C77"/>
    <w:multiLevelType w:val="hybridMultilevel"/>
    <w:tmpl w:val="603AF446"/>
    <w:lvl w:ilvl="0" w:tplc="041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F453CA"/>
    <w:multiLevelType w:val="hybridMultilevel"/>
    <w:tmpl w:val="0E763B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1160C"/>
    <w:multiLevelType w:val="hybridMultilevel"/>
    <w:tmpl w:val="A30EF486"/>
    <w:lvl w:ilvl="0" w:tplc="92461AD4">
      <w:start w:val="5"/>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45751C"/>
    <w:multiLevelType w:val="hybridMultilevel"/>
    <w:tmpl w:val="319A5C14"/>
    <w:lvl w:ilvl="0" w:tplc="CF266C7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50A11"/>
    <w:multiLevelType w:val="hybridMultilevel"/>
    <w:tmpl w:val="C756A4EA"/>
    <w:lvl w:ilvl="0" w:tplc="041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55B43122"/>
    <w:multiLevelType w:val="hybridMultilevel"/>
    <w:tmpl w:val="4A7275B4"/>
    <w:lvl w:ilvl="0" w:tplc="EF5AD2AA">
      <w:start w:val="1"/>
      <w:numFmt w:val="upperRoman"/>
      <w:lvlText w:val="%1."/>
      <w:lvlJc w:val="left"/>
      <w:pPr>
        <w:ind w:left="143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ED2E04"/>
    <w:multiLevelType w:val="hybridMultilevel"/>
    <w:tmpl w:val="A02EA378"/>
    <w:lvl w:ilvl="0" w:tplc="86F4AC2C">
      <w:start w:val="5"/>
      <w:numFmt w:val="upperRoman"/>
      <w:lvlText w:val="%1."/>
      <w:lvlJc w:val="left"/>
      <w:pPr>
        <w:ind w:left="1430" w:hanging="72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A4A7F34"/>
    <w:multiLevelType w:val="hybridMultilevel"/>
    <w:tmpl w:val="05B0B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253B2D"/>
    <w:multiLevelType w:val="hybridMultilevel"/>
    <w:tmpl w:val="B86EC6B6"/>
    <w:lvl w:ilvl="0" w:tplc="2A72B9F0">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F0050A"/>
    <w:multiLevelType w:val="hybridMultilevel"/>
    <w:tmpl w:val="6704877E"/>
    <w:lvl w:ilvl="0" w:tplc="984C0E5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8105BE9"/>
    <w:multiLevelType w:val="hybridMultilevel"/>
    <w:tmpl w:val="95AE9F8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A8C2758"/>
    <w:multiLevelType w:val="hybridMultilevel"/>
    <w:tmpl w:val="500E7E5A"/>
    <w:lvl w:ilvl="0" w:tplc="3E5827D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AC40849"/>
    <w:multiLevelType w:val="hybridMultilevel"/>
    <w:tmpl w:val="333005DC"/>
    <w:lvl w:ilvl="0" w:tplc="04090015">
      <w:start w:val="1"/>
      <w:numFmt w:val="upp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7AD04043"/>
    <w:multiLevelType w:val="hybridMultilevel"/>
    <w:tmpl w:val="C6E61008"/>
    <w:lvl w:ilvl="0" w:tplc="E6DC47E0">
      <w:start w:val="1"/>
      <w:numFmt w:val="lowerRoman"/>
      <w:lvlText w:val="%1)"/>
      <w:lvlJc w:val="left"/>
      <w:pPr>
        <w:ind w:left="1359" w:hanging="72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20">
    <w:nsid w:val="7E4F68DB"/>
    <w:multiLevelType w:val="hybridMultilevel"/>
    <w:tmpl w:val="AD82C536"/>
    <w:lvl w:ilvl="0" w:tplc="6D0AB30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17"/>
  </w:num>
  <w:num w:numId="3">
    <w:abstractNumId w:val="3"/>
  </w:num>
  <w:num w:numId="4">
    <w:abstractNumId w:val="6"/>
  </w:num>
  <w:num w:numId="5">
    <w:abstractNumId w:val="15"/>
  </w:num>
  <w:num w:numId="6">
    <w:abstractNumId w:val="7"/>
  </w:num>
  <w:num w:numId="7">
    <w:abstractNumId w:val="13"/>
  </w:num>
  <w:num w:numId="8">
    <w:abstractNumId w:val="9"/>
  </w:num>
  <w:num w:numId="9">
    <w:abstractNumId w:val="20"/>
  </w:num>
  <w:num w:numId="10">
    <w:abstractNumId w:val="4"/>
  </w:num>
  <w:num w:numId="11">
    <w:abstractNumId w:val="0"/>
  </w:num>
  <w:num w:numId="12">
    <w:abstractNumId w:val="2"/>
  </w:num>
  <w:num w:numId="13">
    <w:abstractNumId w:val="18"/>
  </w:num>
  <w:num w:numId="14">
    <w:abstractNumId w:val="10"/>
  </w:num>
  <w:num w:numId="15">
    <w:abstractNumId w:val="5"/>
  </w:num>
  <w:num w:numId="16">
    <w:abstractNumId w:val="11"/>
  </w:num>
  <w:num w:numId="17">
    <w:abstractNumId w:val="16"/>
  </w:num>
  <w:num w:numId="18">
    <w:abstractNumId w:val="8"/>
  </w:num>
  <w:num w:numId="19">
    <w:abstractNumId w:val="12"/>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08D3"/>
    <w:rsid w:val="00007667"/>
    <w:rsid w:val="00015431"/>
    <w:rsid w:val="0002360A"/>
    <w:rsid w:val="00037A0F"/>
    <w:rsid w:val="000541EE"/>
    <w:rsid w:val="00056E95"/>
    <w:rsid w:val="00062A6A"/>
    <w:rsid w:val="00063C7D"/>
    <w:rsid w:val="000666B7"/>
    <w:rsid w:val="000A33D0"/>
    <w:rsid w:val="000A39FF"/>
    <w:rsid w:val="000A3C48"/>
    <w:rsid w:val="000E5E62"/>
    <w:rsid w:val="00103CB3"/>
    <w:rsid w:val="0011373F"/>
    <w:rsid w:val="001362F3"/>
    <w:rsid w:val="0014377B"/>
    <w:rsid w:val="00144E76"/>
    <w:rsid w:val="00167664"/>
    <w:rsid w:val="00173697"/>
    <w:rsid w:val="00185C95"/>
    <w:rsid w:val="001915C5"/>
    <w:rsid w:val="00194687"/>
    <w:rsid w:val="0019539F"/>
    <w:rsid w:val="001A6E1E"/>
    <w:rsid w:val="001B0998"/>
    <w:rsid w:val="001B3CAA"/>
    <w:rsid w:val="001C22B2"/>
    <w:rsid w:val="001C68AD"/>
    <w:rsid w:val="001D24FA"/>
    <w:rsid w:val="00214CC5"/>
    <w:rsid w:val="00223863"/>
    <w:rsid w:val="0024594A"/>
    <w:rsid w:val="002506AC"/>
    <w:rsid w:val="002526B9"/>
    <w:rsid w:val="002531B8"/>
    <w:rsid w:val="0026619B"/>
    <w:rsid w:val="00267B50"/>
    <w:rsid w:val="002705F1"/>
    <w:rsid w:val="002825EC"/>
    <w:rsid w:val="00284A30"/>
    <w:rsid w:val="00297A06"/>
    <w:rsid w:val="002A2C2B"/>
    <w:rsid w:val="002D2B11"/>
    <w:rsid w:val="002D74E2"/>
    <w:rsid w:val="002E2B6C"/>
    <w:rsid w:val="00300003"/>
    <w:rsid w:val="0030072A"/>
    <w:rsid w:val="00307E9C"/>
    <w:rsid w:val="00326F3A"/>
    <w:rsid w:val="003413CE"/>
    <w:rsid w:val="00361BF7"/>
    <w:rsid w:val="00370683"/>
    <w:rsid w:val="00371292"/>
    <w:rsid w:val="00386E59"/>
    <w:rsid w:val="003C3CD7"/>
    <w:rsid w:val="003D3E5F"/>
    <w:rsid w:val="00402130"/>
    <w:rsid w:val="00403B98"/>
    <w:rsid w:val="00414AB1"/>
    <w:rsid w:val="00454A46"/>
    <w:rsid w:val="00463AB5"/>
    <w:rsid w:val="004C5208"/>
    <w:rsid w:val="004C5D0F"/>
    <w:rsid w:val="004D283F"/>
    <w:rsid w:val="00503065"/>
    <w:rsid w:val="0050668D"/>
    <w:rsid w:val="00520D50"/>
    <w:rsid w:val="00523BBC"/>
    <w:rsid w:val="005410EE"/>
    <w:rsid w:val="00544A4E"/>
    <w:rsid w:val="00566455"/>
    <w:rsid w:val="00573A70"/>
    <w:rsid w:val="005A6AFA"/>
    <w:rsid w:val="005E7472"/>
    <w:rsid w:val="006221EE"/>
    <w:rsid w:val="00641B01"/>
    <w:rsid w:val="00647A4D"/>
    <w:rsid w:val="00654693"/>
    <w:rsid w:val="00667673"/>
    <w:rsid w:val="00671DA5"/>
    <w:rsid w:val="00674EE3"/>
    <w:rsid w:val="00687E8B"/>
    <w:rsid w:val="00690DA0"/>
    <w:rsid w:val="00691221"/>
    <w:rsid w:val="006A6566"/>
    <w:rsid w:val="006F4B00"/>
    <w:rsid w:val="0071443C"/>
    <w:rsid w:val="00774281"/>
    <w:rsid w:val="007762AB"/>
    <w:rsid w:val="0078313F"/>
    <w:rsid w:val="00787D2C"/>
    <w:rsid w:val="007B16DF"/>
    <w:rsid w:val="007B397F"/>
    <w:rsid w:val="007B6BBC"/>
    <w:rsid w:val="007C12A3"/>
    <w:rsid w:val="007D1527"/>
    <w:rsid w:val="008008D3"/>
    <w:rsid w:val="008008DC"/>
    <w:rsid w:val="00800A12"/>
    <w:rsid w:val="00821E28"/>
    <w:rsid w:val="00836AB3"/>
    <w:rsid w:val="00846D62"/>
    <w:rsid w:val="00847892"/>
    <w:rsid w:val="00861A32"/>
    <w:rsid w:val="00875E19"/>
    <w:rsid w:val="00876E68"/>
    <w:rsid w:val="008859D0"/>
    <w:rsid w:val="0089240D"/>
    <w:rsid w:val="008B3768"/>
    <w:rsid w:val="008B6453"/>
    <w:rsid w:val="008D2E80"/>
    <w:rsid w:val="008E43D6"/>
    <w:rsid w:val="00921525"/>
    <w:rsid w:val="00921C69"/>
    <w:rsid w:val="00935F97"/>
    <w:rsid w:val="00940E16"/>
    <w:rsid w:val="0095388A"/>
    <w:rsid w:val="00956C17"/>
    <w:rsid w:val="0097030B"/>
    <w:rsid w:val="00983D95"/>
    <w:rsid w:val="009A5347"/>
    <w:rsid w:val="009B18C0"/>
    <w:rsid w:val="009E7718"/>
    <w:rsid w:val="009F2128"/>
    <w:rsid w:val="009F54EF"/>
    <w:rsid w:val="00A558CF"/>
    <w:rsid w:val="00A56A6E"/>
    <w:rsid w:val="00A711ED"/>
    <w:rsid w:val="00A91040"/>
    <w:rsid w:val="00AA363A"/>
    <w:rsid w:val="00AD074A"/>
    <w:rsid w:val="00AD160F"/>
    <w:rsid w:val="00AF1D75"/>
    <w:rsid w:val="00AF652E"/>
    <w:rsid w:val="00B02A08"/>
    <w:rsid w:val="00B069A6"/>
    <w:rsid w:val="00B26914"/>
    <w:rsid w:val="00B338EE"/>
    <w:rsid w:val="00B42BB1"/>
    <w:rsid w:val="00B60148"/>
    <w:rsid w:val="00B826DC"/>
    <w:rsid w:val="00B90DCD"/>
    <w:rsid w:val="00BC76AE"/>
    <w:rsid w:val="00BE2DF2"/>
    <w:rsid w:val="00BE7A86"/>
    <w:rsid w:val="00C07DCA"/>
    <w:rsid w:val="00C147E9"/>
    <w:rsid w:val="00C31AC4"/>
    <w:rsid w:val="00C4138F"/>
    <w:rsid w:val="00C815D3"/>
    <w:rsid w:val="00C860BE"/>
    <w:rsid w:val="00C87DE7"/>
    <w:rsid w:val="00CA43FA"/>
    <w:rsid w:val="00CB28BD"/>
    <w:rsid w:val="00CE6D98"/>
    <w:rsid w:val="00CE76D9"/>
    <w:rsid w:val="00CF74DA"/>
    <w:rsid w:val="00D03303"/>
    <w:rsid w:val="00D12020"/>
    <w:rsid w:val="00D1555F"/>
    <w:rsid w:val="00D7454C"/>
    <w:rsid w:val="00D74779"/>
    <w:rsid w:val="00D8215F"/>
    <w:rsid w:val="00E0749A"/>
    <w:rsid w:val="00E106F9"/>
    <w:rsid w:val="00E26397"/>
    <w:rsid w:val="00E275E4"/>
    <w:rsid w:val="00E41B5B"/>
    <w:rsid w:val="00E4421E"/>
    <w:rsid w:val="00E466B1"/>
    <w:rsid w:val="00E51CC8"/>
    <w:rsid w:val="00E62516"/>
    <w:rsid w:val="00E7127A"/>
    <w:rsid w:val="00E76109"/>
    <w:rsid w:val="00E76247"/>
    <w:rsid w:val="00E80FAA"/>
    <w:rsid w:val="00E82551"/>
    <w:rsid w:val="00E93684"/>
    <w:rsid w:val="00E96595"/>
    <w:rsid w:val="00EB0896"/>
    <w:rsid w:val="00EB5BA5"/>
    <w:rsid w:val="00EC4FBC"/>
    <w:rsid w:val="00EE0F45"/>
    <w:rsid w:val="00EE50C1"/>
    <w:rsid w:val="00EF269B"/>
    <w:rsid w:val="00F148D2"/>
    <w:rsid w:val="00F24D39"/>
    <w:rsid w:val="00F423D7"/>
    <w:rsid w:val="00F62F2B"/>
    <w:rsid w:val="00F74A22"/>
    <w:rsid w:val="00FE17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D3"/>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 Знак Char"/>
    <w:basedOn w:val="DefaultParagraphFont"/>
    <w:link w:val="NormalWeb"/>
    <w:uiPriority w:val="99"/>
    <w:locked/>
    <w:rsid w:val="008008D3"/>
  </w:style>
  <w:style w:type="paragraph" w:styleId="NormalWeb">
    <w:name w:val="Normal (Web)"/>
    <w:aliases w:val="Знак, Знак"/>
    <w:basedOn w:val="Normal"/>
    <w:link w:val="NormalWebChar"/>
    <w:uiPriority w:val="99"/>
    <w:unhideWhenUsed/>
    <w:qFormat/>
    <w:rsid w:val="008008D3"/>
    <w:pPr>
      <w:ind w:firstLine="567"/>
      <w:jc w:val="both"/>
    </w:pPr>
    <w:rPr>
      <w:rFonts w:cs="Times New Roman"/>
    </w:rPr>
  </w:style>
  <w:style w:type="paragraph" w:styleId="ListParagraph">
    <w:name w:val="List Paragraph"/>
    <w:basedOn w:val="Normal"/>
    <w:uiPriority w:val="34"/>
    <w:qFormat/>
    <w:rsid w:val="001915C5"/>
    <w:pPr>
      <w:ind w:left="720"/>
      <w:contextualSpacing/>
    </w:pPr>
  </w:style>
  <w:style w:type="paragraph" w:styleId="BalloonText">
    <w:name w:val="Balloon Text"/>
    <w:basedOn w:val="Normal"/>
    <w:link w:val="BalloonTextChar"/>
    <w:uiPriority w:val="99"/>
    <w:semiHidden/>
    <w:unhideWhenUsed/>
    <w:rsid w:val="00AA363A"/>
    <w:rPr>
      <w:rFonts w:ascii="Tahoma" w:hAnsi="Tahoma" w:cs="Tahoma"/>
      <w:sz w:val="16"/>
      <w:szCs w:val="16"/>
    </w:rPr>
  </w:style>
  <w:style w:type="character" w:customStyle="1" w:styleId="BalloonTextChar">
    <w:name w:val="Balloon Text Char"/>
    <w:link w:val="BalloonText"/>
    <w:uiPriority w:val="99"/>
    <w:semiHidden/>
    <w:rsid w:val="00AA363A"/>
    <w:rPr>
      <w:rFonts w:ascii="Tahoma" w:hAnsi="Tahoma" w:cs="Tahoma"/>
      <w:sz w:val="16"/>
      <w:szCs w:val="16"/>
    </w:rPr>
  </w:style>
  <w:style w:type="table" w:styleId="TableGrid">
    <w:name w:val="Table Grid"/>
    <w:basedOn w:val="TableNormal"/>
    <w:uiPriority w:val="59"/>
    <w:rsid w:val="00787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1">
    <w:name w:val="Umbrire de culoare deschisă1"/>
    <w:basedOn w:val="TableNormal"/>
    <w:uiPriority w:val="60"/>
    <w:rsid w:val="00787D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deculoaredeschis-Accentuare11">
    <w:name w:val="Listă de culoare deschisă - Accentuare 11"/>
    <w:basedOn w:val="TableNormal"/>
    <w:uiPriority w:val="61"/>
    <w:rsid w:val="00787D2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Umbriremedie1-Accentuare11">
    <w:name w:val="Umbrire medie 1 - Accentuare 11"/>
    <w:basedOn w:val="TableNormal"/>
    <w:uiPriority w:val="63"/>
    <w:rsid w:val="003413C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B069A6"/>
    <w:pPr>
      <w:tabs>
        <w:tab w:val="center" w:pos="4677"/>
        <w:tab w:val="right" w:pos="9355"/>
      </w:tabs>
    </w:pPr>
  </w:style>
  <w:style w:type="character" w:customStyle="1" w:styleId="HeaderChar">
    <w:name w:val="Header Char"/>
    <w:basedOn w:val="DefaultParagraphFont"/>
    <w:link w:val="Header"/>
    <w:uiPriority w:val="99"/>
    <w:semiHidden/>
    <w:rsid w:val="00B069A6"/>
    <w:rPr>
      <w:rFonts w:cs="Calibri"/>
      <w:sz w:val="22"/>
      <w:szCs w:val="22"/>
      <w:lang w:val="en-US" w:eastAsia="en-US"/>
    </w:rPr>
  </w:style>
  <w:style w:type="paragraph" w:styleId="Footer">
    <w:name w:val="footer"/>
    <w:basedOn w:val="Normal"/>
    <w:link w:val="FooterChar"/>
    <w:uiPriority w:val="99"/>
    <w:unhideWhenUsed/>
    <w:rsid w:val="00B069A6"/>
    <w:pPr>
      <w:tabs>
        <w:tab w:val="center" w:pos="4677"/>
        <w:tab w:val="right" w:pos="9355"/>
      </w:tabs>
    </w:pPr>
  </w:style>
  <w:style w:type="character" w:customStyle="1" w:styleId="FooterChar">
    <w:name w:val="Footer Char"/>
    <w:basedOn w:val="DefaultParagraphFont"/>
    <w:link w:val="Footer"/>
    <w:uiPriority w:val="99"/>
    <w:rsid w:val="00B069A6"/>
    <w:rPr>
      <w:rFonts w:cs="Calibri"/>
      <w:sz w:val="22"/>
      <w:szCs w:val="22"/>
      <w:lang w:val="en-US" w:eastAsia="en-US"/>
    </w:rPr>
  </w:style>
  <w:style w:type="character" w:styleId="CommentReference">
    <w:name w:val="annotation reference"/>
    <w:basedOn w:val="DefaultParagraphFont"/>
    <w:uiPriority w:val="99"/>
    <w:semiHidden/>
    <w:unhideWhenUsed/>
    <w:rsid w:val="00454A46"/>
    <w:rPr>
      <w:sz w:val="16"/>
      <w:szCs w:val="16"/>
    </w:rPr>
  </w:style>
  <w:style w:type="paragraph" w:styleId="CommentText">
    <w:name w:val="annotation text"/>
    <w:basedOn w:val="Normal"/>
    <w:link w:val="CommentTextChar"/>
    <w:uiPriority w:val="99"/>
    <w:semiHidden/>
    <w:unhideWhenUsed/>
    <w:rsid w:val="00454A46"/>
    <w:rPr>
      <w:sz w:val="20"/>
      <w:szCs w:val="20"/>
    </w:rPr>
  </w:style>
  <w:style w:type="character" w:customStyle="1" w:styleId="CommentTextChar">
    <w:name w:val="Comment Text Char"/>
    <w:basedOn w:val="DefaultParagraphFont"/>
    <w:link w:val="CommentText"/>
    <w:uiPriority w:val="99"/>
    <w:semiHidden/>
    <w:rsid w:val="00454A46"/>
    <w:rPr>
      <w:rFonts w:cs="Calibri"/>
      <w:lang w:val="en-US" w:eastAsia="en-US"/>
    </w:rPr>
  </w:style>
  <w:style w:type="paragraph" w:styleId="CommentSubject">
    <w:name w:val="annotation subject"/>
    <w:basedOn w:val="CommentText"/>
    <w:next w:val="CommentText"/>
    <w:link w:val="CommentSubjectChar"/>
    <w:uiPriority w:val="99"/>
    <w:semiHidden/>
    <w:unhideWhenUsed/>
    <w:rsid w:val="00454A46"/>
    <w:rPr>
      <w:b/>
      <w:bCs/>
    </w:rPr>
  </w:style>
  <w:style w:type="character" w:customStyle="1" w:styleId="CommentSubjectChar">
    <w:name w:val="Comment Subject Char"/>
    <w:basedOn w:val="CommentTextChar"/>
    <w:link w:val="CommentSubject"/>
    <w:uiPriority w:val="99"/>
    <w:semiHidden/>
    <w:rsid w:val="00454A46"/>
    <w:rPr>
      <w:rFonts w:cs="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D3"/>
    <w:rPr>
      <w:rFonts w:cs="Calibri"/>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NormalWebCaracter">
    <w:name w:val="Normal (Web) Caracter"/>
    <w:aliases w:val="Знак Caracter, Знак Caracter"/>
    <w:basedOn w:val="Fontdeparagrafimplicit"/>
    <w:link w:val="NormalWeb"/>
    <w:uiPriority w:val="99"/>
    <w:locked/>
    <w:rsid w:val="008008D3"/>
  </w:style>
  <w:style w:type="paragraph" w:styleId="NormalWeb">
    <w:name w:val="Normal (Web)"/>
    <w:aliases w:val="Знак, Знак"/>
    <w:basedOn w:val="Normal"/>
    <w:link w:val="NormalWebCaracter"/>
    <w:uiPriority w:val="99"/>
    <w:unhideWhenUsed/>
    <w:qFormat/>
    <w:rsid w:val="008008D3"/>
    <w:pPr>
      <w:ind w:firstLine="567"/>
      <w:jc w:val="both"/>
    </w:pPr>
    <w:rPr>
      <w:rFonts w:cs="Times New Roman"/>
    </w:rPr>
  </w:style>
  <w:style w:type="paragraph" w:styleId="Listparagraf">
    <w:name w:val="List Paragraph"/>
    <w:basedOn w:val="Normal"/>
    <w:uiPriority w:val="34"/>
    <w:qFormat/>
    <w:rsid w:val="001915C5"/>
    <w:pPr>
      <w:ind w:left="720"/>
      <w:contextualSpacing/>
    </w:pPr>
  </w:style>
  <w:style w:type="paragraph" w:styleId="TextnBalon">
    <w:name w:val="Balloon Text"/>
    <w:basedOn w:val="Normal"/>
    <w:link w:val="TextnBalonCaracter"/>
    <w:uiPriority w:val="99"/>
    <w:semiHidden/>
    <w:unhideWhenUsed/>
    <w:rsid w:val="00AA363A"/>
    <w:rPr>
      <w:rFonts w:ascii="Tahoma" w:hAnsi="Tahoma" w:cs="Tahoma"/>
      <w:sz w:val="16"/>
      <w:szCs w:val="16"/>
    </w:rPr>
  </w:style>
  <w:style w:type="character" w:customStyle="1" w:styleId="TextnBalonCaracter">
    <w:name w:val="Text în Balon Caracter"/>
    <w:link w:val="TextnBalon"/>
    <w:uiPriority w:val="99"/>
    <w:semiHidden/>
    <w:rsid w:val="00AA363A"/>
    <w:rPr>
      <w:rFonts w:ascii="Tahoma" w:hAnsi="Tahoma" w:cs="Tahoma"/>
      <w:sz w:val="16"/>
      <w:szCs w:val="16"/>
    </w:rPr>
  </w:style>
  <w:style w:type="table" w:styleId="GrilTabel">
    <w:name w:val="Table Grid"/>
    <w:basedOn w:val="TabelNormal"/>
    <w:uiPriority w:val="59"/>
    <w:rsid w:val="00787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1">
    <w:name w:val="Umbrire de culoare deschisă1"/>
    <w:basedOn w:val="TabelNormal"/>
    <w:uiPriority w:val="60"/>
    <w:rsid w:val="00787D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deculoaredeschis-Accentuare11">
    <w:name w:val="Listă de culoare deschisă - Accentuare 11"/>
    <w:basedOn w:val="TabelNormal"/>
    <w:uiPriority w:val="61"/>
    <w:rsid w:val="00787D2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Umbriremedie1-Accentuare11">
    <w:name w:val="Umbrire medie 1 - Accentuare 11"/>
    <w:basedOn w:val="TabelNormal"/>
    <w:uiPriority w:val="63"/>
    <w:rsid w:val="003413C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ntet">
    <w:name w:val="header"/>
    <w:basedOn w:val="Normal"/>
    <w:link w:val="AntetCaracter"/>
    <w:uiPriority w:val="99"/>
    <w:semiHidden/>
    <w:unhideWhenUsed/>
    <w:rsid w:val="00B069A6"/>
    <w:pPr>
      <w:tabs>
        <w:tab w:val="center" w:pos="4677"/>
        <w:tab w:val="right" w:pos="9355"/>
      </w:tabs>
    </w:pPr>
  </w:style>
  <w:style w:type="character" w:customStyle="1" w:styleId="AntetCaracter">
    <w:name w:val="Antet Caracter"/>
    <w:basedOn w:val="Fontdeparagrafimplicit"/>
    <w:link w:val="Antet"/>
    <w:uiPriority w:val="99"/>
    <w:semiHidden/>
    <w:rsid w:val="00B069A6"/>
    <w:rPr>
      <w:rFonts w:cs="Calibri"/>
      <w:sz w:val="22"/>
      <w:szCs w:val="22"/>
      <w:lang w:val="en-US" w:eastAsia="en-US"/>
    </w:rPr>
  </w:style>
  <w:style w:type="paragraph" w:styleId="Subsol">
    <w:name w:val="footer"/>
    <w:basedOn w:val="Normal"/>
    <w:link w:val="SubsolCaracter"/>
    <w:uiPriority w:val="99"/>
    <w:unhideWhenUsed/>
    <w:rsid w:val="00B069A6"/>
    <w:pPr>
      <w:tabs>
        <w:tab w:val="center" w:pos="4677"/>
        <w:tab w:val="right" w:pos="9355"/>
      </w:tabs>
    </w:pPr>
  </w:style>
  <w:style w:type="character" w:customStyle="1" w:styleId="SubsolCaracter">
    <w:name w:val="Subsol Caracter"/>
    <w:basedOn w:val="Fontdeparagrafimplicit"/>
    <w:link w:val="Subsol"/>
    <w:uiPriority w:val="99"/>
    <w:rsid w:val="00B069A6"/>
    <w:rPr>
      <w:rFonts w:cs="Calibri"/>
      <w:sz w:val="22"/>
      <w:szCs w:val="22"/>
      <w:lang w:val="en-US" w:eastAsia="en-US"/>
    </w:rPr>
  </w:style>
  <w:style w:type="character" w:styleId="Referincomentariu">
    <w:name w:val="annotation reference"/>
    <w:basedOn w:val="Fontdeparagrafimplicit"/>
    <w:uiPriority w:val="99"/>
    <w:semiHidden/>
    <w:unhideWhenUsed/>
    <w:rsid w:val="00454A46"/>
    <w:rPr>
      <w:sz w:val="16"/>
      <w:szCs w:val="16"/>
    </w:rPr>
  </w:style>
  <w:style w:type="paragraph" w:styleId="Textcomentariu">
    <w:name w:val="annotation text"/>
    <w:basedOn w:val="Normal"/>
    <w:link w:val="TextcomentariuCaracter"/>
    <w:uiPriority w:val="99"/>
    <w:semiHidden/>
    <w:unhideWhenUsed/>
    <w:rsid w:val="00454A46"/>
    <w:rPr>
      <w:sz w:val="20"/>
      <w:szCs w:val="20"/>
    </w:rPr>
  </w:style>
  <w:style w:type="character" w:customStyle="1" w:styleId="TextcomentariuCaracter">
    <w:name w:val="Text comentariu Caracter"/>
    <w:basedOn w:val="Fontdeparagrafimplicit"/>
    <w:link w:val="Textcomentariu"/>
    <w:uiPriority w:val="99"/>
    <w:semiHidden/>
    <w:rsid w:val="00454A46"/>
    <w:rPr>
      <w:rFonts w:cs="Calibri"/>
      <w:lang w:val="en-US" w:eastAsia="en-US"/>
    </w:rPr>
  </w:style>
  <w:style w:type="paragraph" w:styleId="SubiectComentariu">
    <w:name w:val="annotation subject"/>
    <w:basedOn w:val="Textcomentariu"/>
    <w:next w:val="Textcomentariu"/>
    <w:link w:val="SubiectComentariuCaracter"/>
    <w:uiPriority w:val="99"/>
    <w:semiHidden/>
    <w:unhideWhenUsed/>
    <w:rsid w:val="00454A46"/>
    <w:rPr>
      <w:b/>
      <w:bCs/>
    </w:rPr>
  </w:style>
  <w:style w:type="character" w:customStyle="1" w:styleId="SubiectComentariuCaracter">
    <w:name w:val="Subiect Comentariu Caracter"/>
    <w:basedOn w:val="TextcomentariuCaracter"/>
    <w:link w:val="SubiectComentariu"/>
    <w:uiPriority w:val="99"/>
    <w:semiHidden/>
    <w:rsid w:val="00454A46"/>
    <w:rPr>
      <w:rFonts w:cs="Calibri"/>
      <w:b/>
      <w:bCs/>
      <w:lang w:val="en-US" w:eastAsia="en-US"/>
    </w:rPr>
  </w:style>
</w:styles>
</file>

<file path=word/webSettings.xml><?xml version="1.0" encoding="utf-8"?>
<w:webSettings xmlns:r="http://schemas.openxmlformats.org/officeDocument/2006/relationships" xmlns:w="http://schemas.openxmlformats.org/wordprocessingml/2006/main">
  <w:divs>
    <w:div w:id="346561709">
      <w:bodyDiv w:val="1"/>
      <w:marLeft w:val="0"/>
      <w:marRight w:val="0"/>
      <w:marTop w:val="0"/>
      <w:marBottom w:val="0"/>
      <w:divBdr>
        <w:top w:val="none" w:sz="0" w:space="0" w:color="auto"/>
        <w:left w:val="none" w:sz="0" w:space="0" w:color="auto"/>
        <w:bottom w:val="none" w:sz="0" w:space="0" w:color="auto"/>
        <w:right w:val="none" w:sz="0" w:space="0" w:color="auto"/>
      </w:divBdr>
    </w:div>
    <w:div w:id="540674952">
      <w:bodyDiv w:val="1"/>
      <w:marLeft w:val="0"/>
      <w:marRight w:val="0"/>
      <w:marTop w:val="0"/>
      <w:marBottom w:val="0"/>
      <w:divBdr>
        <w:top w:val="none" w:sz="0" w:space="0" w:color="auto"/>
        <w:left w:val="none" w:sz="0" w:space="0" w:color="auto"/>
        <w:bottom w:val="none" w:sz="0" w:space="0" w:color="auto"/>
        <w:right w:val="none" w:sz="0" w:space="0" w:color="auto"/>
      </w:divBdr>
    </w:div>
    <w:div w:id="670765631">
      <w:bodyDiv w:val="1"/>
      <w:marLeft w:val="0"/>
      <w:marRight w:val="0"/>
      <w:marTop w:val="0"/>
      <w:marBottom w:val="0"/>
      <w:divBdr>
        <w:top w:val="none" w:sz="0" w:space="0" w:color="auto"/>
        <w:left w:val="none" w:sz="0" w:space="0" w:color="auto"/>
        <w:bottom w:val="none" w:sz="0" w:space="0" w:color="auto"/>
        <w:right w:val="none" w:sz="0" w:space="0" w:color="auto"/>
      </w:divBdr>
    </w:div>
    <w:div w:id="878512606">
      <w:bodyDiv w:val="1"/>
      <w:marLeft w:val="0"/>
      <w:marRight w:val="0"/>
      <w:marTop w:val="0"/>
      <w:marBottom w:val="0"/>
      <w:divBdr>
        <w:top w:val="none" w:sz="0" w:space="0" w:color="auto"/>
        <w:left w:val="none" w:sz="0" w:space="0" w:color="auto"/>
        <w:bottom w:val="none" w:sz="0" w:space="0" w:color="auto"/>
        <w:right w:val="none" w:sz="0" w:space="0" w:color="auto"/>
      </w:divBdr>
    </w:div>
    <w:div w:id="978191255">
      <w:bodyDiv w:val="1"/>
      <w:marLeft w:val="0"/>
      <w:marRight w:val="0"/>
      <w:marTop w:val="0"/>
      <w:marBottom w:val="0"/>
      <w:divBdr>
        <w:top w:val="none" w:sz="0" w:space="0" w:color="auto"/>
        <w:left w:val="none" w:sz="0" w:space="0" w:color="auto"/>
        <w:bottom w:val="none" w:sz="0" w:space="0" w:color="auto"/>
        <w:right w:val="none" w:sz="0" w:space="0" w:color="auto"/>
      </w:divBdr>
    </w:div>
    <w:div w:id="1476099344">
      <w:bodyDiv w:val="1"/>
      <w:marLeft w:val="0"/>
      <w:marRight w:val="0"/>
      <w:marTop w:val="0"/>
      <w:marBottom w:val="0"/>
      <w:divBdr>
        <w:top w:val="none" w:sz="0" w:space="0" w:color="auto"/>
        <w:left w:val="none" w:sz="0" w:space="0" w:color="auto"/>
        <w:bottom w:val="none" w:sz="0" w:space="0" w:color="auto"/>
        <w:right w:val="none" w:sz="0" w:space="0" w:color="auto"/>
      </w:divBdr>
    </w:div>
    <w:div w:id="1829977051">
      <w:bodyDiv w:val="1"/>
      <w:marLeft w:val="0"/>
      <w:marRight w:val="0"/>
      <w:marTop w:val="0"/>
      <w:marBottom w:val="0"/>
      <w:divBdr>
        <w:top w:val="none" w:sz="0" w:space="0" w:color="auto"/>
        <w:left w:val="none" w:sz="0" w:space="0" w:color="auto"/>
        <w:bottom w:val="none" w:sz="0" w:space="0" w:color="auto"/>
        <w:right w:val="none" w:sz="0" w:space="0" w:color="auto"/>
      </w:divBdr>
    </w:div>
    <w:div w:id="1933589962">
      <w:bodyDiv w:val="1"/>
      <w:marLeft w:val="0"/>
      <w:marRight w:val="0"/>
      <w:marTop w:val="0"/>
      <w:marBottom w:val="0"/>
      <w:divBdr>
        <w:top w:val="none" w:sz="0" w:space="0" w:color="auto"/>
        <w:left w:val="none" w:sz="0" w:space="0" w:color="auto"/>
        <w:bottom w:val="none" w:sz="0" w:space="0" w:color="auto"/>
        <w:right w:val="none" w:sz="0" w:space="0" w:color="auto"/>
      </w:divBdr>
    </w:div>
    <w:div w:id="21191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en-US"/>
            </a:pPr>
            <a:r>
              <a:rPr lang="ro-RO" sz="1400" b="0">
                <a:latin typeface="Times New Roman" pitchFamily="18" charset="0"/>
                <a:cs typeface="Times New Roman" pitchFamily="18" charset="0"/>
              </a:rPr>
              <a:t>Grafic.1 </a:t>
            </a:r>
            <a:r>
              <a:rPr lang="en-US" sz="1400" b="0">
                <a:latin typeface="Times New Roman" pitchFamily="18" charset="0"/>
                <a:cs typeface="Times New Roman" pitchFamily="18" charset="0"/>
              </a:rPr>
              <a:t>Senzitivitatea principalilor indicatori </a:t>
            </a:r>
            <a:r>
              <a:rPr lang="ro-RO" sz="1400" b="0">
                <a:latin typeface="Times New Roman" pitchFamily="18" charset="0"/>
                <a:cs typeface="Times New Roman" pitchFamily="18" charset="0"/>
              </a:rPr>
              <a:t>ș</a:t>
            </a:r>
            <a:r>
              <a:rPr lang="en-US" sz="1400" b="0">
                <a:latin typeface="Times New Roman" pitchFamily="18" charset="0"/>
                <a:cs typeface="Times New Roman" pitchFamily="18" charset="0"/>
              </a:rPr>
              <a:t>i impozite </a:t>
            </a:r>
            <a:r>
              <a:rPr lang="ro-RO" sz="1400" b="0">
                <a:latin typeface="Times New Roman" pitchFamily="18" charset="0"/>
                <a:cs typeface="Times New Roman" pitchFamily="18" charset="0"/>
              </a:rPr>
              <a:t>î</a:t>
            </a:r>
            <a:r>
              <a:rPr lang="en-US" sz="1400" b="0">
                <a:latin typeface="Times New Roman" pitchFamily="18" charset="0"/>
                <a:cs typeface="Times New Roman" pitchFamily="18" charset="0"/>
              </a:rPr>
              <a:t>n raport cu ciclul economic </a:t>
            </a:r>
            <a:endParaRPr lang="vi-VN" sz="1400" b="0">
              <a:latin typeface="Times New Roman" pitchFamily="18" charset="0"/>
              <a:cs typeface="Times New Roman" pitchFamily="18" charset="0"/>
            </a:endParaRPr>
          </a:p>
        </c:rich>
      </c:tx>
    </c:title>
    <c:plotArea>
      <c:layout/>
      <c:lineChart>
        <c:grouping val="standard"/>
        <c:ser>
          <c:idx val="0"/>
          <c:order val="0"/>
          <c:tx>
            <c:v>PIB</c:v>
          </c:tx>
          <c:cat>
            <c:numRef>
              <c:f>'[Chart in Microsoft Office Word]Foaie1'!$N$3:$R$3</c:f>
              <c:numCache>
                <c:formatCode>General</c:formatCode>
                <c:ptCount val="5"/>
                <c:pt idx="0">
                  <c:v>2006</c:v>
                </c:pt>
                <c:pt idx="1">
                  <c:v>2007</c:v>
                </c:pt>
                <c:pt idx="2">
                  <c:v>2008</c:v>
                </c:pt>
                <c:pt idx="3">
                  <c:v>2009</c:v>
                </c:pt>
                <c:pt idx="4">
                  <c:v>2010</c:v>
                </c:pt>
              </c:numCache>
            </c:numRef>
          </c:cat>
          <c:val>
            <c:numRef>
              <c:f>'[Chart in Microsoft Office Word]Foaie1'!$N$4:$R$4</c:f>
              <c:numCache>
                <c:formatCode>0.0%</c:formatCode>
                <c:ptCount val="5"/>
                <c:pt idx="0">
                  <c:v>1</c:v>
                </c:pt>
                <c:pt idx="1">
                  <c:v>1.0458414411551678</c:v>
                </c:pt>
                <c:pt idx="2">
                  <c:v>1.0600155990443441</c:v>
                </c:pt>
                <c:pt idx="3">
                  <c:v>0.87611032418282808</c:v>
                </c:pt>
                <c:pt idx="4">
                  <c:v>1.0778975107455073</c:v>
                </c:pt>
              </c:numCache>
            </c:numRef>
          </c:val>
        </c:ser>
        <c:ser>
          <c:idx val="1"/>
          <c:order val="1"/>
          <c:tx>
            <c:v>Venituri Totale</c:v>
          </c:tx>
          <c:cat>
            <c:numRef>
              <c:f>'[Chart in Microsoft Office Word]Foaie1'!$N$3:$R$3</c:f>
              <c:numCache>
                <c:formatCode>General</c:formatCode>
                <c:ptCount val="5"/>
                <c:pt idx="0">
                  <c:v>2006</c:v>
                </c:pt>
                <c:pt idx="1">
                  <c:v>2007</c:v>
                </c:pt>
                <c:pt idx="2">
                  <c:v>2008</c:v>
                </c:pt>
                <c:pt idx="3">
                  <c:v>2009</c:v>
                </c:pt>
                <c:pt idx="4">
                  <c:v>2010</c:v>
                </c:pt>
              </c:numCache>
            </c:numRef>
          </c:cat>
          <c:val>
            <c:numRef>
              <c:f>'[Chart in Microsoft Office Word]Foaie1'!$N$5:$R$5</c:f>
              <c:numCache>
                <c:formatCode>0.0%</c:formatCode>
                <c:ptCount val="5"/>
                <c:pt idx="0">
                  <c:v>1</c:v>
                </c:pt>
                <c:pt idx="1">
                  <c:v>1.0646142854304068</c:v>
                </c:pt>
                <c:pt idx="2">
                  <c:v>1.013966027089489</c:v>
                </c:pt>
                <c:pt idx="3">
                  <c:v>0.89394467045491488</c:v>
                </c:pt>
                <c:pt idx="4">
                  <c:v>1.0884166468516123</c:v>
                </c:pt>
              </c:numCache>
            </c:numRef>
          </c:val>
        </c:ser>
        <c:ser>
          <c:idx val="2"/>
          <c:order val="2"/>
          <c:tx>
            <c:v>IVPF</c:v>
          </c:tx>
          <c:cat>
            <c:numRef>
              <c:f>'[Chart in Microsoft Office Word]Foaie1'!$N$3:$R$3</c:f>
              <c:numCache>
                <c:formatCode>General</c:formatCode>
                <c:ptCount val="5"/>
                <c:pt idx="0">
                  <c:v>2006</c:v>
                </c:pt>
                <c:pt idx="1">
                  <c:v>2007</c:v>
                </c:pt>
                <c:pt idx="2">
                  <c:v>2008</c:v>
                </c:pt>
                <c:pt idx="3">
                  <c:v>2009</c:v>
                </c:pt>
                <c:pt idx="4">
                  <c:v>2010</c:v>
                </c:pt>
              </c:numCache>
            </c:numRef>
          </c:cat>
          <c:val>
            <c:numRef>
              <c:f>'[Chart in Microsoft Office Word]Foaie1'!$N$6:$R$6</c:f>
              <c:numCache>
                <c:formatCode>0.0%</c:formatCode>
                <c:ptCount val="5"/>
                <c:pt idx="0">
                  <c:v>1</c:v>
                </c:pt>
                <c:pt idx="1">
                  <c:v>1.0042949994226769</c:v>
                </c:pt>
                <c:pt idx="2">
                  <c:v>0.98642010324170359</c:v>
                </c:pt>
                <c:pt idx="3">
                  <c:v>0.98062468677713355</c:v>
                </c:pt>
                <c:pt idx="4">
                  <c:v>0.95938944895196276</c:v>
                </c:pt>
              </c:numCache>
            </c:numRef>
          </c:val>
        </c:ser>
        <c:ser>
          <c:idx val="3"/>
          <c:order val="3"/>
          <c:tx>
            <c:v>TVA</c:v>
          </c:tx>
          <c:cat>
            <c:numRef>
              <c:f>'[Chart in Microsoft Office Word]Foaie1'!$N$3:$R$3</c:f>
              <c:numCache>
                <c:formatCode>General</c:formatCode>
                <c:ptCount val="5"/>
                <c:pt idx="0">
                  <c:v>2006</c:v>
                </c:pt>
                <c:pt idx="1">
                  <c:v>2007</c:v>
                </c:pt>
                <c:pt idx="2">
                  <c:v>2008</c:v>
                </c:pt>
                <c:pt idx="3">
                  <c:v>2009</c:v>
                </c:pt>
                <c:pt idx="4">
                  <c:v>2010</c:v>
                </c:pt>
              </c:numCache>
            </c:numRef>
          </c:cat>
          <c:val>
            <c:numRef>
              <c:f>'[Chart in Microsoft Office Word]Foaie1'!$N$7:$R$7</c:f>
              <c:numCache>
                <c:formatCode>0.0%</c:formatCode>
                <c:ptCount val="5"/>
                <c:pt idx="0">
                  <c:v>1</c:v>
                </c:pt>
                <c:pt idx="1">
                  <c:v>1.0441001054374726</c:v>
                </c:pt>
                <c:pt idx="2">
                  <c:v>1.0621550292604631</c:v>
                </c:pt>
                <c:pt idx="3">
                  <c:v>0.81937018915589499</c:v>
                </c:pt>
                <c:pt idx="4">
                  <c:v>1.1057583432020308</c:v>
                </c:pt>
              </c:numCache>
            </c:numRef>
          </c:val>
        </c:ser>
        <c:ser>
          <c:idx val="4"/>
          <c:order val="4"/>
          <c:tx>
            <c:v>IVPJ</c:v>
          </c:tx>
          <c:cat>
            <c:numRef>
              <c:f>'[Chart in Microsoft Office Word]Foaie1'!$N$3:$R$3</c:f>
              <c:numCache>
                <c:formatCode>General</c:formatCode>
                <c:ptCount val="5"/>
                <c:pt idx="0">
                  <c:v>2006</c:v>
                </c:pt>
                <c:pt idx="1">
                  <c:v>2007</c:v>
                </c:pt>
                <c:pt idx="2">
                  <c:v>2008</c:v>
                </c:pt>
                <c:pt idx="3">
                  <c:v>2009</c:v>
                </c:pt>
                <c:pt idx="4">
                  <c:v>2010</c:v>
                </c:pt>
              </c:numCache>
            </c:numRef>
          </c:cat>
          <c:val>
            <c:numRef>
              <c:f>'[Chart in Microsoft Office Word]Foaie1'!$N$8:$R$8</c:f>
              <c:numCache>
                <c:formatCode>0.0%</c:formatCode>
                <c:ptCount val="5"/>
                <c:pt idx="0">
                  <c:v>1</c:v>
                </c:pt>
                <c:pt idx="1">
                  <c:v>1.0966823605040421</c:v>
                </c:pt>
                <c:pt idx="2">
                  <c:v>0.45777474287478581</c:v>
                </c:pt>
                <c:pt idx="3">
                  <c:v>0.58717127196506758</c:v>
                </c:pt>
                <c:pt idx="4">
                  <c:v>1.0350631658045419</c:v>
                </c:pt>
              </c:numCache>
            </c:numRef>
          </c:val>
        </c:ser>
        <c:marker val="1"/>
        <c:axId val="84458112"/>
        <c:axId val="88574976"/>
      </c:lineChart>
      <c:catAx>
        <c:axId val="84458112"/>
        <c:scaling>
          <c:orientation val="minMax"/>
        </c:scaling>
        <c:axPos val="b"/>
        <c:numFmt formatCode="General" sourceLinked="1"/>
        <c:majorTickMark val="none"/>
        <c:tickLblPos val="nextTo"/>
        <c:txPr>
          <a:bodyPr/>
          <a:lstStyle/>
          <a:p>
            <a:pPr>
              <a:defRPr lang="en-US"/>
            </a:pPr>
            <a:endParaRPr lang="ru-RU"/>
          </a:p>
        </c:txPr>
        <c:crossAx val="88574976"/>
        <c:crosses val="autoZero"/>
        <c:auto val="1"/>
        <c:lblAlgn val="ctr"/>
        <c:lblOffset val="100"/>
      </c:catAx>
      <c:valAx>
        <c:axId val="88574976"/>
        <c:scaling>
          <c:orientation val="minMax"/>
          <c:max val="1.4"/>
          <c:min val="0.4"/>
        </c:scaling>
        <c:axPos val="l"/>
        <c:majorGridlines/>
        <c:numFmt formatCode="0.0%" sourceLinked="1"/>
        <c:majorTickMark val="none"/>
        <c:tickLblPos val="nextTo"/>
        <c:txPr>
          <a:bodyPr/>
          <a:lstStyle/>
          <a:p>
            <a:pPr>
              <a:defRPr lang="en-US"/>
            </a:pPr>
            <a:endParaRPr lang="ru-RU"/>
          </a:p>
        </c:txPr>
        <c:crossAx val="84458112"/>
        <c:crosses val="autoZero"/>
        <c:crossBetween val="between"/>
        <c:majorUnit val="0.1"/>
        <c:minorUnit val="2.0000000000000052E-2"/>
      </c:valAx>
    </c:plotArea>
    <c:legend>
      <c:legendPos val="b"/>
      <c:txPr>
        <a:bodyPr/>
        <a:lstStyle/>
        <a:p>
          <a:pPr>
            <a:defRPr lang="en-US"/>
          </a:pPr>
          <a:endParaRPr lang="ru-RU"/>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C6049-0D63-4265-A41F-81A94ABC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4967</Words>
  <Characters>28318</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Company>
  <LinksUpToDate>false</LinksUpToDate>
  <CharactersWithSpaces>33219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Victor-Giosan</dc:creator>
  <cp:lastModifiedBy>drazlog</cp:lastModifiedBy>
  <cp:revision>9</cp:revision>
  <cp:lastPrinted>2012-10-11T05:31:00Z</cp:lastPrinted>
  <dcterms:created xsi:type="dcterms:W3CDTF">2012-10-10T05:26:00Z</dcterms:created>
  <dcterms:modified xsi:type="dcterms:W3CDTF">2012-10-11T05:33:00Z</dcterms:modified>
</cp:coreProperties>
</file>