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C8A6CD" w14:textId="77777777" w:rsidR="0031131F" w:rsidRPr="008B79D4" w:rsidRDefault="0031131F" w:rsidP="0031131F">
      <w:pPr>
        <w:pBdr>
          <w:top w:val="none" w:sz="4" w:space="0" w:color="000000"/>
          <w:left w:val="none" w:sz="4" w:space="0" w:color="000000"/>
          <w:bottom w:val="none" w:sz="4" w:space="0" w:color="000000"/>
          <w:right w:val="none" w:sz="4" w:space="0" w:color="000000"/>
        </w:pBdr>
        <w:tabs>
          <w:tab w:val="left" w:pos="884"/>
          <w:tab w:val="left" w:pos="1196"/>
        </w:tabs>
        <w:jc w:val="center"/>
        <w:rPr>
          <w:noProof/>
          <w:sz w:val="20"/>
          <w:szCs w:val="20"/>
          <w:lang w:val="ro-RO"/>
        </w:rPr>
      </w:pPr>
      <w:r w:rsidRPr="008B79D4">
        <w:rPr>
          <w:b/>
          <w:noProof/>
          <w:sz w:val="20"/>
          <w:szCs w:val="20"/>
          <w:lang w:val="ro-RO"/>
        </w:rPr>
        <w:t>SINTEZA</w:t>
      </w:r>
    </w:p>
    <w:p w14:paraId="7EB3EE05" w14:textId="77777777" w:rsidR="0031131F" w:rsidRPr="008B79D4" w:rsidRDefault="0031131F" w:rsidP="0031131F">
      <w:pPr>
        <w:pBdr>
          <w:top w:val="none" w:sz="4" w:space="0" w:color="000000"/>
          <w:left w:val="none" w:sz="4" w:space="0" w:color="000000"/>
          <w:bottom w:val="none" w:sz="4" w:space="0" w:color="000000"/>
          <w:right w:val="none" w:sz="4" w:space="0" w:color="000000"/>
        </w:pBdr>
        <w:tabs>
          <w:tab w:val="left" w:pos="884"/>
          <w:tab w:val="left" w:pos="1196"/>
        </w:tabs>
        <w:jc w:val="center"/>
        <w:rPr>
          <w:b/>
          <w:bCs/>
          <w:noProof/>
          <w:sz w:val="20"/>
          <w:szCs w:val="20"/>
          <w:lang w:val="ro-RO"/>
        </w:rPr>
      </w:pPr>
      <w:r w:rsidRPr="008B79D4">
        <w:rPr>
          <w:b/>
          <w:noProof/>
          <w:sz w:val="20"/>
          <w:szCs w:val="20"/>
          <w:lang w:val="ro-RO"/>
        </w:rPr>
        <w:t>la proiectul</w:t>
      </w:r>
      <w:r w:rsidRPr="008B79D4">
        <w:rPr>
          <w:b/>
          <w:bCs/>
          <w:noProof/>
          <w:sz w:val="20"/>
          <w:szCs w:val="20"/>
          <w:lang w:val="ro-RO"/>
        </w:rPr>
        <w:t xml:space="preserve"> Legii privind participarea publică în procesul decizional </w:t>
      </w:r>
    </w:p>
    <w:p w14:paraId="57BF3711" w14:textId="353BFEBC" w:rsidR="0031131F" w:rsidRPr="008B79D4" w:rsidRDefault="0031131F" w:rsidP="0031131F">
      <w:pPr>
        <w:pBdr>
          <w:top w:val="none" w:sz="4" w:space="0" w:color="000000"/>
          <w:left w:val="none" w:sz="4" w:space="0" w:color="000000"/>
          <w:bottom w:val="none" w:sz="4" w:space="0" w:color="000000"/>
          <w:right w:val="none" w:sz="4" w:space="0" w:color="000000"/>
        </w:pBdr>
        <w:tabs>
          <w:tab w:val="left" w:pos="884"/>
          <w:tab w:val="left" w:pos="1196"/>
        </w:tabs>
        <w:jc w:val="center"/>
        <w:rPr>
          <w:i/>
          <w:iCs/>
          <w:noProof/>
          <w:sz w:val="20"/>
          <w:szCs w:val="20"/>
          <w:lang w:val="ro-RO"/>
        </w:rPr>
      </w:pPr>
      <w:r w:rsidRPr="008B79D4">
        <w:rPr>
          <w:i/>
          <w:iCs/>
          <w:noProof/>
          <w:sz w:val="20"/>
          <w:szCs w:val="20"/>
          <w:lang w:val="ro-RO"/>
        </w:rPr>
        <w:t>(</w:t>
      </w:r>
      <w:r w:rsidR="00F6295E" w:rsidRPr="008B79D4">
        <w:rPr>
          <w:b/>
          <w:bCs/>
          <w:i/>
          <w:iCs/>
          <w:noProof/>
          <w:color w:val="0070C0"/>
          <w:sz w:val="20"/>
          <w:szCs w:val="20"/>
          <w:lang w:val="ro-RO"/>
        </w:rPr>
        <w:t>consultare cu Comisia Europeană 11.06.2026 – 04.07.2026</w:t>
      </w:r>
      <w:r w:rsidRPr="008B79D4">
        <w:rPr>
          <w:i/>
          <w:iCs/>
          <w:noProof/>
          <w:sz w:val="20"/>
          <w:szCs w:val="20"/>
          <w:lang w:val="ro-RO"/>
        </w:rPr>
        <w:t>)</w:t>
      </w:r>
    </w:p>
    <w:p w14:paraId="25924E03" w14:textId="280C8326" w:rsidR="00F6295E" w:rsidRPr="008B79D4" w:rsidRDefault="00F6295E" w:rsidP="00F6295E">
      <w:pPr>
        <w:pStyle w:val="p1"/>
        <w:rPr>
          <w:sz w:val="20"/>
          <w:szCs w:val="20"/>
          <w:lang w:val="ro-RO"/>
        </w:rPr>
      </w:pPr>
      <w:r w:rsidRPr="008B79D4">
        <w:rPr>
          <w:b/>
          <w:bCs/>
          <w:i/>
          <w:iCs/>
          <w:sz w:val="20"/>
          <w:szCs w:val="20"/>
          <w:lang w:val="ro-RO"/>
        </w:rPr>
        <w:t xml:space="preserve">Declarație de declinare a responsabilității: </w:t>
      </w:r>
      <w:r w:rsidRPr="008B79D4">
        <w:rPr>
          <w:i/>
          <w:iCs/>
          <w:sz w:val="20"/>
          <w:szCs w:val="20"/>
          <w:lang w:val="ro-RO"/>
        </w:rPr>
        <w:t>Această opinie este furnizată exclusiv pe baza informațiilor primite și nu prejudiciază evaluarea oficială a serviciilor Comisiei. De asemenea, Comisia își rezervă dreptul de a formula comentarii suplimentare la o etapă ulterioară </w:t>
      </w:r>
    </w:p>
    <w:p w14:paraId="2BA842F2" w14:textId="77777777" w:rsidR="0031131F" w:rsidRPr="008B79D4" w:rsidRDefault="0031131F" w:rsidP="0031131F">
      <w:pPr>
        <w:pBdr>
          <w:top w:val="none" w:sz="4" w:space="0" w:color="000000"/>
          <w:left w:val="none" w:sz="4" w:space="0" w:color="000000"/>
          <w:bottom w:val="none" w:sz="4" w:space="0" w:color="000000"/>
          <w:right w:val="none" w:sz="4" w:space="0" w:color="000000"/>
        </w:pBdr>
        <w:tabs>
          <w:tab w:val="left" w:pos="884"/>
          <w:tab w:val="left" w:pos="1196"/>
        </w:tabs>
        <w:rPr>
          <w:i/>
          <w:iCs/>
          <w:noProof/>
          <w:sz w:val="20"/>
          <w:szCs w:val="20"/>
          <w:lang w:val="ro-RO"/>
        </w:rPr>
      </w:pPr>
    </w:p>
    <w:tbl>
      <w:tblPr>
        <w:tblStyle w:val="TableGrid"/>
        <w:tblpPr w:leftFromText="180" w:rightFromText="180" w:vertAnchor="text" w:tblpY="1"/>
        <w:tblOverlap w:val="never"/>
        <w:tblW w:w="13378" w:type="dxa"/>
        <w:tblLayout w:type="fixed"/>
        <w:tblLook w:val="04A0" w:firstRow="1" w:lastRow="0" w:firstColumn="1" w:lastColumn="0" w:noHBand="0" w:noVBand="1"/>
      </w:tblPr>
      <w:tblGrid>
        <w:gridCol w:w="580"/>
        <w:gridCol w:w="3018"/>
        <w:gridCol w:w="2517"/>
        <w:gridCol w:w="3564"/>
        <w:gridCol w:w="3681"/>
        <w:gridCol w:w="18"/>
      </w:tblGrid>
      <w:tr w:rsidR="0031131F" w:rsidRPr="008B79D4" w14:paraId="27487EFF" w14:textId="77777777" w:rsidTr="006C381F">
        <w:trPr>
          <w:gridAfter w:val="1"/>
          <w:wAfter w:w="18" w:type="dxa"/>
          <w:tblHeader/>
        </w:trPr>
        <w:tc>
          <w:tcPr>
            <w:tcW w:w="580" w:type="dxa"/>
            <w:shd w:val="clear" w:color="auto" w:fill="B4C6E7" w:themeFill="accent1" w:themeFillTint="66"/>
          </w:tcPr>
          <w:p w14:paraId="24A40B3E" w14:textId="77777777" w:rsidR="0031131F" w:rsidRPr="008B79D4" w:rsidRDefault="0031131F" w:rsidP="0031131F">
            <w:pPr>
              <w:pStyle w:val="ListParagraph"/>
              <w:tabs>
                <w:tab w:val="right" w:pos="0"/>
              </w:tabs>
              <w:ind w:left="-95" w:right="-288"/>
              <w:jc w:val="center"/>
              <w:rPr>
                <w:i/>
                <w:iCs/>
                <w:noProof/>
                <w:sz w:val="20"/>
                <w:szCs w:val="20"/>
                <w:lang w:val="ro-RO"/>
              </w:rPr>
            </w:pPr>
            <w:r w:rsidRPr="008B79D4">
              <w:rPr>
                <w:i/>
                <w:iCs/>
                <w:noProof/>
                <w:sz w:val="20"/>
                <w:szCs w:val="20"/>
                <w:lang w:val="ro-RO"/>
              </w:rPr>
              <w:t>n/o</w:t>
            </w:r>
          </w:p>
        </w:tc>
        <w:tc>
          <w:tcPr>
            <w:tcW w:w="3018" w:type="dxa"/>
            <w:shd w:val="clear" w:color="auto" w:fill="B4C6E7" w:themeFill="accent1" w:themeFillTint="66"/>
          </w:tcPr>
          <w:p w14:paraId="44502131" w14:textId="1E78272F" w:rsidR="0031131F" w:rsidRPr="008B79D4" w:rsidRDefault="0031131F" w:rsidP="0031131F">
            <w:pPr>
              <w:jc w:val="center"/>
              <w:rPr>
                <w:i/>
                <w:iCs/>
                <w:noProof/>
                <w:sz w:val="20"/>
                <w:szCs w:val="20"/>
                <w:lang w:val="ro-RO"/>
              </w:rPr>
            </w:pPr>
            <w:r w:rsidRPr="008B79D4">
              <w:rPr>
                <w:i/>
                <w:iCs/>
                <w:noProof/>
                <w:sz w:val="20"/>
                <w:szCs w:val="20"/>
                <w:lang w:val="ro-RO"/>
              </w:rPr>
              <w:t>Articol</w:t>
            </w:r>
          </w:p>
        </w:tc>
        <w:tc>
          <w:tcPr>
            <w:tcW w:w="2517" w:type="dxa"/>
            <w:shd w:val="clear" w:color="auto" w:fill="B4C6E7" w:themeFill="accent1" w:themeFillTint="66"/>
          </w:tcPr>
          <w:p w14:paraId="511627B5" w14:textId="23BE41E1" w:rsidR="0031131F" w:rsidRPr="008B79D4" w:rsidRDefault="0031131F" w:rsidP="0031131F">
            <w:pPr>
              <w:jc w:val="center"/>
              <w:rPr>
                <w:i/>
                <w:iCs/>
                <w:noProof/>
                <w:sz w:val="20"/>
                <w:szCs w:val="20"/>
                <w:lang w:val="ro-RO"/>
              </w:rPr>
            </w:pPr>
            <w:r w:rsidRPr="008B79D4">
              <w:rPr>
                <w:i/>
                <w:iCs/>
                <w:noProof/>
                <w:sz w:val="20"/>
                <w:szCs w:val="20"/>
                <w:lang w:val="ro-RO"/>
              </w:rPr>
              <w:t>Participant la expertizare/notificare</w:t>
            </w:r>
          </w:p>
        </w:tc>
        <w:tc>
          <w:tcPr>
            <w:tcW w:w="3564" w:type="dxa"/>
            <w:shd w:val="clear" w:color="auto" w:fill="B4C6E7" w:themeFill="accent1" w:themeFillTint="66"/>
          </w:tcPr>
          <w:p w14:paraId="59FE3740" w14:textId="77777777" w:rsidR="0031131F" w:rsidRPr="008B79D4" w:rsidRDefault="0031131F" w:rsidP="0031131F">
            <w:pPr>
              <w:jc w:val="center"/>
              <w:rPr>
                <w:i/>
                <w:iCs/>
                <w:noProof/>
                <w:sz w:val="20"/>
                <w:szCs w:val="20"/>
                <w:lang w:val="ro-RO"/>
              </w:rPr>
            </w:pPr>
            <w:r w:rsidRPr="008B79D4">
              <w:rPr>
                <w:i/>
                <w:iCs/>
                <w:noProof/>
                <w:sz w:val="20"/>
                <w:szCs w:val="20"/>
                <w:lang w:val="ro-RO"/>
              </w:rPr>
              <w:t>Conținutul recomandării, concluziei</w:t>
            </w:r>
          </w:p>
        </w:tc>
        <w:tc>
          <w:tcPr>
            <w:tcW w:w="3681" w:type="dxa"/>
            <w:shd w:val="clear" w:color="auto" w:fill="B4C6E7" w:themeFill="accent1" w:themeFillTint="66"/>
          </w:tcPr>
          <w:p w14:paraId="089A6CB1" w14:textId="77777777" w:rsidR="0031131F" w:rsidRPr="008B79D4" w:rsidRDefault="0031131F" w:rsidP="00345F6F">
            <w:pPr>
              <w:jc w:val="center"/>
              <w:rPr>
                <w:i/>
                <w:iCs/>
                <w:noProof/>
                <w:sz w:val="20"/>
                <w:szCs w:val="20"/>
                <w:lang w:val="ro-RO"/>
              </w:rPr>
            </w:pPr>
            <w:r w:rsidRPr="008B79D4">
              <w:rPr>
                <w:i/>
                <w:iCs/>
                <w:noProof/>
                <w:sz w:val="20"/>
                <w:szCs w:val="20"/>
                <w:lang w:val="ro-RO"/>
              </w:rPr>
              <w:t>Argumentarea autorului proiectului</w:t>
            </w:r>
          </w:p>
        </w:tc>
      </w:tr>
      <w:tr w:rsidR="0001436D" w:rsidRPr="008B79D4" w14:paraId="458EA579" w14:textId="77777777" w:rsidTr="006C381F">
        <w:tc>
          <w:tcPr>
            <w:tcW w:w="13378" w:type="dxa"/>
            <w:gridSpan w:val="6"/>
            <w:shd w:val="clear" w:color="auto" w:fill="2F5496" w:themeFill="accent1" w:themeFillShade="BF"/>
          </w:tcPr>
          <w:p w14:paraId="3739F592" w14:textId="2C9E0D31" w:rsidR="0001436D" w:rsidRPr="008B79D4" w:rsidRDefault="00F6295E" w:rsidP="00345F6F">
            <w:pPr>
              <w:jc w:val="both"/>
              <w:rPr>
                <w:b/>
                <w:bCs/>
                <w:noProof/>
                <w:color w:val="FFFFFF" w:themeColor="background1"/>
                <w:sz w:val="20"/>
                <w:szCs w:val="20"/>
                <w:lang w:val="ro-RO"/>
              </w:rPr>
            </w:pPr>
            <w:r w:rsidRPr="008B79D4">
              <w:rPr>
                <w:b/>
                <w:bCs/>
                <w:noProof/>
                <w:color w:val="FFFFFF" w:themeColor="background1"/>
                <w:sz w:val="20"/>
                <w:szCs w:val="20"/>
                <w:lang w:val="ro-RO"/>
              </w:rPr>
              <w:t>Opinia Comisiei Europene</w:t>
            </w:r>
          </w:p>
        </w:tc>
      </w:tr>
      <w:tr w:rsidR="0001436D" w:rsidRPr="008B79D4" w14:paraId="2C5835B4" w14:textId="77777777" w:rsidTr="006C381F">
        <w:trPr>
          <w:gridAfter w:val="1"/>
          <w:wAfter w:w="18" w:type="dxa"/>
        </w:trPr>
        <w:tc>
          <w:tcPr>
            <w:tcW w:w="580" w:type="dxa"/>
          </w:tcPr>
          <w:p w14:paraId="3DCBE32F" w14:textId="77777777" w:rsidR="0001436D" w:rsidRPr="008B79D4" w:rsidRDefault="0001436D" w:rsidP="0001436D">
            <w:pPr>
              <w:pStyle w:val="ListParagraph"/>
              <w:numPr>
                <w:ilvl w:val="0"/>
                <w:numId w:val="1"/>
              </w:numPr>
              <w:tabs>
                <w:tab w:val="right" w:pos="0"/>
              </w:tabs>
              <w:ind w:left="-95" w:right="-288" w:firstLine="0"/>
              <w:jc w:val="both"/>
              <w:rPr>
                <w:noProof/>
                <w:sz w:val="20"/>
                <w:szCs w:val="20"/>
                <w:lang w:val="ro-RO"/>
              </w:rPr>
            </w:pPr>
          </w:p>
        </w:tc>
        <w:tc>
          <w:tcPr>
            <w:tcW w:w="3018" w:type="dxa"/>
          </w:tcPr>
          <w:p w14:paraId="17C0C377" w14:textId="77777777" w:rsidR="00C17516" w:rsidRPr="008B79D4" w:rsidRDefault="00C17516" w:rsidP="00C17516">
            <w:pPr>
              <w:pStyle w:val="p1"/>
              <w:rPr>
                <w:b/>
                <w:bCs/>
                <w:sz w:val="20"/>
                <w:szCs w:val="20"/>
                <w:lang w:val="ro-RO"/>
              </w:rPr>
            </w:pPr>
            <w:r w:rsidRPr="008B79D4">
              <w:rPr>
                <w:b/>
                <w:bCs/>
                <w:sz w:val="20"/>
                <w:szCs w:val="20"/>
                <w:lang w:val="ro-RO"/>
              </w:rPr>
              <w:t>Concluzia expertizei</w:t>
            </w:r>
          </w:p>
          <w:p w14:paraId="51D75DEF" w14:textId="3FF0222C" w:rsidR="0001436D" w:rsidRPr="008B79D4" w:rsidRDefault="0001436D" w:rsidP="0001436D">
            <w:pPr>
              <w:jc w:val="both"/>
              <w:rPr>
                <w:b/>
                <w:bCs/>
                <w:noProof/>
                <w:sz w:val="20"/>
                <w:szCs w:val="20"/>
                <w:lang w:val="ro-RO"/>
              </w:rPr>
            </w:pPr>
          </w:p>
        </w:tc>
        <w:tc>
          <w:tcPr>
            <w:tcW w:w="2517" w:type="dxa"/>
          </w:tcPr>
          <w:p w14:paraId="4E3B8E30" w14:textId="32011D63" w:rsidR="0001436D" w:rsidRPr="008B79D4" w:rsidRDefault="00F6295E" w:rsidP="0001436D">
            <w:pPr>
              <w:jc w:val="both"/>
              <w:rPr>
                <w:noProof/>
                <w:sz w:val="20"/>
                <w:szCs w:val="20"/>
                <w:lang w:val="ro-RO"/>
              </w:rPr>
            </w:pPr>
            <w:r w:rsidRPr="008B79D4">
              <w:rPr>
                <w:noProof/>
                <w:sz w:val="20"/>
                <w:szCs w:val="20"/>
                <w:lang w:val="ro-RO"/>
              </w:rPr>
              <w:t>Comisia Europeană</w:t>
            </w:r>
          </w:p>
        </w:tc>
        <w:tc>
          <w:tcPr>
            <w:tcW w:w="3564" w:type="dxa"/>
          </w:tcPr>
          <w:p w14:paraId="49A3A1BA" w14:textId="77777777" w:rsidR="00F6295E" w:rsidRPr="008B79D4" w:rsidRDefault="00F6295E" w:rsidP="00F6295E">
            <w:pPr>
              <w:pStyle w:val="elementtoproof"/>
              <w:shd w:val="clear" w:color="auto" w:fill="FFFFFF"/>
              <w:jc w:val="both"/>
              <w:rPr>
                <w:color w:val="242424"/>
                <w:sz w:val="20"/>
                <w:szCs w:val="20"/>
                <w:lang w:val="ro-RO"/>
              </w:rPr>
            </w:pPr>
            <w:r w:rsidRPr="008B79D4">
              <w:rPr>
                <w:color w:val="242424"/>
                <w:sz w:val="20"/>
                <w:szCs w:val="20"/>
                <w:lang w:val="ro-RO"/>
              </w:rPr>
              <w:t xml:space="preserve">Evaluarea generală este că acesta reprezintă un cadru cuprinzător, care este, în linii mari, în concordanță cu obiectivele și principiile Recomandării Comisiei (UE) 2023/2836 privind promovarea implicării și participării efective a cetățenilor și a organizațiilor societății civile la procesele de elaborare a politicilor publice. </w:t>
            </w:r>
          </w:p>
          <w:p w14:paraId="1E989DB8" w14:textId="48BB0460" w:rsidR="00F6295E" w:rsidRPr="008B79D4" w:rsidRDefault="00F6295E" w:rsidP="00F6295E">
            <w:pPr>
              <w:pStyle w:val="elementtoproof"/>
              <w:shd w:val="clear" w:color="auto" w:fill="FFFFFF"/>
              <w:jc w:val="both"/>
              <w:rPr>
                <w:color w:val="242424"/>
                <w:sz w:val="20"/>
                <w:szCs w:val="20"/>
                <w:lang w:val="ro-RO"/>
              </w:rPr>
            </w:pPr>
            <w:r w:rsidRPr="008B79D4">
              <w:rPr>
                <w:color w:val="242424"/>
                <w:sz w:val="20"/>
                <w:szCs w:val="20"/>
                <w:lang w:val="ro-RO"/>
              </w:rPr>
              <w:t>Practicile participative și deliberative pot completa în mod util instituțiile reprezentative, permițând cetățenilor să-și aducă contribuția prin experiențele, cunoștințele și perspectivele lor în procesele de luare a deciziilor publice.</w:t>
            </w:r>
          </w:p>
          <w:p w14:paraId="16B10312" w14:textId="6780D67C" w:rsidR="00F6295E" w:rsidRPr="008B79D4" w:rsidRDefault="00F6295E" w:rsidP="00F6295E">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Salutăm inițiativa Moldovei și așteptăm cu interes să sprijinim punerea sa în practică odată ce va fi adoptată.</w:t>
            </w:r>
          </w:p>
          <w:p w14:paraId="094B8A10" w14:textId="77777777" w:rsidR="00F6295E" w:rsidRPr="008B79D4" w:rsidRDefault="00F6295E" w:rsidP="00F6295E">
            <w:pPr>
              <w:pStyle w:val="elementtoproof"/>
              <w:shd w:val="clear" w:color="auto" w:fill="FFFFFF"/>
              <w:jc w:val="both"/>
              <w:rPr>
                <w:color w:val="242424"/>
                <w:sz w:val="20"/>
                <w:szCs w:val="20"/>
                <w:lang w:val="ro-RO"/>
              </w:rPr>
            </w:pPr>
            <w:r w:rsidRPr="008B79D4">
              <w:rPr>
                <w:color w:val="242424"/>
                <w:sz w:val="20"/>
                <w:szCs w:val="20"/>
                <w:lang w:val="ro-RO"/>
              </w:rPr>
              <w:t xml:space="preserve">În ceea ce privește cadrul general menit să permită cetățenilor și organizațiilor societății civile să participe în mod eficient la elaborarea politicilor, proiectul de lege include o serie de principii-cheie promovate de recomandare, printre care participarea din timp, încă din etapa de inițiere a procesului de elaborare a politicilor, utilizarea unor mecanisme </w:t>
            </w:r>
            <w:r w:rsidRPr="008B79D4">
              <w:rPr>
                <w:color w:val="242424"/>
                <w:sz w:val="20"/>
                <w:szCs w:val="20"/>
                <w:lang w:val="ro-RO"/>
              </w:rPr>
              <w:lastRenderedPageBreak/>
              <w:t>participative inovatoare, precum adunările cetățenilor și inițiativele civice, instrumentele digitale de participare, măsurile de accesibilitate pentru anumite grupuri, precum și obligațiile privind transparența și publicarea documentelor de consultare.</w:t>
            </w:r>
          </w:p>
          <w:p w14:paraId="6F698377" w14:textId="31FC3D50" w:rsidR="00F6295E" w:rsidRPr="008B79D4" w:rsidRDefault="00F6295E" w:rsidP="00F6295E">
            <w:pPr>
              <w:pStyle w:val="elementtoproof"/>
              <w:shd w:val="clear" w:color="auto" w:fill="FFFFFF"/>
              <w:jc w:val="both"/>
              <w:rPr>
                <w:color w:val="242424"/>
                <w:sz w:val="20"/>
                <w:szCs w:val="20"/>
                <w:lang w:val="ro-RO"/>
              </w:rPr>
            </w:pPr>
            <w:r w:rsidRPr="008B79D4">
              <w:rPr>
                <w:color w:val="242424"/>
                <w:sz w:val="20"/>
                <w:szCs w:val="20"/>
                <w:lang w:val="ro-RO"/>
              </w:rPr>
              <w:t>Trebuie remarcat faptul că Recomandarea abordează atât măsuri generale menite să faciliteze participarea cetățenilor și a organizațiilor societății civile (OSC), cât și măsuri specifice pentru fiecare dintre aceste grupuri. În plus, aceasta formulează recomandări specifice pentru crearea și menținerea unui mediu sigur și favorabil pentru societatea civilă, în vederea asigurării participării efective a acesteia.</w:t>
            </w:r>
            <w:r w:rsidRPr="008B79D4">
              <w:rPr>
                <w:color w:val="242424"/>
                <w:sz w:val="20"/>
                <w:szCs w:val="20"/>
                <w:lang w:val="ro-RO"/>
              </w:rPr>
              <w:tab/>
            </w:r>
          </w:p>
          <w:p w14:paraId="5DCAA4A6" w14:textId="1FCF809D" w:rsidR="0001436D" w:rsidRPr="008B79D4" w:rsidRDefault="00F6295E" w:rsidP="00F6295E">
            <w:pPr>
              <w:pStyle w:val="p1"/>
              <w:jc w:val="both"/>
              <w:rPr>
                <w:noProof/>
                <w:sz w:val="20"/>
                <w:szCs w:val="20"/>
                <w:lang w:val="ro-RO"/>
              </w:rPr>
            </w:pPr>
            <w:r w:rsidRPr="008B79D4">
              <w:rPr>
                <w:color w:val="242424"/>
                <w:sz w:val="20"/>
                <w:szCs w:val="20"/>
                <w:lang w:val="ro-RO"/>
              </w:rPr>
              <w:tab/>
            </w:r>
          </w:p>
        </w:tc>
        <w:tc>
          <w:tcPr>
            <w:tcW w:w="3681" w:type="dxa"/>
          </w:tcPr>
          <w:p w14:paraId="421B4CA5" w14:textId="77777777" w:rsidR="0001436D" w:rsidRPr="008B79D4" w:rsidRDefault="0001436D" w:rsidP="00345F6F">
            <w:pPr>
              <w:jc w:val="both"/>
              <w:rPr>
                <w:noProof/>
                <w:sz w:val="20"/>
                <w:szCs w:val="20"/>
                <w:lang w:val="ro-RO"/>
              </w:rPr>
            </w:pPr>
          </w:p>
        </w:tc>
      </w:tr>
      <w:tr w:rsidR="00132D43" w:rsidRPr="008B79D4" w14:paraId="3FBC5205" w14:textId="77777777" w:rsidTr="006C381F">
        <w:trPr>
          <w:gridAfter w:val="1"/>
          <w:wAfter w:w="18" w:type="dxa"/>
        </w:trPr>
        <w:tc>
          <w:tcPr>
            <w:tcW w:w="580" w:type="dxa"/>
          </w:tcPr>
          <w:p w14:paraId="0C039035" w14:textId="77777777" w:rsidR="00132D43" w:rsidRPr="008B79D4" w:rsidRDefault="00132D43" w:rsidP="00132D43">
            <w:pPr>
              <w:pStyle w:val="ListParagraph"/>
              <w:numPr>
                <w:ilvl w:val="0"/>
                <w:numId w:val="1"/>
              </w:numPr>
              <w:tabs>
                <w:tab w:val="right" w:pos="0"/>
              </w:tabs>
              <w:ind w:left="-95" w:right="-288" w:firstLine="0"/>
              <w:jc w:val="both"/>
              <w:rPr>
                <w:noProof/>
                <w:sz w:val="20"/>
                <w:szCs w:val="20"/>
                <w:lang w:val="ro-RO"/>
              </w:rPr>
            </w:pPr>
          </w:p>
        </w:tc>
        <w:tc>
          <w:tcPr>
            <w:tcW w:w="3018" w:type="dxa"/>
          </w:tcPr>
          <w:p w14:paraId="7FBFE837" w14:textId="3275DCB8" w:rsidR="00132D43" w:rsidRPr="008B79D4" w:rsidRDefault="00132D43" w:rsidP="00132D43">
            <w:pPr>
              <w:pStyle w:val="p1"/>
              <w:rPr>
                <w:b/>
                <w:bCs/>
                <w:sz w:val="20"/>
                <w:szCs w:val="20"/>
                <w:lang w:val="ro-RO"/>
              </w:rPr>
            </w:pPr>
            <w:r w:rsidRPr="008B79D4">
              <w:rPr>
                <w:b/>
                <w:bCs/>
                <w:sz w:val="20"/>
                <w:szCs w:val="20"/>
                <w:lang w:val="ro-RO"/>
              </w:rPr>
              <w:t>Art. 1 Scopul legii</w:t>
            </w:r>
          </w:p>
        </w:tc>
        <w:tc>
          <w:tcPr>
            <w:tcW w:w="2517" w:type="dxa"/>
          </w:tcPr>
          <w:p w14:paraId="003C7135" w14:textId="32336999" w:rsidR="00132D43" w:rsidRPr="008B79D4" w:rsidRDefault="00132D43" w:rsidP="00132D43">
            <w:pPr>
              <w:jc w:val="both"/>
              <w:rPr>
                <w:noProof/>
                <w:sz w:val="20"/>
                <w:szCs w:val="20"/>
                <w:lang w:val="ro-RO"/>
              </w:rPr>
            </w:pPr>
            <w:r w:rsidRPr="008B79D4">
              <w:rPr>
                <w:noProof/>
                <w:sz w:val="20"/>
                <w:szCs w:val="20"/>
                <w:lang w:val="ro-RO"/>
              </w:rPr>
              <w:t>Comisia Europeană</w:t>
            </w:r>
          </w:p>
        </w:tc>
        <w:tc>
          <w:tcPr>
            <w:tcW w:w="3564" w:type="dxa"/>
          </w:tcPr>
          <w:p w14:paraId="40E098A3" w14:textId="77777777" w:rsidR="00132D43" w:rsidRPr="008B79D4" w:rsidRDefault="00132D43" w:rsidP="00132D43">
            <w:pPr>
              <w:pStyle w:val="elementtoproof"/>
              <w:shd w:val="clear" w:color="auto" w:fill="FFFFFF"/>
              <w:jc w:val="both"/>
              <w:rPr>
                <w:color w:val="242424"/>
                <w:sz w:val="20"/>
                <w:szCs w:val="20"/>
                <w:lang w:val="ro-RO"/>
              </w:rPr>
            </w:pPr>
            <w:r w:rsidRPr="008B79D4">
              <w:rPr>
                <w:color w:val="242424"/>
                <w:sz w:val="20"/>
                <w:szCs w:val="20"/>
                <w:lang w:val="ro-RO"/>
              </w:rPr>
              <w:t>Domeniul de aplicare al legii ar putea preciza mai clar că aceasta se aplică atât cetățenilor, cât și organizațiilor societății civile, pentru a se alinia la domeniul de aplicare al recomandării;</w:t>
            </w:r>
          </w:p>
          <w:p w14:paraId="29CFAF09" w14:textId="034C7DB6" w:rsidR="00132D43" w:rsidRPr="008B79D4" w:rsidRDefault="00132D43" w:rsidP="00132D43">
            <w:pPr>
              <w:pStyle w:val="elementtoproof"/>
              <w:shd w:val="clear" w:color="auto" w:fill="FFFFFF"/>
              <w:jc w:val="both"/>
              <w:rPr>
                <w:color w:val="242424"/>
                <w:sz w:val="20"/>
                <w:szCs w:val="20"/>
                <w:lang w:val="ro-RO"/>
              </w:rPr>
            </w:pPr>
            <w:r w:rsidRPr="008B79D4">
              <w:rPr>
                <w:color w:val="242424"/>
                <w:sz w:val="20"/>
                <w:szCs w:val="20"/>
                <w:lang w:val="ro-RO"/>
              </w:rPr>
              <w:tab/>
            </w:r>
          </w:p>
        </w:tc>
        <w:tc>
          <w:tcPr>
            <w:tcW w:w="3681" w:type="dxa"/>
          </w:tcPr>
          <w:p w14:paraId="03F4E9DA" w14:textId="066E4A82" w:rsidR="006C381F" w:rsidRPr="008B79D4" w:rsidRDefault="006C381F" w:rsidP="00C879C2">
            <w:pPr>
              <w:pStyle w:val="elementtoproof"/>
              <w:shd w:val="clear" w:color="auto" w:fill="FFFFFF"/>
              <w:jc w:val="both"/>
              <w:rPr>
                <w:b/>
                <w:bCs/>
                <w:color w:val="242424"/>
                <w:sz w:val="20"/>
                <w:szCs w:val="20"/>
                <w:lang w:val="ro-RO"/>
              </w:rPr>
            </w:pPr>
            <w:r w:rsidRPr="008B79D4">
              <w:rPr>
                <w:b/>
                <w:bCs/>
                <w:color w:val="242424"/>
                <w:sz w:val="20"/>
                <w:szCs w:val="20"/>
                <w:lang w:val="ro-RO"/>
              </w:rPr>
              <w:t>Se acceptă parțial</w:t>
            </w:r>
          </w:p>
          <w:p w14:paraId="4794A342" w14:textId="39B8DCA1" w:rsidR="00C879C2" w:rsidRPr="008B79D4" w:rsidRDefault="00C879C2" w:rsidP="00C879C2">
            <w:pPr>
              <w:pStyle w:val="elementtoproof"/>
              <w:shd w:val="clear" w:color="auto" w:fill="FFFFFF"/>
              <w:jc w:val="both"/>
              <w:rPr>
                <w:color w:val="242424"/>
                <w:sz w:val="20"/>
                <w:szCs w:val="20"/>
                <w:lang w:val="ro-RO"/>
              </w:rPr>
            </w:pPr>
            <w:r w:rsidRPr="008B79D4">
              <w:rPr>
                <w:color w:val="242424"/>
                <w:sz w:val="20"/>
                <w:szCs w:val="20"/>
                <w:lang w:val="ro-RO"/>
              </w:rPr>
              <w:t>Articolul 1 a fost modificat pentru a face referire expresă la participarea părților interesate în procesul decizional, în vederea reflectării mai exacte a sferei persoanelor care pot participa în condițiile prezentei legi.</w:t>
            </w:r>
          </w:p>
          <w:p w14:paraId="2C480693" w14:textId="77777777" w:rsidR="00C879C2" w:rsidRPr="008B79D4" w:rsidRDefault="00C879C2" w:rsidP="00C879C2">
            <w:pPr>
              <w:pStyle w:val="elementtoproof"/>
              <w:shd w:val="clear" w:color="auto" w:fill="FFFFFF"/>
              <w:jc w:val="both"/>
              <w:rPr>
                <w:color w:val="242424"/>
                <w:sz w:val="20"/>
                <w:szCs w:val="20"/>
                <w:lang w:val="ro-RO"/>
              </w:rPr>
            </w:pPr>
            <w:r w:rsidRPr="008B79D4">
              <w:rPr>
                <w:color w:val="242424"/>
                <w:sz w:val="20"/>
                <w:szCs w:val="20"/>
                <w:lang w:val="ro-RO"/>
              </w:rPr>
              <w:t>Totodată, proiectul păstrează noțiunea de „participare publică”, definită expres ca implicarea părților interesate în procesul decizional.</w:t>
            </w:r>
          </w:p>
          <w:p w14:paraId="623108F2" w14:textId="77777777" w:rsidR="00C879C2" w:rsidRPr="008B79D4" w:rsidRDefault="00C879C2" w:rsidP="00C879C2">
            <w:pPr>
              <w:pStyle w:val="elementtoproof"/>
              <w:shd w:val="clear" w:color="auto" w:fill="FFFFFF"/>
              <w:jc w:val="both"/>
              <w:rPr>
                <w:color w:val="242424"/>
                <w:sz w:val="20"/>
                <w:szCs w:val="20"/>
                <w:lang w:val="ro-RO"/>
              </w:rPr>
            </w:pPr>
            <w:r w:rsidRPr="008B79D4">
              <w:rPr>
                <w:color w:val="242424"/>
                <w:sz w:val="20"/>
                <w:szCs w:val="20"/>
                <w:lang w:val="ro-RO"/>
              </w:rPr>
              <w:t xml:space="preserve">În același timp, menționăm că noțiunea de „parte interesată” utilizată în proiect are </w:t>
            </w:r>
            <w:r w:rsidRPr="008B79D4">
              <w:rPr>
                <w:color w:val="242424"/>
                <w:sz w:val="20"/>
                <w:szCs w:val="20"/>
                <w:lang w:val="ro-RO"/>
              </w:rPr>
              <w:lastRenderedPageBreak/>
              <w:t>un domeniu de aplicare mai larg decât formularea utilizată în Recomandarea Comisiei Europene. Aceasta include toate persoanele fizice și juridice care pot fi afectate sau interesate de procesul decizional, inclusiv organizațiile societății civile. În acest sens, cadrul propus permite participarea cetățenilor, organizațiilor societății civile, mediului de afaceri, organizațiilor profesionale, mediului academic și altor categorii de părți interesate, fără a limita participarea la anumite grupuri expres enumerate.</w:t>
            </w:r>
          </w:p>
          <w:p w14:paraId="0E311A10" w14:textId="77777777" w:rsidR="00C879C2" w:rsidRPr="008B79D4" w:rsidRDefault="00C879C2" w:rsidP="00C879C2">
            <w:pPr>
              <w:pStyle w:val="elementtoproof"/>
              <w:shd w:val="clear" w:color="auto" w:fill="FFFFFF"/>
              <w:jc w:val="both"/>
              <w:rPr>
                <w:color w:val="242424"/>
                <w:sz w:val="20"/>
                <w:szCs w:val="20"/>
                <w:lang w:val="ro-RO"/>
              </w:rPr>
            </w:pPr>
            <w:r w:rsidRPr="008B79D4">
              <w:rPr>
                <w:color w:val="242424"/>
                <w:sz w:val="20"/>
                <w:szCs w:val="20"/>
                <w:lang w:val="ro-RO"/>
              </w:rPr>
              <w:t>Proiectul urmărește dezvoltarea unei guvernări deschise, responsabile și incluzive, bazate pe dialog, consultare și implicarea efectivă a tuturor părților interesate, fără discriminare, în procesul decizional.</w:t>
            </w:r>
          </w:p>
          <w:p w14:paraId="0CC18BBE" w14:textId="77777777" w:rsidR="00C879C2" w:rsidRPr="008B79D4" w:rsidRDefault="00C879C2" w:rsidP="00C879C2">
            <w:pPr>
              <w:pStyle w:val="elementtoproof"/>
              <w:shd w:val="clear" w:color="auto" w:fill="FFFFFF"/>
              <w:jc w:val="both"/>
              <w:rPr>
                <w:color w:val="242424"/>
                <w:sz w:val="20"/>
                <w:szCs w:val="20"/>
                <w:lang w:val="ro-RO"/>
              </w:rPr>
            </w:pPr>
            <w:r w:rsidRPr="008B79D4">
              <w:rPr>
                <w:color w:val="242424"/>
                <w:sz w:val="20"/>
                <w:szCs w:val="20"/>
                <w:lang w:val="ro-RO"/>
              </w:rPr>
              <w:t>Totodată, considerăm că introducerea unei referiri exprese la „organizațiile societății civile” în cuprinsul proiectului ar crea necorelări cu cadrul normativ național, întrucât legislația Republicii Moldova utilizează noțiunea juridică de „organizații necomerciale”, consacrată prin legislația specială. Din acest motiv, proiectul utilizează conceptul general de „părți interesate”, care include și organizațiile necomerciale, asigurând astfel atât coerența cadrului normativ național, cât și realizarea obiectivului urmărit de Recomandare.</w:t>
            </w:r>
          </w:p>
          <w:p w14:paraId="1F7AA944" w14:textId="158FC566" w:rsidR="00132D43" w:rsidRPr="008B79D4" w:rsidRDefault="00132D43" w:rsidP="00C879C2">
            <w:pPr>
              <w:pStyle w:val="elementtoproof"/>
              <w:shd w:val="clear" w:color="auto" w:fill="FFFFFF"/>
              <w:jc w:val="both"/>
              <w:rPr>
                <w:color w:val="242424"/>
                <w:sz w:val="20"/>
                <w:szCs w:val="20"/>
                <w:lang w:val="ro-RO"/>
              </w:rPr>
            </w:pPr>
          </w:p>
        </w:tc>
      </w:tr>
      <w:tr w:rsidR="00132D43" w:rsidRPr="008B79D4" w14:paraId="62F84F20" w14:textId="77777777" w:rsidTr="006C381F">
        <w:trPr>
          <w:gridAfter w:val="1"/>
          <w:wAfter w:w="18" w:type="dxa"/>
        </w:trPr>
        <w:tc>
          <w:tcPr>
            <w:tcW w:w="580" w:type="dxa"/>
          </w:tcPr>
          <w:p w14:paraId="5A8632BA" w14:textId="77777777" w:rsidR="00132D43" w:rsidRPr="008B79D4" w:rsidRDefault="00132D43" w:rsidP="00132D43">
            <w:pPr>
              <w:pStyle w:val="ListParagraph"/>
              <w:numPr>
                <w:ilvl w:val="0"/>
                <w:numId w:val="1"/>
              </w:numPr>
              <w:tabs>
                <w:tab w:val="right" w:pos="0"/>
              </w:tabs>
              <w:ind w:left="-95" w:right="-288" w:firstLine="0"/>
              <w:jc w:val="both"/>
              <w:rPr>
                <w:noProof/>
                <w:sz w:val="20"/>
                <w:szCs w:val="20"/>
                <w:lang w:val="ro-RO"/>
              </w:rPr>
            </w:pPr>
          </w:p>
        </w:tc>
        <w:tc>
          <w:tcPr>
            <w:tcW w:w="3018" w:type="dxa"/>
          </w:tcPr>
          <w:p w14:paraId="3FBA4488" w14:textId="77777777" w:rsidR="00132D43" w:rsidRPr="008B79D4" w:rsidRDefault="00132D43" w:rsidP="00132D43">
            <w:pPr>
              <w:pStyle w:val="p1"/>
              <w:rPr>
                <w:b/>
                <w:bCs/>
                <w:sz w:val="20"/>
                <w:szCs w:val="20"/>
                <w:lang w:val="ro-RO"/>
              </w:rPr>
            </w:pPr>
            <w:r w:rsidRPr="008B79D4">
              <w:rPr>
                <w:b/>
                <w:bCs/>
                <w:sz w:val="20"/>
                <w:szCs w:val="20"/>
                <w:lang w:val="ro-RO"/>
              </w:rPr>
              <w:t>Art. 11 alin. (4) lit. a) și lit. b)</w:t>
            </w:r>
          </w:p>
          <w:p w14:paraId="66FED5BB" w14:textId="0A28AB98" w:rsidR="00132D43" w:rsidRPr="008B79D4" w:rsidRDefault="00132D43" w:rsidP="00132D43">
            <w:pPr>
              <w:pStyle w:val="p1"/>
              <w:rPr>
                <w:b/>
                <w:bCs/>
                <w:sz w:val="20"/>
                <w:szCs w:val="20"/>
                <w:lang w:val="ro-RO"/>
              </w:rPr>
            </w:pPr>
            <w:r w:rsidRPr="008B79D4">
              <w:rPr>
                <w:b/>
                <w:bCs/>
                <w:sz w:val="20"/>
                <w:szCs w:val="20"/>
                <w:lang w:val="ro-RO"/>
              </w:rPr>
              <w:t>Art. 12 alin. (3) lit. a) și lit. b)</w:t>
            </w:r>
          </w:p>
          <w:p w14:paraId="6954E25C" w14:textId="554B9845" w:rsidR="00132D43" w:rsidRPr="008B79D4" w:rsidRDefault="00132D43" w:rsidP="00132D43">
            <w:pPr>
              <w:pStyle w:val="p1"/>
              <w:rPr>
                <w:b/>
                <w:bCs/>
                <w:sz w:val="20"/>
                <w:szCs w:val="20"/>
                <w:lang w:val="ro-RO"/>
              </w:rPr>
            </w:pPr>
            <w:r w:rsidRPr="008B79D4">
              <w:rPr>
                <w:b/>
                <w:bCs/>
                <w:sz w:val="20"/>
                <w:szCs w:val="20"/>
                <w:lang w:val="ro-RO"/>
              </w:rPr>
              <w:t>Art. 15 alin. (4) lit. a) și lit. b)</w:t>
            </w:r>
          </w:p>
        </w:tc>
        <w:tc>
          <w:tcPr>
            <w:tcW w:w="2517" w:type="dxa"/>
          </w:tcPr>
          <w:p w14:paraId="787CC6A0" w14:textId="7DF0D337" w:rsidR="00132D43" w:rsidRPr="008B79D4" w:rsidRDefault="00132D43" w:rsidP="00132D43">
            <w:pPr>
              <w:jc w:val="both"/>
              <w:rPr>
                <w:noProof/>
                <w:sz w:val="20"/>
                <w:szCs w:val="20"/>
                <w:lang w:val="ro-RO"/>
              </w:rPr>
            </w:pPr>
            <w:r w:rsidRPr="008B79D4">
              <w:rPr>
                <w:noProof/>
                <w:sz w:val="20"/>
                <w:szCs w:val="20"/>
                <w:lang w:val="ro-RO"/>
              </w:rPr>
              <w:t>Comisia Europeană</w:t>
            </w:r>
          </w:p>
        </w:tc>
        <w:tc>
          <w:tcPr>
            <w:tcW w:w="3564" w:type="dxa"/>
          </w:tcPr>
          <w:p w14:paraId="597BA595" w14:textId="77777777" w:rsidR="00132D43" w:rsidRPr="008B79D4" w:rsidRDefault="00132D43" w:rsidP="00132D43">
            <w:pPr>
              <w:pStyle w:val="elementtoproof"/>
              <w:shd w:val="clear" w:color="auto" w:fill="FFFFFF"/>
              <w:jc w:val="both"/>
              <w:rPr>
                <w:color w:val="242424"/>
                <w:sz w:val="20"/>
                <w:szCs w:val="20"/>
                <w:lang w:val="ro-RO"/>
              </w:rPr>
            </w:pPr>
            <w:r w:rsidRPr="008B79D4">
              <w:rPr>
                <w:color w:val="242424"/>
                <w:sz w:val="20"/>
                <w:szCs w:val="20"/>
                <w:lang w:val="ro-RO"/>
              </w:rPr>
              <w:t>Să se ia în considerare prelungirea termenelor de depunere a recomandărilor în cadrul procesului de consultare, în conformitate cu punctul 5 litera (h) din recomandare, pentru a asigura un impact semnificativ al consultării;</w:t>
            </w:r>
          </w:p>
          <w:p w14:paraId="65DCD4D8" w14:textId="778C209D" w:rsidR="00132D43" w:rsidRPr="008B79D4" w:rsidRDefault="00132D43" w:rsidP="00132D43">
            <w:pPr>
              <w:pStyle w:val="elementtoproof"/>
              <w:shd w:val="clear" w:color="auto" w:fill="FFFFFF"/>
              <w:jc w:val="both"/>
              <w:rPr>
                <w:color w:val="242424"/>
                <w:sz w:val="20"/>
                <w:szCs w:val="20"/>
                <w:lang w:val="ro-RO"/>
              </w:rPr>
            </w:pPr>
            <w:r w:rsidRPr="008B79D4">
              <w:rPr>
                <w:color w:val="242424"/>
                <w:sz w:val="20"/>
                <w:szCs w:val="20"/>
                <w:lang w:val="ro-RO"/>
              </w:rPr>
              <w:tab/>
            </w:r>
          </w:p>
        </w:tc>
        <w:tc>
          <w:tcPr>
            <w:tcW w:w="3681" w:type="dxa"/>
          </w:tcPr>
          <w:p w14:paraId="6BD9F557" w14:textId="5F9D34EF" w:rsidR="006C381F" w:rsidRPr="008B79D4" w:rsidRDefault="006C381F" w:rsidP="00154236">
            <w:pPr>
              <w:pStyle w:val="elementtoproof"/>
              <w:shd w:val="clear" w:color="auto" w:fill="FFFFFF"/>
              <w:jc w:val="both"/>
              <w:rPr>
                <w:color w:val="242424"/>
                <w:sz w:val="20"/>
                <w:szCs w:val="20"/>
                <w:lang w:val="ro-RO"/>
              </w:rPr>
            </w:pPr>
            <w:r w:rsidRPr="008B79D4">
              <w:rPr>
                <w:b/>
                <w:bCs/>
                <w:color w:val="242424"/>
                <w:sz w:val="20"/>
                <w:szCs w:val="20"/>
                <w:lang w:val="ro-RO"/>
              </w:rPr>
              <w:t>Se acceptă parțial</w:t>
            </w:r>
          </w:p>
          <w:p w14:paraId="23A60617"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Proiectul de lege stabilește termene minime de consultare publică diferențiate în funcție de natura proiectului supus consultării și de etapa procesului decizional, urmărind asigurarea unei participări efective și proporționale cu complexitatea actului.</w:t>
            </w:r>
          </w:p>
          <w:p w14:paraId="33446105"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 xml:space="preserve">Astfel, </w:t>
            </w:r>
            <w:r w:rsidRPr="008B79D4">
              <w:rPr>
                <w:color w:val="242424"/>
                <w:sz w:val="20"/>
                <w:szCs w:val="20"/>
                <w:u w:val="single"/>
                <w:lang w:val="ro-RO"/>
              </w:rPr>
              <w:t>pentru proiectele de acte normative</w:t>
            </w:r>
            <w:r w:rsidRPr="008B79D4">
              <w:rPr>
                <w:color w:val="242424"/>
                <w:sz w:val="20"/>
                <w:szCs w:val="20"/>
                <w:lang w:val="ro-RO"/>
              </w:rPr>
              <w:t>, proiectul stabilește:</w:t>
            </w:r>
          </w:p>
          <w:p w14:paraId="614ACD4A"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(i) 10 zile lucrătoare pentru consultarea în etapa inițierii elaborării;</w:t>
            </w:r>
          </w:p>
          <w:p w14:paraId="0DB26CDF"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(ii) 15 zile lucrătoare pentru consultarea proiectului elaborat;</w:t>
            </w:r>
          </w:p>
          <w:p w14:paraId="11076A73"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(iii) 5 zile lucrătoare, după caz, pentru consultarea publică repetată.</w:t>
            </w:r>
          </w:p>
          <w:p w14:paraId="648B8389"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Prin urmare, durata minimă cumulată a consultărilor publice este de 25-30 de zile lucrătoare (aproximativ 5-6 săptămâni), fără a include timpul necesar analizării recomandărilor și definitivării proiectului.</w:t>
            </w:r>
          </w:p>
          <w:p w14:paraId="5741FCBA"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u w:val="single"/>
                <w:lang w:val="ro-RO"/>
              </w:rPr>
              <w:t>Pentru documentele de politici publice și documentele de planificare strategică</w:t>
            </w:r>
            <w:r w:rsidRPr="008B79D4">
              <w:rPr>
                <w:color w:val="242424"/>
                <w:sz w:val="20"/>
                <w:szCs w:val="20"/>
                <w:lang w:val="ro-RO"/>
              </w:rPr>
              <w:t>, având în vedere impactul și caracterul lor strategic, proiectul stabilește termene mai extinse:</w:t>
            </w:r>
          </w:p>
          <w:p w14:paraId="1989633C"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(i) 15 zile lucrătoare pentru etapa inițierii;</w:t>
            </w:r>
          </w:p>
          <w:p w14:paraId="46B0AB58"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lastRenderedPageBreak/>
              <w:t>(ii) 20 zile lucrătoare pentru consultarea proiectului;</w:t>
            </w:r>
          </w:p>
          <w:p w14:paraId="02AA31CE"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(iii) 10 zile lucrătoare, după caz, pentru consultarea publică repetată.</w:t>
            </w:r>
          </w:p>
          <w:p w14:paraId="56454F5A"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În aceste cazuri, durata minimă cumulată a consultărilor publice este de 35-45 de zile lucrătoare (aproximativ 7-9 săptămâni).</w:t>
            </w:r>
          </w:p>
          <w:p w14:paraId="3C020D49" w14:textId="77777777" w:rsidR="006C381F"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Un element important al proiectului este faptul că toate termenele sunt stabilite în zile lucrătoare, și nu în zile calendaristice, ceea ce permite valorificarea efectivă a perioadei de consultare și evită diminuarea acesteia prin includerea weekendurilor și a sărbătorilor legale. Termenele propuse sunt comparabile cu cele aplicate în numeroase state membre ale Uniunii Europene.</w:t>
            </w:r>
          </w:p>
          <w:p w14:paraId="35C46EFB" w14:textId="77777777" w:rsidR="006C381F" w:rsidRPr="008B79D4" w:rsidRDefault="006C381F" w:rsidP="00154236">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Spre exemplu:</w:t>
            </w:r>
          </w:p>
          <w:p w14:paraId="4BE25545" w14:textId="77777777" w:rsidR="006C381F" w:rsidRPr="008B79D4" w:rsidRDefault="006C381F" w:rsidP="00154236">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Irlanda – 4 săptămâni;</w:t>
            </w:r>
          </w:p>
          <w:p w14:paraId="44EE19D9" w14:textId="77777777" w:rsidR="006C381F" w:rsidRPr="008B79D4" w:rsidRDefault="006C381F" w:rsidP="00154236">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Finlanda – 6-8 săptămâni;</w:t>
            </w:r>
          </w:p>
          <w:p w14:paraId="7D62753E" w14:textId="77777777" w:rsidR="006C381F" w:rsidRPr="008B79D4" w:rsidRDefault="006C381F" w:rsidP="00154236">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Estonia – minimum 4 săptămâni;</w:t>
            </w:r>
          </w:p>
          <w:p w14:paraId="4538BC71" w14:textId="77777777" w:rsidR="006C381F" w:rsidRPr="008B79D4" w:rsidRDefault="006C381F" w:rsidP="00154236">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Croația – 30 de zile;</w:t>
            </w:r>
          </w:p>
          <w:p w14:paraId="2CA20AB3" w14:textId="77777777" w:rsidR="006C381F" w:rsidRPr="008B79D4" w:rsidRDefault="006C381F" w:rsidP="00154236">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România – 30 de zile calendaristice.</w:t>
            </w:r>
          </w:p>
          <w:p w14:paraId="5F815216" w14:textId="7E752F3C" w:rsidR="006C381F" w:rsidRPr="008B79D4" w:rsidRDefault="00154236" w:rsidP="00154236">
            <w:pPr>
              <w:pStyle w:val="elementtoproof"/>
              <w:shd w:val="clear" w:color="auto" w:fill="FFFFFF"/>
              <w:jc w:val="both"/>
              <w:rPr>
                <w:color w:val="242424"/>
                <w:sz w:val="20"/>
                <w:szCs w:val="20"/>
                <w:lang w:val="ro-RO"/>
              </w:rPr>
            </w:pPr>
            <w:r w:rsidRPr="008B79D4">
              <w:rPr>
                <w:color w:val="242424"/>
                <w:sz w:val="20"/>
                <w:szCs w:val="20"/>
                <w:lang w:val="ro-RO"/>
              </w:rPr>
              <w:t>Astfel, s-</w:t>
            </w:r>
            <w:r w:rsidR="006C381F" w:rsidRPr="008B79D4">
              <w:rPr>
                <w:color w:val="242424"/>
                <w:sz w:val="20"/>
                <w:szCs w:val="20"/>
                <w:lang w:val="ro-RO"/>
              </w:rPr>
              <w:t>a optat pentru stabilirea unor termene minime de consultare, care pot fi extinse de autoritatea publică în funcție de complexitatea proiectului, impactul acestuia și necesitatea asigurării unei participări efective.</w:t>
            </w:r>
          </w:p>
          <w:p w14:paraId="63DE51E3" w14:textId="70A204B5" w:rsidR="00132D43" w:rsidRPr="008B79D4" w:rsidRDefault="006C381F" w:rsidP="00154236">
            <w:pPr>
              <w:pStyle w:val="elementtoproof"/>
              <w:shd w:val="clear" w:color="auto" w:fill="FFFFFF"/>
              <w:jc w:val="both"/>
              <w:rPr>
                <w:color w:val="242424"/>
                <w:sz w:val="20"/>
                <w:szCs w:val="20"/>
                <w:lang w:val="ro-RO"/>
              </w:rPr>
            </w:pPr>
            <w:r w:rsidRPr="008B79D4">
              <w:rPr>
                <w:color w:val="242424"/>
                <w:sz w:val="20"/>
                <w:szCs w:val="20"/>
                <w:lang w:val="ro-RO"/>
              </w:rPr>
              <w:t xml:space="preserve">Totodată, proiectul extinde în mod semnificativ perioada în care părțile interesate pot influența conținutul viitoarei </w:t>
            </w:r>
            <w:r w:rsidRPr="008B79D4">
              <w:rPr>
                <w:color w:val="242424"/>
                <w:sz w:val="20"/>
                <w:szCs w:val="20"/>
                <w:lang w:val="ro-RO"/>
              </w:rPr>
              <w:lastRenderedPageBreak/>
              <w:t>decizii, prin instituirea consultării încă din etapa inițierii elaborării, când opțiunile de politică sunt încă deschise. Prin această abordare, proiectul nu urmărește doar acordarea unui timp suficient pentru consultare, ci și consolidarea caracterului timpuriu și efectiv al participării publice, în deplină concordanță cu obiectivul prevăzut la pct. 5 lit. (h) din Recomandarea Comisiei Europene.</w:t>
            </w:r>
          </w:p>
        </w:tc>
      </w:tr>
      <w:tr w:rsidR="00222D90" w:rsidRPr="008B79D4" w14:paraId="464CE009" w14:textId="77777777" w:rsidTr="006C381F">
        <w:trPr>
          <w:gridAfter w:val="1"/>
          <w:wAfter w:w="18" w:type="dxa"/>
        </w:trPr>
        <w:tc>
          <w:tcPr>
            <w:tcW w:w="580" w:type="dxa"/>
          </w:tcPr>
          <w:p w14:paraId="4E15738B" w14:textId="77777777" w:rsidR="00222D90" w:rsidRPr="008B79D4" w:rsidRDefault="00222D90" w:rsidP="00132D43">
            <w:pPr>
              <w:pStyle w:val="ListParagraph"/>
              <w:numPr>
                <w:ilvl w:val="0"/>
                <w:numId w:val="1"/>
              </w:numPr>
              <w:tabs>
                <w:tab w:val="right" w:pos="0"/>
              </w:tabs>
              <w:ind w:left="-95" w:right="-288" w:firstLine="0"/>
              <w:jc w:val="both"/>
              <w:rPr>
                <w:noProof/>
                <w:sz w:val="20"/>
                <w:szCs w:val="20"/>
                <w:lang w:val="ro-RO"/>
              </w:rPr>
            </w:pPr>
          </w:p>
        </w:tc>
        <w:tc>
          <w:tcPr>
            <w:tcW w:w="3018" w:type="dxa"/>
          </w:tcPr>
          <w:p w14:paraId="27FE6A66" w14:textId="1F763EAB" w:rsidR="00222D90" w:rsidRPr="008B79D4" w:rsidRDefault="00BF028C" w:rsidP="00132D43">
            <w:pPr>
              <w:pStyle w:val="p1"/>
              <w:rPr>
                <w:b/>
                <w:bCs/>
                <w:sz w:val="20"/>
                <w:szCs w:val="20"/>
                <w:lang w:val="ro-RO"/>
              </w:rPr>
            </w:pPr>
            <w:r w:rsidRPr="008B79D4">
              <w:rPr>
                <w:b/>
                <w:bCs/>
                <w:sz w:val="20"/>
                <w:szCs w:val="20"/>
                <w:lang w:val="ro-RO"/>
              </w:rPr>
              <w:t>Art. 6 alin. (2)</w:t>
            </w:r>
          </w:p>
        </w:tc>
        <w:tc>
          <w:tcPr>
            <w:tcW w:w="2517" w:type="dxa"/>
          </w:tcPr>
          <w:p w14:paraId="664488CB" w14:textId="68C8D4C5" w:rsidR="00222D90" w:rsidRPr="008B79D4" w:rsidRDefault="00222D90" w:rsidP="00132D43">
            <w:pPr>
              <w:jc w:val="both"/>
              <w:rPr>
                <w:noProof/>
                <w:sz w:val="20"/>
                <w:szCs w:val="20"/>
                <w:lang w:val="ro-RO"/>
              </w:rPr>
            </w:pPr>
            <w:r w:rsidRPr="008B79D4">
              <w:rPr>
                <w:noProof/>
                <w:sz w:val="20"/>
                <w:szCs w:val="20"/>
                <w:lang w:val="ro-RO"/>
              </w:rPr>
              <w:t>Comisia Europeană</w:t>
            </w:r>
          </w:p>
        </w:tc>
        <w:tc>
          <w:tcPr>
            <w:tcW w:w="3564" w:type="dxa"/>
          </w:tcPr>
          <w:p w14:paraId="6E40C75C" w14:textId="1D6412E3" w:rsidR="00222D90" w:rsidRPr="008B79D4" w:rsidRDefault="00222D90" w:rsidP="00222D90">
            <w:pPr>
              <w:pStyle w:val="elementtoproof"/>
              <w:shd w:val="clear" w:color="auto" w:fill="FFFFFF"/>
              <w:jc w:val="both"/>
              <w:rPr>
                <w:color w:val="242424"/>
                <w:sz w:val="20"/>
                <w:szCs w:val="20"/>
                <w:lang w:val="ro-RO"/>
              </w:rPr>
            </w:pPr>
            <w:r w:rsidRPr="008B79D4">
              <w:rPr>
                <w:color w:val="242424"/>
                <w:sz w:val="20"/>
                <w:szCs w:val="20"/>
                <w:lang w:val="ro-RO"/>
              </w:rPr>
              <w:t>Consolidarea obligației de a informa participanții nu numai cu privire la rezultatele consultării publice, ci și cu privire la rezultatul final al procesului de elaborare a politicilor și la măsurile luate în urma exercițiului de participare, conform recomandării de la punctul 6 litera (a) din recomandare;</w:t>
            </w:r>
            <w:r w:rsidRPr="008B79D4">
              <w:rPr>
                <w:color w:val="242424"/>
                <w:sz w:val="20"/>
                <w:szCs w:val="20"/>
                <w:lang w:val="ro-RO"/>
              </w:rPr>
              <w:tab/>
            </w:r>
          </w:p>
        </w:tc>
        <w:tc>
          <w:tcPr>
            <w:tcW w:w="3681" w:type="dxa"/>
          </w:tcPr>
          <w:p w14:paraId="4709D461" w14:textId="1AFA1F5F" w:rsidR="005369BF" w:rsidRPr="008B79D4" w:rsidRDefault="005369BF" w:rsidP="005369BF">
            <w:pPr>
              <w:pStyle w:val="elementtoproof"/>
              <w:shd w:val="clear" w:color="auto" w:fill="FFFFFF"/>
              <w:jc w:val="both"/>
              <w:rPr>
                <w:color w:val="242424"/>
                <w:sz w:val="20"/>
                <w:szCs w:val="20"/>
                <w:lang w:val="ro-RO"/>
              </w:rPr>
            </w:pPr>
            <w:r w:rsidRPr="008B79D4">
              <w:rPr>
                <w:b/>
                <w:bCs/>
                <w:color w:val="242424"/>
                <w:sz w:val="20"/>
                <w:szCs w:val="20"/>
                <w:lang w:val="ro-RO"/>
              </w:rPr>
              <w:t>Se acceptă</w:t>
            </w:r>
          </w:p>
          <w:p w14:paraId="5F255DA2" w14:textId="77777777" w:rsidR="005369BF" w:rsidRPr="008B79D4" w:rsidRDefault="005369BF" w:rsidP="005369BF">
            <w:pPr>
              <w:pStyle w:val="elementtoproof"/>
              <w:shd w:val="clear" w:color="auto" w:fill="FFFFFF"/>
              <w:jc w:val="both"/>
              <w:rPr>
                <w:color w:val="242424"/>
                <w:sz w:val="20"/>
                <w:szCs w:val="20"/>
                <w:lang w:val="ro-RO"/>
              </w:rPr>
            </w:pPr>
            <w:r w:rsidRPr="008B79D4">
              <w:rPr>
                <w:color w:val="242424"/>
                <w:sz w:val="20"/>
                <w:szCs w:val="20"/>
                <w:lang w:val="ro-RO"/>
              </w:rPr>
              <w:t>Proiectul de lege instituia deja obligația autorităților publice de a asigura transparența întregului proces decizional, inclusiv prin publicarea rezultatelor consultărilor publice, a dosarului proiectului de decizie definitivat înainte de adoptare, a informațiilor privind retragerea proiectului din procesul decizional, a referinței la proiectul de lege transmis Parlamentului spre adoptare și a referinței la actul adoptat din registrele oficiale ale actelor juridice.</w:t>
            </w:r>
          </w:p>
          <w:p w14:paraId="37860C3C" w14:textId="77777777" w:rsidR="005369BF" w:rsidRPr="008B79D4" w:rsidRDefault="005369BF" w:rsidP="005369BF">
            <w:pPr>
              <w:pStyle w:val="elementtoproof"/>
              <w:shd w:val="clear" w:color="auto" w:fill="FFFFFF"/>
              <w:jc w:val="both"/>
              <w:rPr>
                <w:color w:val="242424"/>
                <w:sz w:val="20"/>
                <w:szCs w:val="20"/>
                <w:lang w:val="ro-RO"/>
              </w:rPr>
            </w:pPr>
            <w:r w:rsidRPr="008B79D4">
              <w:rPr>
                <w:color w:val="242424"/>
                <w:sz w:val="20"/>
                <w:szCs w:val="20"/>
                <w:lang w:val="ro-RO"/>
              </w:rPr>
              <w:t>Pentru a reflecta și mai explicit recomandarea Comisiei Europene, proiectul a fost completat prin introducerea sintagmei „finalizarea procesului decizional” la art. 6 alin. (2), care consacră expres obligația autorităților publice de a informa asupra finalizării procesului decizional prin publicarea referinței (hyperlink) la actul adoptat din Registrul de stat al actelor juridice sau din Registrul de stat al actelor locale.</w:t>
            </w:r>
          </w:p>
          <w:p w14:paraId="2C90215B" w14:textId="3113621A" w:rsidR="005369BF" w:rsidRPr="008B79D4" w:rsidRDefault="008F675C" w:rsidP="005369BF">
            <w:pPr>
              <w:pStyle w:val="elementtoproof"/>
              <w:shd w:val="clear" w:color="auto" w:fill="FFFFFF"/>
              <w:jc w:val="both"/>
              <w:rPr>
                <w:color w:val="242424"/>
                <w:sz w:val="20"/>
                <w:szCs w:val="20"/>
                <w:lang w:val="ro-RO"/>
              </w:rPr>
            </w:pPr>
            <w:r w:rsidRPr="008B79D4">
              <w:rPr>
                <w:color w:val="242424"/>
                <w:sz w:val="20"/>
                <w:szCs w:val="20"/>
                <w:lang w:val="ro-RO"/>
              </w:rPr>
              <w:lastRenderedPageBreak/>
              <w:t>În acest mod, s-a</w:t>
            </w:r>
            <w:r w:rsidR="005369BF" w:rsidRPr="008B79D4">
              <w:rPr>
                <w:color w:val="242424"/>
                <w:sz w:val="20"/>
                <w:szCs w:val="20"/>
                <w:lang w:val="ro-RO"/>
              </w:rPr>
              <w:t xml:space="preserve"> optat pentru un mecanism de transparență </w:t>
            </w:r>
            <w:proofErr w:type="spellStart"/>
            <w:r w:rsidR="005369BF" w:rsidRPr="008B79D4">
              <w:rPr>
                <w:color w:val="242424"/>
                <w:sz w:val="20"/>
                <w:szCs w:val="20"/>
                <w:lang w:val="ro-RO"/>
              </w:rPr>
              <w:t>proactivă</w:t>
            </w:r>
            <w:proofErr w:type="spellEnd"/>
            <w:r w:rsidR="005369BF" w:rsidRPr="008B79D4">
              <w:rPr>
                <w:color w:val="242424"/>
                <w:sz w:val="20"/>
                <w:szCs w:val="20"/>
                <w:lang w:val="ro-RO"/>
              </w:rPr>
              <w:t xml:space="preserve"> bazat pe publicarea informațiilor și documentelor aferente întregului proces decizional pe platformele oficiale și prin referințe la registrele oficiale ale actelor juridice. Această soluție asigură nu doar informarea participanților la consultarea publică, ci și accesul permanent al oricărei părți interesate la întregul parcurs al proiectului de decizie, de la inițiere și consultare până la adoptarea și publicarea actului.</w:t>
            </w:r>
          </w:p>
          <w:p w14:paraId="305C6572" w14:textId="77777777" w:rsidR="005369BF" w:rsidRPr="008B79D4" w:rsidRDefault="005369BF" w:rsidP="005369BF">
            <w:pPr>
              <w:pStyle w:val="elementtoproof"/>
              <w:shd w:val="clear" w:color="auto" w:fill="FFFFFF"/>
              <w:jc w:val="both"/>
              <w:rPr>
                <w:color w:val="242424"/>
                <w:sz w:val="20"/>
                <w:szCs w:val="20"/>
                <w:lang w:val="ro-RO"/>
              </w:rPr>
            </w:pPr>
            <w:r w:rsidRPr="008B79D4">
              <w:rPr>
                <w:color w:val="242424"/>
                <w:sz w:val="20"/>
                <w:szCs w:val="20"/>
                <w:lang w:val="ro-RO"/>
              </w:rPr>
              <w:t>Prin această abordare este asigurat un nivel ridicat de transparență și trasabilitate a procesului decizional, este consolidată memoria instituțională și este facilitată evaluarea ulterioară a modului în care recomandările formulate în cadrul consultării publice au fost valorificate în versiunea finală a actului adoptat.</w:t>
            </w:r>
          </w:p>
          <w:p w14:paraId="462CF8AD" w14:textId="6FCD304A" w:rsidR="00200AF4" w:rsidRPr="008B79D4" w:rsidRDefault="005369BF" w:rsidP="005369BF">
            <w:pPr>
              <w:pStyle w:val="elementtoproof"/>
              <w:shd w:val="clear" w:color="auto" w:fill="FFFFFF"/>
              <w:jc w:val="both"/>
              <w:rPr>
                <w:color w:val="242424"/>
                <w:sz w:val="20"/>
                <w:szCs w:val="20"/>
                <w:lang w:val="ro-RO"/>
              </w:rPr>
            </w:pPr>
            <w:r w:rsidRPr="008B79D4">
              <w:rPr>
                <w:color w:val="242424"/>
                <w:sz w:val="20"/>
                <w:szCs w:val="20"/>
                <w:lang w:val="ro-RO"/>
              </w:rPr>
              <w:t>Spre deosebire de un mecanism bazat exclusiv pe informarea participanților implicați într-un anumit exercițiu de consultare, soluția adoptată garantează accesul continuu, permanent și nediscriminatoriu al tuturor părților interesate la informațiile privind desfășurarea și finalizarea procesului decizional, inclusiv după adoptarea actului.</w:t>
            </w:r>
          </w:p>
        </w:tc>
      </w:tr>
      <w:tr w:rsidR="00200AF4" w:rsidRPr="008B79D4" w14:paraId="42016C3D" w14:textId="77777777" w:rsidTr="006C381F">
        <w:trPr>
          <w:gridAfter w:val="1"/>
          <w:wAfter w:w="18" w:type="dxa"/>
        </w:trPr>
        <w:tc>
          <w:tcPr>
            <w:tcW w:w="580" w:type="dxa"/>
          </w:tcPr>
          <w:p w14:paraId="60A4CF43" w14:textId="77777777" w:rsidR="00200AF4" w:rsidRPr="008B79D4" w:rsidRDefault="00200AF4" w:rsidP="00132D43">
            <w:pPr>
              <w:pStyle w:val="ListParagraph"/>
              <w:numPr>
                <w:ilvl w:val="0"/>
                <w:numId w:val="1"/>
              </w:numPr>
              <w:tabs>
                <w:tab w:val="right" w:pos="0"/>
              </w:tabs>
              <w:ind w:left="-95" w:right="-288" w:firstLine="0"/>
              <w:jc w:val="both"/>
              <w:rPr>
                <w:noProof/>
                <w:sz w:val="20"/>
                <w:szCs w:val="20"/>
                <w:lang w:val="ro-RO"/>
              </w:rPr>
            </w:pPr>
          </w:p>
        </w:tc>
        <w:tc>
          <w:tcPr>
            <w:tcW w:w="3018" w:type="dxa"/>
          </w:tcPr>
          <w:p w14:paraId="2DB01C0D" w14:textId="0F827741" w:rsidR="00200AF4" w:rsidRPr="008B79D4" w:rsidRDefault="00E95434" w:rsidP="00132D43">
            <w:pPr>
              <w:pStyle w:val="p1"/>
              <w:rPr>
                <w:b/>
                <w:bCs/>
                <w:sz w:val="20"/>
                <w:szCs w:val="20"/>
                <w:lang w:val="ro-RO"/>
              </w:rPr>
            </w:pPr>
            <w:r w:rsidRPr="008B79D4">
              <w:rPr>
                <w:b/>
                <w:bCs/>
                <w:sz w:val="20"/>
                <w:szCs w:val="20"/>
                <w:lang w:val="ro-RO"/>
              </w:rPr>
              <w:t>Art. 2 alin. (3)</w:t>
            </w:r>
          </w:p>
        </w:tc>
        <w:tc>
          <w:tcPr>
            <w:tcW w:w="2517" w:type="dxa"/>
          </w:tcPr>
          <w:p w14:paraId="5830E8FA" w14:textId="4F9ACCCE" w:rsidR="00200AF4" w:rsidRPr="008B79D4" w:rsidRDefault="00AE5BAA" w:rsidP="00132D43">
            <w:pPr>
              <w:jc w:val="both"/>
              <w:rPr>
                <w:noProof/>
                <w:sz w:val="20"/>
                <w:szCs w:val="20"/>
                <w:lang w:val="ro-RO"/>
              </w:rPr>
            </w:pPr>
            <w:r w:rsidRPr="008B79D4">
              <w:rPr>
                <w:noProof/>
                <w:sz w:val="20"/>
                <w:szCs w:val="20"/>
                <w:lang w:val="ro-RO"/>
              </w:rPr>
              <w:t>Comisia Europeană</w:t>
            </w:r>
          </w:p>
        </w:tc>
        <w:tc>
          <w:tcPr>
            <w:tcW w:w="3564" w:type="dxa"/>
          </w:tcPr>
          <w:p w14:paraId="676698E2" w14:textId="5256C986" w:rsidR="00200AF4" w:rsidRPr="008B79D4" w:rsidRDefault="00AE5BAA" w:rsidP="00AE5BAA">
            <w:pPr>
              <w:pStyle w:val="elementtoproof"/>
              <w:shd w:val="clear" w:color="auto" w:fill="FFFFFF"/>
              <w:jc w:val="both"/>
              <w:rPr>
                <w:color w:val="242424"/>
                <w:sz w:val="20"/>
                <w:szCs w:val="20"/>
                <w:lang w:val="ro-RO"/>
              </w:rPr>
            </w:pPr>
            <w:r w:rsidRPr="008B79D4">
              <w:rPr>
                <w:color w:val="242424"/>
                <w:sz w:val="20"/>
                <w:szCs w:val="20"/>
                <w:lang w:val="ro-RO"/>
              </w:rPr>
              <w:t>Precizarea mai clară că participarea ar trebui asigurată pe parcursul întregului ciclu de elaborare a politicilor, inclusiv, după caz, în timpul revizuirii și evaluării politicilor adoptate, în conformitate cu punctul 6 litera (b) din recomandare;</w:t>
            </w:r>
          </w:p>
        </w:tc>
        <w:tc>
          <w:tcPr>
            <w:tcW w:w="3681" w:type="dxa"/>
          </w:tcPr>
          <w:p w14:paraId="0B5317B6" w14:textId="763D07E5" w:rsidR="008C632C" w:rsidRPr="008B79D4" w:rsidRDefault="008C632C" w:rsidP="008C632C">
            <w:pPr>
              <w:pStyle w:val="elementtoproof"/>
              <w:shd w:val="clear" w:color="auto" w:fill="FFFFFF"/>
              <w:jc w:val="both"/>
              <w:rPr>
                <w:color w:val="242424"/>
                <w:sz w:val="20"/>
                <w:szCs w:val="20"/>
                <w:lang w:val="ro-RO"/>
              </w:rPr>
            </w:pPr>
            <w:r w:rsidRPr="008B79D4">
              <w:rPr>
                <w:b/>
                <w:bCs/>
                <w:color w:val="242424"/>
                <w:sz w:val="20"/>
                <w:szCs w:val="20"/>
                <w:lang w:val="ro-RO"/>
              </w:rPr>
              <w:t>Se acceptă</w:t>
            </w:r>
          </w:p>
          <w:p w14:paraId="0DC146A9" w14:textId="77777777" w:rsidR="008C632C" w:rsidRPr="008B79D4" w:rsidRDefault="008C632C" w:rsidP="008C632C">
            <w:pPr>
              <w:pStyle w:val="elementtoproof"/>
              <w:shd w:val="clear" w:color="auto" w:fill="FFFFFF"/>
              <w:jc w:val="both"/>
              <w:rPr>
                <w:color w:val="242424"/>
                <w:sz w:val="20"/>
                <w:szCs w:val="20"/>
                <w:lang w:val="ro-RO"/>
              </w:rPr>
            </w:pPr>
            <w:r w:rsidRPr="008B79D4">
              <w:rPr>
                <w:color w:val="242424"/>
                <w:sz w:val="20"/>
                <w:szCs w:val="20"/>
                <w:lang w:val="ro-RO"/>
              </w:rPr>
              <w:t xml:space="preserve">În vederea reflectării mai explicite a recomandării Comisiei Europene, proiectul de lege a fost completat prin modificarea art. 2 alin. (3), care prevede expres că </w:t>
            </w:r>
            <w:r w:rsidRPr="008B79D4">
              <w:rPr>
                <w:color w:val="242424"/>
                <w:sz w:val="20"/>
                <w:szCs w:val="20"/>
                <w:lang w:val="ro-RO"/>
              </w:rPr>
              <w:lastRenderedPageBreak/>
              <w:t>autoritățile publice asigură participarea publică în procesul decizional privind elaborarea, adoptarea, modificarea și actualizarea actelor normative și a documentelor de politici.</w:t>
            </w:r>
          </w:p>
          <w:p w14:paraId="4AC074F2" w14:textId="77777777" w:rsidR="008C632C" w:rsidRPr="008B79D4" w:rsidRDefault="008C632C" w:rsidP="008C632C">
            <w:pPr>
              <w:pStyle w:val="elementtoproof"/>
              <w:shd w:val="clear" w:color="auto" w:fill="FFFFFF"/>
              <w:jc w:val="both"/>
              <w:rPr>
                <w:color w:val="242424"/>
                <w:sz w:val="20"/>
                <w:szCs w:val="20"/>
                <w:lang w:val="ro-RO"/>
              </w:rPr>
            </w:pPr>
            <w:r w:rsidRPr="008B79D4">
              <w:rPr>
                <w:color w:val="242424"/>
                <w:sz w:val="20"/>
                <w:szCs w:val="20"/>
                <w:lang w:val="ro-RO"/>
              </w:rPr>
              <w:t>Această completare clarifică faptul că obligația de asigurare a participării publice nu se limitează la elaborarea inițială a proiectelor de decizii, ci se aplică și proceselor ulterioare de modificare și actualizare a acestora.</w:t>
            </w:r>
          </w:p>
          <w:p w14:paraId="5453408E" w14:textId="77777777" w:rsidR="008C632C" w:rsidRPr="008B79D4" w:rsidRDefault="008C632C" w:rsidP="008C632C">
            <w:pPr>
              <w:pStyle w:val="elementtoproof"/>
              <w:shd w:val="clear" w:color="auto" w:fill="FFFFFF"/>
              <w:jc w:val="both"/>
              <w:rPr>
                <w:color w:val="242424"/>
                <w:sz w:val="20"/>
                <w:szCs w:val="20"/>
                <w:lang w:val="ro-RO"/>
              </w:rPr>
            </w:pPr>
            <w:r w:rsidRPr="008B79D4">
              <w:rPr>
                <w:color w:val="242424"/>
                <w:sz w:val="20"/>
                <w:szCs w:val="20"/>
                <w:lang w:val="ro-RO"/>
              </w:rPr>
              <w:t>Totodată, în sistemul național de elaborare a documentelor de politici, procesele de evaluare și revizuire a politicilor publice se concretizează, după caz, în modificarea sau actualizarea documentelor de politici și presupun inițierea unui nou proces decizional. În aceste situații, toate garanțiile privind participarea publică prevăzute de proiectul de lege sunt aplicabile integral, inclusiv cele referitoare la participarea încă din etapa inițierii procesului decizional.</w:t>
            </w:r>
          </w:p>
          <w:p w14:paraId="6603FCAD" w14:textId="1E64CFCF" w:rsidR="00200AF4" w:rsidRPr="008B79D4" w:rsidRDefault="008C632C" w:rsidP="008C632C">
            <w:pPr>
              <w:pStyle w:val="elementtoproof"/>
              <w:shd w:val="clear" w:color="auto" w:fill="FFFFFF"/>
              <w:jc w:val="both"/>
              <w:rPr>
                <w:color w:val="242424"/>
                <w:sz w:val="20"/>
                <w:szCs w:val="20"/>
                <w:lang w:val="ro-RO"/>
              </w:rPr>
            </w:pPr>
            <w:r w:rsidRPr="008B79D4">
              <w:rPr>
                <w:color w:val="242424"/>
                <w:sz w:val="20"/>
                <w:szCs w:val="20"/>
                <w:lang w:val="ro-RO"/>
              </w:rPr>
              <w:t>Prin urmare, orice proces de modificare sau actualizare a unui document de politici este supus unui nou proces decizional, în cadrul căruia sunt aplicate integral mecanismele și garanțiile privind participarea publică prevăzute de proiectul de lege, asigurând astfel participarea pe parcursul întregului ciclu de dezvoltare și perfecționare a politicilor publice.</w:t>
            </w:r>
          </w:p>
        </w:tc>
      </w:tr>
      <w:tr w:rsidR="003E006A" w:rsidRPr="008B79D4" w14:paraId="2F742C4D" w14:textId="77777777" w:rsidTr="006C381F">
        <w:trPr>
          <w:gridAfter w:val="1"/>
          <w:wAfter w:w="18" w:type="dxa"/>
        </w:trPr>
        <w:tc>
          <w:tcPr>
            <w:tcW w:w="580" w:type="dxa"/>
          </w:tcPr>
          <w:p w14:paraId="32EEB948" w14:textId="77777777" w:rsidR="003E006A" w:rsidRPr="008B79D4" w:rsidRDefault="003E006A" w:rsidP="00132D43">
            <w:pPr>
              <w:pStyle w:val="ListParagraph"/>
              <w:numPr>
                <w:ilvl w:val="0"/>
                <w:numId w:val="1"/>
              </w:numPr>
              <w:tabs>
                <w:tab w:val="right" w:pos="0"/>
              </w:tabs>
              <w:ind w:left="-95" w:right="-288" w:firstLine="0"/>
              <w:jc w:val="both"/>
              <w:rPr>
                <w:noProof/>
                <w:sz w:val="20"/>
                <w:szCs w:val="20"/>
                <w:lang w:val="ro-RO"/>
              </w:rPr>
            </w:pPr>
          </w:p>
        </w:tc>
        <w:tc>
          <w:tcPr>
            <w:tcW w:w="3018" w:type="dxa"/>
          </w:tcPr>
          <w:p w14:paraId="0B46D879" w14:textId="074070F0" w:rsidR="003E006A" w:rsidRPr="008B79D4" w:rsidRDefault="003E006A" w:rsidP="00132D43">
            <w:pPr>
              <w:pStyle w:val="p1"/>
              <w:rPr>
                <w:b/>
                <w:bCs/>
                <w:sz w:val="20"/>
                <w:szCs w:val="20"/>
                <w:lang w:val="ro-RO"/>
              </w:rPr>
            </w:pPr>
            <w:r w:rsidRPr="008B79D4">
              <w:rPr>
                <w:b/>
                <w:bCs/>
                <w:sz w:val="20"/>
                <w:szCs w:val="20"/>
                <w:lang w:val="ro-RO"/>
              </w:rPr>
              <w:t>Art. 23</w:t>
            </w:r>
          </w:p>
        </w:tc>
        <w:tc>
          <w:tcPr>
            <w:tcW w:w="2517" w:type="dxa"/>
          </w:tcPr>
          <w:p w14:paraId="37EB6137" w14:textId="06933311" w:rsidR="003E006A" w:rsidRPr="008B79D4" w:rsidRDefault="003E006A" w:rsidP="00132D43">
            <w:pPr>
              <w:jc w:val="both"/>
              <w:rPr>
                <w:noProof/>
                <w:sz w:val="20"/>
                <w:szCs w:val="20"/>
                <w:lang w:val="ro-RO"/>
              </w:rPr>
            </w:pPr>
            <w:r w:rsidRPr="008B79D4">
              <w:rPr>
                <w:noProof/>
                <w:sz w:val="20"/>
                <w:szCs w:val="20"/>
                <w:lang w:val="ro-RO"/>
              </w:rPr>
              <w:t>Comisia Europeană</w:t>
            </w:r>
          </w:p>
        </w:tc>
        <w:tc>
          <w:tcPr>
            <w:tcW w:w="3564" w:type="dxa"/>
          </w:tcPr>
          <w:p w14:paraId="5BFD4ADA" w14:textId="43153411" w:rsidR="003E006A" w:rsidRPr="008B79D4" w:rsidRDefault="003E006A" w:rsidP="003E006A">
            <w:pPr>
              <w:pStyle w:val="elementtoproof"/>
              <w:shd w:val="clear" w:color="auto" w:fill="FFFFFF"/>
              <w:jc w:val="both"/>
              <w:rPr>
                <w:color w:val="242424"/>
                <w:sz w:val="20"/>
                <w:szCs w:val="20"/>
                <w:lang w:val="ro-RO"/>
              </w:rPr>
            </w:pPr>
            <w:r w:rsidRPr="008B79D4">
              <w:rPr>
                <w:color w:val="242424"/>
                <w:sz w:val="20"/>
                <w:szCs w:val="20"/>
                <w:lang w:val="ro-RO"/>
              </w:rPr>
              <w:t xml:space="preserve">Consolidarea în continuare a evaluării periodice a cadrului general de participare, în vederea îmbunătățirii </w:t>
            </w:r>
            <w:r w:rsidRPr="008B79D4">
              <w:rPr>
                <w:color w:val="242424"/>
                <w:sz w:val="20"/>
                <w:szCs w:val="20"/>
                <w:lang w:val="ro-RO"/>
              </w:rPr>
              <w:lastRenderedPageBreak/>
              <w:t>eficacității acestuia și a adaptării sale în timp, astfel cum se recomandă la punctul 6 litera (c) din recomandare;</w:t>
            </w:r>
          </w:p>
        </w:tc>
        <w:tc>
          <w:tcPr>
            <w:tcW w:w="3681" w:type="dxa"/>
          </w:tcPr>
          <w:p w14:paraId="17ED6FE4" w14:textId="68AB8074" w:rsidR="008C632C" w:rsidRPr="008B79D4" w:rsidRDefault="008C632C" w:rsidP="008C632C">
            <w:pPr>
              <w:pStyle w:val="elementtoproof"/>
              <w:shd w:val="clear" w:color="auto" w:fill="FFFFFF"/>
              <w:jc w:val="both"/>
              <w:rPr>
                <w:color w:val="242424"/>
                <w:sz w:val="20"/>
                <w:szCs w:val="20"/>
                <w:lang w:val="ro-RO"/>
              </w:rPr>
            </w:pPr>
            <w:r w:rsidRPr="008B79D4">
              <w:rPr>
                <w:b/>
                <w:bCs/>
                <w:color w:val="242424"/>
                <w:sz w:val="20"/>
                <w:szCs w:val="20"/>
                <w:lang w:val="ro-RO"/>
              </w:rPr>
              <w:lastRenderedPageBreak/>
              <w:t>Se ia act</w:t>
            </w:r>
          </w:p>
          <w:p w14:paraId="0AEA37E7" w14:textId="77777777" w:rsidR="008C632C" w:rsidRPr="008B79D4" w:rsidRDefault="008C632C" w:rsidP="008C632C">
            <w:pPr>
              <w:pStyle w:val="elementtoproof"/>
              <w:shd w:val="clear" w:color="auto" w:fill="FFFFFF"/>
              <w:jc w:val="both"/>
              <w:rPr>
                <w:color w:val="242424"/>
                <w:sz w:val="20"/>
                <w:szCs w:val="20"/>
                <w:lang w:val="ro-RO"/>
              </w:rPr>
            </w:pPr>
            <w:r w:rsidRPr="008B79D4">
              <w:rPr>
                <w:color w:val="242424"/>
                <w:sz w:val="20"/>
                <w:szCs w:val="20"/>
                <w:lang w:val="ro-RO"/>
              </w:rPr>
              <w:lastRenderedPageBreak/>
              <w:t>Proiectul de lege (art. 23) instituie deja un mecanism complex de monitorizare și evaluare periodică a cadrului național privind participarea publică, având ca scop îmbunătățirea continuă și adaptarea acestuia în funcție de experiența practică și de recomandările formulate de autoritățile publice și de societatea civilă.</w:t>
            </w:r>
          </w:p>
          <w:p w14:paraId="566F43A0" w14:textId="77777777" w:rsidR="008C632C" w:rsidRPr="008B79D4" w:rsidRDefault="008C632C" w:rsidP="00D03CFA">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În acest sens, proiectul prevede:</w:t>
            </w:r>
          </w:p>
          <w:p w14:paraId="05823F80" w14:textId="77777777" w:rsidR="008C632C" w:rsidRPr="008B79D4" w:rsidRDefault="008C632C" w:rsidP="00D03CFA">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a) monitorizarea anuală a implementării cadrului normativ;</w:t>
            </w:r>
          </w:p>
          <w:p w14:paraId="70CAB3F7" w14:textId="77777777" w:rsidR="008C632C" w:rsidRPr="008B79D4" w:rsidRDefault="008C632C" w:rsidP="00D03CFA">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b) evaluarea generală a calității implementării cadrului privind participarea publică o dată la trei ani;</w:t>
            </w:r>
          </w:p>
          <w:p w14:paraId="2B66F9DA" w14:textId="77777777" w:rsidR="008C632C" w:rsidRPr="008B79D4" w:rsidRDefault="008C632C" w:rsidP="00D03CFA">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c) consultarea raportului de evaluare periodică cu autoritățile publice și organizațiile societății civile care realizează evaluări independente;</w:t>
            </w:r>
          </w:p>
          <w:p w14:paraId="288BE20F" w14:textId="77777777" w:rsidR="008C632C" w:rsidRPr="008B79D4" w:rsidRDefault="008C632C" w:rsidP="00D03CFA">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d) posibilitatea integrării recomandărilor formulate în evaluările alternative realizate de organizațiile societății civile, instituțiile de cercetare și alți actori relevanți;</w:t>
            </w:r>
          </w:p>
          <w:p w14:paraId="196C2654" w14:textId="77777777" w:rsidR="008C632C" w:rsidRPr="008B79D4" w:rsidRDefault="008C632C" w:rsidP="00D03CFA">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e) publicarea raportului de evaluare periodică;</w:t>
            </w:r>
          </w:p>
          <w:p w14:paraId="650725ED" w14:textId="77777777" w:rsidR="008C632C" w:rsidRPr="008B79D4" w:rsidRDefault="008C632C" w:rsidP="00D03CFA">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f) obligația autorităților publice de a examina recomandările formulate și de a aproba măsuri pentru implementarea acestora sau de a motiva public nepreluarea totală ori parțială a recomandărilor.</w:t>
            </w:r>
          </w:p>
          <w:p w14:paraId="5E46E4E4" w14:textId="77777777" w:rsidR="008C632C" w:rsidRPr="008B79D4" w:rsidRDefault="008C632C" w:rsidP="008C632C">
            <w:pPr>
              <w:pStyle w:val="elementtoproof"/>
              <w:shd w:val="clear" w:color="auto" w:fill="FFFFFF"/>
              <w:jc w:val="both"/>
              <w:rPr>
                <w:color w:val="242424"/>
                <w:sz w:val="20"/>
                <w:szCs w:val="20"/>
                <w:lang w:val="ro-RO"/>
              </w:rPr>
            </w:pPr>
            <w:r w:rsidRPr="008B79D4">
              <w:rPr>
                <w:color w:val="242424"/>
                <w:sz w:val="20"/>
                <w:szCs w:val="20"/>
                <w:lang w:val="ro-RO"/>
              </w:rPr>
              <w:t xml:space="preserve">Proiectul de lege depășește conceptul unei evaluări administrative periodice prin instituirea unui mecanism participativ de evaluare, în cadrul căruia organizațiile societății civile și alți actori relevanți contribuie la formularea recomandărilor, iar autoritățile publice au obligația de a le </w:t>
            </w:r>
            <w:r w:rsidRPr="008B79D4">
              <w:rPr>
                <w:color w:val="242424"/>
                <w:sz w:val="20"/>
                <w:szCs w:val="20"/>
                <w:lang w:val="ro-RO"/>
              </w:rPr>
              <w:lastRenderedPageBreak/>
              <w:t>examina și de a implementa măsurile corespunzătoare sau de a motiva public nepreluarea acestora.</w:t>
            </w:r>
          </w:p>
          <w:p w14:paraId="1F2D7F2A" w14:textId="6EBB092B" w:rsidR="003E006A" w:rsidRPr="008B79D4" w:rsidRDefault="008C632C" w:rsidP="008C632C">
            <w:pPr>
              <w:pStyle w:val="elementtoproof"/>
              <w:shd w:val="clear" w:color="auto" w:fill="FFFFFF"/>
              <w:jc w:val="both"/>
              <w:rPr>
                <w:color w:val="242424"/>
                <w:sz w:val="20"/>
                <w:szCs w:val="20"/>
                <w:lang w:val="ro-RO"/>
              </w:rPr>
            </w:pPr>
            <w:r w:rsidRPr="008B79D4">
              <w:rPr>
                <w:color w:val="242424"/>
                <w:sz w:val="20"/>
                <w:szCs w:val="20"/>
                <w:lang w:val="ro-RO"/>
              </w:rPr>
              <w:t>Prin această abordare, evaluarea periodică devine un instrument de învățare instituțională și de îmbunătățire continuă a cadrului privind participarea publică, contribuind la adaptarea acestuia în funcție de experiența practică și de nevoile societății.</w:t>
            </w:r>
          </w:p>
        </w:tc>
      </w:tr>
      <w:tr w:rsidR="004652C5" w:rsidRPr="008B79D4" w14:paraId="3DDD652B" w14:textId="77777777" w:rsidTr="006C381F">
        <w:trPr>
          <w:gridAfter w:val="1"/>
          <w:wAfter w:w="18" w:type="dxa"/>
        </w:trPr>
        <w:tc>
          <w:tcPr>
            <w:tcW w:w="580" w:type="dxa"/>
          </w:tcPr>
          <w:p w14:paraId="0E8522F9" w14:textId="77777777" w:rsidR="004652C5" w:rsidRPr="008B79D4" w:rsidRDefault="004652C5" w:rsidP="00132D43">
            <w:pPr>
              <w:pStyle w:val="ListParagraph"/>
              <w:numPr>
                <w:ilvl w:val="0"/>
                <w:numId w:val="1"/>
              </w:numPr>
              <w:tabs>
                <w:tab w:val="right" w:pos="0"/>
              </w:tabs>
              <w:ind w:left="-95" w:right="-288" w:firstLine="0"/>
              <w:jc w:val="both"/>
              <w:rPr>
                <w:noProof/>
                <w:sz w:val="20"/>
                <w:szCs w:val="20"/>
                <w:lang w:val="ro-RO"/>
              </w:rPr>
            </w:pPr>
          </w:p>
        </w:tc>
        <w:tc>
          <w:tcPr>
            <w:tcW w:w="3018" w:type="dxa"/>
          </w:tcPr>
          <w:p w14:paraId="249B5E3C" w14:textId="7CB4F29E" w:rsidR="004652C5" w:rsidRPr="008B79D4" w:rsidRDefault="005C4005" w:rsidP="00132D43">
            <w:pPr>
              <w:pStyle w:val="p1"/>
              <w:rPr>
                <w:b/>
                <w:bCs/>
                <w:sz w:val="20"/>
                <w:szCs w:val="20"/>
                <w:lang w:val="ro-RO"/>
              </w:rPr>
            </w:pPr>
            <w:r w:rsidRPr="008B79D4">
              <w:rPr>
                <w:b/>
                <w:bCs/>
                <w:sz w:val="20"/>
                <w:szCs w:val="20"/>
                <w:lang w:val="ro-RO"/>
              </w:rPr>
              <w:t>Art. 6 alin. (7)</w:t>
            </w:r>
          </w:p>
        </w:tc>
        <w:tc>
          <w:tcPr>
            <w:tcW w:w="2517" w:type="dxa"/>
          </w:tcPr>
          <w:p w14:paraId="777AEAFA" w14:textId="546615F9" w:rsidR="004652C5" w:rsidRPr="008B79D4" w:rsidRDefault="004652C5" w:rsidP="00132D43">
            <w:pPr>
              <w:jc w:val="both"/>
              <w:rPr>
                <w:noProof/>
                <w:sz w:val="20"/>
                <w:szCs w:val="20"/>
                <w:lang w:val="ro-RO"/>
              </w:rPr>
            </w:pPr>
            <w:r w:rsidRPr="008B79D4">
              <w:rPr>
                <w:noProof/>
                <w:sz w:val="20"/>
                <w:szCs w:val="20"/>
                <w:lang w:val="ro-RO"/>
              </w:rPr>
              <w:t>Comisia Europeană</w:t>
            </w:r>
          </w:p>
        </w:tc>
        <w:tc>
          <w:tcPr>
            <w:tcW w:w="3564" w:type="dxa"/>
          </w:tcPr>
          <w:p w14:paraId="41956817" w14:textId="0F51E013" w:rsidR="004652C5" w:rsidRPr="008B79D4" w:rsidRDefault="004652C5" w:rsidP="004652C5">
            <w:pPr>
              <w:pStyle w:val="elementtoproof"/>
              <w:shd w:val="clear" w:color="auto" w:fill="FFFFFF"/>
              <w:jc w:val="both"/>
              <w:rPr>
                <w:color w:val="242424"/>
                <w:sz w:val="20"/>
                <w:szCs w:val="20"/>
                <w:lang w:val="ro-RO"/>
              </w:rPr>
            </w:pPr>
            <w:r w:rsidRPr="008B79D4">
              <w:rPr>
                <w:color w:val="242424"/>
                <w:sz w:val="20"/>
                <w:szCs w:val="20"/>
                <w:lang w:val="ro-RO"/>
              </w:rPr>
              <w:t>Asigurarea unei finanțări specifice destinate punerii în aplicare a cadrului, așa cum se recomandă la punctul 10 din recomandare;</w:t>
            </w:r>
            <w:r w:rsidRPr="008B79D4">
              <w:rPr>
                <w:color w:val="242424"/>
                <w:sz w:val="20"/>
                <w:szCs w:val="20"/>
                <w:lang w:val="ro-RO"/>
              </w:rPr>
              <w:tab/>
            </w:r>
          </w:p>
        </w:tc>
        <w:tc>
          <w:tcPr>
            <w:tcW w:w="3681" w:type="dxa"/>
          </w:tcPr>
          <w:p w14:paraId="7112B83A" w14:textId="41431E53" w:rsidR="00857964" w:rsidRPr="008B79D4" w:rsidRDefault="00857964" w:rsidP="005C4005">
            <w:pPr>
              <w:pStyle w:val="elementtoproof"/>
              <w:shd w:val="clear" w:color="auto" w:fill="FFFFFF"/>
              <w:spacing w:before="0" w:beforeAutospacing="0" w:after="0" w:afterAutospacing="0"/>
              <w:jc w:val="both"/>
              <w:rPr>
                <w:color w:val="242424"/>
                <w:sz w:val="20"/>
                <w:szCs w:val="20"/>
                <w:lang w:val="ro-RO"/>
              </w:rPr>
            </w:pPr>
            <w:r w:rsidRPr="008B79D4">
              <w:rPr>
                <w:b/>
                <w:bCs/>
                <w:color w:val="242424"/>
                <w:sz w:val="20"/>
                <w:szCs w:val="20"/>
                <w:lang w:val="ro-RO"/>
              </w:rPr>
              <w:t>Se acceptă parțial</w:t>
            </w:r>
          </w:p>
          <w:p w14:paraId="76328899" w14:textId="77777777" w:rsidR="00857964" w:rsidRPr="008B79D4" w:rsidRDefault="00857964"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Proiectul de lege instituie obligația autorităților publice de a asigura resursele necesare pentru organizarea și desfășurarea participării publice în procesul decizional.</w:t>
            </w:r>
          </w:p>
          <w:p w14:paraId="61085555" w14:textId="77777777" w:rsidR="005C4005" w:rsidRPr="008B79D4" w:rsidRDefault="005C4005" w:rsidP="005C4005">
            <w:pPr>
              <w:pStyle w:val="elementtoproof"/>
              <w:shd w:val="clear" w:color="auto" w:fill="FFFFFF"/>
              <w:spacing w:before="0" w:beforeAutospacing="0" w:after="0" w:afterAutospacing="0"/>
              <w:jc w:val="both"/>
              <w:rPr>
                <w:color w:val="242424"/>
                <w:sz w:val="20"/>
                <w:szCs w:val="20"/>
                <w:lang w:val="ro-RO"/>
              </w:rPr>
            </w:pPr>
          </w:p>
          <w:p w14:paraId="0BAF4C32" w14:textId="77777777" w:rsidR="00857964" w:rsidRPr="008B79D4" w:rsidRDefault="00857964"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În acest sens, art. 6 alin. (7) prevede obligația fiecărei autorități publice de:</w:t>
            </w:r>
          </w:p>
          <w:p w14:paraId="5F0AE252" w14:textId="77777777" w:rsidR="00857964" w:rsidRPr="008B79D4" w:rsidRDefault="00857964"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a) a desemna persoana sau subdiviziunea responsabilă de coordonarea și monitorizarea participării publice;</w:t>
            </w:r>
          </w:p>
          <w:p w14:paraId="3F993A8E" w14:textId="77777777" w:rsidR="00857964" w:rsidRPr="008B79D4" w:rsidRDefault="00857964"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b) a aproba proceduri interne privind organizarea participării publice, inclusiv măsuri de accesibilitate pentru grupurile specifice;</w:t>
            </w:r>
          </w:p>
          <w:p w14:paraId="74684076" w14:textId="77777777" w:rsidR="00857964" w:rsidRPr="008B79D4" w:rsidRDefault="00857964"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c) a planifica și utiliza resursele necesare participării publice, inclusiv pentru facilitarea participării grupurilor specifice, în limitele competențelor și bugetelor aprobate.</w:t>
            </w:r>
          </w:p>
          <w:p w14:paraId="5E7DD7C4" w14:textId="77777777" w:rsidR="00857964" w:rsidRPr="008B79D4" w:rsidRDefault="00857964"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 xml:space="preserve">Totodată, în vederea consolidării capacității administrative a autorităților administrației publice locale, se propune modificarea cadrului normativ privind Clasificatorul unic al funcțiilor publice, prin includerea expresă a atribuțiilor în domeniul participării publice și accesului la </w:t>
            </w:r>
            <w:r w:rsidRPr="008B79D4">
              <w:rPr>
                <w:color w:val="242424"/>
                <w:sz w:val="20"/>
                <w:szCs w:val="20"/>
                <w:lang w:val="ro-RO"/>
              </w:rPr>
              <w:lastRenderedPageBreak/>
              <w:t>informațiile de interes public în descrierea funcției de specialist superior, asigurând astfel corespunderea resurselor administrative cu competențele atribuite autorităților administrației publice locale.</w:t>
            </w:r>
          </w:p>
          <w:p w14:paraId="1CCB5F6F" w14:textId="77777777" w:rsidR="00857964" w:rsidRPr="008B79D4" w:rsidRDefault="00857964"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Având în vedere diversitatea competențelor, dimensiunii și volumului activităților desfășurate de autoritățile publice, proiectul nu instituie linii bugetare distincte sau mecanisme uniforme de finanțare. Dimensionarea resurselor necesare pentru organizarea participării publice urmează să fie realizată de fiecare autoritate publică în funcție de atribuțiile sale și de necesitățile concrete, în conformitate cu cadrul național privind finanțele publice și managementul financiar public.</w:t>
            </w:r>
          </w:p>
          <w:p w14:paraId="4118E803" w14:textId="09FD5257" w:rsidR="00857964" w:rsidRPr="008B79D4" w:rsidRDefault="005C4005"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Abordarea dată este</w:t>
            </w:r>
            <w:r w:rsidR="00857964" w:rsidRPr="008B79D4">
              <w:rPr>
                <w:color w:val="242424"/>
                <w:sz w:val="20"/>
                <w:szCs w:val="20"/>
                <w:lang w:val="ro-RO"/>
              </w:rPr>
              <w:t xml:space="preserve"> bazată pe consolidarea capacității instituționale a autorităților publice, prin instituirea unor responsabilități organizaționale și funcționale clare și prin obligarea autorităților să planifice resursele necesare participării publice, în locul instituirii unor mecanisme uniforme de finanțare care nu ar reflecta diversitatea atribuțiilor și necesităților autorităților publice.</w:t>
            </w:r>
          </w:p>
          <w:p w14:paraId="738987E3" w14:textId="0B70AA9A" w:rsidR="00857964" w:rsidRPr="008B79D4" w:rsidRDefault="005C4005" w:rsidP="005C4005">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 xml:space="preserve">Astfel se asigură </w:t>
            </w:r>
            <w:r w:rsidR="00857964" w:rsidRPr="008B79D4">
              <w:rPr>
                <w:color w:val="242424"/>
                <w:sz w:val="20"/>
                <w:szCs w:val="20"/>
                <w:lang w:val="ro-RO"/>
              </w:rPr>
              <w:t>integrarea participării publice în procesele obișnuite de planificare instituțională și bugetară, oferind fiecărei autorități flexibilitatea necesară pentru a aloca resurse proporțional cu competențele și activitățile desfășurate.</w:t>
            </w:r>
          </w:p>
          <w:p w14:paraId="1BC70A28" w14:textId="02E0470F" w:rsidR="004652C5" w:rsidRPr="008B79D4" w:rsidRDefault="004652C5" w:rsidP="005C4005">
            <w:pPr>
              <w:pStyle w:val="elementtoproof"/>
              <w:shd w:val="clear" w:color="auto" w:fill="FFFFFF"/>
              <w:spacing w:before="0" w:beforeAutospacing="0" w:after="0" w:afterAutospacing="0"/>
              <w:jc w:val="both"/>
              <w:rPr>
                <w:color w:val="242424"/>
                <w:sz w:val="20"/>
                <w:szCs w:val="20"/>
                <w:lang w:val="ro-RO"/>
              </w:rPr>
            </w:pPr>
          </w:p>
        </w:tc>
      </w:tr>
      <w:tr w:rsidR="00B236B3" w:rsidRPr="008B79D4" w14:paraId="62A5CCE4" w14:textId="77777777" w:rsidTr="006C381F">
        <w:trPr>
          <w:gridAfter w:val="1"/>
          <w:wAfter w:w="18" w:type="dxa"/>
        </w:trPr>
        <w:tc>
          <w:tcPr>
            <w:tcW w:w="580" w:type="dxa"/>
          </w:tcPr>
          <w:p w14:paraId="3E4B5E3C" w14:textId="77777777" w:rsidR="00B236B3" w:rsidRPr="008B79D4" w:rsidRDefault="00B236B3" w:rsidP="00132D43">
            <w:pPr>
              <w:pStyle w:val="ListParagraph"/>
              <w:numPr>
                <w:ilvl w:val="0"/>
                <w:numId w:val="1"/>
              </w:numPr>
              <w:tabs>
                <w:tab w:val="right" w:pos="0"/>
              </w:tabs>
              <w:ind w:left="-95" w:right="-288" w:firstLine="0"/>
              <w:jc w:val="both"/>
              <w:rPr>
                <w:noProof/>
                <w:sz w:val="20"/>
                <w:szCs w:val="20"/>
                <w:lang w:val="ro-RO"/>
              </w:rPr>
            </w:pPr>
          </w:p>
        </w:tc>
        <w:tc>
          <w:tcPr>
            <w:tcW w:w="3018" w:type="dxa"/>
          </w:tcPr>
          <w:p w14:paraId="6C6AF8FD" w14:textId="2A855E0F" w:rsidR="00B236B3" w:rsidRPr="008B79D4" w:rsidRDefault="00331261" w:rsidP="00132D43">
            <w:pPr>
              <w:pStyle w:val="p1"/>
              <w:rPr>
                <w:b/>
                <w:bCs/>
                <w:sz w:val="20"/>
                <w:szCs w:val="20"/>
                <w:lang w:val="ro-RO"/>
              </w:rPr>
            </w:pPr>
            <w:r w:rsidRPr="008B79D4">
              <w:rPr>
                <w:b/>
                <w:bCs/>
                <w:sz w:val="20"/>
                <w:szCs w:val="20"/>
                <w:lang w:val="ro-RO"/>
              </w:rPr>
              <w:t>Art. 3</w:t>
            </w:r>
          </w:p>
        </w:tc>
        <w:tc>
          <w:tcPr>
            <w:tcW w:w="2517" w:type="dxa"/>
          </w:tcPr>
          <w:p w14:paraId="5EDEEFE7" w14:textId="34854C71" w:rsidR="00B236B3" w:rsidRPr="008B79D4" w:rsidRDefault="00B236B3" w:rsidP="00132D43">
            <w:pPr>
              <w:jc w:val="both"/>
              <w:rPr>
                <w:noProof/>
                <w:sz w:val="20"/>
                <w:szCs w:val="20"/>
                <w:lang w:val="ro-RO"/>
              </w:rPr>
            </w:pPr>
            <w:r w:rsidRPr="008B79D4">
              <w:rPr>
                <w:noProof/>
                <w:sz w:val="20"/>
                <w:szCs w:val="20"/>
                <w:lang w:val="ro-RO"/>
              </w:rPr>
              <w:t>Comisia Europeană</w:t>
            </w:r>
          </w:p>
        </w:tc>
        <w:tc>
          <w:tcPr>
            <w:tcW w:w="3564" w:type="dxa"/>
          </w:tcPr>
          <w:p w14:paraId="29A663A3" w14:textId="411D872B" w:rsidR="00B13040" w:rsidRPr="008B79D4" w:rsidRDefault="00B236B3" w:rsidP="00B13040">
            <w:pPr>
              <w:pStyle w:val="elementtoproof"/>
              <w:shd w:val="clear" w:color="auto" w:fill="FFFFFF"/>
              <w:jc w:val="both"/>
              <w:rPr>
                <w:color w:val="242424"/>
                <w:sz w:val="20"/>
                <w:szCs w:val="20"/>
                <w:lang w:val="ro-RO"/>
              </w:rPr>
            </w:pPr>
            <w:r w:rsidRPr="008B79D4">
              <w:rPr>
                <w:color w:val="242424"/>
                <w:sz w:val="20"/>
                <w:szCs w:val="20"/>
                <w:lang w:val="ro-RO"/>
              </w:rPr>
              <w:t xml:space="preserve">Să includă dispoziții care să încurajeze crearea de parteneriate strategice între autoritățile publice de la nivel local, </w:t>
            </w:r>
            <w:r w:rsidRPr="008B79D4">
              <w:rPr>
                <w:color w:val="242424"/>
                <w:sz w:val="20"/>
                <w:szCs w:val="20"/>
                <w:lang w:val="ro-RO"/>
              </w:rPr>
              <w:lastRenderedPageBreak/>
              <w:t>regional și național și organizațiile societății civile, astfel cum se precizează la punctul 16 din recomandare.</w:t>
            </w:r>
          </w:p>
        </w:tc>
        <w:tc>
          <w:tcPr>
            <w:tcW w:w="3681" w:type="dxa"/>
          </w:tcPr>
          <w:p w14:paraId="1DF3D0A2" w14:textId="07BFB238"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lastRenderedPageBreak/>
              <w:t>Se acceptă parțial</w:t>
            </w:r>
          </w:p>
          <w:p w14:paraId="7E181C5A" w14:textId="77777777"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p>
          <w:p w14:paraId="2D978802" w14:textId="77777777"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lastRenderedPageBreak/>
              <w:t>Proiectul de lege instituie mecanisme permanente de dialog structurat între autoritățile publice și organizațiile societății civile, atât la nivel central, cât și la nivel local.</w:t>
            </w:r>
          </w:p>
          <w:p w14:paraId="29496E33" w14:textId="77777777"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În acest sens, proiectul prevede:</w:t>
            </w:r>
          </w:p>
          <w:p w14:paraId="01155A38" w14:textId="77777777"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a) platformele consultative permanente organizate de autoritățile administrației publice centrale de specialitate;</w:t>
            </w:r>
          </w:p>
          <w:p w14:paraId="2B32D8F5" w14:textId="5196F3A9"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b) consiliile de participare/consiliile de transparență organizate pe lângă autoritățile administrației publice locale de nivelul al doilea</w:t>
            </w:r>
            <w:r w:rsidRPr="008B79D4">
              <w:rPr>
                <w:color w:val="242424"/>
                <w:sz w:val="20"/>
                <w:szCs w:val="20"/>
                <w:lang w:val="ro-RO"/>
              </w:rPr>
              <w:t xml:space="preserve"> (regional)</w:t>
            </w:r>
            <w:r w:rsidRPr="008B79D4">
              <w:rPr>
                <w:color w:val="242424"/>
                <w:sz w:val="20"/>
                <w:szCs w:val="20"/>
                <w:lang w:val="ro-RO"/>
              </w:rPr>
              <w:t xml:space="preserve"> și de nivelul întâi</w:t>
            </w:r>
            <w:r w:rsidRPr="008B79D4">
              <w:rPr>
                <w:color w:val="242424"/>
                <w:sz w:val="20"/>
                <w:szCs w:val="20"/>
                <w:lang w:val="ro-RO"/>
              </w:rPr>
              <w:t xml:space="preserve"> (local)</w:t>
            </w:r>
            <w:r w:rsidRPr="008B79D4">
              <w:rPr>
                <w:color w:val="242424"/>
                <w:sz w:val="20"/>
                <w:szCs w:val="20"/>
                <w:lang w:val="ro-RO"/>
              </w:rPr>
              <w:t>.</w:t>
            </w:r>
          </w:p>
          <w:p w14:paraId="58B9F4D6" w14:textId="77777777"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Totodată, art. 10 reglementează desfășurarea consultărilor publice inclusiv prin intermediul grupurilor de lucru organizate în cadrul platformelor consultative permanente, al consiliilor de participare și al consiliilor de transparență, alături de alte forme de dialog și consultare adaptate specificului fiecărui proces decizional.</w:t>
            </w:r>
          </w:p>
          <w:p w14:paraId="70F2A62B" w14:textId="77777777"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Aceste mecanisme au caracter permanent, facilitează cooperarea continuă dintre autoritățile publice și organizațiile societății civile și depășesc cadrul consultării unui singur proiect de decizie, permițând discutarea subiectelor de interes public și consolidarea dialogului instituțional pe termen lung.</w:t>
            </w:r>
          </w:p>
          <w:p w14:paraId="407E2CB8" w14:textId="77777777"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t>Proiectul de lege realizează obiectivul prevăzut la pct. 16 din Recomandare prin instituirea acestor mecanisme permanente de dialog structurat, care creează cadrul instituțional necesar dezvoltării unor parteneriate durabile între autoritățile publice și organizațiile societății civile.</w:t>
            </w:r>
            <w:r w:rsidRPr="008B79D4">
              <w:rPr>
                <w:color w:val="242424"/>
                <w:sz w:val="20"/>
                <w:szCs w:val="20"/>
                <w:lang w:val="ro-RO"/>
              </w:rPr>
              <w:t xml:space="preserve"> </w:t>
            </w:r>
          </w:p>
          <w:p w14:paraId="01626FD6" w14:textId="271A8C1E" w:rsidR="00117932" w:rsidRPr="008B79D4" w:rsidRDefault="00117932" w:rsidP="00117932">
            <w:pPr>
              <w:pStyle w:val="elementtoproof"/>
              <w:shd w:val="clear" w:color="auto" w:fill="FFFFFF"/>
              <w:spacing w:before="0" w:beforeAutospacing="0" w:after="0" w:afterAutospacing="0"/>
              <w:jc w:val="both"/>
              <w:rPr>
                <w:color w:val="242424"/>
                <w:sz w:val="20"/>
                <w:szCs w:val="20"/>
                <w:lang w:val="ro-RO"/>
              </w:rPr>
            </w:pPr>
            <w:r w:rsidRPr="008B79D4">
              <w:rPr>
                <w:color w:val="242424"/>
                <w:sz w:val="20"/>
                <w:szCs w:val="20"/>
                <w:lang w:val="ro-RO"/>
              </w:rPr>
              <w:lastRenderedPageBreak/>
              <w:t>În același timp, s-a optat pentru o reglementare flexibilă a acestor mecanisme, evitând consacrarea în lege a unor forme organizaționale exhaustive de cooperare. Această abordare permite autorităților publice să adapteze modalitățile de dialog și colaborare la specificul competențelor exercitate, al domeniului de activitate și al nevoilor comunităților pe care le deservesc.</w:t>
            </w:r>
          </w:p>
          <w:p w14:paraId="6F491B36" w14:textId="4667FA22" w:rsidR="00B236B3" w:rsidRPr="008B79D4" w:rsidRDefault="00B236B3" w:rsidP="00117932">
            <w:pPr>
              <w:pStyle w:val="elementtoproof"/>
              <w:shd w:val="clear" w:color="auto" w:fill="FFFFFF"/>
              <w:spacing w:before="0" w:beforeAutospacing="0" w:after="0" w:afterAutospacing="0"/>
              <w:jc w:val="both"/>
              <w:rPr>
                <w:color w:val="242424"/>
                <w:sz w:val="20"/>
                <w:szCs w:val="20"/>
                <w:lang w:val="ro-RO"/>
              </w:rPr>
            </w:pPr>
          </w:p>
        </w:tc>
      </w:tr>
    </w:tbl>
    <w:p w14:paraId="00FA7D42" w14:textId="77777777" w:rsidR="0031131F" w:rsidRPr="008B79D4" w:rsidRDefault="0031131F" w:rsidP="0031131F">
      <w:pPr>
        <w:pBdr>
          <w:top w:val="none" w:sz="4" w:space="0" w:color="000000"/>
          <w:left w:val="none" w:sz="4" w:space="0" w:color="000000"/>
          <w:bottom w:val="none" w:sz="4" w:space="0" w:color="000000"/>
          <w:right w:val="none" w:sz="4" w:space="0" w:color="000000"/>
        </w:pBdr>
        <w:tabs>
          <w:tab w:val="left" w:pos="884"/>
          <w:tab w:val="left" w:pos="1196"/>
        </w:tabs>
        <w:jc w:val="center"/>
        <w:rPr>
          <w:i/>
          <w:iCs/>
          <w:noProof/>
          <w:sz w:val="20"/>
          <w:szCs w:val="20"/>
          <w:lang w:val="ro-RO"/>
        </w:rPr>
      </w:pPr>
    </w:p>
    <w:p w14:paraId="270E731F" w14:textId="75626B42" w:rsidR="00240FD2" w:rsidRPr="008B79D4" w:rsidRDefault="008B79D4" w:rsidP="008B79D4">
      <w:pPr>
        <w:pBdr>
          <w:top w:val="none" w:sz="4" w:space="0" w:color="000000"/>
          <w:left w:val="none" w:sz="4" w:space="0" w:color="000000"/>
          <w:bottom w:val="none" w:sz="4" w:space="0" w:color="000000"/>
          <w:right w:val="none" w:sz="4" w:space="0" w:color="000000"/>
        </w:pBdr>
        <w:tabs>
          <w:tab w:val="left" w:pos="884"/>
          <w:tab w:val="left" w:pos="1196"/>
        </w:tabs>
        <w:jc w:val="both"/>
        <w:rPr>
          <w:color w:val="000000"/>
          <w:sz w:val="21"/>
          <w:szCs w:val="21"/>
          <w:lang w:val="ro-RO"/>
        </w:rPr>
      </w:pPr>
      <w:r w:rsidRPr="008B79D4">
        <w:rPr>
          <w:color w:val="000000"/>
          <w:sz w:val="21"/>
          <w:szCs w:val="21"/>
          <w:lang w:val="ro-RO"/>
        </w:rPr>
        <w:t>Observații finale ale Comisiei Europene</w:t>
      </w:r>
      <w:r w:rsidRPr="008B79D4">
        <w:rPr>
          <w:color w:val="000000"/>
          <w:sz w:val="21"/>
          <w:szCs w:val="21"/>
          <w:lang w:val="ro-RO"/>
        </w:rPr>
        <w:t>:</w:t>
      </w:r>
    </w:p>
    <w:p w14:paraId="773BAD7B" w14:textId="77777777" w:rsidR="008B79D4" w:rsidRPr="008B79D4" w:rsidRDefault="008B79D4" w:rsidP="008B79D4">
      <w:pPr>
        <w:pBdr>
          <w:top w:val="none" w:sz="4" w:space="0" w:color="000000"/>
          <w:left w:val="none" w:sz="4" w:space="0" w:color="000000"/>
          <w:bottom w:val="none" w:sz="4" w:space="0" w:color="000000"/>
          <w:right w:val="none" w:sz="4" w:space="0" w:color="000000"/>
        </w:pBdr>
        <w:tabs>
          <w:tab w:val="left" w:pos="884"/>
          <w:tab w:val="left" w:pos="1196"/>
        </w:tabs>
        <w:jc w:val="both"/>
        <w:rPr>
          <w:color w:val="000000"/>
          <w:sz w:val="21"/>
          <w:szCs w:val="21"/>
          <w:lang w:val="ro-RO"/>
        </w:rPr>
      </w:pPr>
    </w:p>
    <w:p w14:paraId="7C7C7BC1" w14:textId="334863CD" w:rsidR="008B79D4" w:rsidRPr="008B79D4" w:rsidRDefault="008B79D4" w:rsidP="008B79D4">
      <w:pPr>
        <w:pBdr>
          <w:top w:val="none" w:sz="4" w:space="0" w:color="000000"/>
          <w:left w:val="none" w:sz="4" w:space="0" w:color="000000"/>
          <w:bottom w:val="none" w:sz="4" w:space="0" w:color="000000"/>
          <w:right w:val="none" w:sz="4" w:space="0" w:color="000000"/>
        </w:pBdr>
        <w:tabs>
          <w:tab w:val="left" w:pos="884"/>
          <w:tab w:val="left" w:pos="1196"/>
        </w:tabs>
        <w:jc w:val="both"/>
        <w:rPr>
          <w:noProof/>
          <w:sz w:val="20"/>
          <w:szCs w:val="20"/>
          <w:lang w:val="ro-RO"/>
        </w:rPr>
      </w:pPr>
      <w:r w:rsidRPr="008B79D4">
        <w:rPr>
          <w:color w:val="000000"/>
          <w:sz w:val="20"/>
          <w:szCs w:val="20"/>
          <w:lang w:val="ro-RO"/>
        </w:rPr>
        <w:t>Comisia Europeană a luat act de explicațiile prezentate de Republica Moldova privind măsurile referitoare la protecția spațiului civic și a organizațiilor societății civile și a menționat că așteaptă implementarea măsurilor legislative distincte asumate în cadrul Foii de parcurs privind Funcționarea instituțiilor democratice.</w:t>
      </w:r>
    </w:p>
    <w:p w14:paraId="48A08C02" w14:textId="77777777" w:rsidR="00061198" w:rsidRPr="008B79D4" w:rsidRDefault="00061198">
      <w:pPr>
        <w:rPr>
          <w:sz w:val="20"/>
          <w:szCs w:val="20"/>
          <w:lang w:val="ro-RO"/>
        </w:rPr>
      </w:pPr>
    </w:p>
    <w:sectPr w:rsidR="00061198" w:rsidRPr="008B79D4" w:rsidSect="0031131F">
      <w:footerReference w:type="even"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1B849F" w14:textId="77777777" w:rsidR="0084175C" w:rsidRDefault="0084175C" w:rsidP="0066422B">
      <w:r>
        <w:separator/>
      </w:r>
    </w:p>
  </w:endnote>
  <w:endnote w:type="continuationSeparator" w:id="0">
    <w:p w14:paraId="6263BDF6" w14:textId="77777777" w:rsidR="0084175C" w:rsidRDefault="0084175C" w:rsidP="0066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13592509"/>
      <w:docPartObj>
        <w:docPartGallery w:val="Page Numbers (Bottom of Page)"/>
        <w:docPartUnique/>
      </w:docPartObj>
    </w:sdtPr>
    <w:sdtContent>
      <w:p w14:paraId="5AE1133C" w14:textId="627E07BB" w:rsidR="0066422B" w:rsidRDefault="0066422B" w:rsidP="00582B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FACFFDF" w14:textId="77777777" w:rsidR="0066422B" w:rsidRDefault="0066422B" w:rsidP="006642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22026984"/>
      <w:docPartObj>
        <w:docPartGallery w:val="Page Numbers (Bottom of Page)"/>
        <w:docPartUnique/>
      </w:docPartObj>
    </w:sdtPr>
    <w:sdtContent>
      <w:p w14:paraId="7B36589E" w14:textId="63AABC62" w:rsidR="0066422B" w:rsidRDefault="0066422B" w:rsidP="00582B0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28FA193" w14:textId="77777777" w:rsidR="0066422B" w:rsidRDefault="0066422B" w:rsidP="006642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62880B" w14:textId="77777777" w:rsidR="0084175C" w:rsidRDefault="0084175C" w:rsidP="0066422B">
      <w:r>
        <w:separator/>
      </w:r>
    </w:p>
  </w:footnote>
  <w:footnote w:type="continuationSeparator" w:id="0">
    <w:p w14:paraId="310CC309" w14:textId="77777777" w:rsidR="0084175C" w:rsidRDefault="0084175C" w:rsidP="006642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445C4"/>
    <w:multiLevelType w:val="multilevel"/>
    <w:tmpl w:val="D5EE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9772B"/>
    <w:multiLevelType w:val="multilevel"/>
    <w:tmpl w:val="0DB2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5434A"/>
    <w:multiLevelType w:val="hybridMultilevel"/>
    <w:tmpl w:val="88B2A0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2F0A45"/>
    <w:multiLevelType w:val="hybridMultilevel"/>
    <w:tmpl w:val="6B0658C0"/>
    <w:lvl w:ilvl="0" w:tplc="B82CDE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62246"/>
    <w:multiLevelType w:val="multilevel"/>
    <w:tmpl w:val="0D64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C2D4E"/>
    <w:multiLevelType w:val="multilevel"/>
    <w:tmpl w:val="77B2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DD34CB"/>
    <w:multiLevelType w:val="multilevel"/>
    <w:tmpl w:val="F8C8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3355D9"/>
    <w:multiLevelType w:val="multilevel"/>
    <w:tmpl w:val="4BC6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0291E"/>
    <w:multiLevelType w:val="multilevel"/>
    <w:tmpl w:val="446C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5319CD"/>
    <w:multiLevelType w:val="multilevel"/>
    <w:tmpl w:val="FDEE2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A3947"/>
    <w:multiLevelType w:val="hybridMultilevel"/>
    <w:tmpl w:val="2878C688"/>
    <w:lvl w:ilvl="0" w:tplc="B82CDE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5037C9"/>
    <w:multiLevelType w:val="multilevel"/>
    <w:tmpl w:val="CC628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D65AB2"/>
    <w:multiLevelType w:val="multilevel"/>
    <w:tmpl w:val="5E98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0A0DC6"/>
    <w:multiLevelType w:val="multilevel"/>
    <w:tmpl w:val="4C38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2902DA"/>
    <w:multiLevelType w:val="multilevel"/>
    <w:tmpl w:val="2B7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88761F"/>
    <w:multiLevelType w:val="hybridMultilevel"/>
    <w:tmpl w:val="CBF408D2"/>
    <w:lvl w:ilvl="0" w:tplc="B82CDE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780713">
    <w:abstractNumId w:val="2"/>
  </w:num>
  <w:num w:numId="2" w16cid:durableId="1939095677">
    <w:abstractNumId w:val="11"/>
  </w:num>
  <w:num w:numId="3" w16cid:durableId="685325504">
    <w:abstractNumId w:val="9"/>
  </w:num>
  <w:num w:numId="4" w16cid:durableId="1664625180">
    <w:abstractNumId w:val="14"/>
  </w:num>
  <w:num w:numId="5" w16cid:durableId="322704783">
    <w:abstractNumId w:val="4"/>
  </w:num>
  <w:num w:numId="6" w16cid:durableId="1666861572">
    <w:abstractNumId w:val="8"/>
  </w:num>
  <w:num w:numId="7" w16cid:durableId="614365273">
    <w:abstractNumId w:val="5"/>
  </w:num>
  <w:num w:numId="8" w16cid:durableId="180780156">
    <w:abstractNumId w:val="12"/>
  </w:num>
  <w:num w:numId="9" w16cid:durableId="380441959">
    <w:abstractNumId w:val="13"/>
  </w:num>
  <w:num w:numId="10" w16cid:durableId="429737291">
    <w:abstractNumId w:val="1"/>
  </w:num>
  <w:num w:numId="11" w16cid:durableId="1772966913">
    <w:abstractNumId w:val="15"/>
  </w:num>
  <w:num w:numId="12" w16cid:durableId="510069582">
    <w:abstractNumId w:val="6"/>
  </w:num>
  <w:num w:numId="13" w16cid:durableId="1962494454">
    <w:abstractNumId w:val="10"/>
  </w:num>
  <w:num w:numId="14" w16cid:durableId="506600170">
    <w:abstractNumId w:val="7"/>
  </w:num>
  <w:num w:numId="15" w16cid:durableId="856194017">
    <w:abstractNumId w:val="3"/>
  </w:num>
  <w:num w:numId="16" w16cid:durableId="6301327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1F"/>
    <w:rsid w:val="00001325"/>
    <w:rsid w:val="0001436D"/>
    <w:rsid w:val="00021019"/>
    <w:rsid w:val="0002334E"/>
    <w:rsid w:val="00033450"/>
    <w:rsid w:val="00061198"/>
    <w:rsid w:val="0008245B"/>
    <w:rsid w:val="000A0E07"/>
    <w:rsid w:val="000B580B"/>
    <w:rsid w:val="000E4BEC"/>
    <w:rsid w:val="000F54AB"/>
    <w:rsid w:val="00117932"/>
    <w:rsid w:val="00132D43"/>
    <w:rsid w:val="00154236"/>
    <w:rsid w:val="00162BA5"/>
    <w:rsid w:val="00174389"/>
    <w:rsid w:val="001A18D2"/>
    <w:rsid w:val="001A5479"/>
    <w:rsid w:val="001D3BD8"/>
    <w:rsid w:val="00200AF4"/>
    <w:rsid w:val="00222D90"/>
    <w:rsid w:val="00226EE6"/>
    <w:rsid w:val="00234CA9"/>
    <w:rsid w:val="00240FD2"/>
    <w:rsid w:val="00250D3B"/>
    <w:rsid w:val="00251248"/>
    <w:rsid w:val="002857F8"/>
    <w:rsid w:val="002B61A3"/>
    <w:rsid w:val="002C1721"/>
    <w:rsid w:val="002C653D"/>
    <w:rsid w:val="0031131F"/>
    <w:rsid w:val="00321EC9"/>
    <w:rsid w:val="00327519"/>
    <w:rsid w:val="00331261"/>
    <w:rsid w:val="00345F6F"/>
    <w:rsid w:val="00396D22"/>
    <w:rsid w:val="003A78EF"/>
    <w:rsid w:val="003B705B"/>
    <w:rsid w:val="003E006A"/>
    <w:rsid w:val="003F62D2"/>
    <w:rsid w:val="00402827"/>
    <w:rsid w:val="004208C8"/>
    <w:rsid w:val="00432E8D"/>
    <w:rsid w:val="00433E91"/>
    <w:rsid w:val="004415D3"/>
    <w:rsid w:val="004436E2"/>
    <w:rsid w:val="00464E10"/>
    <w:rsid w:val="004652C5"/>
    <w:rsid w:val="004809B1"/>
    <w:rsid w:val="004B414D"/>
    <w:rsid w:val="00507B2A"/>
    <w:rsid w:val="005369BF"/>
    <w:rsid w:val="00537027"/>
    <w:rsid w:val="005657BD"/>
    <w:rsid w:val="005C4005"/>
    <w:rsid w:val="005F7FA6"/>
    <w:rsid w:val="00612CD9"/>
    <w:rsid w:val="0064232D"/>
    <w:rsid w:val="00662696"/>
    <w:rsid w:val="0066422B"/>
    <w:rsid w:val="006B62AA"/>
    <w:rsid w:val="006C381F"/>
    <w:rsid w:val="006D7D41"/>
    <w:rsid w:val="006E4C8F"/>
    <w:rsid w:val="006F72C2"/>
    <w:rsid w:val="0070240C"/>
    <w:rsid w:val="007315FC"/>
    <w:rsid w:val="007401D0"/>
    <w:rsid w:val="00742964"/>
    <w:rsid w:val="007434C2"/>
    <w:rsid w:val="00784DBA"/>
    <w:rsid w:val="00785BC7"/>
    <w:rsid w:val="007B4441"/>
    <w:rsid w:val="007B7AE6"/>
    <w:rsid w:val="007C01D4"/>
    <w:rsid w:val="00817686"/>
    <w:rsid w:val="00832F3E"/>
    <w:rsid w:val="00835D9E"/>
    <w:rsid w:val="0084175C"/>
    <w:rsid w:val="00846822"/>
    <w:rsid w:val="00853A68"/>
    <w:rsid w:val="00857964"/>
    <w:rsid w:val="00864B21"/>
    <w:rsid w:val="008A4BE8"/>
    <w:rsid w:val="008B79D4"/>
    <w:rsid w:val="008C4D2A"/>
    <w:rsid w:val="008C632C"/>
    <w:rsid w:val="008D64BC"/>
    <w:rsid w:val="008E3BBE"/>
    <w:rsid w:val="008F01E2"/>
    <w:rsid w:val="008F675C"/>
    <w:rsid w:val="00913D95"/>
    <w:rsid w:val="00915E1B"/>
    <w:rsid w:val="009201E7"/>
    <w:rsid w:val="00922F7D"/>
    <w:rsid w:val="00923C5E"/>
    <w:rsid w:val="00934E33"/>
    <w:rsid w:val="00963A50"/>
    <w:rsid w:val="00987D18"/>
    <w:rsid w:val="00987FA0"/>
    <w:rsid w:val="00991120"/>
    <w:rsid w:val="00995BB4"/>
    <w:rsid w:val="009B2AD3"/>
    <w:rsid w:val="009E2621"/>
    <w:rsid w:val="009E438C"/>
    <w:rsid w:val="009E7CB9"/>
    <w:rsid w:val="00A345B9"/>
    <w:rsid w:val="00A6639C"/>
    <w:rsid w:val="00A75FC8"/>
    <w:rsid w:val="00A95DD4"/>
    <w:rsid w:val="00AD3BF2"/>
    <w:rsid w:val="00AD4443"/>
    <w:rsid w:val="00AE5BAA"/>
    <w:rsid w:val="00AE7BD5"/>
    <w:rsid w:val="00B01722"/>
    <w:rsid w:val="00B13040"/>
    <w:rsid w:val="00B236B3"/>
    <w:rsid w:val="00B85F58"/>
    <w:rsid w:val="00BB62B1"/>
    <w:rsid w:val="00BD554E"/>
    <w:rsid w:val="00BD791C"/>
    <w:rsid w:val="00BE5984"/>
    <w:rsid w:val="00BF028C"/>
    <w:rsid w:val="00C17516"/>
    <w:rsid w:val="00C23FE5"/>
    <w:rsid w:val="00C4130A"/>
    <w:rsid w:val="00C76BDB"/>
    <w:rsid w:val="00C879C2"/>
    <w:rsid w:val="00CB2707"/>
    <w:rsid w:val="00CF6A37"/>
    <w:rsid w:val="00D03CFA"/>
    <w:rsid w:val="00D123D4"/>
    <w:rsid w:val="00D370B2"/>
    <w:rsid w:val="00D67E7E"/>
    <w:rsid w:val="00DC62D0"/>
    <w:rsid w:val="00DD39A7"/>
    <w:rsid w:val="00DE4D27"/>
    <w:rsid w:val="00E27378"/>
    <w:rsid w:val="00E3794F"/>
    <w:rsid w:val="00E60779"/>
    <w:rsid w:val="00E95434"/>
    <w:rsid w:val="00EA4FCC"/>
    <w:rsid w:val="00EB0B38"/>
    <w:rsid w:val="00ED298C"/>
    <w:rsid w:val="00ED52D8"/>
    <w:rsid w:val="00F02850"/>
    <w:rsid w:val="00F42A16"/>
    <w:rsid w:val="00F441DC"/>
    <w:rsid w:val="00F47AD3"/>
    <w:rsid w:val="00F6295E"/>
    <w:rsid w:val="00F92FD3"/>
    <w:rsid w:val="00FA066D"/>
    <w:rsid w:val="00FB1B53"/>
    <w:rsid w:val="00FF0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93A58E"/>
  <w15:chartTrackingRefBased/>
  <w15:docId w15:val="{7FFA0BD3-1CE0-B849-BBDF-35E7EFD5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D4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113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13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13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13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13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13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13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13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13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13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13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13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13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13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1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1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1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131F"/>
    <w:rPr>
      <w:rFonts w:eastAsiaTheme="majorEastAsia" w:cstheme="majorBidi"/>
      <w:color w:val="272727" w:themeColor="text1" w:themeTint="D8"/>
    </w:rPr>
  </w:style>
  <w:style w:type="paragraph" w:styleId="Title">
    <w:name w:val="Title"/>
    <w:basedOn w:val="Normal"/>
    <w:next w:val="Normal"/>
    <w:link w:val="TitleChar"/>
    <w:uiPriority w:val="10"/>
    <w:qFormat/>
    <w:rsid w:val="003113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1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13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1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131F"/>
    <w:pPr>
      <w:spacing w:before="160"/>
      <w:jc w:val="center"/>
    </w:pPr>
    <w:rPr>
      <w:i/>
      <w:iCs/>
      <w:color w:val="404040" w:themeColor="text1" w:themeTint="BF"/>
    </w:rPr>
  </w:style>
  <w:style w:type="character" w:customStyle="1" w:styleId="QuoteChar">
    <w:name w:val="Quote Char"/>
    <w:basedOn w:val="DefaultParagraphFont"/>
    <w:link w:val="Quote"/>
    <w:uiPriority w:val="29"/>
    <w:rsid w:val="0031131F"/>
    <w:rPr>
      <w:i/>
      <w:iCs/>
      <w:color w:val="404040" w:themeColor="text1" w:themeTint="BF"/>
    </w:rPr>
  </w:style>
  <w:style w:type="paragraph" w:styleId="ListParagraph">
    <w:name w:val="List Paragraph"/>
    <w:basedOn w:val="Normal"/>
    <w:uiPriority w:val="34"/>
    <w:qFormat/>
    <w:rsid w:val="0031131F"/>
    <w:pPr>
      <w:ind w:left="720"/>
      <w:contextualSpacing/>
    </w:pPr>
  </w:style>
  <w:style w:type="character" w:styleId="IntenseEmphasis">
    <w:name w:val="Intense Emphasis"/>
    <w:basedOn w:val="DefaultParagraphFont"/>
    <w:uiPriority w:val="21"/>
    <w:qFormat/>
    <w:rsid w:val="0031131F"/>
    <w:rPr>
      <w:i/>
      <w:iCs/>
      <w:color w:val="2F5496" w:themeColor="accent1" w:themeShade="BF"/>
    </w:rPr>
  </w:style>
  <w:style w:type="paragraph" w:styleId="IntenseQuote">
    <w:name w:val="Intense Quote"/>
    <w:basedOn w:val="Normal"/>
    <w:next w:val="Normal"/>
    <w:link w:val="IntenseQuoteChar"/>
    <w:uiPriority w:val="30"/>
    <w:qFormat/>
    <w:rsid w:val="003113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131F"/>
    <w:rPr>
      <w:i/>
      <w:iCs/>
      <w:color w:val="2F5496" w:themeColor="accent1" w:themeShade="BF"/>
    </w:rPr>
  </w:style>
  <w:style w:type="character" w:styleId="IntenseReference">
    <w:name w:val="Intense Reference"/>
    <w:basedOn w:val="DefaultParagraphFont"/>
    <w:uiPriority w:val="32"/>
    <w:qFormat/>
    <w:rsid w:val="0031131F"/>
    <w:rPr>
      <w:b/>
      <w:bCs/>
      <w:smallCaps/>
      <w:color w:val="2F5496" w:themeColor="accent1" w:themeShade="BF"/>
      <w:spacing w:val="5"/>
    </w:rPr>
  </w:style>
  <w:style w:type="table" w:styleId="TableGrid">
    <w:name w:val="Table Grid"/>
    <w:basedOn w:val="TableNormal"/>
    <w:uiPriority w:val="39"/>
    <w:rsid w:val="0031131F"/>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436D"/>
  </w:style>
  <w:style w:type="paragraph" w:customStyle="1" w:styleId="p1">
    <w:name w:val="p1"/>
    <w:basedOn w:val="Normal"/>
    <w:rsid w:val="0001436D"/>
    <w:rPr>
      <w:color w:val="000000"/>
      <w:sz w:val="19"/>
      <w:szCs w:val="19"/>
    </w:rPr>
  </w:style>
  <w:style w:type="character" w:customStyle="1" w:styleId="apple-converted-space">
    <w:name w:val="apple-converted-space"/>
    <w:basedOn w:val="DefaultParagraphFont"/>
    <w:rsid w:val="0001436D"/>
  </w:style>
  <w:style w:type="character" w:styleId="Strong">
    <w:name w:val="Strong"/>
    <w:basedOn w:val="DefaultParagraphFont"/>
    <w:uiPriority w:val="22"/>
    <w:qFormat/>
    <w:rsid w:val="0001436D"/>
    <w:rPr>
      <w:b/>
      <w:bCs/>
    </w:rPr>
  </w:style>
  <w:style w:type="character" w:styleId="Emphasis">
    <w:name w:val="Emphasis"/>
    <w:basedOn w:val="DefaultParagraphFont"/>
    <w:uiPriority w:val="20"/>
    <w:qFormat/>
    <w:rsid w:val="0001436D"/>
    <w:rPr>
      <w:i/>
      <w:iCs/>
    </w:rPr>
  </w:style>
  <w:style w:type="character" w:customStyle="1" w:styleId="s1">
    <w:name w:val="s1"/>
    <w:basedOn w:val="DefaultParagraphFont"/>
    <w:rsid w:val="0008245B"/>
    <w:rPr>
      <w:rFonts w:ascii="Arial" w:hAnsi="Arial" w:cs="Arial" w:hint="default"/>
      <w:sz w:val="18"/>
      <w:szCs w:val="18"/>
    </w:rPr>
  </w:style>
  <w:style w:type="character" w:customStyle="1" w:styleId="s2">
    <w:name w:val="s2"/>
    <w:basedOn w:val="DefaultParagraphFont"/>
    <w:rsid w:val="004809B1"/>
    <w:rPr>
      <w:rFonts w:ascii="Times New Roman" w:hAnsi="Times New Roman" w:cs="Times New Roman" w:hint="default"/>
      <w:sz w:val="18"/>
      <w:szCs w:val="18"/>
    </w:rPr>
  </w:style>
  <w:style w:type="paragraph" w:styleId="Footer">
    <w:name w:val="footer"/>
    <w:basedOn w:val="Normal"/>
    <w:link w:val="FooterChar"/>
    <w:uiPriority w:val="99"/>
    <w:unhideWhenUsed/>
    <w:rsid w:val="0066422B"/>
    <w:pPr>
      <w:tabs>
        <w:tab w:val="center" w:pos="4680"/>
        <w:tab w:val="right" w:pos="9360"/>
      </w:tabs>
    </w:pPr>
  </w:style>
  <w:style w:type="character" w:customStyle="1" w:styleId="FooterChar">
    <w:name w:val="Footer Char"/>
    <w:basedOn w:val="DefaultParagraphFont"/>
    <w:link w:val="Footer"/>
    <w:uiPriority w:val="99"/>
    <w:rsid w:val="0066422B"/>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66422B"/>
  </w:style>
  <w:style w:type="paragraph" w:customStyle="1" w:styleId="isselectedend">
    <w:name w:val="isselectedend"/>
    <w:basedOn w:val="Normal"/>
    <w:rsid w:val="007B7AE6"/>
    <w:pPr>
      <w:spacing w:before="100" w:beforeAutospacing="1" w:after="100" w:afterAutospacing="1"/>
    </w:pPr>
  </w:style>
  <w:style w:type="paragraph" w:customStyle="1" w:styleId="elementtoproof">
    <w:name w:val="elementtoproof"/>
    <w:basedOn w:val="Normal"/>
    <w:rsid w:val="00F6295E"/>
    <w:pPr>
      <w:spacing w:before="100" w:beforeAutospacing="1" w:after="100" w:afterAutospacing="1"/>
    </w:pPr>
  </w:style>
  <w:style w:type="paragraph" w:customStyle="1" w:styleId="pdq2pgselectionanchorcontainer">
    <w:name w:val="pdq2pg_selectionanchorcontainer"/>
    <w:basedOn w:val="Normal"/>
    <w:rsid w:val="00132D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13</Pages>
  <Words>2533</Words>
  <Characters>15737</Characters>
  <Application>Microsoft Office Word</Application>
  <DocSecurity>0</DocSecurity>
  <Lines>874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Postica Natalia</dc:creator>
  <cp:keywords/>
  <dc:description/>
  <cp:lastModifiedBy>Postica Natalia</cp:lastModifiedBy>
  <cp:revision>8</cp:revision>
  <dcterms:created xsi:type="dcterms:W3CDTF">2026-07-06T05:56:00Z</dcterms:created>
  <dcterms:modified xsi:type="dcterms:W3CDTF">2026-07-06T20:00:00Z</dcterms:modified>
</cp:coreProperties>
</file>