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1C220" w14:textId="77777777" w:rsidR="0072652F" w:rsidRDefault="0072652F">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14:paraId="50B11952" w14:textId="77777777" w:rsidR="0072652F"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SINTEZA</w:t>
      </w:r>
    </w:p>
    <w:p w14:paraId="35253482" w14:textId="77777777" w:rsidR="0072652F"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la Proiectul de Lege pentru modificarea unor acte normative (anumite aspecte ale dreptului societăților comerciale)</w:t>
      </w:r>
    </w:p>
    <w:p w14:paraId="6F5C3145" w14:textId="77777777" w:rsidR="0072652F" w:rsidRDefault="0072652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p>
    <w:p w14:paraId="3EDB204C" w14:textId="77777777" w:rsidR="0072652F" w:rsidRDefault="0072652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p>
    <w:p w14:paraId="7772E3BD" w14:textId="77777777" w:rsidR="0072652F" w:rsidRDefault="0072652F">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p>
    <w:tbl>
      <w:tblPr>
        <w:tblStyle w:val="a"/>
        <w:tblW w:w="138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1530"/>
        <w:gridCol w:w="1800"/>
        <w:gridCol w:w="4485"/>
        <w:gridCol w:w="5505"/>
      </w:tblGrid>
      <w:tr w:rsidR="0072652F" w14:paraId="6F241831" w14:textId="77777777">
        <w:tc>
          <w:tcPr>
            <w:tcW w:w="480" w:type="dxa"/>
          </w:tcPr>
          <w:p w14:paraId="0D97CB97"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Nr.</w:t>
            </w:r>
          </w:p>
          <w:p w14:paraId="136A122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d/o</w:t>
            </w:r>
          </w:p>
        </w:tc>
        <w:tc>
          <w:tcPr>
            <w:tcW w:w="1530" w:type="dxa"/>
          </w:tcPr>
          <w:p w14:paraId="6746779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Participantul la avizare,</w:t>
            </w:r>
            <w:r>
              <w:rPr>
                <w:rFonts w:ascii="Times New Roman" w:eastAsia="Times New Roman" w:hAnsi="Times New Roman" w:cs="Times New Roman"/>
                <w:b/>
                <w:bCs/>
                <w:color w:val="000000"/>
              </w:rPr>
              <w:br/>
              <w:t>consultare publică, expertizare</w:t>
            </w:r>
          </w:p>
        </w:tc>
        <w:tc>
          <w:tcPr>
            <w:tcW w:w="1800" w:type="dxa"/>
          </w:tcPr>
          <w:p w14:paraId="1567DD5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Nr.</w:t>
            </w:r>
            <w:r>
              <w:rPr>
                <w:rFonts w:ascii="Times New Roman" w:eastAsia="Times New Roman" w:hAnsi="Times New Roman" w:cs="Times New Roman"/>
                <w:b/>
                <w:bCs/>
                <w:color w:val="000000"/>
              </w:rPr>
              <w:br/>
              <w:t>crt.</w:t>
            </w:r>
          </w:p>
        </w:tc>
        <w:tc>
          <w:tcPr>
            <w:tcW w:w="4485" w:type="dxa"/>
          </w:tcPr>
          <w:p w14:paraId="4CA4010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Conținutul obiecției, propunerii,</w:t>
            </w:r>
            <w:r>
              <w:rPr>
                <w:rFonts w:ascii="Times New Roman" w:eastAsia="Times New Roman" w:hAnsi="Times New Roman" w:cs="Times New Roman"/>
                <w:b/>
                <w:bCs/>
                <w:color w:val="000000"/>
              </w:rPr>
              <w:br/>
              <w:t>recomandării, concluziei</w:t>
            </w:r>
          </w:p>
        </w:tc>
        <w:tc>
          <w:tcPr>
            <w:tcW w:w="5505" w:type="dxa"/>
          </w:tcPr>
          <w:p w14:paraId="4AC7D43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Argumentarea autorului</w:t>
            </w:r>
            <w:r>
              <w:rPr>
                <w:rFonts w:ascii="Times New Roman" w:eastAsia="Times New Roman" w:hAnsi="Times New Roman" w:cs="Times New Roman"/>
                <w:b/>
                <w:bCs/>
                <w:color w:val="000000"/>
              </w:rPr>
              <w:br/>
              <w:t>proiectului</w:t>
            </w:r>
          </w:p>
        </w:tc>
      </w:tr>
      <w:tr w:rsidR="0072652F" w14:paraId="1654DF77" w14:textId="77777777">
        <w:tc>
          <w:tcPr>
            <w:tcW w:w="480" w:type="dxa"/>
          </w:tcPr>
          <w:p w14:paraId="56C0F91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1530" w:type="dxa"/>
          </w:tcPr>
          <w:p w14:paraId="44202FA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Ministerul Justiției</w:t>
            </w:r>
          </w:p>
        </w:tc>
        <w:tc>
          <w:tcPr>
            <w:tcW w:w="11790" w:type="dxa"/>
            <w:gridSpan w:val="3"/>
          </w:tcPr>
          <w:p w14:paraId="21D227FD"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La Art. I. – Legea nr. 1134/1997 privind societățile pe acțiuni</w:t>
            </w:r>
          </w:p>
        </w:tc>
      </w:tr>
      <w:tr w:rsidR="0072652F" w14:paraId="4C2DB0F3" w14:textId="77777777">
        <w:tc>
          <w:tcPr>
            <w:tcW w:w="480" w:type="dxa"/>
          </w:tcPr>
          <w:p w14:paraId="510DA7C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3EB5FE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47CBFBF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778EDA2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2, ce modifică art. 3</w:t>
            </w:r>
            <w:r>
              <w:rPr>
                <w:rFonts w:ascii="Times New Roman" w:eastAsia="Times New Roman" w:hAnsi="Times New Roman" w:cs="Times New Roman"/>
              </w:rPr>
              <w:t xml:space="preserve">: </w:t>
            </w:r>
          </w:p>
          <w:p w14:paraId="3E54ABD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În dispoziția de completare cu alin. (9) și (10) cuvântul „alineatul” se va substitui cu cuvântul „alineatele”. În textul alin. (9), propus spre completare, cuvintele „emanate de la” se vor substitui cu cuvintele „emise de”, conform terminologiei utilizate în Codul civil (observație valabilă pentru toate cazurile similare din proiect, spre ex.,</w:t>
            </w:r>
            <w:r>
              <w:rPr>
                <w:rFonts w:ascii="Times New Roman" w:eastAsia="Times New Roman" w:hAnsi="Times New Roman" w:cs="Times New Roman"/>
                <w:color w:val="FFFF00"/>
              </w:rPr>
              <w:t xml:space="preserve"> </w:t>
            </w:r>
            <w:r>
              <w:rPr>
                <w:rFonts w:ascii="Times New Roman" w:eastAsia="Times New Roman" w:hAnsi="Times New Roman" w:cs="Times New Roman"/>
              </w:rPr>
              <w:t xml:space="preserve">la art. II pct. 16, în redacția propusă la art. 242; art. III pct. 4, la art. 9¹ alin. (3)). </w:t>
            </w:r>
          </w:p>
          <w:p w14:paraId="515139A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Totodată, alin. (9) urmează a fi completat cu o literă nouă care să prevadă ca element obligatoriu „numele conducătorului”. Considerăm necesară menținerea obligației de a indica și numele conducătorului societății, astfel cum este prevăzut în prezent, deoarece această informație permite identificarea persoanei care reprezintă legal societatea și asigură un nivel sporit de transparență și securitate juridică în raporturile cu terții.</w:t>
            </w:r>
          </w:p>
          <w:p w14:paraId="341CF69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Mai mult, având în vedere art. 3 alin. (10) din Legea nr. 1134/1997, potrivit căruia aceste informații urmează a fi plasate și pe pagina web a societății, includerea numelui conducătorului va asigura transparența activității societății și va oferi un cadru previzibil și clar pentru terți, excluzând riscul de incertitudine privind reprezentarea legală a acesteia. </w:t>
            </w:r>
          </w:p>
        </w:tc>
        <w:tc>
          <w:tcPr>
            <w:tcW w:w="5505" w:type="dxa"/>
          </w:tcPr>
          <w:p w14:paraId="562CA03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[1] Se acceptă.</w:t>
            </w:r>
          </w:p>
          <w:p w14:paraId="090A97DA"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p w14:paraId="7670391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 xml:space="preserve">[2] Nu se acceptă. </w:t>
            </w:r>
          </w:p>
          <w:p w14:paraId="4A4A4E3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Din jurisdicțiile studiate (RO, FR, GER, EST, ITA), doar Germania cere numele membrilor organului administrativ/executiv pe scrisori și formulare de comandă. Celelalte patru (Italia, Estonia, România, Franța) se limitează la minimul Directivei (registru/număr, formă juridică, sediu, capital, lichidare) și nu cer administratorii. Cerința germană de a numi administratorii este „</w:t>
            </w:r>
            <w:proofErr w:type="spellStart"/>
            <w:r>
              <w:rPr>
                <w:rFonts w:ascii="Times New Roman" w:eastAsia="Times New Roman" w:hAnsi="Times New Roman" w:cs="Times New Roman"/>
              </w:rPr>
              <w:t>gold-plating</w:t>
            </w:r>
            <w:proofErr w:type="spellEnd"/>
            <w:r>
              <w:rPr>
                <w:rFonts w:ascii="Times New Roman" w:eastAsia="Times New Roman" w:hAnsi="Times New Roman" w:cs="Times New Roman"/>
              </w:rPr>
              <w:t>” izolat și costisitor (antetul trebuie actualizat la fiecare schimbare de administrator; risc de omisiune și încălcare). Vechea redacție a legii (încă în vigoare) într-adevăr cere menționarea administratorului, dar norma se respecta în practică doar excepțional. Acum, însă, norma va fi însoțită de sancțiune contravențională, astfel că fiecare cerință legală trebuie cântărită bine, pe fundalul unei practici curente de ignorare a cerinței privind administratorul.</w:t>
            </w:r>
          </w:p>
          <w:p w14:paraId="1FA681F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Terții pot afla cine este administratorul din RSPJ, care va fi disponibil publicului gratuit și online în redacția proiectului de lege.</w:t>
            </w:r>
          </w:p>
          <w:p w14:paraId="51D3FA14"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0E64ED9B" w14:textId="77777777">
        <w:tc>
          <w:tcPr>
            <w:tcW w:w="480" w:type="dxa"/>
          </w:tcPr>
          <w:p w14:paraId="0FEA326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69C178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4D401AF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2F567B8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 ce vizează art. 8</w:t>
            </w:r>
          </w:p>
          <w:p w14:paraId="23CD93B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Condiționarea dobândirii calității de membru al consiliului, al organului executiv, al comisiei de cenzori sau al comitetului de audit de data înregistrării persoanei în Registrul de stat poate crea un interval de incertitudine între momentul adoptării hotărârii </w:t>
            </w:r>
            <w:proofErr w:type="spellStart"/>
            <w:r>
              <w:rPr>
                <w:rFonts w:ascii="Times New Roman" w:eastAsia="Times New Roman" w:hAnsi="Times New Roman" w:cs="Times New Roman"/>
              </w:rPr>
              <w:t>sociętare</w:t>
            </w:r>
            <w:proofErr w:type="spellEnd"/>
            <w:r>
              <w:rPr>
                <w:rFonts w:ascii="Times New Roman" w:eastAsia="Times New Roman" w:hAnsi="Times New Roman" w:cs="Times New Roman"/>
              </w:rPr>
              <w:t xml:space="preserve"> și momentul efectuării înregistrării.</w:t>
            </w:r>
          </w:p>
          <w:p w14:paraId="20A839E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În această perioadă pot apărea litigii privind validitatea actelor semnate, capacitatea de reprezentare, opozabilitatea mandatului, răspunderea persoanei care acționează în numele societății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protecția terților de bună-credință. În cazul unor întârzieri administrative, al erorilor tehnice, al refuzurilor de înregistrare sau al nefuncționării platformelor electronice, societatea poate fi lipsită temporar de organ executiv funcțional, cu consecințe asupra raporturilor bancare, fiscale, contractuale, procesuale și de muncă. Din această perspectivă, proiectul ar trebui să reglementeze expres efectele actelor încheiate în intervalul dintre desemnarea persoanei și înregistrarea acesteia, inclusiv </w:t>
            </w:r>
            <w:r>
              <w:rPr>
                <w:rFonts w:ascii="Times New Roman" w:eastAsia="Times New Roman" w:hAnsi="Times New Roman" w:cs="Times New Roman"/>
              </w:rPr>
              <w:lastRenderedPageBreak/>
              <w:t>protecția terților de bună-credință și răspunderea pentru întârzierea nejustificată a înregistrării.</w:t>
            </w:r>
          </w:p>
        </w:tc>
        <w:tc>
          <w:tcPr>
            <w:tcW w:w="5505" w:type="dxa"/>
          </w:tcPr>
          <w:p w14:paraId="70C33B9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0CD32CA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Scopul instituirii caracterului constitutiv al dobândirii calității de persoană cu funcție de conducere se regăsește în special prin: </w:t>
            </w:r>
          </w:p>
          <w:p w14:paraId="1C64360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 nevoia de a asigura că RSPJ reflectă corect persoanele de conducere în funcțiune. Soluția proiectului este preferabilă soluției alternative: recunoașterea că mandatul începe la numire și instituirea de sancțiuni contravenționale pentru societatea care omite să depună cerere în termen de actualizare a datelor din RSPJ. Această alternativă ar genera reguli speciale pentru a rezolva opozabilitatea (mai exact dilema cu cine încheie persoanele terțe contractele: cu administratorul demis, dar indicat în RSPJ, sau cu administratorul numit, dar neindicat în RSPJ).</w:t>
            </w:r>
          </w:p>
          <w:p w14:paraId="4B79184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(b) nevoia ca ASP să verifice existența unor interdicții privitor la exercitarea funcției persoanei de conducere. Soluția alternativă ar fi începerea exercitării funcției și apoi invalidarea numirii prin refuz de înregistrare a ASP, ceea ce ridică probleme complexe de procedură și probleme de efecte juridice ale deciziilor luate de persoană în perioada dintre numire și refuzul înregistrări.</w:t>
            </w:r>
          </w:p>
          <w:p w14:paraId="7FA48FE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730F79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C974D1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Chiar și în prezent  administratorul își începe mandatul doar din momentul înregistrării în RSPJ. Prin urmare, proiectul de lege nu majorează și nici nu diminuează problema menționată.</w:t>
            </w:r>
          </w:p>
          <w:p w14:paraId="337496FD"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AD12D8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Reglementarea aspectelor menționate în aviz nu este necesară, deoarece norma devine simplă și clară: până la data înregistrării, persoana numită nu are împuterniciri organice (adică drepturi rezultate din deținerea funcției). În același timp, aceasta nu exclude acordarea de împuterniciri viitorului administrator, prin însăși hotărârea de numire, așa cum o permite deja art. 201 Cod civil.</w:t>
            </w:r>
          </w:p>
          <w:p w14:paraId="65CC175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1A83E25" w14:textId="77777777" w:rsidR="0072652F" w:rsidRDefault="0072652F">
            <w:pPr>
              <w:jc w:val="both"/>
              <w:rPr>
                <w:rFonts w:ascii="Times New Roman" w:eastAsia="Times New Roman" w:hAnsi="Times New Roman" w:cs="Times New Roman"/>
              </w:rPr>
            </w:pPr>
          </w:p>
        </w:tc>
      </w:tr>
      <w:tr w:rsidR="0072652F" w14:paraId="1FF027CF" w14:textId="77777777">
        <w:tc>
          <w:tcPr>
            <w:tcW w:w="480" w:type="dxa"/>
          </w:tcPr>
          <w:p w14:paraId="50FC16D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204430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88BCA4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15DC70F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4</w:t>
            </w:r>
            <w:r>
              <w:rPr>
                <w:rFonts w:ascii="Times New Roman" w:eastAsia="Times New Roman" w:hAnsi="Times New Roman" w:cs="Times New Roman"/>
              </w:rPr>
              <w:t xml:space="preserve"> </w:t>
            </w:r>
          </w:p>
          <w:p w14:paraId="44E7A0A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Pornind de la volumul și esența modificărilor propuse la art. 9, se impune expunerea acestui articol integral în redacție nouă. </w:t>
            </w:r>
          </w:p>
        </w:tc>
        <w:tc>
          <w:tcPr>
            <w:tcW w:w="5505" w:type="dxa"/>
          </w:tcPr>
          <w:p w14:paraId="050A30F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7304F32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Proiectul a fost ajustat. </w:t>
            </w:r>
          </w:p>
        </w:tc>
      </w:tr>
      <w:tr w:rsidR="0072652F" w14:paraId="540A4688" w14:textId="77777777">
        <w:tc>
          <w:tcPr>
            <w:tcW w:w="480" w:type="dxa"/>
          </w:tcPr>
          <w:p w14:paraId="5B33FC8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46C8A9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30D5C6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329ED960"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6</w:t>
            </w:r>
          </w:p>
          <w:p w14:paraId="1305F85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Vizează completarea art. 39 cu alin. (9¹), pentru mai multă claritate obligația de publicare a raportului prin registrul de stat al persoanelor juridice urmează a fi completată cu norme privind termenul de publicare, formatul documentului, procedura de depunere, obligația organului înregistrării de stat de a publica documentul și eventualele consecințe ale nepublicării (observație valabilă și pentru art. III pct. 4, ce vizează art. 9¹ propus spre completare la Legea nr. 135/2007.</w:t>
            </w:r>
          </w:p>
        </w:tc>
        <w:tc>
          <w:tcPr>
            <w:tcW w:w="5505" w:type="dxa"/>
          </w:tcPr>
          <w:p w14:paraId="67140DF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0769CFE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S-a precizat că depunerea raportului de stabilire a valorii de piață a raportului </w:t>
            </w:r>
            <w:proofErr w:type="spellStart"/>
            <w:r>
              <w:rPr>
                <w:rFonts w:ascii="Times New Roman" w:eastAsia="Times New Roman" w:hAnsi="Times New Roman" w:cs="Times New Roman"/>
              </w:rPr>
              <w:t>nebănesc</w:t>
            </w:r>
            <w:proofErr w:type="spellEnd"/>
            <w:r>
              <w:rPr>
                <w:rFonts w:ascii="Times New Roman" w:eastAsia="Times New Roman" w:hAnsi="Times New Roman" w:cs="Times New Roman"/>
              </w:rPr>
              <w:t xml:space="preserve"> nu este o obligație distinctă, ci este o condiție legală pentru înregistrarea acestui aport ca parte a capitalului social, fie la etapa constituirii societății, fie la etapa majorării capitalului. </w:t>
            </w:r>
          </w:p>
          <w:p w14:paraId="015A53E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Formatul documentului și procedura de depunere sunt guvernate deja de Legea nr. 220/2007 în redacția proiectului de lege, ca parte a reglementărilor privind constituirea persoanelor juridice sau modificarea actelor de constituire și a datelor din RSPJ. Termenul de publicare de către organul înregistrării de stat este stabilit în Legea nr. 220/2007 în redacția proiectului de lege.</w:t>
            </w:r>
          </w:p>
          <w:p w14:paraId="0150624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3D66C6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Proiectul de lege nu impune publicarea raportului similar pentru SRL, deoarece art. 43(3) Directiva o cere doar pentru SA. Respectiv, Legea nr. 135/2007 nu trebuie completată în această privință.</w:t>
            </w:r>
          </w:p>
        </w:tc>
      </w:tr>
      <w:tr w:rsidR="0072652F" w14:paraId="44A9BCA2" w14:textId="77777777">
        <w:tc>
          <w:tcPr>
            <w:tcW w:w="480" w:type="dxa"/>
          </w:tcPr>
          <w:p w14:paraId="2940B20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1FBC45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2A7FDB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21BE4E7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11</w:t>
            </w:r>
          </w:p>
          <w:p w14:paraId="1CD43EE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dispoziția de modificare a art. 67 alin. (10), cuvintele „în final” se vor exclude. Potrivit rigorilor de tehnică legislativă, completarea unui text sau alineat, fără a specifica ordinea în care se inserează cuvintele, semnifică, conform regulii generale de tehnică legislativă, completarea textului la sfârșitul acestuia. Prin urmare, în dispozițiile de modificare cuvintele „în final” sunt inutile. Observația dată este valabilă pentru toate cazurile similare din proiect. </w:t>
            </w:r>
          </w:p>
        </w:tc>
        <w:tc>
          <w:tcPr>
            <w:tcW w:w="5505" w:type="dxa"/>
          </w:tcPr>
          <w:p w14:paraId="157D4B4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2BDC13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7F1F7F6F" w14:textId="77777777">
        <w:tc>
          <w:tcPr>
            <w:tcW w:w="480" w:type="dxa"/>
          </w:tcPr>
          <w:p w14:paraId="3EB67D6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9F5AE2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12646C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14757CC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12</w:t>
            </w:r>
          </w:p>
          <w:p w14:paraId="7A40EB9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Ce modifică art. 72 alin. (5) lit. c), cuvântul „comise” se va substitui cu cuvântul „săvârșite”, întru ajustarea la prevederile Codului penal nr. 985/2002</w:t>
            </w:r>
          </w:p>
        </w:tc>
        <w:tc>
          <w:tcPr>
            <w:tcW w:w="5505" w:type="dxa"/>
          </w:tcPr>
          <w:p w14:paraId="279B892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14EA648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22041737" w14:textId="77777777">
        <w:tc>
          <w:tcPr>
            <w:tcW w:w="480" w:type="dxa"/>
          </w:tcPr>
          <w:p w14:paraId="7668B0D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955417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46BE04F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02D2610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15</w:t>
            </w:r>
          </w:p>
          <w:p w14:paraId="5BE16B2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Vizează completarea art. 92 alin. (6), se recomandă cuvântul „enunțurile” de substituit cu cuvântul „textul”. Totodată, textul propus la lit. a), după cuvintele „întocmirii raportului” se va completa cu cuvintele „de evaluare”, pentru precizia normei. </w:t>
            </w:r>
          </w:p>
        </w:tc>
        <w:tc>
          <w:tcPr>
            <w:tcW w:w="5505" w:type="dxa"/>
          </w:tcPr>
          <w:p w14:paraId="71D8FC61"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2C57091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4708E601" w14:textId="77777777">
        <w:tc>
          <w:tcPr>
            <w:tcW w:w="480" w:type="dxa"/>
          </w:tcPr>
          <w:p w14:paraId="11FB4F6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121112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1C9B177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4485" w:type="dxa"/>
          </w:tcPr>
          <w:p w14:paraId="04E059C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19</w:t>
            </w:r>
          </w:p>
          <w:p w14:paraId="2DE19C9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textul art. 97¹ propus spre suplinire, cuvintele „în completare” se vor exclude ca fiind excedente în cazul dat. </w:t>
            </w:r>
          </w:p>
        </w:tc>
        <w:tc>
          <w:tcPr>
            <w:tcW w:w="5505" w:type="dxa"/>
          </w:tcPr>
          <w:p w14:paraId="4341DAAC"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506ED5B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77CD62A2" w14:textId="77777777">
        <w:trPr>
          <w:trHeight w:val="240"/>
        </w:trPr>
        <w:tc>
          <w:tcPr>
            <w:tcW w:w="480" w:type="dxa"/>
          </w:tcPr>
          <w:p w14:paraId="3B6C941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F7B485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4793451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La art. II - Codul civil nr. 1107/2002</w:t>
            </w:r>
          </w:p>
        </w:tc>
      </w:tr>
      <w:tr w:rsidR="0072652F" w14:paraId="79F0615A" w14:textId="77777777">
        <w:tc>
          <w:tcPr>
            <w:tcW w:w="480" w:type="dxa"/>
          </w:tcPr>
          <w:p w14:paraId="1D4DC94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C3070E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968374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2E1D146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Pct. 1</w:t>
            </w:r>
          </w:p>
          <w:p w14:paraId="2CA39DA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Prin care se propune completarea Codului civil cu clauza de armonizare, se recomandă a fi exclus din proiectul legii. Or, având în vedere uzanțele de modificare a Codului civil nr. 1107/2002, ca urmare a armonizării acestuia cu legislația Uniunii Europene, clauza de armonizare se va include doar în proiectul actului normativ de modificare, nu și în redacția propriu-zisă a Codului civil. Totodată, având în vedere atribuțiile Centrului de Armonizare a Legislației în procesul de evaluare a compatibilității proiectelor de acte normative cu legislația Uniunii Europene, considerăm necesară solicitarea opiniei acestuia asupra oportunității includerii clauzei de armonizare în formula propusă (valabil și pentru art. IV pct. 1). </w:t>
            </w:r>
          </w:p>
        </w:tc>
        <w:tc>
          <w:tcPr>
            <w:tcW w:w="5505" w:type="dxa"/>
          </w:tcPr>
          <w:p w14:paraId="1BE34C3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Precizare.</w:t>
            </w:r>
            <w:r>
              <w:rPr>
                <w:rFonts w:ascii="Times New Roman" w:eastAsia="Times New Roman" w:hAnsi="Times New Roman" w:cs="Times New Roman"/>
                <w:b/>
                <w:bCs/>
              </w:rPr>
              <w:br/>
            </w:r>
            <w:r>
              <w:rPr>
                <w:rFonts w:ascii="Times New Roman" w:eastAsia="Times New Roman" w:hAnsi="Times New Roman" w:cs="Times New Roman"/>
              </w:rPr>
              <w:t>Prin avizul său nr. 31/02-126-6196 din 02.06.2026, Centrul de Armonizare a Legislației a sugerat includerea clauzei de armonizare în preambulul Codului civil.</w:t>
            </w:r>
          </w:p>
        </w:tc>
      </w:tr>
      <w:tr w:rsidR="0072652F" w14:paraId="40BDC05C" w14:textId="77777777">
        <w:tc>
          <w:tcPr>
            <w:tcW w:w="480" w:type="dxa"/>
          </w:tcPr>
          <w:p w14:paraId="15D3A57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37EC1A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0D9240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0548D9A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w:t>
            </w:r>
          </w:p>
          <w:p w14:paraId="56D351E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Ce vizează completarea art. 178 cu alin. (4)-(8), remarcăm că acestea sunt inspirate, în mare parte, din Legea nr. 220/2007 privind înregistrarea de stat a persoanelor juridice și a întreprinzătorilor individuali (în continuare - Legea nr. 220/2007). Astfel, art. 178 alin. (4) reia dispozițiile art. 16 alin. (4) din Legea nr. 220/2007, potrivit căruia: „(4) Modificările operate în actele de constituire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în datele înscrise în Registrul de stat au putere juridică </w:t>
            </w:r>
            <w:r>
              <w:rPr>
                <w:rFonts w:ascii="Times New Roman" w:eastAsia="Times New Roman" w:hAnsi="Times New Roman" w:cs="Times New Roman"/>
                <w:u w:val="single"/>
              </w:rPr>
              <w:t>de la data înregistrării lor la organul înregistrării de stat</w:t>
            </w:r>
            <w:r>
              <w:rPr>
                <w:rFonts w:ascii="Times New Roman" w:eastAsia="Times New Roman" w:hAnsi="Times New Roman" w:cs="Times New Roman"/>
              </w:rPr>
              <w:t xml:space="preserve">”. Totodată, alin. (4)-(7) stabilesc aspecte de procedură reglementate pe larg de Legea nr. 220/2007, motiv pentru care dublarea acestora în Codul </w:t>
            </w:r>
            <w:r>
              <w:rPr>
                <w:rFonts w:ascii="Times New Roman" w:eastAsia="Times New Roman" w:hAnsi="Times New Roman" w:cs="Times New Roman"/>
              </w:rPr>
              <w:lastRenderedPageBreak/>
              <w:t>civil este nejustificată și contrară normelor de tehnică legislativă.</w:t>
            </w:r>
          </w:p>
          <w:p w14:paraId="03F9200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[2] Mai mult, alin. (6) are o formulă prea largă și poate crea dificultăți practice pentru administratori. Textul obligă administratorul să se asigure că actul de constituire corespunde permanent „situației juridice reale”, inclusiv ca urmare a rămânerii definitive a hotărârilor judecătorești sau a modificării unor date în registrul de stat al persoanelor juridice. Problema este că nu se indică în ce termen trebuie făcută actualizarea, ce modificări impun actualizarea și dacă administratorul răspunde doar atunci când a greșit cu vinovăție. Astfel, norma poate crea risc de răspundere excesivă pentru simple necorelări formale. Se recomandă clarificarea termenului de actualizare și limitarea răspunderii administratorului la cazurile în care neactualizarea este efectuată cu vinovăție și a cauzat prejudicii. </w:t>
            </w:r>
          </w:p>
          <w:p w14:paraId="074D4BC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B602E50" w14:textId="06F4A9CD"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[3] Suplimentar, nu susținem completarea art. 178 cu alin. (8), întrucât norma propusă încălcă principiul neretroactivității legii civile, consacrat de art. 7 alin. (1) și (2) din Codul civil, conform căruia „(1) Legea civilă nu are caracter retroactiv. Ea nu modifică </w:t>
            </w:r>
            <w:r w:rsidR="00E912D4">
              <w:rPr>
                <w:rFonts w:ascii="Times New Roman" w:eastAsia="Times New Roman" w:hAnsi="Times New Roman" w:cs="Times New Roman"/>
              </w:rPr>
              <w:t>și</w:t>
            </w:r>
            <w:r>
              <w:rPr>
                <w:rFonts w:ascii="Times New Roman" w:eastAsia="Times New Roman" w:hAnsi="Times New Roman" w:cs="Times New Roman"/>
              </w:rPr>
              <w:t xml:space="preserve"> nici nu suprimă condițiile de constituire a unei </w:t>
            </w:r>
            <w:r w:rsidR="00E912D4">
              <w:rPr>
                <w:rFonts w:ascii="Times New Roman" w:eastAsia="Times New Roman" w:hAnsi="Times New Roman" w:cs="Times New Roman"/>
              </w:rPr>
              <w:t>situații</w:t>
            </w:r>
            <w:r>
              <w:rPr>
                <w:rFonts w:ascii="Times New Roman" w:eastAsia="Times New Roman" w:hAnsi="Times New Roman" w:cs="Times New Roman"/>
              </w:rPr>
              <w:t xml:space="preserve"> juridice constituite anterior, nici </w:t>
            </w:r>
            <w:r w:rsidR="00E912D4">
              <w:rPr>
                <w:rFonts w:ascii="Times New Roman" w:eastAsia="Times New Roman" w:hAnsi="Times New Roman" w:cs="Times New Roman"/>
              </w:rPr>
              <w:t>condițiile</w:t>
            </w:r>
            <w:r>
              <w:rPr>
                <w:rFonts w:ascii="Times New Roman" w:eastAsia="Times New Roman" w:hAnsi="Times New Roman" w:cs="Times New Roman"/>
              </w:rPr>
              <w:t xml:space="preserve"> de stingere a unei </w:t>
            </w:r>
            <w:r w:rsidR="00E912D4">
              <w:rPr>
                <w:rFonts w:ascii="Times New Roman" w:eastAsia="Times New Roman" w:hAnsi="Times New Roman" w:cs="Times New Roman"/>
              </w:rPr>
              <w:t>situații</w:t>
            </w:r>
            <w:r>
              <w:rPr>
                <w:rFonts w:ascii="Times New Roman" w:eastAsia="Times New Roman" w:hAnsi="Times New Roman" w:cs="Times New Roman"/>
              </w:rPr>
              <w:t xml:space="preserve"> juridice stinse anterior. De asemenea, legea nouă nu modifică </w:t>
            </w:r>
            <w:r w:rsidR="00E912D4">
              <w:rPr>
                <w:rFonts w:ascii="Times New Roman" w:eastAsia="Times New Roman" w:hAnsi="Times New Roman" w:cs="Times New Roman"/>
              </w:rPr>
              <w:t>și</w:t>
            </w:r>
            <w:r>
              <w:rPr>
                <w:rFonts w:ascii="Times New Roman" w:eastAsia="Times New Roman" w:hAnsi="Times New Roman" w:cs="Times New Roman"/>
              </w:rPr>
              <w:t xml:space="preserve"> nu </w:t>
            </w:r>
            <w:r w:rsidR="00E912D4">
              <w:rPr>
                <w:rFonts w:ascii="Times New Roman" w:eastAsia="Times New Roman" w:hAnsi="Times New Roman" w:cs="Times New Roman"/>
              </w:rPr>
              <w:t>desființează</w:t>
            </w:r>
            <w:r>
              <w:rPr>
                <w:rFonts w:ascii="Times New Roman" w:eastAsia="Times New Roman" w:hAnsi="Times New Roman" w:cs="Times New Roman"/>
              </w:rPr>
              <w:t xml:space="preserve"> efectele deja produse ale unei </w:t>
            </w:r>
            <w:r w:rsidR="00E912D4">
              <w:rPr>
                <w:rFonts w:ascii="Times New Roman" w:eastAsia="Times New Roman" w:hAnsi="Times New Roman" w:cs="Times New Roman"/>
              </w:rPr>
              <w:t>situații</w:t>
            </w:r>
            <w:r>
              <w:rPr>
                <w:rFonts w:ascii="Times New Roman" w:eastAsia="Times New Roman" w:hAnsi="Times New Roman" w:cs="Times New Roman"/>
              </w:rPr>
              <w:t xml:space="preserve"> juridice stinse sau în </w:t>
            </w:r>
            <w:r>
              <w:rPr>
                <w:rFonts w:ascii="Times New Roman" w:eastAsia="Times New Roman" w:hAnsi="Times New Roman" w:cs="Times New Roman"/>
              </w:rPr>
              <w:lastRenderedPageBreak/>
              <w:t xml:space="preserve">curs de realizare. (2) Legea nouă este aplicabilă </w:t>
            </w:r>
            <w:r w:rsidR="00E912D4">
              <w:rPr>
                <w:rFonts w:ascii="Times New Roman" w:eastAsia="Times New Roman" w:hAnsi="Times New Roman" w:cs="Times New Roman"/>
              </w:rPr>
              <w:t>situațiilor</w:t>
            </w:r>
            <w:r>
              <w:rPr>
                <w:rFonts w:ascii="Times New Roman" w:eastAsia="Times New Roman" w:hAnsi="Times New Roman" w:cs="Times New Roman"/>
              </w:rPr>
              <w:t xml:space="preserve"> juridice în curs de realizare la data intrării sale în vigoare”. În egală măsură, norma propusă aduce atingere principiului securității raporturilor juridice civile, prin faptul că instituie o sancțiune civilă cu efect retroactiv în privința actelor de constituire care ar contraveni dispozițiilor imperative ale legii noi, lipsindu-le de orice efect juridic. Această abordare lipsește destinatarii legii de un element esențial al statului de drept: predictibilitatea. În vederea respectării standardelor de tehnică legislativă, autorul proiectului trebuie să introducă o normă juridică tranzitorie, care să ofere persoanelor juridice termenul necesar pentru a-și revizui actele de constituire în conformitate cu procedurile legale aplicabile, asigurând astfel continuitatea circuitului civil și securitatea raporturilor juridice. </w:t>
            </w:r>
          </w:p>
        </w:tc>
        <w:tc>
          <w:tcPr>
            <w:tcW w:w="5505" w:type="dxa"/>
          </w:tcPr>
          <w:p w14:paraId="73DD8EE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15C0E81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Alin. (4) este necesar pentru a prezenta contextul următoarelor alineate. El într-adevăr corespunde principiului din art. 16 alin. (4) al </w:t>
            </w:r>
            <w:r>
              <w:rPr>
                <w:rFonts w:ascii="Times New Roman" w:eastAsia="Times New Roman" w:hAnsi="Times New Roman" w:cs="Times New Roman"/>
                <w:highlight w:val="white"/>
              </w:rPr>
              <w:t>Legii nr. 220/2007,</w:t>
            </w:r>
            <w:r>
              <w:rPr>
                <w:rFonts w:ascii="Times New Roman" w:eastAsia="Times New Roman" w:hAnsi="Times New Roman" w:cs="Times New Roman"/>
              </w:rPr>
              <w:t xml:space="preserve"> motiv pentru care în proiect la art. 178 alin (4) s-a adăugat completarea „în condițiile legii”.</w:t>
            </w:r>
          </w:p>
          <w:p w14:paraId="2494E45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F09C97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(4)-(7) își au locul în Codul civil, care cuprinde numeroase norme privind publicitatea și efectele publicității. Normele respective nu sunt norme de procedură administrativă, ele nu reglementează obligația administratorului în procedura de înregistrare de stat. El instituie o obligație de drept material (de drept civil), a administratorului față de societate și față de terții interesați.</w:t>
            </w:r>
          </w:p>
          <w:p w14:paraId="3582692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708699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[2] Termenul de asigurare că modificările la actul de constituire trebuie solicitate de la organul înregistrării de stat este prevăzut de art. 16 alin. (2) din Legea nr. 220/2007 și nu a fost repetat aici.</w:t>
            </w:r>
          </w:p>
          <w:p w14:paraId="48C87637" w14:textId="77777777" w:rsidR="0072652F" w:rsidRDefault="0072652F">
            <w:pPr>
              <w:jc w:val="both"/>
              <w:rPr>
                <w:rFonts w:ascii="Times New Roman" w:eastAsia="Times New Roman" w:hAnsi="Times New Roman" w:cs="Times New Roman"/>
              </w:rPr>
            </w:pPr>
          </w:p>
          <w:p w14:paraId="4D6BEF13" w14:textId="476D5ABD" w:rsidR="0072652F" w:rsidRDefault="00000000">
            <w:pPr>
              <w:jc w:val="both"/>
              <w:rPr>
                <w:rFonts w:ascii="Times New Roman" w:eastAsia="Times New Roman" w:hAnsi="Times New Roman" w:cs="Times New Roman"/>
              </w:rPr>
            </w:pPr>
            <w:r>
              <w:rPr>
                <w:rFonts w:ascii="Times New Roman" w:eastAsia="Times New Roman" w:hAnsi="Times New Roman" w:cs="Times New Roman"/>
              </w:rPr>
              <w:t>Art. 178 alin. (5) are drept</w:t>
            </w:r>
            <w:r w:rsidR="00E912D4">
              <w:rPr>
                <w:rFonts w:ascii="Times New Roman" w:eastAsia="Times New Roman" w:hAnsi="Times New Roman" w:cs="Times New Roman"/>
              </w:rPr>
              <w:t xml:space="preserve"> </w:t>
            </w:r>
            <w:r>
              <w:rPr>
                <w:rFonts w:ascii="Times New Roman" w:eastAsia="Times New Roman" w:hAnsi="Times New Roman" w:cs="Times New Roman"/>
              </w:rPr>
              <w:t xml:space="preserve">ca scop transpunerea art. 14 lit. (c), 15 alin. (1) și 27 din Directiva. În privința răspunderii rezultă clar că este una civilă, mai exact pentru repararea prejudiciului cauzat terțului. Pentru a aduce claritate privind regimul răspunderii, în alin. (5) s-a adăugat precizarea „ conform dispozițiilor legale privind răspunderea delictuală”.  Art. 1998 instituie regula că răspunderea delictuală se angajează pentru o faptă cu vinovăție. Regimul răspunderii delictuale este mult prea detaliat pentru a fi reluat în acest alineat. </w:t>
            </w:r>
          </w:p>
          <w:p w14:paraId="40BF969A" w14:textId="77777777" w:rsidR="0072652F" w:rsidRDefault="0072652F">
            <w:pPr>
              <w:jc w:val="both"/>
              <w:rPr>
                <w:rFonts w:ascii="Times New Roman" w:eastAsia="Times New Roman" w:hAnsi="Times New Roman" w:cs="Times New Roman"/>
              </w:rPr>
            </w:pPr>
          </w:p>
          <w:p w14:paraId="11015E9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[3] Alin. (8) nu este un caz retroactivitate a legii.</w:t>
            </w:r>
          </w:p>
          <w:p w14:paraId="7C96E673" w14:textId="77777777" w:rsidR="0072652F" w:rsidRDefault="0072652F">
            <w:pPr>
              <w:jc w:val="both"/>
              <w:rPr>
                <w:rFonts w:ascii="Times New Roman" w:eastAsia="Times New Roman" w:hAnsi="Times New Roman" w:cs="Times New Roman"/>
              </w:rPr>
            </w:pPr>
          </w:p>
          <w:p w14:paraId="4413C5EF" w14:textId="77777777" w:rsidR="0072652F" w:rsidRDefault="00000000">
            <w:pPr>
              <w:spacing w:after="240"/>
              <w:jc w:val="both"/>
              <w:rPr>
                <w:rFonts w:ascii="Times New Roman" w:eastAsia="Times New Roman" w:hAnsi="Times New Roman" w:cs="Times New Roman"/>
              </w:rPr>
            </w:pPr>
            <w:r>
              <w:rPr>
                <w:rFonts w:ascii="Times New Roman" w:eastAsia="Times New Roman" w:hAnsi="Times New Roman" w:cs="Times New Roman"/>
              </w:rPr>
              <w:t>Retroactivitatea semnifică faptul că noua lege dispune pentru trecut, la caz, că invalidează efectul din trecut a unei prevederi din actul de constituire, e.g. ar spune că prevederea din actul de constituire este nulă chiar data adoptării ei (deși ea întrunea condițiile legale la acea dată).</w:t>
            </w:r>
          </w:p>
          <w:p w14:paraId="459D3AE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Din contra, alin. (8) folosește un alt principiu de drept </w:t>
            </w:r>
            <w:proofErr w:type="spellStart"/>
            <w:r>
              <w:rPr>
                <w:rFonts w:ascii="Times New Roman" w:eastAsia="Times New Roman" w:hAnsi="Times New Roman" w:cs="Times New Roman"/>
              </w:rPr>
              <w:t>intertemporal</w:t>
            </w:r>
            <w:proofErr w:type="spellEnd"/>
            <w:r>
              <w:rPr>
                <w:rFonts w:ascii="Times New Roman" w:eastAsia="Times New Roman" w:hAnsi="Times New Roman" w:cs="Times New Roman"/>
              </w:rPr>
              <w:t xml:space="preserve"> – principiul aplicării imediate a legii civile noi. Instituirea unei „obligații” pentru toate persoanele juridice de a-și actualiza actul de constituire conform legii noi este iluzorie și nu răspunde la întrebarea ce se aplică – prevederea din actul de constituire sau legea nouă? Practica arată că persoanele juridice (cu excepția celor din domenii strict reglementate, cum ar fi cele din domeniul bancar și domeniul asigurărilor) nu manifestă rapiditate de a-și </w:t>
            </w:r>
            <w:r>
              <w:rPr>
                <w:rFonts w:ascii="Times New Roman" w:eastAsia="Times New Roman" w:hAnsi="Times New Roman" w:cs="Times New Roman"/>
              </w:rPr>
              <w:lastRenderedPageBreak/>
              <w:t>actualiza actele de constituire.  Anume aceasta este sursa de insecuritate juridică - membrii persoanei juridice, organele acesteia, și apoi instanțele de judecată, au dubii privind regulile pe care trebuie să le aplice după data intrării în vigoare a unei legi de modificare: prevederile vechi ale actului de constituire sau prevederile noi, contrare, ale legii noi</w:t>
            </w:r>
          </w:p>
          <w:p w14:paraId="3BE9FBB9" w14:textId="77777777" w:rsidR="0072652F" w:rsidRDefault="0072652F">
            <w:pPr>
              <w:jc w:val="both"/>
              <w:rPr>
                <w:rFonts w:ascii="Times New Roman" w:eastAsia="Times New Roman" w:hAnsi="Times New Roman" w:cs="Times New Roman"/>
              </w:rPr>
            </w:pPr>
          </w:p>
          <w:p w14:paraId="1A6AC47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În absența alin. (8) noile legi corporative nu vor deveni eficiente imediat, ci vor depinde de bunăvoința persoanelor juridice de a-și ajusta actele de constituire.</w:t>
            </w:r>
          </w:p>
          <w:p w14:paraId="0CFF13E5" w14:textId="77777777" w:rsidR="0072652F" w:rsidRDefault="0072652F">
            <w:pPr>
              <w:jc w:val="both"/>
              <w:rPr>
                <w:rFonts w:ascii="Times New Roman" w:eastAsia="Times New Roman" w:hAnsi="Times New Roman" w:cs="Times New Roman"/>
              </w:rPr>
            </w:pPr>
          </w:p>
          <w:p w14:paraId="30AB00CC" w14:textId="0067C1C0"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Principiul aplicării imediate a legii noi deja rezultă din art. 7 alin. (2) Cod civil, citat de Ministerul Justiției Republicii Moldova. În materie de acte juridice (actele de constituire încadrându-se în această categorie), acesta este deja enunțat la art. 7 alin. (4) propoziția a doua: „(5) [...] De asemenea, dacă legea nouă nu prevede altfel, clauzele unui act juridic încheiat anterior intrării în vigoare a legii noi contrare </w:t>
            </w:r>
            <w:r w:rsidR="00E912D4">
              <w:rPr>
                <w:rFonts w:ascii="Times New Roman" w:eastAsia="Times New Roman" w:hAnsi="Times New Roman" w:cs="Times New Roman"/>
              </w:rPr>
              <w:t>dispozițiilor</w:t>
            </w:r>
            <w:r>
              <w:rPr>
                <w:rFonts w:ascii="Times New Roman" w:eastAsia="Times New Roman" w:hAnsi="Times New Roman" w:cs="Times New Roman"/>
              </w:rPr>
              <w:t xml:space="preserve"> ei imperative </w:t>
            </w:r>
            <w:r w:rsidR="00E912D4">
              <w:rPr>
                <w:rFonts w:ascii="Times New Roman" w:eastAsia="Times New Roman" w:hAnsi="Times New Roman" w:cs="Times New Roman"/>
                <w:b/>
                <w:bCs/>
                <w:u w:val="single"/>
              </w:rPr>
              <w:t>sânt</w:t>
            </w:r>
            <w:r>
              <w:rPr>
                <w:rFonts w:ascii="Times New Roman" w:eastAsia="Times New Roman" w:hAnsi="Times New Roman" w:cs="Times New Roman"/>
                <w:b/>
                <w:bCs/>
                <w:u w:val="single"/>
              </w:rPr>
              <w:t>, de la această dată, lipsite de orice efect juridic.</w:t>
            </w:r>
            <w:r>
              <w:rPr>
                <w:rFonts w:ascii="Times New Roman" w:eastAsia="Times New Roman" w:hAnsi="Times New Roman" w:cs="Times New Roman"/>
              </w:rPr>
              <w:t>”</w:t>
            </w:r>
          </w:p>
          <w:p w14:paraId="2B4A6C53" w14:textId="77777777" w:rsidR="0072652F" w:rsidRDefault="0072652F">
            <w:pPr>
              <w:jc w:val="both"/>
              <w:rPr>
                <w:rFonts w:ascii="Times New Roman" w:eastAsia="Times New Roman" w:hAnsi="Times New Roman" w:cs="Times New Roman"/>
              </w:rPr>
            </w:pPr>
          </w:p>
          <w:p w14:paraId="612A7A4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Parlamentul a folosit anterior principiul aplicării imediate a legii noi în materie de persoane juridice. De exemplu, Legea nr. 187/2022 cu privire la condominiu, art. 86 alin. (1): „De la data intrării în vigoare a prezentei legi, asociațiile de coproprietari în condominiu constituite până la intrarea în vigoare a prezentei legi se consideră asociații ale proprietarilor din condominiu și se supun regimului prevăzut de prezenta lege. Statutele sau alte acte de constituire, precum și regulamentele acestor asociații </w:t>
            </w:r>
            <w:r>
              <w:rPr>
                <w:rFonts w:ascii="Times New Roman" w:eastAsia="Times New Roman" w:hAnsi="Times New Roman" w:cs="Times New Roman"/>
                <w:b/>
                <w:bCs/>
                <w:u w:val="single"/>
              </w:rPr>
              <w:t>se aplică în măsura în care nu contravin prezentei legi</w:t>
            </w:r>
            <w:r>
              <w:rPr>
                <w:rFonts w:ascii="Times New Roman" w:eastAsia="Times New Roman" w:hAnsi="Times New Roman" w:cs="Times New Roman"/>
              </w:rPr>
              <w:t>.”</w:t>
            </w:r>
          </w:p>
          <w:p w14:paraId="35A2C71F" w14:textId="77777777" w:rsidR="0072652F" w:rsidRDefault="0072652F">
            <w:pPr>
              <w:jc w:val="both"/>
              <w:rPr>
                <w:rFonts w:ascii="Times New Roman" w:eastAsia="Times New Roman" w:hAnsi="Times New Roman" w:cs="Times New Roman"/>
              </w:rPr>
            </w:pPr>
          </w:p>
        </w:tc>
      </w:tr>
      <w:tr w:rsidR="0072652F" w14:paraId="5B4578A9" w14:textId="77777777">
        <w:tc>
          <w:tcPr>
            <w:tcW w:w="480" w:type="dxa"/>
          </w:tcPr>
          <w:p w14:paraId="4A8969E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4B1A78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E73C3B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3A2965F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4, ce modifică art. 180</w:t>
            </w:r>
          </w:p>
          <w:p w14:paraId="61392D5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Modificarea propusă în enunțul al doilea de la alin. (2) nu este suficient de clară, ceea ce constituie o încălcarea a principiului coerenței normei juridice, consacrat de art. 3 alin. (1) lit. d) din Legea nr. 100/2017 cu privire la actele normative. Astfel, fraza „Cu toate acestea, în ceea ce privește actele juridice încheiate înainte de la a șaisprezecea zi din momentul publicării”, necesita o formulare mai clară și uzuală folosită în actele normative. Spre exemplu, cuvintele „a șaisprezecea zi” pot fi substituite cu textul „după expirarea termenului de 15 zile”, întrucât stabilește un termen determinat, ușor de calculat și fără echivoc.</w:t>
            </w:r>
          </w:p>
          <w:p w14:paraId="698C309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Cu referire la redacția propusă la alin. (4), se atestă o altă problemă, ce vizează prevalența informațiilor publicate prin registru în caz de neconcordanță cu documentele existente în dosarul de evidență. O asemenea regulă poate proteja terții de bună-credință, dar poate produce prejudicii grave dacă neconcordanța rezultă dintr-o eroare a autorității publice, o eroare tehnică a sistemului informațional sau o prelucrare incorectă a datelor. În aceste situații, persoana juridică afectată trebuie să dispună de mecanisme rapide și efective de rectificare, notificare, suspendare a efectelor informației eronate și reparare a prejudiciului. În lipsa unor asemenea garanții, registrul poate deveni nu doar instrument de publicitate, ci și sursă de insecuritate juridică. </w:t>
            </w:r>
          </w:p>
        </w:tc>
        <w:tc>
          <w:tcPr>
            <w:tcW w:w="5505" w:type="dxa"/>
          </w:tcPr>
          <w:p w14:paraId="4230616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55166D4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Se acceptă. Proiectul a fost ajustat cu formula „înainte de expirarea termenului de 15 zile”, cu același efect că terții de bună-credință sunt protejați 15 zile pline ce urmează data publicării.</w:t>
            </w:r>
          </w:p>
          <w:p w14:paraId="586A74F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714ED9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Problema ridicată este legitimă, dar nu este menirea alin. (4) să rezolve modul în care organul înregistrării de stat rectifică RSPJ. Aceste chestiuni sunt reglementare de Legea nr. 220/2007 și Codul administrativ. În primul rând, întrucât ținerea registrului este o activitate administrativă sub controlul ASP, el poate oricând să actualizeze informația online, după caz, adoptând actele administrative necesare, conform art. 131 din Codul administrativ (a se vedea, în special, art. 14 alin. (2) din Legea nr. 220/2007). În al doilea rând, însăși persoana juridică are remedii, și anume ea poate sesiza ASP conform art. 14 alin. (2) din Legea nr. 220/2007 și art. 9 din Codul administrativ, iar ASP, în calitate de autoritate publică, este obligată, după caz, fie să emită un act administrativ individual, fie să desfășoare o operațiune administrativă (e.g. actualizarea bazei de date). Aceste aspecte sunt deja reglementate și nu necesită o reglementare nouă sau specială prin proiectul de lege.</w:t>
            </w:r>
          </w:p>
          <w:p w14:paraId="48EC4C05"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C2D273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fond, art. 16(4) al Directivei cere să existe norma materială care rezolvă contradicțiile dintre actele din dosar și registrul publicat.</w:t>
            </w:r>
          </w:p>
        </w:tc>
      </w:tr>
      <w:tr w:rsidR="0072652F" w14:paraId="75583B85" w14:textId="77777777">
        <w:tc>
          <w:tcPr>
            <w:tcW w:w="480" w:type="dxa"/>
          </w:tcPr>
          <w:p w14:paraId="1332E0E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1EA10C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B9156A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01B5909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6, modificarea art. 183 alin. (2)</w:t>
            </w:r>
          </w:p>
          <w:p w14:paraId="2D78E7D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Substituirea textului „sunt opozabile terților” cu textul „produc efecte juridice”, se consideră incoerentă din punct de vedere juridic, întrucât opozabilitatea față de terți și producerea efectelor juridice nu sunt noțiuni identice. Astfel, această substituire poate crea incertitudine privind momentul de la care actele persoanei juridice produc efecte între membri, față de persoana juridică și față de terți. Se recomandă păstrarea noțiunii de opozabilitate sau explicarea expresă a efectelor vizate. Observația dată este valabilă și pentru art. III pct. 8 ce vizează modificarea art. 60 alin. (2) din Legea nr. 135/2007 privind societățile cu răspundere limitată. </w:t>
            </w:r>
          </w:p>
        </w:tc>
        <w:tc>
          <w:tcPr>
            <w:tcW w:w="5505" w:type="dxa"/>
          </w:tcPr>
          <w:p w14:paraId="12630E0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Precizare.</w:t>
            </w:r>
          </w:p>
          <w:p w14:paraId="7D1E1B1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Noțiunile într-adevăr sunt diferite și modificarea este intenționată.</w:t>
            </w:r>
          </w:p>
          <w:p w14:paraId="07029841" w14:textId="3786018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La moment alin. (2) prevede „(2) Stabilirea </w:t>
            </w:r>
            <w:r w:rsidR="00E912D4">
              <w:rPr>
                <w:rFonts w:ascii="Times New Roman" w:eastAsia="Times New Roman" w:hAnsi="Times New Roman" w:cs="Times New Roman"/>
              </w:rPr>
              <w:t>și</w:t>
            </w:r>
            <w:r>
              <w:rPr>
                <w:rFonts w:ascii="Times New Roman" w:eastAsia="Times New Roman" w:hAnsi="Times New Roman" w:cs="Times New Roman"/>
              </w:rPr>
              <w:t xml:space="preserve"> schimbarea sediului </w:t>
            </w:r>
            <w:r w:rsidR="00E912D4">
              <w:rPr>
                <w:rFonts w:ascii="Times New Roman" w:eastAsia="Times New Roman" w:hAnsi="Times New Roman" w:cs="Times New Roman"/>
                <w:b/>
                <w:bCs/>
                <w:i/>
                <w:iCs/>
              </w:rPr>
              <w:t>sânt</w:t>
            </w:r>
            <w:r>
              <w:rPr>
                <w:rFonts w:ascii="Times New Roman" w:eastAsia="Times New Roman" w:hAnsi="Times New Roman" w:cs="Times New Roman"/>
                <w:b/>
                <w:bCs/>
                <w:i/>
                <w:iCs/>
              </w:rPr>
              <w:t xml:space="preserve"> opozabile </w:t>
            </w:r>
            <w:r w:rsidR="00E912D4">
              <w:rPr>
                <w:rFonts w:ascii="Times New Roman" w:eastAsia="Times New Roman" w:hAnsi="Times New Roman" w:cs="Times New Roman"/>
                <w:b/>
                <w:bCs/>
                <w:i/>
                <w:iCs/>
              </w:rPr>
              <w:t>terților</w:t>
            </w:r>
            <w:r>
              <w:rPr>
                <w:rFonts w:ascii="Times New Roman" w:eastAsia="Times New Roman" w:hAnsi="Times New Roman" w:cs="Times New Roman"/>
                <w:b/>
                <w:bCs/>
                <w:i/>
                <w:iCs/>
              </w:rPr>
              <w:t xml:space="preserve"> </w:t>
            </w:r>
            <w:r>
              <w:rPr>
                <w:rFonts w:ascii="Times New Roman" w:eastAsia="Times New Roman" w:hAnsi="Times New Roman" w:cs="Times New Roman"/>
              </w:rPr>
              <w:t>din momentul înregistrării de stat.”  Aceasta comunică o idee greșită –  că sediul persoanei juridice deja s-a schimbat, însă schimbarea nu este opozabilă terților.</w:t>
            </w:r>
          </w:p>
          <w:p w14:paraId="0997A6F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9EE2CA7" w14:textId="25E233FB"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Această idee contravine caracterului constitutiv al modificărilor la actul de constituire și de modificărilor datelor din RSPJ (art. 16 alin. (4) din Legea nr. 220/2007: „(4) Modificările operate în actele de constituire </w:t>
            </w:r>
            <w:r w:rsidR="00E912D4">
              <w:rPr>
                <w:rFonts w:ascii="Times New Roman" w:eastAsia="Times New Roman" w:hAnsi="Times New Roman" w:cs="Times New Roman"/>
              </w:rPr>
              <w:t>și</w:t>
            </w:r>
            <w:r>
              <w:rPr>
                <w:rFonts w:ascii="Times New Roman" w:eastAsia="Times New Roman" w:hAnsi="Times New Roman" w:cs="Times New Roman"/>
              </w:rPr>
              <w:t xml:space="preserve"> în datele înscrise în Registrul de stat au putere juridică de la data înregistrării lor la organul înregistrării de stat.”).  </w:t>
            </w:r>
          </w:p>
          <w:p w14:paraId="6133B5FE"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7D9BB6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Aceasta reflectă ideea că sediul nu este locul unde se află organul executiv (criteriul de fapt), ci este adresa înregistrată în RSPJ și înscrisă în actul de constituire (criteriul formal). Criteriul formal rezultă din chiar art. 183 alin. (1): „(1) Persoana juridică are un sediu, indicat în actele de constituire.”. </w:t>
            </w:r>
          </w:p>
          <w:p w14:paraId="16F60D25"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86311E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Directiva 2017/1132 obligă statele membre UE să instituie mecanisme eficiente pentru persoanele juridice să publice rapid schimbarea oricăror date înregistrate în registrele de publicitate. Cel mai eficient mod (care, totodată, evită aplicarea de sancțiuni față de persoana juridică) este cel de a prevedea efectul constitutiv al înregistrării în registru privitor la sediu.</w:t>
            </w:r>
          </w:p>
          <w:p w14:paraId="0BB3372C"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09FBC051" w14:textId="77777777">
        <w:tc>
          <w:tcPr>
            <w:tcW w:w="480" w:type="dxa"/>
          </w:tcPr>
          <w:p w14:paraId="54F0416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00A997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1AF0E4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43C47B29" w14:textId="7B4E4854"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7, completarea art. 202 cu alin. (10),</w:t>
            </w:r>
            <w:r>
              <w:rPr>
                <w:rFonts w:ascii="Times New Roman" w:eastAsia="Times New Roman" w:hAnsi="Times New Roman" w:cs="Times New Roman"/>
              </w:rPr>
              <w:t xml:space="preserve"> conform căruia „(10) Dispozițiile prezentului articol nu aduc atingere </w:t>
            </w:r>
            <w:r>
              <w:rPr>
                <w:rFonts w:ascii="Times New Roman" w:eastAsia="Times New Roman" w:hAnsi="Times New Roman" w:cs="Times New Roman"/>
              </w:rPr>
              <w:lastRenderedPageBreak/>
              <w:t xml:space="preserve">dispozițiilor Codului muncii privind contestarea hotărârilor persoanei juridice de către salariați.”, nu se susține, întrucât legislația civilă are prioritate față de legislația muncii, care se aplică în mod subsidiar. În viziunea noastră, modificarea propusă este improprie și contrară dispozițiilor imperative ale Codului civil și ale legilor speciale în materia societăților comerciale. Astfel, conform art. 177 alin. (6) din Codul civil: „(6) Raporturilor juridice dintre persoana juridică și administrator li se aplică dispozițiile legale cu privire la </w:t>
            </w:r>
            <w:r>
              <w:rPr>
                <w:rFonts w:ascii="Times New Roman" w:eastAsia="Times New Roman" w:hAnsi="Times New Roman" w:cs="Times New Roman"/>
                <w:u w:val="single"/>
              </w:rPr>
              <w:t>reprezentare și mandat</w:t>
            </w:r>
            <w:r>
              <w:rPr>
                <w:rFonts w:ascii="Times New Roman" w:eastAsia="Times New Roman" w:hAnsi="Times New Roman" w:cs="Times New Roman"/>
              </w:rPr>
              <w:t xml:space="preserve"> dacă legea sau actul de constituire nu prevede altfel”. În aceeași ordine de idei, art. 69 alin. (3) din Legea nr. 135/2007 privind societățile cu răspundere limitată prevede că: „(3) Raporturilor juridice dintre administrator și societate li se aplică dispozițiile legale cu privire la </w:t>
            </w:r>
            <w:r>
              <w:rPr>
                <w:rFonts w:ascii="Times New Roman" w:eastAsia="Times New Roman" w:hAnsi="Times New Roman" w:cs="Times New Roman"/>
                <w:u w:val="single"/>
              </w:rPr>
              <w:t>reprezentare și mandat</w:t>
            </w:r>
            <w:r>
              <w:rPr>
                <w:rFonts w:ascii="Times New Roman" w:eastAsia="Times New Roman" w:hAnsi="Times New Roman" w:cs="Times New Roman"/>
              </w:rPr>
              <w:t xml:space="preserve">, dacă legea sau statutul nu prevede altfel”. De asemenea, societățile pe acțiuni sunt guvernate de Legea nr. 1134/1997 privind societățile pe acțiuni, alte acte legislative </w:t>
            </w:r>
            <w:r w:rsidR="00E912D4">
              <w:rPr>
                <w:rFonts w:ascii="Times New Roman" w:eastAsia="Times New Roman" w:hAnsi="Times New Roman" w:cs="Times New Roman"/>
              </w:rPr>
              <w:t>și</w:t>
            </w:r>
            <w:r>
              <w:rPr>
                <w:rFonts w:ascii="Times New Roman" w:eastAsia="Times New Roman" w:hAnsi="Times New Roman" w:cs="Times New Roman"/>
              </w:rPr>
              <w:t xml:space="preserve"> statutul societății (a se vedea art. 3 alin. (1) din Legea nr. 1134/1997). Prin urmare, prevederile acestei din urmă legi se completează cu dispozițiile Codului civil, inclusiv în partea ce ține de eliberarea din funcție a administratorului societății. Mai mult, capitolul II secțiunea 1 § 2 „</w:t>
            </w:r>
            <w:r w:rsidR="00E912D4">
              <w:rPr>
                <w:rFonts w:ascii="Times New Roman" w:eastAsia="Times New Roman" w:hAnsi="Times New Roman" w:cs="Times New Roman"/>
              </w:rPr>
              <w:t>Dispoziții</w:t>
            </w:r>
            <w:r>
              <w:rPr>
                <w:rFonts w:ascii="Times New Roman" w:eastAsia="Times New Roman" w:hAnsi="Times New Roman" w:cs="Times New Roman"/>
              </w:rPr>
              <w:t xml:space="preserve"> comune privind funcționarea persoanelor juridice de drept privat” din Cartea întâi a Codului civil a fost elaborat în baza actelor </w:t>
            </w:r>
            <w:r>
              <w:rPr>
                <w:rFonts w:ascii="Times New Roman" w:eastAsia="Times New Roman" w:hAnsi="Times New Roman" w:cs="Times New Roman"/>
              </w:rPr>
              <w:lastRenderedPageBreak/>
              <w:t xml:space="preserve">normative europene cu incidență în domeniu: Legea engleză privind companiile (2006) (UK </w:t>
            </w:r>
            <w:proofErr w:type="spellStart"/>
            <w:r>
              <w:rPr>
                <w:rFonts w:ascii="Times New Roman" w:eastAsia="Times New Roman" w:hAnsi="Times New Roman" w:cs="Times New Roman"/>
              </w:rPr>
              <w:t>Companies</w:t>
            </w:r>
            <w:proofErr w:type="spellEnd"/>
            <w:r>
              <w:rPr>
                <w:rFonts w:ascii="Times New Roman" w:eastAsia="Times New Roman" w:hAnsi="Times New Roman" w:cs="Times New Roman"/>
              </w:rPr>
              <w:t xml:space="preserve"> Act), Legea germană privind </w:t>
            </w:r>
            <w:r w:rsidR="00E912D4">
              <w:rPr>
                <w:rFonts w:ascii="Times New Roman" w:eastAsia="Times New Roman" w:hAnsi="Times New Roman" w:cs="Times New Roman"/>
              </w:rPr>
              <w:t>societățile</w:t>
            </w:r>
            <w:r>
              <w:rPr>
                <w:rFonts w:ascii="Times New Roman" w:eastAsia="Times New Roman" w:hAnsi="Times New Roman" w:cs="Times New Roman"/>
              </w:rPr>
              <w:t xml:space="preserve"> pe </w:t>
            </w:r>
            <w:r w:rsidR="00E912D4">
              <w:rPr>
                <w:rFonts w:ascii="Times New Roman" w:eastAsia="Times New Roman" w:hAnsi="Times New Roman" w:cs="Times New Roman"/>
              </w:rPr>
              <w:t>acțiuni</w:t>
            </w:r>
            <w:r>
              <w:rPr>
                <w:rFonts w:ascii="Times New Roman" w:eastAsia="Times New Roman" w:hAnsi="Times New Roman" w:cs="Times New Roman"/>
              </w:rPr>
              <w:t xml:space="preserve"> și Legea română a </w:t>
            </w:r>
            <w:r w:rsidR="00E912D4">
              <w:rPr>
                <w:rFonts w:ascii="Times New Roman" w:eastAsia="Times New Roman" w:hAnsi="Times New Roman" w:cs="Times New Roman"/>
              </w:rPr>
              <w:t>societăților</w:t>
            </w:r>
            <w:r>
              <w:rPr>
                <w:rFonts w:ascii="Times New Roman" w:eastAsia="Times New Roman" w:hAnsi="Times New Roman" w:cs="Times New Roman"/>
              </w:rPr>
              <w:t xml:space="preserve"> nr. 31/1990. Așadar, acesta corespunde standardelor și soluțiilor consacrate în dreptul societar european comparat, reflectând o abordare armonizată a reglementării persoanelor juridice de drept privat. </w:t>
            </w:r>
          </w:p>
        </w:tc>
        <w:tc>
          <w:tcPr>
            <w:tcW w:w="5505" w:type="dxa"/>
          </w:tcPr>
          <w:p w14:paraId="63B5AFE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p>
          <w:p w14:paraId="4C2A333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29F6EE75" w14:textId="77777777">
        <w:tc>
          <w:tcPr>
            <w:tcW w:w="480" w:type="dxa"/>
          </w:tcPr>
          <w:p w14:paraId="1A0D962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6462EE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1D81705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09BF841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8, modificarea art. 204 alin. (6)</w:t>
            </w:r>
          </w:p>
          <w:p w14:paraId="133B089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Nu se susține, deoarece aceasta contravine principiului proporționalității, ca exigență a principiului constituționalității activității de legiferare, consacrat de art. 3 alin. (1) lit. a) din Legea nr. 100/2017 cu privire la actele normative. De asemenea, art. 54 alin. (4) din Constituție statuează că: „(4) Restrângerea trebuie să fie proporțională cu situația care a determinat-o și nu poate atinge existența dreptului sau a libertății”. </w:t>
            </w:r>
          </w:p>
          <w:p w14:paraId="5AC5AFC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Fuziunea (prin absorbție sau contopire) și dezmembrarea (prin divizare sau separare) reprezintă forme de reorganizare care presupun existența concomitentă ori constituirea mai multor entități juridice. Pe de altă parte, transformarea este acea formă de reorganizare în care o persoană juridică își schimbă forma juridică de organizare. În consecință, riscul schimbării scopului unei persoane juridice nu este inerent tuturor formelor de reorganizare. Dacă obiectivul proiectului este de a preveni transformarea indirectă a unei persoane juridice cu scop lucrativ într-una cu scop nelucrativ sau </w:t>
            </w:r>
            <w:r>
              <w:rPr>
                <w:rFonts w:ascii="Times New Roman" w:eastAsia="Times New Roman" w:hAnsi="Times New Roman" w:cs="Times New Roman"/>
              </w:rPr>
              <w:lastRenderedPageBreak/>
              <w:t xml:space="preserve">invers, această situație ar trebui reglementată punctual, fie în materia transformării, fie prin instituirea unor interdicții exprese pentru anumite forme de fuziune între persoane juridice cu scopuri diferite. În schimb, aplicarea unei interdicții generale tuturor cazurilor de fuziune și dezmembrare, fără a ține cont de particularitățile acestora, ar conduce la blocarea unor operațiuni legitime din perspectivă juridică, economică și socială. În speță, problema invocată de autorul proiectului în cuprinsul notei de fundamentare vizează posibila reorganizare a unui partid politic într-o societate cu răspundere limitată. În aceste condiții, este oportună modificarea Legii nr. 294/2007 privind partidele politice și nu intervenția la art. 204 alin. (6) din Codul civil. </w:t>
            </w:r>
          </w:p>
          <w:p w14:paraId="6CF5F34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Observația dată este valabilă și pentru pct. 11, ce vizează completarea art. 222 cu alin. (3). </w:t>
            </w:r>
          </w:p>
        </w:tc>
        <w:tc>
          <w:tcPr>
            <w:tcW w:w="5505" w:type="dxa"/>
          </w:tcPr>
          <w:p w14:paraId="32821620"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Precizare.</w:t>
            </w:r>
          </w:p>
          <w:p w14:paraId="439799E0" w14:textId="10D8474E"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Deoarece materia </w:t>
            </w:r>
            <w:r w:rsidR="00E912D4">
              <w:rPr>
                <w:rFonts w:ascii="Times New Roman" w:eastAsia="Times New Roman" w:hAnsi="Times New Roman" w:cs="Times New Roman"/>
              </w:rPr>
              <w:t>excedă</w:t>
            </w:r>
            <w:r>
              <w:rPr>
                <w:rFonts w:ascii="Times New Roman" w:eastAsia="Times New Roman" w:hAnsi="Times New Roman" w:cs="Times New Roman"/>
              </w:rPr>
              <w:t xml:space="preserve"> transpunerii Directivei și necesită intervenția punctuală, sub supravegherea Ministerului Justiției, la o multitudine de legi speciale, ea a fost exclusă din acest proiect de lege.</w:t>
            </w:r>
          </w:p>
        </w:tc>
      </w:tr>
      <w:tr w:rsidR="0072652F" w14:paraId="4B04CE5C" w14:textId="77777777">
        <w:tc>
          <w:tcPr>
            <w:tcW w:w="480" w:type="dxa"/>
          </w:tcPr>
          <w:p w14:paraId="0126CE4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8C54AF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3D9F49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6B8A459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12</w:t>
            </w:r>
          </w:p>
          <w:p w14:paraId="329D674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Redacția propusă a art. 228 urmează a fi clarificată sub aspect procedural. </w:t>
            </w:r>
          </w:p>
          <w:p w14:paraId="5B91226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Astfel, formula „</w:t>
            </w:r>
            <w:r>
              <w:rPr>
                <w:rFonts w:ascii="Times New Roman" w:eastAsia="Times New Roman" w:hAnsi="Times New Roman" w:cs="Times New Roman"/>
                <w:i/>
                <w:iCs/>
              </w:rPr>
              <w:t>să solicite efectuarea publicității în registrul de stat al persoanelor juridice, în condițiile legii</w:t>
            </w:r>
            <w:r>
              <w:rPr>
                <w:rFonts w:ascii="Times New Roman" w:eastAsia="Times New Roman" w:hAnsi="Times New Roman" w:cs="Times New Roman"/>
              </w:rPr>
              <w:t xml:space="preserve">” este generală și nu indică termenul în care lichidatorul trebuie să depună solicitarea, ce documente se anexează și de când începe să curgă termenul pentru înaintarea creanțelor. </w:t>
            </w:r>
          </w:p>
          <w:p w14:paraId="69E2C2E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B5C1C2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De asemenea, textul prevede termenul de 15 zile pentru informarea creditorilor cunoscuți, dar nu precizează forma </w:t>
            </w:r>
            <w:r>
              <w:rPr>
                <w:rFonts w:ascii="Times New Roman" w:eastAsia="Times New Roman" w:hAnsi="Times New Roman" w:cs="Times New Roman"/>
              </w:rPr>
              <w:lastRenderedPageBreak/>
              <w:t xml:space="preserve">informării și dovada transmiterii notificării. Se recomandă clarificarea termenului de solicitare a publicității, a momentului de la care curge termenul pentru creanțe și a modului de notificare a creditorilor cunoscuți. </w:t>
            </w:r>
          </w:p>
        </w:tc>
        <w:tc>
          <w:tcPr>
            <w:tcW w:w="5505" w:type="dxa"/>
          </w:tcPr>
          <w:p w14:paraId="57B167F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4BEDB64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Procedura și termenul sunt deja stabilite de Legea nr. 220/2007, motiv pentru care s-a făcut doar precizarea „în condițiile legii”. Așadar, conform art. art. 16 alin. (2) din Legea nr. 220/2007, „Persoana juridică este obligată să depună documentele pentru înregistrarea modificărilor la organul înregistrării de stat în termen de 30 de zile de la data adoptării hotărârii de modificare a actelor de constituire sau a datelor înscrise în Registrul de stat, cu excepția cazurilor specificate la alin.(2</w:t>
            </w:r>
            <w:r>
              <w:rPr>
                <w:rFonts w:ascii="Times New Roman" w:eastAsia="Times New Roman" w:hAnsi="Times New Roman" w:cs="Times New Roman"/>
                <w:vertAlign w:val="superscript"/>
              </w:rPr>
              <w:t>1</w:t>
            </w:r>
            <w:r>
              <w:rPr>
                <w:rFonts w:ascii="Times New Roman" w:eastAsia="Times New Roman" w:hAnsi="Times New Roman" w:cs="Times New Roman"/>
              </w:rPr>
              <w:t>).”</w:t>
            </w:r>
          </w:p>
          <w:p w14:paraId="7977D72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585E6F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Deoarece lichidatorul reprezintă persoana juridică, el trebuie să îndeplinească această obligație.</w:t>
            </w:r>
          </w:p>
          <w:p w14:paraId="7CF92AB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DE8FB7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 pentru a se preciza că obligația de efectuare a publicității se naște din data desemnării, de atunci începând să curgă termenul de 30 de zile.</w:t>
            </w:r>
          </w:p>
          <w:p w14:paraId="6E049CA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1FBE14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Proiectul de lege reia formula actuală și se bazează pe practica existentă de aplicare. Art. 22 din Codul civil (privind notificările) este suficient de detaliat în materie de notificări.</w:t>
            </w:r>
          </w:p>
          <w:p w14:paraId="76FE5CC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73AEF8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a fost ajustat pentru a se preciza că termenul de notificare curge din data desemnării lichidatorului, iar nu din data înregistrării în registru.</w:t>
            </w:r>
          </w:p>
        </w:tc>
      </w:tr>
      <w:tr w:rsidR="0072652F" w14:paraId="1EF173AE" w14:textId="77777777">
        <w:tc>
          <w:tcPr>
            <w:tcW w:w="480" w:type="dxa"/>
          </w:tcPr>
          <w:p w14:paraId="126D8CF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0FC5CF0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2A302B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4485" w:type="dxa"/>
          </w:tcPr>
          <w:p w14:paraId="32AC573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14</w:t>
            </w:r>
          </w:p>
          <w:p w14:paraId="189B857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dispoziția de completare cu alin. (4) și (5) a art. 240, cuvântul „alineatul” se va substitui cu cuvântul „alineatele”. </w:t>
            </w:r>
          </w:p>
        </w:tc>
        <w:tc>
          <w:tcPr>
            <w:tcW w:w="5505" w:type="dxa"/>
          </w:tcPr>
          <w:p w14:paraId="215B286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412AB86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49AD338D" w14:textId="77777777">
        <w:tc>
          <w:tcPr>
            <w:tcW w:w="480" w:type="dxa"/>
          </w:tcPr>
          <w:p w14:paraId="2FEFA464"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782636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02D10F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9</w:t>
            </w:r>
          </w:p>
        </w:tc>
        <w:tc>
          <w:tcPr>
            <w:tcW w:w="4485" w:type="dxa"/>
          </w:tcPr>
          <w:p w14:paraId="5BEF6D7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15, ce modifică art. 241,</w:t>
            </w:r>
          </w:p>
          <w:p w14:paraId="0B47B43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Cuvintele „la toate formele gramaticale” se vor substitui cu cuvintele „la orice formă gramaticală”, cuvintele „la toate formele gramaticale corespunzătoare” se vor substitui cu cuvintele „la forma gramaticală corespunzătoare”, iar după cuvintele „se completează” cuvântul „articolul” se va exclude, conform uzanțelor normative (observație valabilă pentru toate cazurile similare din proiect). </w:t>
            </w:r>
          </w:p>
        </w:tc>
        <w:tc>
          <w:tcPr>
            <w:tcW w:w="5505" w:type="dxa"/>
          </w:tcPr>
          <w:p w14:paraId="58D89FFB"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97E346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328D6CE3" w14:textId="77777777">
        <w:tc>
          <w:tcPr>
            <w:tcW w:w="480" w:type="dxa"/>
          </w:tcPr>
          <w:p w14:paraId="149F83C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68F8E8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C5AFEE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10</w:t>
            </w:r>
          </w:p>
        </w:tc>
        <w:tc>
          <w:tcPr>
            <w:tcW w:w="4485" w:type="dxa"/>
          </w:tcPr>
          <w:p w14:paraId="19F27A9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17</w:t>
            </w:r>
          </w:p>
          <w:p w14:paraId="06554740"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Propunerea de abrogare a alin. (4) din art. 243 se consideră nejustificată și disproporționată, deoarece elimină complet garanțiile existente ale creditorilor. Alin. (4) al art. 243 din Codul civil asigură securitatea </w:t>
            </w:r>
            <w:r>
              <w:rPr>
                <w:rFonts w:ascii="Times New Roman" w:eastAsia="Times New Roman" w:hAnsi="Times New Roman" w:cs="Times New Roman"/>
              </w:rPr>
              <w:lastRenderedPageBreak/>
              <w:t xml:space="preserve">circuitului civil, prin faptul că, înainte de radierea sucursalei, sunt stinse raporturile juridice în care aceasta este implicată, sunt executate obligațiile față de creditori, iar situația patrimonială rezultată este reflectată în bilanțul final de lichidare. În asemenea circumstanțe, este recomandabilă păstrarea redacției actuale a normei juridice, cu menținerea unei proceduri de lichidare a sucursalei similare celei aplicabile persoanei juridice. Alternativ, autorul proiectului de lege ar putea lua în considerare modificarea Legii nr. 220/2007 privind înregistrarea de stat a persoanelor juridice și a întreprinzătorilor individuali, în cuprinsul căreia să reglementeze o procedură simplificată de lichidare a sucursalei persoanei juridice. </w:t>
            </w:r>
          </w:p>
        </w:tc>
        <w:tc>
          <w:tcPr>
            <w:tcW w:w="5505" w:type="dxa"/>
          </w:tcPr>
          <w:p w14:paraId="109B20A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2A40FF5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Afirmația că garanțiile creditorilor sunt eliminate nu este exactă. Lichidarea sucursalei (debitorul creditorilor nu dispare) nu trebuie confundată cu lichidarea persoanei juridice (în ultimul caz debitorul creditorilor dispare). Creditorii continuă să aibă o creanță pe care o </w:t>
            </w:r>
            <w:r>
              <w:rPr>
                <w:rFonts w:ascii="Times New Roman" w:eastAsia="Times New Roman" w:hAnsi="Times New Roman" w:cs="Times New Roman"/>
              </w:rPr>
              <w:lastRenderedPageBreak/>
              <w:t>pot valorifica contra persoanei juridice, care nu își încetează existența în general, ci doar își încetează existența în Republica Moldova.</w:t>
            </w:r>
          </w:p>
          <w:p w14:paraId="1A9151F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Nota de fundamentare deja a argumentat că Estonia (sursa reglementării inițiale) a urmat aceeași cale.</w:t>
            </w:r>
          </w:p>
          <w:p w14:paraId="5401B5D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0A9B56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Dincolo de argumentele de oportunitate, abrogarea alin. (4) este necesară pentru transpunerea corectă și eficientă a Directivei 2017/1132. Potrivit art. 28c (Închiderea sucursalelor) a Directivei: „Statele membre se asigură că la primirea documentelor și a informațiilor menționate la articolul 30 alineatul (1) litera (h), </w:t>
            </w:r>
            <w:r>
              <w:rPr>
                <w:rFonts w:ascii="Times New Roman" w:eastAsia="Times New Roman" w:hAnsi="Times New Roman" w:cs="Times New Roman"/>
                <w:b/>
                <w:bCs/>
              </w:rPr>
              <w:t>registrul statului membru în care este înregistrată sucursala unei societăți comerciale informează</w:t>
            </w:r>
            <w:r>
              <w:rPr>
                <w:rFonts w:ascii="Times New Roman" w:eastAsia="Times New Roman" w:hAnsi="Times New Roman" w:cs="Times New Roman"/>
              </w:rPr>
              <w:t xml:space="preserve">, prin intermediul sistemului de interconectare a registrelor, registrul statului membru în care este înregistrată societatea comercială </w:t>
            </w:r>
            <w:r>
              <w:rPr>
                <w:rFonts w:ascii="Times New Roman" w:eastAsia="Times New Roman" w:hAnsi="Times New Roman" w:cs="Times New Roman"/>
                <w:b/>
                <w:bCs/>
              </w:rPr>
              <w:t>cu privire la închiderea sucursalei și la radierea sa din registru</w:t>
            </w:r>
            <w:r>
              <w:rPr>
                <w:rFonts w:ascii="Times New Roman" w:eastAsia="Times New Roman" w:hAnsi="Times New Roman" w:cs="Times New Roman"/>
              </w:rPr>
              <w:t>. Registrul statului membru al societății comerciale confirmă, prin intermediul sistemului menționat, primirea notificării, iar informația este înregistrată imediat.”</w:t>
            </w:r>
          </w:p>
          <w:p w14:paraId="69A1D28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016DDF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După cum se poate observa, radierea din RSPJ a sucursalei societății altui stat membru trebuie să fie aproape automată (fără alte formalități, proceduri de lichidare și verificare de garanții din partea ASP), spre deosebire de radierea unei persoane juridice autohtone.  </w:t>
            </w:r>
          </w:p>
          <w:p w14:paraId="084DFA71"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39D81F4E" w14:textId="77777777">
        <w:tc>
          <w:tcPr>
            <w:tcW w:w="480" w:type="dxa"/>
          </w:tcPr>
          <w:p w14:paraId="76970B8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BA3657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677302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11</w:t>
            </w:r>
          </w:p>
        </w:tc>
        <w:tc>
          <w:tcPr>
            <w:tcW w:w="4485" w:type="dxa"/>
          </w:tcPr>
          <w:p w14:paraId="057F70C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La pct. 18, cu privire la modificarea art. 249 alin. (3) din Codul civil, considerăm că, norma juridică trebuie să păstreze obligația instanței de judecată de a transmite dispozitivul hotărârii judecătorești. Potrivit art. 236 alin. (6) din Codul de procedură civilă, termenul de întocmire a hotărârii </w:t>
            </w:r>
            <w:r>
              <w:rPr>
                <w:rFonts w:ascii="Times New Roman" w:eastAsia="Times New Roman" w:hAnsi="Times New Roman" w:cs="Times New Roman"/>
              </w:rPr>
              <w:lastRenderedPageBreak/>
              <w:t xml:space="preserve">motivate este de 45 de zile lucrătoare, termen care curge de la data solicitării, atacării sau pronunțării dispozitivului hotărârii, după caz. Prin urmare, motivarea integrală a hotărârii judecătorești nu este obligatorie pentru instanța de judecată decât în cazurile prevăzute de art. 236 alin. (5) din Codul de procedură civilă: a) la solicitarea expresă a unuia dintre participanții la proces; b) declararea apelului; c) recunoașterea și executarea hotărârii pe teritoriul unui alt stat. În aceste condiții, pentru a înlătura confuzia cu privire la necesitatea prezentării hotărârii motivate integral, apreciem ca fiind judicioasă operarea cu textul „dispozitivul hotărârii judecătorești”. </w:t>
            </w:r>
          </w:p>
          <w:p w14:paraId="0515907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7547588" w14:textId="28B5EEDE"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De asemenea, textul „de la sediul persoanei juridice” urmează a fi exclus, pe motiv că, prin Legea nr. 133/2018 privind modernizarea Codului civil </w:t>
            </w:r>
            <w:r w:rsidR="00E912D4">
              <w:rPr>
                <w:rFonts w:ascii="Times New Roman" w:eastAsia="Times New Roman" w:hAnsi="Times New Roman" w:cs="Times New Roman"/>
              </w:rPr>
              <w:t>și</w:t>
            </w:r>
            <w:r>
              <w:rPr>
                <w:rFonts w:ascii="Times New Roman" w:eastAsia="Times New Roman" w:hAnsi="Times New Roman" w:cs="Times New Roman"/>
              </w:rPr>
              <w:t xml:space="preserve"> modificarea unor acte legislative, principiul teritorial de prestare a serviciilor în domeniul înregistrării de stat a fost exclus. </w:t>
            </w:r>
          </w:p>
        </w:tc>
        <w:tc>
          <w:tcPr>
            <w:tcW w:w="5505" w:type="dxa"/>
          </w:tcPr>
          <w:p w14:paraId="6E2DBAB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6B621125"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C3897A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Art. 14(i) din Directiva 2017/1132 prevede publicarea </w:t>
            </w:r>
            <w:r>
              <w:rPr>
                <w:rFonts w:ascii="Times New Roman" w:eastAsia="Times New Roman" w:hAnsi="Times New Roman" w:cs="Times New Roman"/>
                <w:b/>
                <w:bCs/>
              </w:rPr>
              <w:t>hotărârii judecătorești</w:t>
            </w:r>
            <w:r>
              <w:rPr>
                <w:rFonts w:ascii="Times New Roman" w:eastAsia="Times New Roman" w:hAnsi="Times New Roman" w:cs="Times New Roman"/>
              </w:rPr>
              <w:t xml:space="preserve">. Art. 249 alin. (3) Cod civil în redacția proiectului de lege nu precizează dacă se comunică doar dispozitivul sau hotărârea integrală. Instanța de judecată va trebui să comunice </w:t>
            </w:r>
            <w:r>
              <w:rPr>
                <w:rFonts w:ascii="Times New Roman" w:eastAsia="Times New Roman" w:hAnsi="Times New Roman" w:cs="Times New Roman"/>
              </w:rPr>
              <w:lastRenderedPageBreak/>
              <w:t>hotărârea judecătorească în forma în care o deține: dacă o deține integrală (motivată), va trebui să o comunice în forma motivată; dacă nu este motivată, se va comunica hotărârea judecătorească nemotivată („dispozitivul”).</w:t>
            </w:r>
          </w:p>
          <w:p w14:paraId="121F9C9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1C73767" w14:textId="6F3860D3"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Atragem atenția că în concepția Codului de procedură civilă (CPC), formularea „hotărârea judecătorească”, include atât hotărârea motivată, cât și cea nemotivată. Potrivit art. 241 alin. (2) CPC: „</w:t>
            </w:r>
            <w:r>
              <w:rPr>
                <w:rFonts w:ascii="Times New Roman" w:eastAsia="Times New Roman" w:hAnsi="Times New Roman" w:cs="Times New Roman"/>
                <w:b/>
                <w:bCs/>
                <w:u w:val="single"/>
              </w:rPr>
              <w:t>Hotărârea judecătorească</w:t>
            </w:r>
            <w:r>
              <w:rPr>
                <w:rFonts w:ascii="Times New Roman" w:eastAsia="Times New Roman" w:hAnsi="Times New Roman" w:cs="Times New Roman"/>
              </w:rPr>
              <w:t xml:space="preserve"> constă din partea introductivă </w:t>
            </w:r>
            <w:r w:rsidR="00E912D4">
              <w:rPr>
                <w:rFonts w:ascii="Times New Roman" w:eastAsia="Times New Roman" w:hAnsi="Times New Roman" w:cs="Times New Roman"/>
              </w:rPr>
              <w:t>și</w:t>
            </w:r>
            <w:r>
              <w:rPr>
                <w:rFonts w:ascii="Times New Roman" w:eastAsia="Times New Roman" w:hAnsi="Times New Roman" w:cs="Times New Roman"/>
              </w:rPr>
              <w:t xml:space="preserve"> partea dispozitivă. În cazurile prevăzute la art. 236 alin. (5), </w:t>
            </w:r>
            <w:r w:rsidR="00E912D4">
              <w:rPr>
                <w:rFonts w:ascii="Times New Roman" w:eastAsia="Times New Roman" w:hAnsi="Times New Roman" w:cs="Times New Roman"/>
              </w:rPr>
              <w:t>hotărârea</w:t>
            </w:r>
            <w:r>
              <w:rPr>
                <w:rFonts w:ascii="Times New Roman" w:eastAsia="Times New Roman" w:hAnsi="Times New Roman" w:cs="Times New Roman"/>
              </w:rPr>
              <w:t xml:space="preserve"> judecătorească constă din partea introductivă, partea descriptivă, motivare </w:t>
            </w:r>
            <w:r w:rsidR="00E912D4">
              <w:rPr>
                <w:rFonts w:ascii="Times New Roman" w:eastAsia="Times New Roman" w:hAnsi="Times New Roman" w:cs="Times New Roman"/>
              </w:rPr>
              <w:t>și</w:t>
            </w:r>
            <w:r>
              <w:rPr>
                <w:rFonts w:ascii="Times New Roman" w:eastAsia="Times New Roman" w:hAnsi="Times New Roman" w:cs="Times New Roman"/>
              </w:rPr>
              <w:t xml:space="preserve"> dispozitiv. Fiecare parte a </w:t>
            </w:r>
            <w:r w:rsidR="00E912D4">
              <w:rPr>
                <w:rFonts w:ascii="Times New Roman" w:eastAsia="Times New Roman" w:hAnsi="Times New Roman" w:cs="Times New Roman"/>
              </w:rPr>
              <w:t>hotărârii</w:t>
            </w:r>
            <w:r>
              <w:rPr>
                <w:rFonts w:ascii="Times New Roman" w:eastAsia="Times New Roman" w:hAnsi="Times New Roman" w:cs="Times New Roman"/>
              </w:rPr>
              <w:t xml:space="preserve"> se </w:t>
            </w:r>
            <w:r w:rsidR="00E912D4">
              <w:rPr>
                <w:rFonts w:ascii="Times New Roman" w:eastAsia="Times New Roman" w:hAnsi="Times New Roman" w:cs="Times New Roman"/>
              </w:rPr>
              <w:t>evidențiază</w:t>
            </w:r>
            <w:r>
              <w:rPr>
                <w:rFonts w:ascii="Times New Roman" w:eastAsia="Times New Roman" w:hAnsi="Times New Roman" w:cs="Times New Roman"/>
              </w:rPr>
              <w:t xml:space="preserve"> separat în textul acesteia.”</w:t>
            </w:r>
          </w:p>
          <w:p w14:paraId="32A54F7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AE7964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Se acceptă.</w:t>
            </w:r>
          </w:p>
          <w:p w14:paraId="717BEA4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0300F668" w14:textId="77777777">
        <w:tc>
          <w:tcPr>
            <w:tcW w:w="480" w:type="dxa"/>
          </w:tcPr>
          <w:p w14:paraId="3335C81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14991D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E6BBDA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12</w:t>
            </w:r>
          </w:p>
        </w:tc>
        <w:tc>
          <w:tcPr>
            <w:tcW w:w="4485" w:type="dxa"/>
          </w:tcPr>
          <w:p w14:paraId="365717B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19</w:t>
            </w:r>
          </w:p>
          <w:p w14:paraId="4634B65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Propunerea de completare a art. 250 cu alin. (5) se consideră ca fiind justificată, deoarece contribuie la sporirea clarității și previzibilității reglementării, precum și la consolidarea protecției creditorilor societății. Constatăm că legislația specială nu reglementează în mod expres obligația asociaților de a vărsa aporturile subscrise, dar </w:t>
            </w:r>
            <w:proofErr w:type="spellStart"/>
            <w:r>
              <w:rPr>
                <w:rFonts w:ascii="Times New Roman" w:eastAsia="Times New Roman" w:hAnsi="Times New Roman" w:cs="Times New Roman"/>
              </w:rPr>
              <w:t>nevărsate</w:t>
            </w:r>
            <w:proofErr w:type="spellEnd"/>
            <w:r>
              <w:rPr>
                <w:rFonts w:ascii="Times New Roman" w:eastAsia="Times New Roman" w:hAnsi="Times New Roman" w:cs="Times New Roman"/>
              </w:rPr>
              <w:t xml:space="preserve">, în cazul declarării nulității societății comerciale. Deși această obligație </w:t>
            </w:r>
            <w:r>
              <w:rPr>
                <w:rFonts w:ascii="Times New Roman" w:eastAsia="Times New Roman" w:hAnsi="Times New Roman" w:cs="Times New Roman"/>
              </w:rPr>
              <w:lastRenderedPageBreak/>
              <w:t xml:space="preserve">poate fi dedusă din reglementările privind aporturile și lichidarea societății, consacrarea sa expresă la art. 250 din Codul civil elimină eventualele incertitudini de interpretare și consolidează protecția creditorilor. Această modificare legislativă va consolida măsurile de implementare a Legii nr. 308/2017 cu privire la prevenirea și combaterea spălării banilor și finanțării terorismului și a Legii nr. 34/2024 privind efectuarea decontărilor în numerar și pentru modificarea unor acte normative. Totodată, recomandăm reformularea alin. (5), pentru a stabili natura juridică exactă a obligației de aport pe care asociații o au față de societate și nu față de creditorii societății. </w:t>
            </w:r>
          </w:p>
        </w:tc>
        <w:tc>
          <w:tcPr>
            <w:tcW w:w="5505" w:type="dxa"/>
          </w:tcPr>
          <w:p w14:paraId="6F442E0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25A6972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S-a precizat că alin. (5) instituie obligația ca o obligație a asociatului față de societate, deoarece aportul se aduce societății (ea este creditor al aportului), așa cum o cere art. 12 alin. (5) din Directiva 2017/1132. Nulitatea societății nu o desființează retroactiv, ci ea intră în lichidare, ea are patrimoniu, iar creanța de a i se plăti aportul intră în patrimoniul societății declarate nule.</w:t>
            </w:r>
          </w:p>
        </w:tc>
      </w:tr>
      <w:tr w:rsidR="0072652F" w14:paraId="53E11497" w14:textId="77777777">
        <w:tc>
          <w:tcPr>
            <w:tcW w:w="480" w:type="dxa"/>
          </w:tcPr>
          <w:p w14:paraId="56F99B5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0C9553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6D6EC1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13</w:t>
            </w:r>
          </w:p>
        </w:tc>
        <w:tc>
          <w:tcPr>
            <w:tcW w:w="4485" w:type="dxa"/>
          </w:tcPr>
          <w:p w14:paraId="7E2BB7F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20</w:t>
            </w:r>
          </w:p>
          <w:p w14:paraId="6E3CA257" w14:textId="38A95004"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Propunerea privind completarea art. 253 cu alin. (8) se susține, întrucât instituie un mecanism necesar pentru asigurarea circuitului bunurilor imobile și a securității raporturilor civile. Totodată, în </w:t>
            </w:r>
            <w:r w:rsidR="00E912D4">
              <w:rPr>
                <w:rFonts w:ascii="Times New Roman" w:eastAsia="Times New Roman" w:hAnsi="Times New Roman" w:cs="Times New Roman"/>
              </w:rPr>
              <w:t>aceeași</w:t>
            </w:r>
            <w:r>
              <w:rPr>
                <w:rFonts w:ascii="Times New Roman" w:eastAsia="Times New Roman" w:hAnsi="Times New Roman" w:cs="Times New Roman"/>
              </w:rPr>
              <w:t xml:space="preserve"> ordine de idei, precum și în vederea consolidării măsurilor de implementare a prevederile Legii nr. 308/2017 cu privire la prevenirea și combaterea spălării banilor </w:t>
            </w:r>
            <w:r w:rsidR="00E912D4">
              <w:rPr>
                <w:rFonts w:ascii="Times New Roman" w:eastAsia="Times New Roman" w:hAnsi="Times New Roman" w:cs="Times New Roman"/>
              </w:rPr>
              <w:t>și</w:t>
            </w:r>
            <w:r>
              <w:rPr>
                <w:rFonts w:ascii="Times New Roman" w:eastAsia="Times New Roman" w:hAnsi="Times New Roman" w:cs="Times New Roman"/>
              </w:rPr>
              <w:t xml:space="preserve"> finanțării terorismului </w:t>
            </w:r>
            <w:r w:rsidR="00E912D4">
              <w:rPr>
                <w:rFonts w:ascii="Times New Roman" w:eastAsia="Times New Roman" w:hAnsi="Times New Roman" w:cs="Times New Roman"/>
              </w:rPr>
              <w:t>și</w:t>
            </w:r>
            <w:r>
              <w:rPr>
                <w:rFonts w:ascii="Times New Roman" w:eastAsia="Times New Roman" w:hAnsi="Times New Roman" w:cs="Times New Roman"/>
              </w:rPr>
              <w:t xml:space="preserve"> a Legii nr. 34/2024 privind efectuarea decontărilor în numerar </w:t>
            </w:r>
            <w:r w:rsidR="00E912D4">
              <w:rPr>
                <w:rFonts w:ascii="Times New Roman" w:eastAsia="Times New Roman" w:hAnsi="Times New Roman" w:cs="Times New Roman"/>
              </w:rPr>
              <w:t>și</w:t>
            </w:r>
            <w:r>
              <w:rPr>
                <w:rFonts w:ascii="Times New Roman" w:eastAsia="Times New Roman" w:hAnsi="Times New Roman" w:cs="Times New Roman"/>
              </w:rPr>
              <w:t xml:space="preserve"> pentru modificarea unor acte normative, </w:t>
            </w:r>
            <w:r w:rsidR="00E912D4">
              <w:rPr>
                <w:rFonts w:ascii="Times New Roman" w:eastAsia="Times New Roman" w:hAnsi="Times New Roman" w:cs="Times New Roman"/>
              </w:rPr>
              <w:t>și</w:t>
            </w:r>
            <w:r>
              <w:rPr>
                <w:rFonts w:ascii="Times New Roman" w:eastAsia="Times New Roman" w:hAnsi="Times New Roman" w:cs="Times New Roman"/>
              </w:rPr>
              <w:t xml:space="preserve"> anume - monitorizarea continuă a relației de afaceri, considerăm necesară instituirea </w:t>
            </w:r>
            <w:r w:rsidR="00E912D4">
              <w:rPr>
                <w:rFonts w:ascii="Times New Roman" w:eastAsia="Times New Roman" w:hAnsi="Times New Roman" w:cs="Times New Roman"/>
              </w:rPr>
              <w:t>aceluiași</w:t>
            </w:r>
            <w:r>
              <w:rPr>
                <w:rFonts w:ascii="Times New Roman" w:eastAsia="Times New Roman" w:hAnsi="Times New Roman" w:cs="Times New Roman"/>
              </w:rPr>
              <w:t xml:space="preserve"> mecanism de autentificare și pentru actele de predare-primire semnate după darea în exploatare a bunului imobil în construcție, prevăzute la art. 1174 alin. (1) </w:t>
            </w:r>
            <w:r>
              <w:rPr>
                <w:rFonts w:ascii="Times New Roman" w:eastAsia="Times New Roman" w:hAnsi="Times New Roman" w:cs="Times New Roman"/>
              </w:rPr>
              <w:lastRenderedPageBreak/>
              <w:t xml:space="preserve">din Codul civil. În context, se recomandă expunerea art. 1174 alin. (1) din Codul civil în următoarea redacție: „(1) Riscul pieirii sau al deteriorării fortuite a bunului imobil trece la cumpărător din momentul semnării de către părți a actului de predare-primire, în formă autentică.”. </w:t>
            </w:r>
          </w:p>
        </w:tc>
        <w:tc>
          <w:tcPr>
            <w:tcW w:w="5505" w:type="dxa"/>
          </w:tcPr>
          <w:p w14:paraId="272CE54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0065CB5D" w14:textId="288FA2E0"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Propunerea </w:t>
            </w:r>
            <w:r w:rsidR="00E912D4">
              <w:rPr>
                <w:rFonts w:ascii="Times New Roman" w:eastAsia="Times New Roman" w:hAnsi="Times New Roman" w:cs="Times New Roman"/>
              </w:rPr>
              <w:t>excedă</w:t>
            </w:r>
            <w:r>
              <w:rPr>
                <w:rFonts w:ascii="Times New Roman" w:eastAsia="Times New Roman" w:hAnsi="Times New Roman" w:cs="Times New Roman"/>
              </w:rPr>
              <w:t xml:space="preserve"> domeniul proiectului de lege și necesită o examinare diligentă. Propunerea implică o dublă autentificare, deci un cost dublu pentru consumatori, astfel că o eventuală intervenție trebuie să fie gândită împreună cu regulile privind taxa de stat și plățile notariale în domeniu.</w:t>
            </w:r>
          </w:p>
          <w:p w14:paraId="5C376315"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23709F08" w14:textId="77777777">
        <w:tc>
          <w:tcPr>
            <w:tcW w:w="480" w:type="dxa"/>
          </w:tcPr>
          <w:p w14:paraId="7CDFC5A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FAED84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1AD288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14</w:t>
            </w:r>
          </w:p>
        </w:tc>
        <w:tc>
          <w:tcPr>
            <w:tcW w:w="4485" w:type="dxa"/>
          </w:tcPr>
          <w:p w14:paraId="4AF907C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21</w:t>
            </w:r>
            <w:r>
              <w:rPr>
                <w:rFonts w:ascii="Times New Roman" w:eastAsia="Times New Roman" w:hAnsi="Times New Roman" w:cs="Times New Roman"/>
              </w:rPr>
              <w:t xml:space="preserve"> </w:t>
            </w:r>
            <w:r>
              <w:rPr>
                <w:rFonts w:ascii="Times New Roman" w:eastAsia="Times New Roman" w:hAnsi="Times New Roman" w:cs="Times New Roman"/>
                <w:b/>
                <w:bCs/>
              </w:rPr>
              <w:t xml:space="preserve">ce modifică art. 295 </w:t>
            </w:r>
          </w:p>
          <w:p w14:paraId="4EAD433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La alin. (2) propus în redacție nouă, în formula „datoriile nestinse ale persoanei juridice controlate născute după punctul de criză” nu este suficient de clar cum se stabilește „punctul de criză” și de la ce dată începe răspunderea persoanei juridice care exercită controlul. </w:t>
            </w:r>
          </w:p>
          <w:p w14:paraId="67F8D64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La alin. (2¹), noțiunile „interesul grupului” și „instrucțiuni dăunătoare”, la fel, nu sunt clare (semnificația noțiunii „interesul grupului”, cine este abilitat să îl aprecieze, precum și ce tip de instrucțiuni pot fi considerate dăunătoare). </w:t>
            </w:r>
          </w:p>
          <w:p w14:paraId="5041ED5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Prin urmare, se recomandă definirea noțiunilor „punctul de criză”, „interesul grupului” și „instrucțiuni dăunătoare”, precum și stabilirea condițiilor clare în care persoana juridică ce exercită controlul răspunde pentru datoriile persoanei juridice controlate </w:t>
            </w:r>
          </w:p>
        </w:tc>
        <w:tc>
          <w:tcPr>
            <w:tcW w:w="5505" w:type="dxa"/>
          </w:tcPr>
          <w:p w14:paraId="0C3BD4C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Precizare.</w:t>
            </w:r>
          </w:p>
          <w:p w14:paraId="6E5E1DB8"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rPr>
              <w:t>[1] Noțiunea „punct de criză” este deja definită în alin. (1) în vigoare: „</w:t>
            </w:r>
            <w:r>
              <w:rPr>
                <w:rFonts w:ascii="Times New Roman" w:eastAsia="Times New Roman" w:hAnsi="Times New Roman" w:cs="Times New Roman"/>
                <w:b/>
                <w:bCs/>
                <w:i/>
                <w:iCs/>
              </w:rPr>
              <w:t xml:space="preserve">Articolul 295. </w:t>
            </w:r>
            <w:r>
              <w:rPr>
                <w:rFonts w:ascii="Times New Roman" w:eastAsia="Times New Roman" w:hAnsi="Times New Roman" w:cs="Times New Roman"/>
                <w:i/>
                <w:iCs/>
              </w:rPr>
              <w:t>Abuzul de control</w:t>
            </w:r>
          </w:p>
          <w:p w14:paraId="2BA716BA" w14:textId="1A20F086" w:rsidR="0072652F" w:rsidRDefault="00000000">
            <w:pPr>
              <w:jc w:val="both"/>
              <w:rPr>
                <w:rFonts w:ascii="Times New Roman" w:eastAsia="Times New Roman" w:hAnsi="Times New Roman" w:cs="Times New Roman"/>
              </w:rPr>
            </w:pPr>
            <w:r>
              <w:rPr>
                <w:rFonts w:ascii="Times New Roman" w:eastAsia="Times New Roman" w:hAnsi="Times New Roman" w:cs="Times New Roman"/>
                <w:i/>
                <w:iCs/>
              </w:rPr>
              <w:t xml:space="preserve">(1) În cazul în care persoana juridică controlată care a fost administrată conform instrucțiunilor date de persoana juridică care exercită controlul, în interesul grupului, nu are șanse obiective, din contul propriilor resurse, să evite intrarea în procedură de insolvabilitate </w:t>
            </w:r>
            <w:r>
              <w:rPr>
                <w:rFonts w:ascii="Times New Roman" w:eastAsia="Times New Roman" w:hAnsi="Times New Roman" w:cs="Times New Roman"/>
                <w:b/>
                <w:bCs/>
                <w:i/>
                <w:iCs/>
              </w:rPr>
              <w:t>(punct de criză)</w:t>
            </w:r>
            <w:r>
              <w:rPr>
                <w:rFonts w:ascii="Times New Roman" w:eastAsia="Times New Roman" w:hAnsi="Times New Roman" w:cs="Times New Roman"/>
                <w:i/>
                <w:iCs/>
              </w:rPr>
              <w:t xml:space="preserve">, persoana juridică care exercită controlul este obligată să efectueze fără </w:t>
            </w:r>
            <w:r w:rsidR="00E912D4">
              <w:rPr>
                <w:rFonts w:ascii="Times New Roman" w:eastAsia="Times New Roman" w:hAnsi="Times New Roman" w:cs="Times New Roman"/>
                <w:i/>
                <w:iCs/>
              </w:rPr>
              <w:t>întârziere</w:t>
            </w:r>
            <w:r>
              <w:rPr>
                <w:rFonts w:ascii="Times New Roman" w:eastAsia="Times New Roman" w:hAnsi="Times New Roman" w:cs="Times New Roman"/>
                <w:i/>
                <w:iCs/>
              </w:rPr>
              <w:t xml:space="preserve"> nejustificată o restructurare fundamentală sau să inițieze procedura de insolvabilitate.</w:t>
            </w:r>
            <w:r>
              <w:rPr>
                <w:rFonts w:ascii="Times New Roman" w:eastAsia="Times New Roman" w:hAnsi="Times New Roman" w:cs="Times New Roman"/>
              </w:rPr>
              <w:t>”</w:t>
            </w:r>
          </w:p>
          <w:p w14:paraId="441FB337" w14:textId="77777777" w:rsidR="0072652F" w:rsidRDefault="0072652F">
            <w:pPr>
              <w:jc w:val="both"/>
              <w:rPr>
                <w:rFonts w:ascii="Times New Roman" w:eastAsia="Times New Roman" w:hAnsi="Times New Roman" w:cs="Times New Roman"/>
              </w:rPr>
            </w:pPr>
          </w:p>
          <w:p w14:paraId="0F2B101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[2] Noțiunea „interesul grupului” este detaliat reglementată în art. 294 existent (întitulat „Interesul grupului”). </w:t>
            </w:r>
          </w:p>
          <w:p w14:paraId="0213E971" w14:textId="77777777" w:rsidR="0072652F" w:rsidRDefault="0072652F">
            <w:pPr>
              <w:jc w:val="both"/>
              <w:rPr>
                <w:rFonts w:ascii="Times New Roman" w:eastAsia="Times New Roman" w:hAnsi="Times New Roman" w:cs="Times New Roman"/>
              </w:rPr>
            </w:pPr>
          </w:p>
          <w:p w14:paraId="50EF4D4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Din întregul art. 295, citit în redacția proiectului de lege, rezultă că „instrucțiunile dăunătoare” sunt instrucțiunile (hotărâri, instrucțiuni prin email, scrisori etc.) date de persoana juridică care exercită controlul și care se află în legătură cauzală cu o pierdere suferită de persoana juridică controlată care, în consecință, face imposibilă sau dificilă satisfacerea creanțelor creditorilor.</w:t>
            </w:r>
          </w:p>
          <w:p w14:paraId="07752DC3" w14:textId="77777777" w:rsidR="0072652F" w:rsidRDefault="0072652F">
            <w:pPr>
              <w:jc w:val="both"/>
              <w:rPr>
                <w:rFonts w:ascii="Times New Roman" w:eastAsia="Times New Roman" w:hAnsi="Times New Roman" w:cs="Times New Roman"/>
              </w:rPr>
            </w:pPr>
          </w:p>
          <w:p w14:paraId="3569517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Toate aceste aspecte urmează să fie determinate de instanța de judecată la examinarea acțiunii în </w:t>
            </w:r>
            <w:r>
              <w:rPr>
                <w:rFonts w:ascii="Times New Roman" w:eastAsia="Times New Roman" w:hAnsi="Times New Roman" w:cs="Times New Roman"/>
              </w:rPr>
              <w:lastRenderedPageBreak/>
              <w:t>răspundere îndreptate contra persoanei juridice care exercită controlul.</w:t>
            </w:r>
          </w:p>
          <w:p w14:paraId="2466B126" w14:textId="77777777" w:rsidR="0072652F" w:rsidRDefault="0072652F">
            <w:pPr>
              <w:jc w:val="both"/>
              <w:rPr>
                <w:rFonts w:ascii="Times New Roman" w:eastAsia="Times New Roman" w:hAnsi="Times New Roman" w:cs="Times New Roman"/>
              </w:rPr>
            </w:pPr>
          </w:p>
          <w:p w14:paraId="12A6C8C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Deoarece, așa cum se menționează în Nota de fundamentare, norma împrumută reglementarea din versiunea finală (2017) a </w:t>
            </w:r>
            <w:proofErr w:type="spellStart"/>
            <w:r>
              <w:rPr>
                <w:rFonts w:ascii="Times New Roman" w:eastAsia="Times New Roman" w:hAnsi="Times New Roman" w:cs="Times New Roman"/>
              </w:rPr>
              <w:t>Draft</w:t>
            </w:r>
            <w:proofErr w:type="spellEnd"/>
            <w:r>
              <w:rPr>
                <w:rFonts w:ascii="Times New Roman" w:eastAsia="Times New Roman" w:hAnsi="Times New Roman" w:cs="Times New Roman"/>
              </w:rPr>
              <w:t xml:space="preserve"> European Model Company Act (EMCA), Secțiunea 15.17 (</w:t>
            </w:r>
            <w:proofErr w:type="spellStart"/>
            <w:r>
              <w:rPr>
                <w:rFonts w:ascii="Times New Roman" w:eastAsia="Times New Roman" w:hAnsi="Times New Roman" w:cs="Times New Roman"/>
                <w:i/>
                <w:iCs/>
              </w:rPr>
              <w:t>Parent</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liability</w:t>
            </w:r>
            <w:proofErr w:type="spellEnd"/>
            <w:r>
              <w:rPr>
                <w:rFonts w:ascii="Times New Roman" w:eastAsia="Times New Roman" w:hAnsi="Times New Roman" w:cs="Times New Roman"/>
              </w:rPr>
              <w:t>), urmează a se ține cont de comentariul oficial al acesteia.</w:t>
            </w:r>
          </w:p>
        </w:tc>
      </w:tr>
      <w:tr w:rsidR="0072652F" w14:paraId="39DFB2A2" w14:textId="77777777">
        <w:tc>
          <w:tcPr>
            <w:tcW w:w="480" w:type="dxa"/>
          </w:tcPr>
          <w:p w14:paraId="3291C69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D7CF3D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DA3362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15</w:t>
            </w:r>
          </w:p>
        </w:tc>
        <w:tc>
          <w:tcPr>
            <w:tcW w:w="4485" w:type="dxa"/>
          </w:tcPr>
          <w:p w14:paraId="5962499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22</w:t>
            </w:r>
          </w:p>
          <w:p w14:paraId="2AAE1F9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Abrogarea alin. (4) din art. 325, apreciem ca fiind inoportună și nejustificată, motiv pentru care solicităm excluderea acesteia din proiectul de lege. Contrar constatărilor autorilor proiectului făcute în nota de fundamentare, pronunțarea unei hotărâri judecătorești care să țină loc de contract este o modalitate de executare silită specifică antecontractelor de vânzare-cumpărare. Termenul de prescripție de 6 luni pentru introducerea acțiunii este un termen special, care nu trebuie confundat cu termenul general de prescripție de 3 ani. Reglementarea unui termen de prescripție mult mai restrâns are ca scop prevenirea insecurității raporturilor juridice civile și a circuitului civil. Suplimentar, subliniem faptul că, termenul de 6 luni nu constituie o particularitate a legislației naționale, ci reflectă o soluție legislativă consacrată în dreptul european contemporan. De exemplu, art. 1.669 alin. (2) din Codul civil al României instituie același termen pentru formularea cererii de pronunțare a unei hotărâri care să țină loc de contract de </w:t>
            </w:r>
            <w:r>
              <w:rPr>
                <w:rFonts w:ascii="Times New Roman" w:eastAsia="Times New Roman" w:hAnsi="Times New Roman" w:cs="Times New Roman"/>
              </w:rPr>
              <w:lastRenderedPageBreak/>
              <w:t xml:space="preserve">vânzare. Așadar, doctrina și practica juridică europeană recunosc că, în materia obligațiilor de a face, inclusiv a obligației de a contracta, necesitatea asigurării securității circuitului civil și a stabilității tranzacțiilor reclamă instituirea unor termene de exercitare relativ scurte. </w:t>
            </w:r>
          </w:p>
        </w:tc>
        <w:tc>
          <w:tcPr>
            <w:tcW w:w="5505" w:type="dxa"/>
          </w:tcPr>
          <w:p w14:paraId="74FFAA3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lastRenderedPageBreak/>
              <w:t>Nu se acceptă.</w:t>
            </w:r>
          </w:p>
          <w:p w14:paraId="0F32EF0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Termenul de prescripție de 6 luni pentru asemenea acțiuni nu este comun dreptului european, ci există doar în dreptul românesc. </w:t>
            </w:r>
          </w:p>
          <w:p w14:paraId="3009C08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După cum s-a argumentat în Nota de fundamentare,  acest termen scurt de prescripție contravine acțiunii de efectuare a înregistrării (art. 430 alin. (2) Cod civil) și regulilor privind executarea silită în natură a obligațiilor (art. 913 Cod civil). El îngreunează executarea silită a antecontractelor care au ca obiect imobilele sau participațiunile în societăți (art. 999 și urm.).</w:t>
            </w:r>
          </w:p>
          <w:p w14:paraId="012BF01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DA624D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DCFR, Proiectul Cadrului Comun de Referință, pe care s-au bazat dispozițiile Codului civil privind neexecutarea obligației (inclusiv art. 913) nu prevăd un termen de prescripție special pentru asemenea acțiuni.</w:t>
            </w:r>
          </w:p>
        </w:tc>
      </w:tr>
      <w:tr w:rsidR="0072652F" w14:paraId="3C670BC8" w14:textId="77777777">
        <w:tc>
          <w:tcPr>
            <w:tcW w:w="480" w:type="dxa"/>
          </w:tcPr>
          <w:p w14:paraId="55D4B91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CCEA85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F1CCF6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16</w:t>
            </w:r>
          </w:p>
        </w:tc>
        <w:tc>
          <w:tcPr>
            <w:tcW w:w="4485" w:type="dxa"/>
          </w:tcPr>
          <w:p w14:paraId="0F4E367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23</w:t>
            </w:r>
          </w:p>
          <w:p w14:paraId="468BE04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Nu se susține abrogarea alin. (2) al art. 372 din Codul civil, deoarece se consideră nejustificată. Această dispoziție oferă reprezentatului un remediu juridic specific împotriva actelor încheiate de reprezentant cu încălcarea regulilor privind conflictul de interese, asigurând, totodată, un echilibru rezonabil între protecția reprezentatului și securitatea circuitului civil. În acest sens, acțiunea în nulitate este limitată la situațiile în care terțul cunoștea sau trebuia, în mod rezonabil, să cunoască existența încălcării. În lipsa unei soluții normative alternative, eliminarea acestei dispoziții ar reduce nivelul de protecție acordat reprezentatului și ar diminua eficiența practică a interdicției prevăzute la alin. (1) din același articol. </w:t>
            </w:r>
          </w:p>
        </w:tc>
        <w:tc>
          <w:tcPr>
            <w:tcW w:w="5505" w:type="dxa"/>
          </w:tcPr>
          <w:p w14:paraId="7F27B8F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31F0C0C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Critica nu analizează corect situația normativă.</w:t>
            </w:r>
          </w:p>
          <w:p w14:paraId="7C1FE69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EDECC7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Abrogarea art. 372 alin. (2) acordă o protecție sporită reprezentatului, deoarece, dintr-un remediu limitat la un termen de prescripție de 6 luni, el va avea un remediu </w:t>
            </w:r>
            <w:r>
              <w:rPr>
                <w:rFonts w:ascii="Times New Roman" w:eastAsia="Times New Roman" w:hAnsi="Times New Roman" w:cs="Times New Roman"/>
                <w:b/>
                <w:bCs/>
              </w:rPr>
              <w:t>fără termen de prescripție</w:t>
            </w:r>
            <w:r>
              <w:rPr>
                <w:rFonts w:ascii="Times New Roman" w:eastAsia="Times New Roman" w:hAnsi="Times New Roman" w:cs="Times New Roman"/>
              </w:rPr>
              <w:t>: acțiunea în constatarea ineficienței actului juridic încheiat de persoana fără împuterniciri (art. 357 Cod civil).</w:t>
            </w:r>
          </w:p>
          <w:p w14:paraId="7457746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A199F0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Pe lângă acest avantaj sporit de protecție, se asigură coerența instituției reprezentării și acționării fără împuterniciri (cu depășirea împuternicirilor). </w:t>
            </w:r>
          </w:p>
          <w:p w14:paraId="23F5F8D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E5896F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Propunerea MJ de păstrare a alin. (2) nu ține cont de faptul că, adeseori, asociații societății nu cunosc despre toate actele abuzive ale administratorului. Abia când se schimbă administratorul apar la suprafață informațiile privind actele cu conflict de interese. Dacă se păstrează regimul actual, acțiunea în justiție o poate introduce doar societatea, și doar în termen de 6 luni de când trebuia să știe, ceea ce face iluzorie protecția efectivă a asociaților. Or, noul administrator nu va putea invoca curgerea unui nou termen de prescripție (art. 400 alin. (2) din Codul civil nefiind suficient aici pentru a suspenda prescripția).</w:t>
            </w:r>
          </w:p>
          <w:p w14:paraId="17A45E6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7C6FCC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Echilibrul just despre care vorbește avizul MJ este atins prin faptul că regulile privind conflictele de interesele sunt reglementate detaliat în Legea 135/2007 și Legea 1134/1997, iar terții care intră în relații cu societățile trebuie să cunoască legea.</w:t>
            </w:r>
          </w:p>
          <w:p w14:paraId="47DCF45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296FD2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general, cunoașterea efectivă (știa) sau prezumată (trebuia să cunoască) a terțului cocontractant nu este relevantă în cazul reglementat de art. 372, deoarece terțul este fie:</w:t>
            </w:r>
          </w:p>
          <w:p w14:paraId="757AC6E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22DE19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însuși reprezentantul, caz în care el vădit știe că acționează în conflict de interese; el nu este cinstit (de bună-credință). El efectiv încheie un act cu sine însuși;</w:t>
            </w:r>
          </w:p>
          <w:p w14:paraId="3535367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576C1A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b) terțul reprezentat de același reprezentant, caz în care cunoașterea reprezentantului necinstit se impută și terțului pe care acesta îl reprezintă (art. 1008 din Codul civil).  </w:t>
            </w:r>
          </w:p>
          <w:p w14:paraId="47EF24E4"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6E068666" w14:textId="77777777">
        <w:tc>
          <w:tcPr>
            <w:tcW w:w="480" w:type="dxa"/>
          </w:tcPr>
          <w:p w14:paraId="583BC00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074304F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1216C1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17</w:t>
            </w:r>
          </w:p>
        </w:tc>
        <w:tc>
          <w:tcPr>
            <w:tcW w:w="4485" w:type="dxa"/>
          </w:tcPr>
          <w:p w14:paraId="6A3B8BD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25, ce modifică art. 525,</w:t>
            </w:r>
          </w:p>
          <w:p w14:paraId="09706B6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Termenul „cuvintele”, în primul caz, se va substitui cu termenul „textul”. Se va reține că, la schimbarea unor cuvinte din conținutul textului unui act normativ, pentru exprimarea corectă, se menționează despre substituirea „cuvintelor” respective, iar la schimbarea unor cifre/semne și cuvinte din conținutul textului unui act normativ, se menționează despre substituirea „textului” respectiv (observație valabilă pentru tot textul proiectului) </w:t>
            </w:r>
          </w:p>
        </w:tc>
        <w:tc>
          <w:tcPr>
            <w:tcW w:w="5505" w:type="dxa"/>
          </w:tcPr>
          <w:p w14:paraId="38D5466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68F9C9A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51BA2AB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r>
      <w:tr w:rsidR="0072652F" w14:paraId="1A18399F" w14:textId="77777777">
        <w:tc>
          <w:tcPr>
            <w:tcW w:w="480" w:type="dxa"/>
          </w:tcPr>
          <w:p w14:paraId="0B5EECE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3B3C29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23C34A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18</w:t>
            </w:r>
          </w:p>
        </w:tc>
        <w:tc>
          <w:tcPr>
            <w:tcW w:w="4485" w:type="dxa"/>
          </w:tcPr>
          <w:p w14:paraId="4ABCCDC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 xml:space="preserve">La pct. 26 </w:t>
            </w:r>
          </w:p>
          <w:p w14:paraId="482FF0D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ceea ce privește completarea art. 754 cu alin. (4), se consideră că necesitatea </w:t>
            </w:r>
            <w:r>
              <w:rPr>
                <w:rFonts w:ascii="Times New Roman" w:eastAsia="Times New Roman" w:hAnsi="Times New Roman" w:cs="Times New Roman"/>
              </w:rPr>
              <w:lastRenderedPageBreak/>
              <w:t xml:space="preserve">intervenției legislative propuse nu a fost suficient justificată. Dispozițiile art. 698-700 din Codul civil reglementează deja particularitățile gajului asupra bunurilor incorporale și oferă creditorului gajist mecanisme adecvate pentru exercitarea drepturilor sale. În acest context, completarea art. 754 cu alin. (4) apare ca fiind, în mare parte, redundantă și susceptibilă de a genera incertitudini interpretative prin extinderea unor concepte specifice bunurilor corporale asupra bunurilor incorporale. Din aceste considerente, oportunitatea și valoarea normativă a modificării propuse necesită o justificare suplimentară </w:t>
            </w:r>
          </w:p>
        </w:tc>
        <w:tc>
          <w:tcPr>
            <w:tcW w:w="5505" w:type="dxa"/>
          </w:tcPr>
          <w:p w14:paraId="72381B6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6D7F7B4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Problema reliefată în detaliu în Nota de fundamentare este anume gajul părții sociale într-un SRL, care, la </w:t>
            </w:r>
            <w:r>
              <w:rPr>
                <w:rFonts w:ascii="Times New Roman" w:eastAsia="Times New Roman" w:hAnsi="Times New Roman" w:cs="Times New Roman"/>
              </w:rPr>
              <w:lastRenderedPageBreak/>
              <w:t>moment, suferă de o lacună vădit în procedura de exercitare a gajului.</w:t>
            </w:r>
          </w:p>
          <w:p w14:paraId="4EA95C9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251C1D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Aplicarea dispozițiilor privind bunurile corporale la bunurile incorporale este o tehnică uzuală în Codul civil:</w:t>
            </w:r>
          </w:p>
          <w:p w14:paraId="2585CBF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8EE966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Art. 455 alin. (1): „</w:t>
            </w:r>
            <w:r>
              <w:rPr>
                <w:rFonts w:ascii="Times New Roman" w:eastAsia="Times New Roman" w:hAnsi="Times New Roman" w:cs="Times New Roman"/>
                <w:i/>
                <w:iCs/>
              </w:rPr>
              <w:t xml:space="preserve">Bunuri </w:t>
            </w:r>
            <w:proofErr w:type="spellStart"/>
            <w:r>
              <w:rPr>
                <w:rFonts w:ascii="Times New Roman" w:eastAsia="Times New Roman" w:hAnsi="Times New Roman" w:cs="Times New Roman"/>
                <w:i/>
                <w:iCs/>
              </w:rPr>
              <w:t>sînt</w:t>
            </w:r>
            <w:proofErr w:type="spellEnd"/>
            <w:r>
              <w:rPr>
                <w:rFonts w:ascii="Times New Roman" w:eastAsia="Times New Roman" w:hAnsi="Times New Roman" w:cs="Times New Roman"/>
                <w:i/>
                <w:iCs/>
              </w:rPr>
              <w:t xml:space="preserve"> toate lucrurile susceptibile apropierii individuale sau colective </w:t>
            </w:r>
            <w:proofErr w:type="spellStart"/>
            <w:r>
              <w:rPr>
                <w:rFonts w:ascii="Times New Roman" w:eastAsia="Times New Roman" w:hAnsi="Times New Roman" w:cs="Times New Roman"/>
                <w:b/>
                <w:bCs/>
                <w:i/>
                <w:iCs/>
              </w:rPr>
              <w:t>şi</w:t>
            </w:r>
            <w:proofErr w:type="spellEnd"/>
            <w:r>
              <w:rPr>
                <w:rFonts w:ascii="Times New Roman" w:eastAsia="Times New Roman" w:hAnsi="Times New Roman" w:cs="Times New Roman"/>
                <w:b/>
                <w:bCs/>
                <w:i/>
                <w:iCs/>
              </w:rPr>
              <w:t xml:space="preserve"> drepturile patrimoniale</w:t>
            </w:r>
            <w:r>
              <w:rPr>
                <w:rFonts w:ascii="Times New Roman" w:eastAsia="Times New Roman" w:hAnsi="Times New Roman" w:cs="Times New Roman"/>
              </w:rPr>
              <w:t>”.</w:t>
            </w:r>
          </w:p>
          <w:p w14:paraId="140DA952" w14:textId="77777777" w:rsidR="0072652F" w:rsidRDefault="0072652F">
            <w:pPr>
              <w:jc w:val="both"/>
              <w:rPr>
                <w:rFonts w:ascii="Times New Roman" w:eastAsia="Times New Roman" w:hAnsi="Times New Roman" w:cs="Times New Roman"/>
              </w:rPr>
            </w:pPr>
          </w:p>
          <w:p w14:paraId="6B255A7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Art. 482 alin. (2): „</w:t>
            </w:r>
            <w:r>
              <w:rPr>
                <w:rFonts w:ascii="Times New Roman" w:eastAsia="Times New Roman" w:hAnsi="Times New Roman" w:cs="Times New Roman"/>
                <w:i/>
                <w:iCs/>
              </w:rPr>
              <w:t xml:space="preserve">Se consideră posesor al dreptului persoana care a început să-l exercite ca un titular. Dispozițiile privind posesia se aplică în mod corespunzător </w:t>
            </w:r>
            <w:r>
              <w:rPr>
                <w:rFonts w:ascii="Times New Roman" w:eastAsia="Times New Roman" w:hAnsi="Times New Roman" w:cs="Times New Roman"/>
                <w:b/>
                <w:bCs/>
                <w:i/>
                <w:iCs/>
              </w:rPr>
              <w:t>posesiei drepturilor</w:t>
            </w:r>
            <w:r>
              <w:rPr>
                <w:rFonts w:ascii="Times New Roman" w:eastAsia="Times New Roman" w:hAnsi="Times New Roman" w:cs="Times New Roman"/>
                <w:i/>
                <w:iCs/>
              </w:rPr>
              <w:t>.</w:t>
            </w:r>
            <w:r>
              <w:rPr>
                <w:rFonts w:ascii="Times New Roman" w:eastAsia="Times New Roman" w:hAnsi="Times New Roman" w:cs="Times New Roman"/>
              </w:rPr>
              <w:t>”</w:t>
            </w:r>
          </w:p>
          <w:p w14:paraId="130CA9D4" w14:textId="77777777" w:rsidR="0072652F" w:rsidRDefault="0072652F">
            <w:pPr>
              <w:jc w:val="both"/>
              <w:rPr>
                <w:rFonts w:ascii="Times New Roman" w:eastAsia="Times New Roman" w:hAnsi="Times New Roman" w:cs="Times New Roman"/>
              </w:rPr>
            </w:pPr>
          </w:p>
          <w:p w14:paraId="67DBE3C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În lipsa art. 754 alin. (4) astăzi creditorul gajist nu are o normă care ar arăta procedura pe care trebuie să o urmeze pentru a putea vinde silit, inclusiv prin executor judecătoresc, partea socială gajată. Spre deosebire de acțiuni, părțile sociale nu circulă pe piața de capital, ci ce vând prin contract de vânzare, supuse înregistrării în RSPJ de către ASP.  Aceasta diminuează atractivitatea părților sociale ca obiect al garanțiilor și, implicit, reduce accesul la credit al antreprenorilor pentru dezvoltarea afacerii. </w:t>
            </w:r>
          </w:p>
          <w:p w14:paraId="79BE7194"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54D366BA" w14:textId="77777777">
        <w:trPr>
          <w:trHeight w:val="240"/>
        </w:trPr>
        <w:tc>
          <w:tcPr>
            <w:tcW w:w="480" w:type="dxa"/>
          </w:tcPr>
          <w:p w14:paraId="2E67502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C7B5F6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3408E8B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 xml:space="preserve">La art. III - Legea nr. 135/2007 privind societățile cu răspundere limitată </w:t>
            </w:r>
          </w:p>
        </w:tc>
      </w:tr>
      <w:tr w:rsidR="0072652F" w14:paraId="554C835F" w14:textId="77777777">
        <w:tc>
          <w:tcPr>
            <w:tcW w:w="480" w:type="dxa"/>
          </w:tcPr>
          <w:p w14:paraId="4D18CFA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BE30A9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01A234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65C89EF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w:t>
            </w:r>
          </w:p>
          <w:p w14:paraId="5C86E50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Prin care se propune completarea legii cu clauza de armonizare, semnalăm că această lege conține deja o clauză de armonizare. În acest context, se recomandă expunerea în redacție nouă a clauzei de armonizare existente. Cu titlu general, în ceea ce privește </w:t>
            </w:r>
            <w:r>
              <w:rPr>
                <w:rFonts w:ascii="Times New Roman" w:eastAsia="Times New Roman" w:hAnsi="Times New Roman" w:cs="Times New Roman"/>
              </w:rPr>
              <w:lastRenderedPageBreak/>
              <w:t>modificările propuse la Legea nr. 135/2007, remarcăm că, deoarece societatea cu răspundere limitată (SRL) este cea mai răspândită formă de organizare a activității economice în Republica Moldova, inclusiv în cazul întreprinderilor mici și mijlocii, normele referitoare la momentul dobândirii calității de administrator, membru al consiliului, cenzor sau membru al comitetului de audit, precum și normele privind competențele adunării generale și cerințele de vot urmează a fi redactate cu maximă claritate.</w:t>
            </w:r>
          </w:p>
        </w:tc>
        <w:tc>
          <w:tcPr>
            <w:tcW w:w="5505" w:type="dxa"/>
          </w:tcPr>
          <w:p w14:paraId="3E0C6CE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7DBB627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18BE3D90" w14:textId="77777777" w:rsidR="0072652F" w:rsidRDefault="0072652F">
            <w:pPr>
              <w:pBdr>
                <w:top w:val="nil"/>
                <w:left w:val="nil"/>
                <w:bottom w:val="nil"/>
                <w:right w:val="nil"/>
                <w:between w:val="nil"/>
              </w:pBdr>
              <w:jc w:val="both"/>
              <w:rPr>
                <w:rFonts w:ascii="Times New Roman" w:eastAsia="Times New Roman" w:hAnsi="Times New Roman" w:cs="Times New Roman"/>
                <w:b/>
                <w:bCs/>
                <w:color w:val="FF0000"/>
              </w:rPr>
            </w:pPr>
          </w:p>
        </w:tc>
      </w:tr>
      <w:tr w:rsidR="0072652F" w14:paraId="6CD4206C" w14:textId="77777777">
        <w:tc>
          <w:tcPr>
            <w:tcW w:w="480" w:type="dxa"/>
          </w:tcPr>
          <w:p w14:paraId="7358A6F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B0AD25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934F1E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5F312CF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4, privind completarea cu art. 9</w:t>
            </w:r>
            <w:r>
              <w:rPr>
                <w:rFonts w:ascii="Times New Roman" w:eastAsia="Times New Roman" w:hAnsi="Times New Roman" w:cs="Times New Roman"/>
              </w:rPr>
              <w:t xml:space="preserve">¹ „Obligații aferente registrului de publicitate și actelor societății”, dacă administratorul unei SRL dobândește calitatea juridică numai de la data înregistrării în registrul de publicitate, există riscul blocării activității societății în caz de întârziere administrativă sau litigiu între asociați. Pentru societățile cu un asociat unic sau cu un număr redus de asociați, un asemenea blocaj poate afecta semnarea contractelor, efectuarea plăților, depunerea declarațiilor fiscale, reprezentarea în instanță și raporturile cu salariații. În acest sens, proiectul trebuie să distingă între efectele interne ale hotărârii de desemnare și opozabilitatea față de terți, pentru a evita paralizarea societăților prin simple formalități de registru. </w:t>
            </w:r>
          </w:p>
        </w:tc>
        <w:tc>
          <w:tcPr>
            <w:tcW w:w="5505" w:type="dxa"/>
          </w:tcPr>
          <w:p w14:paraId="7C97F2B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6C46A27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Scopul normei și modul de protecție a intereselor societății au fost explicate în mai sus în Tabelul de sinteză (art. I, pct. 3, ce vizează art. 8).</w:t>
            </w:r>
          </w:p>
        </w:tc>
      </w:tr>
      <w:tr w:rsidR="0072652F" w14:paraId="36733CA5" w14:textId="77777777">
        <w:tc>
          <w:tcPr>
            <w:tcW w:w="480" w:type="dxa"/>
          </w:tcPr>
          <w:p w14:paraId="20ECC40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629E11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FAD1C4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2F2393D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6, ce modifică art. 58</w:t>
            </w:r>
          </w:p>
          <w:p w14:paraId="02EC295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Semnalăm că revizuirea cerințelor de vot trebuie, de asemenea, să respecte echilibrul dintre protecția asociaților minoritari și </w:t>
            </w:r>
            <w:r>
              <w:rPr>
                <w:rFonts w:ascii="Times New Roman" w:eastAsia="Times New Roman" w:hAnsi="Times New Roman" w:cs="Times New Roman"/>
              </w:rPr>
              <w:lastRenderedPageBreak/>
              <w:t xml:space="preserve">autonomia de voință a asociaților. Normele imperative trebuie rezervate situațiilor în care există un interes public sau necesitatea protejării creditorilor, salariaților ori asociaților minoritari, în timp ce raporturile interne obișnuite trebuie să rămână suficient de flexibile pentru a permite funcționarea eficientă a SRL-urilor. O reglementare excesiv de rigidă poate transforma SRL-ul într-o formă juridică complexă, contrară specificului său de societate flexibilă și accesibilă. </w:t>
            </w:r>
          </w:p>
        </w:tc>
        <w:tc>
          <w:tcPr>
            <w:tcW w:w="5505" w:type="dxa"/>
          </w:tcPr>
          <w:p w14:paraId="38FA3D2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ia act.</w:t>
            </w:r>
          </w:p>
          <w:p w14:paraId="7308DF8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Proiectul de lege respectă acest principiu. În continuare se permite reducerea pragului de vot prevăzut de lege (100% sau 2/3 din toate voturile asociaților), cu condiția </w:t>
            </w:r>
            <w:r>
              <w:rPr>
                <w:rFonts w:ascii="Times New Roman" w:eastAsia="Times New Roman" w:hAnsi="Times New Roman" w:cs="Times New Roman"/>
              </w:rPr>
              <w:lastRenderedPageBreak/>
              <w:t>că statutul nu le coboară sub majoritate (50% + 1 vot), caz în care decizii importante, cum ar fi lichidarea societății, ar putea fi votate de unicul asociat minoritar care participă la adunare, ignorând drepturile de vot ale altor asociați (majoritari sau minoritari). Posibilitatea legală de a vota asemenea chestiuni fără votul pro al unei majorități din capitalul social ridică probleme serioase de legitimitate a hotărârii și este o cale ce favorizează convocarea de adunări generale simulate sau cu încălcări de convocare corespunzătoare.</w:t>
            </w:r>
          </w:p>
        </w:tc>
      </w:tr>
      <w:tr w:rsidR="0072652F" w14:paraId="28E672BB" w14:textId="77777777">
        <w:trPr>
          <w:trHeight w:val="240"/>
        </w:trPr>
        <w:tc>
          <w:tcPr>
            <w:tcW w:w="480" w:type="dxa"/>
          </w:tcPr>
          <w:p w14:paraId="7DEA454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F6FBB1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1C69FB9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 xml:space="preserve">La art. IV- Legea nr. 220/2007 privind înregistrarea de stat a persoanelor juridice și a întreprinzătorilor individuali </w:t>
            </w:r>
          </w:p>
        </w:tc>
      </w:tr>
      <w:tr w:rsidR="0072652F" w14:paraId="20C0C430" w14:textId="77777777">
        <w:tc>
          <w:tcPr>
            <w:tcW w:w="480" w:type="dxa"/>
          </w:tcPr>
          <w:p w14:paraId="2BCC285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234FC4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5BF2C1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220BA20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3, ce modifică art. 2</w:t>
            </w:r>
          </w:p>
          <w:p w14:paraId="3353FCC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Noțiunea „înregistrare de stat”, propusă în redacție nouă, se recomandă a fi corelată cu noțiunea de „decizia registratorului”, precum și cu prevederile Legii nr. 220/2007 per general. </w:t>
            </w:r>
          </w:p>
          <w:p w14:paraId="3815190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În acest sens, sugerăm substituirea cuvântului „lichidarea” cu cuvântul „dizolvarea” și substituirea textului „constituirea și încetarea calității de întreprinzător individual și a gospodăriilor țărănești (de fermier)” cu textul „obținerea și încetarea calității de întreprinzător individual, constituirea și încetarea activității gospodăriei țărănești (de fermier)”. </w:t>
            </w:r>
          </w:p>
          <w:p w14:paraId="1C6E57B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În dispoziția de modificare a noțiunii „decizia registratorului” cuvintele „se substituie cu” se vor înlocui cu cuvintele „va avea”. Se va reține că, în cazul expunerii în redacție nouă a conținutului unui element structural sau a unei părți a acestuia, sau în </w:t>
            </w:r>
            <w:r>
              <w:rPr>
                <w:rFonts w:ascii="Times New Roman" w:eastAsia="Times New Roman" w:hAnsi="Times New Roman" w:cs="Times New Roman"/>
              </w:rPr>
              <w:lastRenderedPageBreak/>
              <w:t xml:space="preserve">cazul operațiunii de completare cu o nouă dispoziție se va utiliza sintagma „va avea următorul cuprins:”, urmată de redarea noului text. La noțiunea „sucursala societății străine” la lit. b) textul „la lit. a)” se va substitui cu referință la actul menționat la lit. a), având în vedere regula statuată la art. 55 alin. (3) din Legea nr. 100/2017, conform căreia nu se admite trimiterea la o altă normă de trimitere. </w:t>
            </w:r>
          </w:p>
        </w:tc>
        <w:tc>
          <w:tcPr>
            <w:tcW w:w="5505" w:type="dxa"/>
          </w:tcPr>
          <w:p w14:paraId="502710F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05C1E01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„Dizolvarea” a fost adăugată după „lichidarea”, deoarece registratorul are atribuții în ambele domenii.</w:t>
            </w:r>
          </w:p>
          <w:p w14:paraId="79BFAE5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 privitor la II și GT.</w:t>
            </w:r>
          </w:p>
          <w:p w14:paraId="498F6E4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E87A38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Proiectul a fost ajustat.</w:t>
            </w:r>
          </w:p>
          <w:p w14:paraId="5499D2F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C3FA59A"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795B0918" w14:textId="77777777">
        <w:tc>
          <w:tcPr>
            <w:tcW w:w="480" w:type="dxa"/>
          </w:tcPr>
          <w:p w14:paraId="1E33249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B10068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0D6658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5C0267C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4</w:t>
            </w:r>
          </w:p>
          <w:p w14:paraId="6355094C" w14:textId="2A41E6DA"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Se susține propunerea de completare a art. 3 cu alin. (2). Totodată, ținând cont de specificul constituirii </w:t>
            </w:r>
            <w:r w:rsidR="00E912D4">
              <w:rPr>
                <w:rFonts w:ascii="Times New Roman" w:eastAsia="Times New Roman" w:hAnsi="Times New Roman" w:cs="Times New Roman"/>
              </w:rPr>
              <w:t>și</w:t>
            </w:r>
            <w:r>
              <w:rPr>
                <w:rFonts w:ascii="Times New Roman" w:eastAsia="Times New Roman" w:hAnsi="Times New Roman" w:cs="Times New Roman"/>
              </w:rPr>
              <w:t xml:space="preserve"> funcționării organelor de autoadministrare a profesiilor juridice, se propune completarea aceluiași alineat cu textul „ , precum </w:t>
            </w:r>
            <w:r w:rsidR="00E912D4">
              <w:rPr>
                <w:rFonts w:ascii="Times New Roman" w:eastAsia="Times New Roman" w:hAnsi="Times New Roman" w:cs="Times New Roman"/>
              </w:rPr>
              <w:t>și</w:t>
            </w:r>
            <w:r>
              <w:rPr>
                <w:rFonts w:ascii="Times New Roman" w:eastAsia="Times New Roman" w:hAnsi="Times New Roman" w:cs="Times New Roman"/>
              </w:rPr>
              <w:t xml:space="preserve"> organelor de autoadministrare ale acestora.”.</w:t>
            </w:r>
          </w:p>
          <w:p w14:paraId="5052A30B" w14:textId="0863FF21"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 Astfel, art. 3 alin. (2) va avea următoarea redacție: „Prezenta lege nu se aplică înregistrării de stat </w:t>
            </w:r>
            <w:r w:rsidR="00E912D4">
              <w:rPr>
                <w:rFonts w:ascii="Times New Roman" w:eastAsia="Times New Roman" w:hAnsi="Times New Roman" w:cs="Times New Roman"/>
              </w:rPr>
              <w:t>profesioniștilor</w:t>
            </w:r>
            <w:r>
              <w:rPr>
                <w:rFonts w:ascii="Times New Roman" w:eastAsia="Times New Roman" w:hAnsi="Times New Roman" w:cs="Times New Roman"/>
              </w:rPr>
              <w:t xml:space="preserve"> a căror organizare, funcționare </w:t>
            </w:r>
            <w:r w:rsidR="00E912D4">
              <w:rPr>
                <w:rFonts w:ascii="Times New Roman" w:eastAsia="Times New Roman" w:hAnsi="Times New Roman" w:cs="Times New Roman"/>
              </w:rPr>
              <w:t>și</w:t>
            </w:r>
            <w:r>
              <w:rPr>
                <w:rFonts w:ascii="Times New Roman" w:eastAsia="Times New Roman" w:hAnsi="Times New Roman" w:cs="Times New Roman"/>
              </w:rPr>
              <w:t xml:space="preserve"> evidență sunt reglementate prin acte normative speciale, precum și organelor de autoadministrare ale acestora.” </w:t>
            </w:r>
          </w:p>
        </w:tc>
        <w:tc>
          <w:tcPr>
            <w:tcW w:w="5505" w:type="dxa"/>
          </w:tcPr>
          <w:p w14:paraId="0D45AF3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455ECE9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6128E80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r>
      <w:tr w:rsidR="0072652F" w14:paraId="5973D933" w14:textId="77777777">
        <w:tc>
          <w:tcPr>
            <w:tcW w:w="480" w:type="dxa"/>
          </w:tcPr>
          <w:p w14:paraId="3478DDC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BE0B8B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171C134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2B1BBAB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5</w:t>
            </w:r>
          </w:p>
          <w:p w14:paraId="61D611D5" w14:textId="3B6F7C05"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Completarea art. 4 cu alin. (1/2 ) cu următorul cuprins: „(1/2 ) Pentru acordarea de către organul înregistrării de stat, la cerere, a serviciilor conexe înregistrării de stat se percepe o taxă în mărimea și modul prevăzute de Guvern.”, urmează a fi revizuită, având în vedere că în prezent anexa la Legea nr. 220/2007 prevede taxele pentru înregistrarea de stat </w:t>
            </w:r>
            <w:r w:rsidR="00E912D4">
              <w:rPr>
                <w:rFonts w:ascii="Times New Roman" w:eastAsia="Times New Roman" w:hAnsi="Times New Roman" w:cs="Times New Roman"/>
              </w:rPr>
              <w:t>și</w:t>
            </w:r>
            <w:r>
              <w:rPr>
                <w:rFonts w:ascii="Times New Roman" w:eastAsia="Times New Roman" w:hAnsi="Times New Roman" w:cs="Times New Roman"/>
              </w:rPr>
              <w:t xml:space="preserve"> serviciile </w:t>
            </w:r>
            <w:r>
              <w:rPr>
                <w:rFonts w:ascii="Times New Roman" w:eastAsia="Times New Roman" w:hAnsi="Times New Roman" w:cs="Times New Roman"/>
              </w:rPr>
              <w:lastRenderedPageBreak/>
              <w:t xml:space="preserve">prestate de Agenția Servicii Publice. Totodată, prin proiect se propune excluderea unor poziții din această anexă pentru a fi stabilite de către Guvern. Mai mult, atât pe parcursul textului proiectului, cât și în cuprinsul Legii nr. 220/2007 în vigoare, noțiunea de „servicii conexe înregistrării de stat” nu se regăsește. Prin urmare, abordarea respectivă va diminua nivelul de previzibilitate a reglementării, în special previzibilitatea cheltuielilor. În acest sens atestăm că nota de fundamentare nu oferă argumente clare privind necesitatea operării unor astfel de modificări. </w:t>
            </w:r>
          </w:p>
        </w:tc>
        <w:tc>
          <w:tcPr>
            <w:tcW w:w="5505" w:type="dxa"/>
          </w:tcPr>
          <w:p w14:paraId="6C770A0B"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2DC936E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 pentru a specifica limita legală: „mărimea căreia nu va depăși costul administrativ al serviciului”.</w:t>
            </w:r>
          </w:p>
          <w:p w14:paraId="1B4B9C13" w14:textId="77777777" w:rsidR="0072652F" w:rsidRDefault="0072652F">
            <w:pPr>
              <w:jc w:val="both"/>
              <w:rPr>
                <w:rFonts w:ascii="Times New Roman" w:eastAsia="Times New Roman" w:hAnsi="Times New Roman" w:cs="Times New Roman"/>
              </w:rPr>
            </w:pPr>
          </w:p>
          <w:p w14:paraId="3EAF572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Potrivit ASP, necesitatea completării art. 4 din Legea nr. 220/2007 cu alin. (12) rezidă din următoarele considerente:</w:t>
            </w:r>
          </w:p>
          <w:p w14:paraId="67B01DC1" w14:textId="481E2FEC"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Odată cu lansarea sistemului </w:t>
            </w:r>
            <w:r w:rsidR="00E912D4">
              <w:rPr>
                <w:rFonts w:ascii="Times New Roman" w:eastAsia="Times New Roman" w:hAnsi="Times New Roman" w:cs="Times New Roman"/>
              </w:rPr>
              <w:t>informațional</w:t>
            </w:r>
            <w:r>
              <w:rPr>
                <w:rFonts w:ascii="Times New Roman" w:eastAsia="Times New Roman" w:hAnsi="Times New Roman" w:cs="Times New Roman"/>
              </w:rPr>
              <w:t xml:space="preserve"> „Registrul de stat al </w:t>
            </w:r>
            <w:r w:rsidR="00E912D4">
              <w:rPr>
                <w:rFonts w:ascii="Times New Roman" w:eastAsia="Times New Roman" w:hAnsi="Times New Roman" w:cs="Times New Roman"/>
              </w:rPr>
              <w:t>unităților</w:t>
            </w:r>
            <w:r>
              <w:rPr>
                <w:rFonts w:ascii="Times New Roman" w:eastAsia="Times New Roman" w:hAnsi="Times New Roman" w:cs="Times New Roman"/>
              </w:rPr>
              <w:t xml:space="preserve"> de drept” (RSUD) au intervenit </w:t>
            </w:r>
            <w:r>
              <w:rPr>
                <w:rFonts w:ascii="Times New Roman" w:eastAsia="Times New Roman" w:hAnsi="Times New Roman" w:cs="Times New Roman"/>
              </w:rPr>
              <w:lastRenderedPageBreak/>
              <w:t xml:space="preserve">modificări esențiale în procedura de înregistrare, care necesită prestarea de către </w:t>
            </w:r>
            <w:r w:rsidR="00E912D4">
              <w:rPr>
                <w:rFonts w:ascii="Times New Roman" w:eastAsia="Times New Roman" w:hAnsi="Times New Roman" w:cs="Times New Roman"/>
              </w:rPr>
              <w:t>Agenția</w:t>
            </w:r>
            <w:r>
              <w:rPr>
                <w:rFonts w:ascii="Times New Roman" w:eastAsia="Times New Roman" w:hAnsi="Times New Roman" w:cs="Times New Roman"/>
              </w:rPr>
              <w:t xml:space="preserve"> Servicii Publice a unor servicii conexe, în special ce vizează perfectarea/redactarea actelor de constituire ale persoanelor juridice. Astfel, cadrul normativ în vigoare nu permite ASP să perfecteze, la cererea </w:t>
            </w:r>
            <w:r w:rsidR="00E912D4">
              <w:rPr>
                <w:rFonts w:ascii="Times New Roman" w:eastAsia="Times New Roman" w:hAnsi="Times New Roman" w:cs="Times New Roman"/>
              </w:rPr>
              <w:t>solicitanților</w:t>
            </w:r>
            <w:r>
              <w:rPr>
                <w:rFonts w:ascii="Times New Roman" w:eastAsia="Times New Roman" w:hAnsi="Times New Roman" w:cs="Times New Roman"/>
              </w:rPr>
              <w:t xml:space="preserve">, actele de constituire pentru înregistrarea de stat </w:t>
            </w:r>
            <w:r w:rsidR="00E912D4">
              <w:rPr>
                <w:rFonts w:ascii="Times New Roman" w:eastAsia="Times New Roman" w:hAnsi="Times New Roman" w:cs="Times New Roman"/>
              </w:rPr>
              <w:t>și</w:t>
            </w:r>
            <w:r>
              <w:rPr>
                <w:rFonts w:ascii="Times New Roman" w:eastAsia="Times New Roman" w:hAnsi="Times New Roman" w:cs="Times New Roman"/>
              </w:rPr>
              <w:t xml:space="preserve"> beneficiarii de servicii sunt </w:t>
            </w:r>
            <w:r w:rsidR="00E912D4">
              <w:rPr>
                <w:rFonts w:ascii="Times New Roman" w:eastAsia="Times New Roman" w:hAnsi="Times New Roman" w:cs="Times New Roman"/>
              </w:rPr>
              <w:t>nevoiți</w:t>
            </w:r>
            <w:r>
              <w:rPr>
                <w:rFonts w:ascii="Times New Roman" w:eastAsia="Times New Roman" w:hAnsi="Times New Roman" w:cs="Times New Roman"/>
              </w:rPr>
              <w:t xml:space="preserve"> să apeleze la servicii juridice private. Abilitarea statului prin dotarea ASP cu atribuția de a presta servicii conexe înregistrării de stat, cum ar fi perfectarea/redactarea actelor de constituire, în paralel cu asistența juridică privată, va permite reducerea barierelor la inițierea afacerii, eficientizarea procesului înregistrării de stat, asigurarea solicitantului cu dreptul la libera alegere, costuri reglementate de stat, alinierea la practicile internaționale.</w:t>
            </w:r>
          </w:p>
          <w:p w14:paraId="6A726F1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Prestarea serviciilor conexe (perfectarea/redactarea actelor de constituire, servicii de consultanță, notări în Registrul de stat, </w:t>
            </w:r>
            <w:proofErr w:type="spellStart"/>
            <w:r>
              <w:rPr>
                <w:rFonts w:ascii="Times New Roman" w:eastAsia="Times New Roman" w:hAnsi="Times New Roman" w:cs="Times New Roman"/>
              </w:rPr>
              <w:t>ş.a</w:t>
            </w:r>
            <w:proofErr w:type="spellEnd"/>
            <w:r>
              <w:rPr>
                <w:rFonts w:ascii="Times New Roman" w:eastAsia="Times New Roman" w:hAnsi="Times New Roman" w:cs="Times New Roman"/>
              </w:rPr>
              <w:t>.) generează costuri administrative și operaționale pentru organul înregistrării de stat. Reglementarea expresă a perceperii taxelor permite recuperarea acestor costuri și contribuie la utilizarea eficientă a resurselor publice.</w:t>
            </w:r>
          </w:p>
          <w:p w14:paraId="431CE0D5" w14:textId="0792BC62"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Conform prevederilor art. (4) alin. (1) din Legea nr. 220/2007 privind înregistrarea de stat a persoanelor juridice </w:t>
            </w:r>
            <w:r w:rsidR="00E912D4">
              <w:rPr>
                <w:rFonts w:ascii="Times New Roman" w:eastAsia="Times New Roman" w:hAnsi="Times New Roman" w:cs="Times New Roman"/>
              </w:rPr>
              <w:t>și</w:t>
            </w:r>
            <w:r>
              <w:rPr>
                <w:rFonts w:ascii="Times New Roman" w:eastAsia="Times New Roman" w:hAnsi="Times New Roman" w:cs="Times New Roman"/>
              </w:rPr>
              <w:t xml:space="preserve"> a întreprinzătorilor individuali,  pentru înregistrarea de stat a persoanelor juridice </w:t>
            </w:r>
            <w:r w:rsidR="00E912D4">
              <w:rPr>
                <w:rFonts w:ascii="Times New Roman" w:eastAsia="Times New Roman" w:hAnsi="Times New Roman" w:cs="Times New Roman"/>
              </w:rPr>
              <w:t>și</w:t>
            </w:r>
            <w:r>
              <w:rPr>
                <w:rFonts w:ascii="Times New Roman" w:eastAsia="Times New Roman" w:hAnsi="Times New Roman" w:cs="Times New Roman"/>
              </w:rPr>
              <w:t xml:space="preserve"> a întreprinzătorilor individuali, pentru înregistrarea modificărilor în actele de constituire </w:t>
            </w:r>
            <w:r w:rsidR="00E912D4">
              <w:rPr>
                <w:rFonts w:ascii="Times New Roman" w:eastAsia="Times New Roman" w:hAnsi="Times New Roman" w:cs="Times New Roman"/>
              </w:rPr>
              <w:t>și</w:t>
            </w:r>
            <w:r>
              <w:rPr>
                <w:rFonts w:ascii="Times New Roman" w:eastAsia="Times New Roman" w:hAnsi="Times New Roman" w:cs="Times New Roman"/>
              </w:rPr>
              <w:t xml:space="preserve"> în datele înscrise în Registrul de stat </w:t>
            </w:r>
            <w:r w:rsidR="00E912D4">
              <w:rPr>
                <w:rFonts w:ascii="Times New Roman" w:eastAsia="Times New Roman" w:hAnsi="Times New Roman" w:cs="Times New Roman"/>
              </w:rPr>
              <w:t>și</w:t>
            </w:r>
            <w:r>
              <w:rPr>
                <w:rFonts w:ascii="Times New Roman" w:eastAsia="Times New Roman" w:hAnsi="Times New Roman" w:cs="Times New Roman"/>
              </w:rPr>
              <w:t xml:space="preserve"> pentru prestarea serviciilor se percepe o taxă, în mărimea </w:t>
            </w:r>
            <w:r w:rsidR="00E912D4">
              <w:rPr>
                <w:rFonts w:ascii="Times New Roman" w:eastAsia="Times New Roman" w:hAnsi="Times New Roman" w:cs="Times New Roman"/>
              </w:rPr>
              <w:t>și</w:t>
            </w:r>
            <w:r>
              <w:rPr>
                <w:rFonts w:ascii="Times New Roman" w:eastAsia="Times New Roman" w:hAnsi="Times New Roman" w:cs="Times New Roman"/>
              </w:rPr>
              <w:t xml:space="preserve"> în modul prevăzute de Guvern, al cărei cuantum nu poate fi mai mare decât cel prevăzut în anexa la această lege. Delegarea către Guvern a competenței de a stabili mărimea și modul de percepere a taxelor pentru serviciile conexe permite </w:t>
            </w:r>
            <w:r>
              <w:rPr>
                <w:rFonts w:ascii="Times New Roman" w:eastAsia="Times New Roman" w:hAnsi="Times New Roman" w:cs="Times New Roman"/>
              </w:rPr>
              <w:lastRenderedPageBreak/>
              <w:t xml:space="preserve">ajustarea operativă a acestora în funcție de costurile reale ale serviciilor, de evoluția proceselor administrative și de necesitățile de digitalizare, fără a fi necesară modificarea repetată a legii. În acest sens, </w:t>
            </w:r>
            <w:r w:rsidR="00E912D4">
              <w:rPr>
                <w:rFonts w:ascii="Times New Roman" w:eastAsia="Times New Roman" w:hAnsi="Times New Roman" w:cs="Times New Roman"/>
              </w:rPr>
              <w:t>menționăm</w:t>
            </w:r>
            <w:r>
              <w:rPr>
                <w:rFonts w:ascii="Times New Roman" w:eastAsia="Times New Roman" w:hAnsi="Times New Roman" w:cs="Times New Roman"/>
              </w:rPr>
              <w:t xml:space="preserve"> că tarifele pentru serviciile prestate de către </w:t>
            </w:r>
            <w:r w:rsidR="00E912D4">
              <w:rPr>
                <w:rFonts w:ascii="Times New Roman" w:eastAsia="Times New Roman" w:hAnsi="Times New Roman" w:cs="Times New Roman"/>
              </w:rPr>
              <w:t>Agenția</w:t>
            </w:r>
            <w:r>
              <w:rPr>
                <w:rFonts w:ascii="Times New Roman" w:eastAsia="Times New Roman" w:hAnsi="Times New Roman" w:cs="Times New Roman"/>
              </w:rPr>
              <w:t xml:space="preserve"> Servicii Publice sunt reglementate expres de Hotărârea Guvernului nr. 966/2020.</w:t>
            </w:r>
          </w:p>
          <w:p w14:paraId="45EA218C" w14:textId="1F8A25BB"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Este de </w:t>
            </w:r>
            <w:r w:rsidR="00E912D4">
              <w:rPr>
                <w:rFonts w:ascii="Times New Roman" w:eastAsia="Times New Roman" w:hAnsi="Times New Roman" w:cs="Times New Roman"/>
              </w:rPr>
              <w:t>menționat</w:t>
            </w:r>
            <w:r>
              <w:rPr>
                <w:rFonts w:ascii="Times New Roman" w:eastAsia="Times New Roman" w:hAnsi="Times New Roman" w:cs="Times New Roman"/>
              </w:rPr>
              <w:t xml:space="preserve"> că, potrivit prevederilor art. 15 alin. (4) din Legea       </w:t>
            </w:r>
            <w:r>
              <w:rPr>
                <w:rFonts w:ascii="Times New Roman" w:eastAsia="Times New Roman" w:hAnsi="Times New Roman" w:cs="Times New Roman"/>
              </w:rPr>
              <w:tab/>
              <w:t xml:space="preserve">nr. 98/2012 privind </w:t>
            </w:r>
            <w:r w:rsidR="00E912D4">
              <w:rPr>
                <w:rFonts w:ascii="Times New Roman" w:eastAsia="Times New Roman" w:hAnsi="Times New Roman" w:cs="Times New Roman"/>
              </w:rPr>
              <w:t>administrația</w:t>
            </w:r>
            <w:r>
              <w:rPr>
                <w:rFonts w:ascii="Times New Roman" w:eastAsia="Times New Roman" w:hAnsi="Times New Roman" w:cs="Times New Roman"/>
              </w:rPr>
              <w:t xml:space="preserve"> publică centrală de specialitate, Guvernul aprobă metodologia de calculare a tarifelor, nomenclatorul serviciilor </w:t>
            </w:r>
            <w:r w:rsidR="00E912D4">
              <w:rPr>
                <w:rFonts w:ascii="Times New Roman" w:eastAsia="Times New Roman" w:hAnsi="Times New Roman" w:cs="Times New Roman"/>
              </w:rPr>
              <w:t>și</w:t>
            </w:r>
            <w:r>
              <w:rPr>
                <w:rFonts w:ascii="Times New Roman" w:eastAsia="Times New Roman" w:hAnsi="Times New Roman" w:cs="Times New Roman"/>
              </w:rPr>
              <w:t xml:space="preserve"> cuantumul tarifelor pentru serviciile prestate persoanelor fizice </w:t>
            </w:r>
            <w:r w:rsidR="00E912D4">
              <w:rPr>
                <w:rFonts w:ascii="Times New Roman" w:eastAsia="Times New Roman" w:hAnsi="Times New Roman" w:cs="Times New Roman"/>
              </w:rPr>
              <w:t>și</w:t>
            </w:r>
            <w:r>
              <w:rPr>
                <w:rFonts w:ascii="Times New Roman" w:eastAsia="Times New Roman" w:hAnsi="Times New Roman" w:cs="Times New Roman"/>
              </w:rPr>
              <w:t xml:space="preserve"> juridice de către </w:t>
            </w:r>
            <w:r w:rsidR="00E912D4">
              <w:rPr>
                <w:rFonts w:ascii="Times New Roman" w:eastAsia="Times New Roman" w:hAnsi="Times New Roman" w:cs="Times New Roman"/>
              </w:rPr>
              <w:t>autoritățile</w:t>
            </w:r>
            <w:r>
              <w:rPr>
                <w:rFonts w:ascii="Times New Roman" w:eastAsia="Times New Roman" w:hAnsi="Times New Roman" w:cs="Times New Roman"/>
              </w:rPr>
              <w:t xml:space="preserve"> administrative, cu </w:t>
            </w:r>
            <w:r w:rsidR="00E912D4">
              <w:rPr>
                <w:rFonts w:ascii="Times New Roman" w:eastAsia="Times New Roman" w:hAnsi="Times New Roman" w:cs="Times New Roman"/>
              </w:rPr>
              <w:t>excepția</w:t>
            </w:r>
            <w:r>
              <w:rPr>
                <w:rFonts w:ascii="Times New Roman" w:eastAsia="Times New Roman" w:hAnsi="Times New Roman" w:cs="Times New Roman"/>
              </w:rPr>
              <w:t xml:space="preserve"> cazurilor în care aceasta </w:t>
            </w:r>
            <w:r w:rsidR="00E912D4">
              <w:rPr>
                <w:rFonts w:ascii="Times New Roman" w:eastAsia="Times New Roman" w:hAnsi="Times New Roman" w:cs="Times New Roman"/>
              </w:rPr>
              <w:t>ține</w:t>
            </w:r>
            <w:r>
              <w:rPr>
                <w:rFonts w:ascii="Times New Roman" w:eastAsia="Times New Roman" w:hAnsi="Times New Roman" w:cs="Times New Roman"/>
              </w:rPr>
              <w:t xml:space="preserve"> de </w:t>
            </w:r>
            <w:r w:rsidR="00E912D4">
              <w:rPr>
                <w:rFonts w:ascii="Times New Roman" w:eastAsia="Times New Roman" w:hAnsi="Times New Roman" w:cs="Times New Roman"/>
              </w:rPr>
              <w:t>competența</w:t>
            </w:r>
            <w:r>
              <w:rPr>
                <w:rFonts w:ascii="Times New Roman" w:eastAsia="Times New Roman" w:hAnsi="Times New Roman" w:cs="Times New Roman"/>
              </w:rPr>
              <w:t xml:space="preserve"> Parlamentului, în conformitate cu Legea nr.160/2011 privind reglementarea prin autorizare a </w:t>
            </w:r>
            <w:r w:rsidR="00E912D4">
              <w:rPr>
                <w:rFonts w:ascii="Times New Roman" w:eastAsia="Times New Roman" w:hAnsi="Times New Roman" w:cs="Times New Roman"/>
              </w:rPr>
              <w:t>activității</w:t>
            </w:r>
            <w:r>
              <w:rPr>
                <w:rFonts w:ascii="Times New Roman" w:eastAsia="Times New Roman" w:hAnsi="Times New Roman" w:cs="Times New Roman"/>
              </w:rPr>
              <w:t xml:space="preserve"> de întreprinzător. Totodată, subliniem că potrivit art. 2 alin.(1) din legea prenotată, sub </w:t>
            </w:r>
            <w:r w:rsidR="00E912D4">
              <w:rPr>
                <w:rFonts w:ascii="Times New Roman" w:eastAsia="Times New Roman" w:hAnsi="Times New Roman" w:cs="Times New Roman"/>
              </w:rPr>
              <w:t>incidența</w:t>
            </w:r>
            <w:r>
              <w:rPr>
                <w:rFonts w:ascii="Times New Roman" w:eastAsia="Times New Roman" w:hAnsi="Times New Roman" w:cs="Times New Roman"/>
              </w:rPr>
              <w:t xml:space="preserve"> acestei legi cad inclusiv </w:t>
            </w:r>
            <w:r w:rsidR="00E912D4">
              <w:rPr>
                <w:rFonts w:ascii="Times New Roman" w:eastAsia="Times New Roman" w:hAnsi="Times New Roman" w:cs="Times New Roman"/>
              </w:rPr>
              <w:t>și</w:t>
            </w:r>
            <w:r>
              <w:rPr>
                <w:rFonts w:ascii="Times New Roman" w:eastAsia="Times New Roman" w:hAnsi="Times New Roman" w:cs="Times New Roman"/>
              </w:rPr>
              <w:t xml:space="preserve"> </w:t>
            </w:r>
            <w:r w:rsidR="00E912D4">
              <w:rPr>
                <w:rFonts w:ascii="Times New Roman" w:eastAsia="Times New Roman" w:hAnsi="Times New Roman" w:cs="Times New Roman"/>
              </w:rPr>
              <w:t>instituțiile</w:t>
            </w:r>
            <w:r>
              <w:rPr>
                <w:rFonts w:ascii="Times New Roman" w:eastAsia="Times New Roman" w:hAnsi="Times New Roman" w:cs="Times New Roman"/>
              </w:rPr>
              <w:t xml:space="preserve"> publice în care ministerul, Cancelaria de Stat sau altă autoritate administrativă centrală are calitatea de fondator.</w:t>
            </w:r>
          </w:p>
          <w:p w14:paraId="4215CD5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Totodată, norma propusă va oferi solicitanților o bază legală clară privind existența obligației de plată, precum și modalitatea de stabilire a cuantumului taxei, contribuind la previzibilitatea raporturilor juridice dintre beneficiari și organul înregistrării de stat.</w:t>
            </w:r>
          </w:p>
        </w:tc>
      </w:tr>
      <w:tr w:rsidR="0072652F" w14:paraId="6B6CAD81" w14:textId="77777777">
        <w:tc>
          <w:tcPr>
            <w:tcW w:w="480" w:type="dxa"/>
          </w:tcPr>
          <w:p w14:paraId="4C605BC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7AD005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2F2BB6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250D632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7</w:t>
            </w:r>
          </w:p>
          <w:p w14:paraId="0DA169C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Ce modifică art. 7, la alin. (4) lit. a) se va revedea sintagma „legislației naționale”, întrucât nu este clar la care legislație se referă în acest caz. </w:t>
            </w:r>
          </w:p>
        </w:tc>
        <w:tc>
          <w:tcPr>
            <w:tcW w:w="5505" w:type="dxa"/>
          </w:tcPr>
          <w:p w14:paraId="0463708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75E19DB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a fost ajustat pentru a se preciza că se are în vedere țara de origine a persoanei juridice străine, și nu Republica Moldova.</w:t>
            </w:r>
          </w:p>
        </w:tc>
      </w:tr>
      <w:tr w:rsidR="0072652F" w14:paraId="001D3F3A" w14:textId="77777777">
        <w:tc>
          <w:tcPr>
            <w:tcW w:w="480" w:type="dxa"/>
          </w:tcPr>
          <w:p w14:paraId="43490BE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645A4EE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79186F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24F2F75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8</w:t>
            </w:r>
          </w:p>
          <w:p w14:paraId="1808719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Ce modifică art. 8 alin. (2³), cuvântul „Suplimentar” se va exclude ca fiind excedent în cazul dat </w:t>
            </w:r>
          </w:p>
        </w:tc>
        <w:tc>
          <w:tcPr>
            <w:tcW w:w="5505" w:type="dxa"/>
          </w:tcPr>
          <w:p w14:paraId="16FAA0A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27F1BE4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20A647D2" w14:textId="77777777">
        <w:tc>
          <w:tcPr>
            <w:tcW w:w="480" w:type="dxa"/>
          </w:tcPr>
          <w:p w14:paraId="7D0F459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DEDDAE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8F3630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6C2AC33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9</w:t>
            </w:r>
          </w:p>
          <w:p w14:paraId="3F90976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redacția propusă a art. 8¹ , la alin. (2) lit. c), se va elimina dublarea cuvântului „autoritățile”. </w:t>
            </w:r>
          </w:p>
        </w:tc>
        <w:tc>
          <w:tcPr>
            <w:tcW w:w="5505" w:type="dxa"/>
          </w:tcPr>
          <w:p w14:paraId="290D5D0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0B7A7A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0E07AE4B" w14:textId="77777777">
        <w:tc>
          <w:tcPr>
            <w:tcW w:w="480" w:type="dxa"/>
          </w:tcPr>
          <w:p w14:paraId="261DFA9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672333C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4C86555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5884A5F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10</w:t>
            </w:r>
          </w:p>
          <w:p w14:paraId="73DF2FB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redacția propusă la art. 9 alin. (7), semnalăm că a fost omisă verificarea denumirii sub aspectul corectitudinii lingvistice, pe când alin. (11), ce stabilește interdicții la înregistrarea unei denumiri, se completează cu lit. g) privind necorespunderea cerințelor lingvistice. Prin urmare, se va elucida acest aspect. </w:t>
            </w:r>
          </w:p>
        </w:tc>
        <w:tc>
          <w:tcPr>
            <w:tcW w:w="5505" w:type="dxa"/>
          </w:tcPr>
          <w:p w14:paraId="54369AE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4DE09F7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Din proiectul de lege s-a înlăturat excluderea verificării denumirii sub aspectul corectitudinii lingvistice.</w:t>
            </w:r>
          </w:p>
          <w:p w14:paraId="3D51E65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9FDFF68" w14:textId="77777777" w:rsidR="0072652F" w:rsidRDefault="0072652F">
            <w:pPr>
              <w:spacing w:line="276" w:lineRule="auto"/>
              <w:ind w:firstLine="700"/>
              <w:jc w:val="both"/>
              <w:rPr>
                <w:rFonts w:ascii="Times New Roman" w:eastAsia="Times New Roman" w:hAnsi="Times New Roman" w:cs="Times New Roman"/>
                <w:sz w:val="28"/>
                <w:szCs w:val="28"/>
                <w:shd w:val="clear" w:color="auto" w:fill="FF9900"/>
              </w:rPr>
            </w:pPr>
          </w:p>
          <w:p w14:paraId="703BF8E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7C93BCB"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34D4DCFB" w14:textId="77777777">
        <w:tc>
          <w:tcPr>
            <w:tcW w:w="480" w:type="dxa"/>
          </w:tcPr>
          <w:p w14:paraId="57B63B0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050355D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C00A17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4485" w:type="dxa"/>
          </w:tcPr>
          <w:p w14:paraId="6F406C29" w14:textId="77777777" w:rsidR="0072652F" w:rsidRPr="00E912D4" w:rsidRDefault="00000000">
            <w:pPr>
              <w:pBdr>
                <w:top w:val="nil"/>
                <w:left w:val="nil"/>
                <w:bottom w:val="nil"/>
                <w:right w:val="nil"/>
                <w:between w:val="nil"/>
              </w:pBdr>
              <w:jc w:val="both"/>
              <w:rPr>
                <w:rFonts w:ascii="Times New Roman" w:eastAsia="Times New Roman" w:hAnsi="Times New Roman" w:cs="Times New Roman"/>
                <w:b/>
                <w:bCs/>
              </w:rPr>
            </w:pPr>
            <w:r w:rsidRPr="00E912D4">
              <w:rPr>
                <w:rFonts w:ascii="Times New Roman" w:eastAsia="Times New Roman" w:hAnsi="Times New Roman" w:cs="Times New Roman"/>
                <w:b/>
                <w:bCs/>
              </w:rPr>
              <w:t>La pct. 12, ce modifică art. 11</w:t>
            </w:r>
          </w:p>
          <w:p w14:paraId="158257CF" w14:textId="77777777" w:rsidR="0072652F" w:rsidRPr="00E912D4" w:rsidRDefault="00000000">
            <w:pPr>
              <w:pBdr>
                <w:top w:val="nil"/>
                <w:left w:val="nil"/>
                <w:bottom w:val="nil"/>
                <w:right w:val="nil"/>
                <w:between w:val="nil"/>
              </w:pBdr>
              <w:jc w:val="both"/>
              <w:rPr>
                <w:rFonts w:ascii="Times New Roman" w:eastAsia="Times New Roman" w:hAnsi="Times New Roman" w:cs="Times New Roman"/>
              </w:rPr>
            </w:pPr>
            <w:r w:rsidRPr="00E912D4">
              <w:rPr>
                <w:rFonts w:ascii="Times New Roman" w:eastAsia="Times New Roman" w:hAnsi="Times New Roman" w:cs="Times New Roman"/>
              </w:rPr>
              <w:t xml:space="preserve">[1] Cu referire la modificarea alin. (1) lit. a) liniuța a patra textul „obiectului (genului)” se va substitui cu cuvântul „genului”, în vederea uniformizării terminologiei utilizate conform Legii nr. 220/2007. </w:t>
            </w:r>
          </w:p>
          <w:p w14:paraId="446F5DDE" w14:textId="6CEEEA1A" w:rsidR="0072652F" w:rsidRPr="00E912D4" w:rsidRDefault="00000000">
            <w:pPr>
              <w:pBdr>
                <w:top w:val="nil"/>
                <w:left w:val="nil"/>
                <w:bottom w:val="nil"/>
                <w:right w:val="nil"/>
                <w:between w:val="nil"/>
              </w:pBdr>
              <w:jc w:val="both"/>
              <w:rPr>
                <w:rFonts w:ascii="Times New Roman" w:eastAsia="Times New Roman" w:hAnsi="Times New Roman" w:cs="Times New Roman"/>
              </w:rPr>
            </w:pPr>
            <w:r w:rsidRPr="00E912D4">
              <w:rPr>
                <w:rFonts w:ascii="Times New Roman" w:eastAsia="Times New Roman" w:hAnsi="Times New Roman" w:cs="Times New Roman"/>
              </w:rPr>
              <w:t xml:space="preserve">[2] Semnalăm că abrogarea alin. (2¹ ) al art. 11 nu a fost argumentată de către autorul proiectului. Norma respectivă, conform căreia „În cadrul procedurii înregistrării de stat, organul înregistrării de stat va efectua procesul de înregistrare (luare la </w:t>
            </w:r>
            <w:r w:rsidR="00E912D4" w:rsidRPr="00E912D4">
              <w:rPr>
                <w:rFonts w:ascii="Times New Roman" w:eastAsia="Times New Roman" w:hAnsi="Times New Roman" w:cs="Times New Roman"/>
              </w:rPr>
              <w:t>evidență</w:t>
            </w:r>
            <w:r w:rsidRPr="00E912D4">
              <w:rPr>
                <w:rFonts w:ascii="Times New Roman" w:eastAsia="Times New Roman" w:hAnsi="Times New Roman" w:cs="Times New Roman"/>
              </w:rPr>
              <w:t xml:space="preserve">) fiscală, statistică, medicală </w:t>
            </w:r>
            <w:r w:rsidR="00E912D4" w:rsidRPr="00E912D4">
              <w:rPr>
                <w:rFonts w:ascii="Times New Roman" w:eastAsia="Times New Roman" w:hAnsi="Times New Roman" w:cs="Times New Roman"/>
              </w:rPr>
              <w:t>și</w:t>
            </w:r>
            <w:r w:rsidRPr="00E912D4">
              <w:rPr>
                <w:rFonts w:ascii="Times New Roman" w:eastAsia="Times New Roman" w:hAnsi="Times New Roman" w:cs="Times New Roman"/>
              </w:rPr>
              <w:t xml:space="preserve"> socială a persoanei juridice prin transmitere </w:t>
            </w:r>
            <w:r w:rsidR="00E912D4" w:rsidRPr="00E912D4">
              <w:rPr>
                <w:rFonts w:ascii="Times New Roman" w:eastAsia="Times New Roman" w:hAnsi="Times New Roman" w:cs="Times New Roman"/>
              </w:rPr>
              <w:t>autorităților</w:t>
            </w:r>
            <w:r w:rsidRPr="00E912D4">
              <w:rPr>
                <w:rFonts w:ascii="Times New Roman" w:eastAsia="Times New Roman" w:hAnsi="Times New Roman" w:cs="Times New Roman"/>
              </w:rPr>
              <w:t xml:space="preserve"> vizate, în format electronic, a datelor privind înregistrarea acesteia prevăzute la art. 33 alin. (1), cu eliberarea pentru persoana juridică a </w:t>
            </w:r>
            <w:r w:rsidR="00E912D4" w:rsidRPr="00E912D4">
              <w:rPr>
                <w:rFonts w:ascii="Times New Roman" w:eastAsia="Times New Roman" w:hAnsi="Times New Roman" w:cs="Times New Roman"/>
              </w:rPr>
              <w:t>înștiințării</w:t>
            </w:r>
            <w:r w:rsidRPr="00E912D4">
              <w:rPr>
                <w:rFonts w:ascii="Times New Roman" w:eastAsia="Times New Roman" w:hAnsi="Times New Roman" w:cs="Times New Roman"/>
              </w:rPr>
              <w:t xml:space="preserve"> respective.”, este în favoarea solicitanților, </w:t>
            </w:r>
            <w:r w:rsidRPr="00E912D4">
              <w:rPr>
                <w:rFonts w:ascii="Times New Roman" w:eastAsia="Times New Roman" w:hAnsi="Times New Roman" w:cs="Times New Roman"/>
              </w:rPr>
              <w:lastRenderedPageBreak/>
              <w:t xml:space="preserve">care nu poate fi eliminată fără explicații concludente în acest sens. </w:t>
            </w:r>
          </w:p>
          <w:p w14:paraId="7F70D3ED" w14:textId="77777777" w:rsidR="0072652F" w:rsidRPr="00E912D4" w:rsidRDefault="00000000">
            <w:pPr>
              <w:pBdr>
                <w:top w:val="nil"/>
                <w:left w:val="nil"/>
                <w:bottom w:val="nil"/>
                <w:right w:val="nil"/>
                <w:between w:val="nil"/>
              </w:pBdr>
              <w:jc w:val="both"/>
              <w:rPr>
                <w:rFonts w:ascii="Times New Roman" w:eastAsia="Times New Roman" w:hAnsi="Times New Roman" w:cs="Times New Roman"/>
                <w:color w:val="000000"/>
              </w:rPr>
            </w:pPr>
            <w:r w:rsidRPr="00E912D4">
              <w:rPr>
                <w:rFonts w:ascii="Times New Roman" w:eastAsia="Times New Roman" w:hAnsi="Times New Roman" w:cs="Times New Roman"/>
              </w:rPr>
              <w:t xml:space="preserve">[3] Totodată, atestăm că modificările propuse la alin. (4), conform cărora după înregistrare, organul înregistrării de stat publică în Buletinul electronic, pe cheltuiala solicitantului, informații despre persoana juridică înregistrată, vor genera costuri suplimentare pentru solicitant (observație valabilă și la pct. 24 ce modifică art. 24 alin. (4) din Legea nr. 220/2007). </w:t>
            </w:r>
          </w:p>
        </w:tc>
        <w:tc>
          <w:tcPr>
            <w:tcW w:w="5505" w:type="dxa"/>
          </w:tcPr>
          <w:p w14:paraId="267F39D7" w14:textId="77777777" w:rsidR="0072652F" w:rsidRPr="00E912D4" w:rsidRDefault="00000000">
            <w:pPr>
              <w:pBdr>
                <w:top w:val="nil"/>
                <w:left w:val="nil"/>
                <w:bottom w:val="nil"/>
                <w:right w:val="nil"/>
                <w:between w:val="nil"/>
              </w:pBdr>
              <w:jc w:val="both"/>
              <w:rPr>
                <w:rFonts w:ascii="Times New Roman" w:eastAsia="Times New Roman" w:hAnsi="Times New Roman" w:cs="Times New Roman"/>
                <w:b/>
                <w:bCs/>
              </w:rPr>
            </w:pPr>
            <w:r w:rsidRPr="00E912D4">
              <w:rPr>
                <w:rFonts w:ascii="Times New Roman" w:eastAsia="Times New Roman" w:hAnsi="Times New Roman" w:cs="Times New Roman"/>
              </w:rPr>
              <w:lastRenderedPageBreak/>
              <w:t xml:space="preserve">[1] </w:t>
            </w:r>
            <w:r w:rsidRPr="00E912D4">
              <w:rPr>
                <w:rFonts w:ascii="Times New Roman" w:eastAsia="Times New Roman" w:hAnsi="Times New Roman" w:cs="Times New Roman"/>
                <w:b/>
                <w:bCs/>
              </w:rPr>
              <w:t>Se acceptă</w:t>
            </w:r>
          </w:p>
          <w:p w14:paraId="79DAA1A1" w14:textId="77777777" w:rsidR="0072652F" w:rsidRPr="00E912D4" w:rsidRDefault="00000000">
            <w:pPr>
              <w:jc w:val="both"/>
              <w:rPr>
                <w:rFonts w:ascii="Times New Roman" w:eastAsia="Times New Roman" w:hAnsi="Times New Roman" w:cs="Times New Roman"/>
              </w:rPr>
            </w:pPr>
            <w:r w:rsidRPr="00E912D4">
              <w:rPr>
                <w:rFonts w:ascii="Times New Roman" w:eastAsia="Times New Roman" w:hAnsi="Times New Roman" w:cs="Times New Roman"/>
              </w:rPr>
              <w:t>Proiectul a fost ajustat.</w:t>
            </w:r>
          </w:p>
          <w:p w14:paraId="537783FD" w14:textId="77777777" w:rsidR="0072652F" w:rsidRPr="00E912D4" w:rsidRDefault="0072652F">
            <w:pPr>
              <w:ind w:left="720"/>
              <w:jc w:val="center"/>
              <w:rPr>
                <w:rFonts w:ascii="Times New Roman" w:eastAsia="Times New Roman" w:hAnsi="Times New Roman" w:cs="Times New Roman"/>
                <w:b/>
                <w:bCs/>
              </w:rPr>
            </w:pPr>
          </w:p>
          <w:p w14:paraId="2B0F6D55" w14:textId="77777777" w:rsidR="0072652F" w:rsidRPr="00E912D4" w:rsidRDefault="00000000">
            <w:pPr>
              <w:rPr>
                <w:rFonts w:ascii="Times New Roman" w:eastAsia="Times New Roman" w:hAnsi="Times New Roman" w:cs="Times New Roman"/>
                <w:b/>
                <w:bCs/>
              </w:rPr>
            </w:pPr>
            <w:r w:rsidRPr="00E912D4">
              <w:rPr>
                <w:rFonts w:ascii="Times New Roman" w:eastAsia="Times New Roman" w:hAnsi="Times New Roman" w:cs="Times New Roman"/>
              </w:rPr>
              <w:t xml:space="preserve">[2] </w:t>
            </w:r>
            <w:r w:rsidRPr="00E912D4">
              <w:rPr>
                <w:rFonts w:ascii="Times New Roman" w:eastAsia="Times New Roman" w:hAnsi="Times New Roman" w:cs="Times New Roman"/>
                <w:b/>
                <w:bCs/>
              </w:rPr>
              <w:t>Se acceptă.</w:t>
            </w:r>
          </w:p>
          <w:p w14:paraId="09E2295A" w14:textId="77777777" w:rsidR="0072652F" w:rsidRPr="00E912D4" w:rsidRDefault="0072652F">
            <w:pPr>
              <w:rPr>
                <w:rFonts w:ascii="Times New Roman" w:eastAsia="Times New Roman" w:hAnsi="Times New Roman" w:cs="Times New Roman"/>
                <w:b/>
                <w:bCs/>
              </w:rPr>
            </w:pPr>
          </w:p>
          <w:p w14:paraId="44592282" w14:textId="77777777" w:rsidR="0072652F" w:rsidRPr="00E912D4" w:rsidRDefault="00000000">
            <w:pPr>
              <w:rPr>
                <w:rFonts w:ascii="Times New Roman" w:eastAsia="Times New Roman" w:hAnsi="Times New Roman" w:cs="Times New Roman"/>
              </w:rPr>
            </w:pPr>
            <w:r w:rsidRPr="00E912D4">
              <w:rPr>
                <w:rFonts w:ascii="Times New Roman" w:eastAsia="Times New Roman" w:hAnsi="Times New Roman" w:cs="Times New Roman"/>
              </w:rPr>
              <w:t>Noua redacție a normei precizează că luarea la evidență se realizează de către autoritățile competente, potrivit legii, fără intervenția persoanei juridice vizate.</w:t>
            </w:r>
          </w:p>
          <w:p w14:paraId="2A8DB3A3" w14:textId="77777777" w:rsidR="0072652F" w:rsidRPr="00E912D4" w:rsidRDefault="00000000">
            <w:pPr>
              <w:rPr>
                <w:rFonts w:ascii="Times New Roman" w:eastAsia="Times New Roman" w:hAnsi="Times New Roman" w:cs="Times New Roman"/>
                <w:color w:val="FF0000"/>
              </w:rPr>
            </w:pPr>
            <w:r w:rsidRPr="00E912D4">
              <w:rPr>
                <w:rFonts w:ascii="Times New Roman" w:eastAsia="Times New Roman" w:hAnsi="Times New Roman" w:cs="Times New Roman"/>
                <w:color w:val="FF0000"/>
              </w:rPr>
              <w:t xml:space="preserve"> </w:t>
            </w:r>
          </w:p>
          <w:p w14:paraId="193148F6" w14:textId="77777777" w:rsidR="0072652F" w:rsidRPr="00E912D4" w:rsidRDefault="00000000">
            <w:pPr>
              <w:jc w:val="both"/>
              <w:rPr>
                <w:rFonts w:ascii="Times New Roman" w:eastAsia="Times New Roman" w:hAnsi="Times New Roman" w:cs="Times New Roman"/>
                <w:b/>
                <w:bCs/>
              </w:rPr>
            </w:pPr>
            <w:r w:rsidRPr="00E912D4">
              <w:rPr>
                <w:rFonts w:ascii="Times New Roman" w:eastAsia="Times New Roman" w:hAnsi="Times New Roman" w:cs="Times New Roman"/>
              </w:rPr>
              <w:t>[3]</w:t>
            </w:r>
            <w:r w:rsidRPr="00E912D4">
              <w:rPr>
                <w:rFonts w:ascii="Times New Roman" w:eastAsia="Times New Roman" w:hAnsi="Times New Roman" w:cs="Times New Roman"/>
                <w:b/>
                <w:bCs/>
              </w:rPr>
              <w:t xml:space="preserve"> Nu se acceptă.</w:t>
            </w:r>
          </w:p>
          <w:p w14:paraId="12C8C98E" w14:textId="77777777" w:rsidR="0072652F" w:rsidRPr="00E912D4" w:rsidRDefault="0072652F">
            <w:pPr>
              <w:jc w:val="both"/>
              <w:rPr>
                <w:rFonts w:ascii="Times New Roman" w:eastAsia="Times New Roman" w:hAnsi="Times New Roman" w:cs="Times New Roman"/>
              </w:rPr>
            </w:pPr>
          </w:p>
          <w:p w14:paraId="3BE90B4D" w14:textId="77777777" w:rsidR="0072652F" w:rsidRPr="00E912D4" w:rsidRDefault="00000000">
            <w:pPr>
              <w:jc w:val="both"/>
              <w:rPr>
                <w:rFonts w:ascii="Times New Roman" w:eastAsia="Times New Roman" w:hAnsi="Times New Roman" w:cs="Times New Roman"/>
              </w:rPr>
            </w:pPr>
            <w:r w:rsidRPr="00E912D4">
              <w:rPr>
                <w:rFonts w:ascii="Times New Roman" w:eastAsia="Times New Roman" w:hAnsi="Times New Roman" w:cs="Times New Roman"/>
              </w:rPr>
              <w:t>Norma este doar una de precizare. Această cheltuială nu este nouă, ci este prevăzută în pct. II(2) din Anexa la Legea nr. 220/2007.</w:t>
            </w:r>
          </w:p>
          <w:p w14:paraId="76636415" w14:textId="77777777" w:rsidR="0072652F" w:rsidRPr="00E912D4" w:rsidRDefault="0072652F">
            <w:pPr>
              <w:jc w:val="both"/>
              <w:rPr>
                <w:rFonts w:ascii="Times New Roman" w:eastAsia="Times New Roman" w:hAnsi="Times New Roman" w:cs="Times New Roman"/>
              </w:rPr>
            </w:pPr>
          </w:p>
          <w:p w14:paraId="45ADBA67" w14:textId="77777777" w:rsidR="0072652F" w:rsidRPr="00E912D4" w:rsidRDefault="0072652F" w:rsidP="00E912D4">
            <w:pPr>
              <w:jc w:val="both"/>
              <w:rPr>
                <w:rFonts w:ascii="Times New Roman" w:eastAsia="Times New Roman" w:hAnsi="Times New Roman" w:cs="Times New Roman"/>
              </w:rPr>
            </w:pPr>
          </w:p>
        </w:tc>
      </w:tr>
      <w:tr w:rsidR="0072652F" w14:paraId="2932FE49" w14:textId="77777777">
        <w:tc>
          <w:tcPr>
            <w:tcW w:w="480" w:type="dxa"/>
          </w:tcPr>
          <w:p w14:paraId="652E61A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F65F12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44E2488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9</w:t>
            </w:r>
          </w:p>
        </w:tc>
        <w:tc>
          <w:tcPr>
            <w:tcW w:w="4485" w:type="dxa"/>
          </w:tcPr>
          <w:p w14:paraId="3806371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13, ce modifică art. 12,</w:t>
            </w:r>
          </w:p>
          <w:p w14:paraId="617B6BF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Dispoziția de modificare a alin. (2) se recomandă de revizuit integral, deoarece cuvântul „înregistrării” se utilizează de două ori în acest alineat. Astfel, sugerăm următoarea redacție: „la alineatul (2) după cuvintele „procedurii înregistrării” se introduce cuvântul „sucursalelor””. </w:t>
            </w:r>
          </w:p>
        </w:tc>
        <w:tc>
          <w:tcPr>
            <w:tcW w:w="5505" w:type="dxa"/>
          </w:tcPr>
          <w:p w14:paraId="56E9553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5078110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47BF46D8" w14:textId="77777777">
        <w:tc>
          <w:tcPr>
            <w:tcW w:w="480" w:type="dxa"/>
          </w:tcPr>
          <w:p w14:paraId="2451F2D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6DDDE0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89C583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10</w:t>
            </w:r>
          </w:p>
        </w:tc>
        <w:tc>
          <w:tcPr>
            <w:tcW w:w="4485" w:type="dxa"/>
          </w:tcPr>
          <w:p w14:paraId="60EFFD9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14, privind completarea cu  art. 12¹</w:t>
            </w:r>
          </w:p>
          <w:p w14:paraId="71E0164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și 12²</w:t>
            </w:r>
          </w:p>
          <w:p w14:paraId="3CC41AE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1.În dispoziția de modificare cuvântul „articolul” se va substitui cu cuvântul „articolele”.</w:t>
            </w:r>
          </w:p>
          <w:p w14:paraId="4A49F4A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În redacția propusă la art. 12¹ la alin. (1) lit. a) cuvintele „Republicii Moldova” se vor exclude ca fiind excedente (valabil și pentru alin. (6) din același articol);</w:t>
            </w:r>
          </w:p>
          <w:p w14:paraId="123B7C7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alin. (5) textul „alin. (1)” se va substitui cu textul „alin. (2)”, pentru</w:t>
            </w:r>
          </w:p>
          <w:p w14:paraId="0F23AEB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corectitudinea referinței.</w:t>
            </w:r>
          </w:p>
          <w:p w14:paraId="66F34EA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3. La art. 12² din alin. (1) cuvintele „de plin drept” se vor exclude, ca fiind excedente;</w:t>
            </w:r>
          </w:p>
          <w:p w14:paraId="1F1CDC7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alin. (2) textul „alin. (2)” se va substitui cu textul „alin. (3)”, pentru</w:t>
            </w:r>
          </w:p>
          <w:p w14:paraId="3141C65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corectitudinea referinței.</w:t>
            </w:r>
          </w:p>
        </w:tc>
        <w:tc>
          <w:tcPr>
            <w:tcW w:w="5505" w:type="dxa"/>
          </w:tcPr>
          <w:p w14:paraId="4363225E" w14:textId="77777777" w:rsidR="0072652F" w:rsidRDefault="0072652F">
            <w:pPr>
              <w:pBdr>
                <w:top w:val="nil"/>
                <w:left w:val="nil"/>
                <w:bottom w:val="nil"/>
                <w:right w:val="nil"/>
                <w:between w:val="nil"/>
              </w:pBdr>
              <w:ind w:left="720"/>
              <w:jc w:val="both"/>
              <w:rPr>
                <w:rFonts w:ascii="Times New Roman" w:eastAsia="Times New Roman" w:hAnsi="Times New Roman" w:cs="Times New Roman"/>
              </w:rPr>
            </w:pPr>
          </w:p>
          <w:p w14:paraId="4D2A486A" w14:textId="77777777" w:rsidR="0072652F" w:rsidRDefault="0072652F">
            <w:pPr>
              <w:pBdr>
                <w:top w:val="nil"/>
                <w:left w:val="nil"/>
                <w:bottom w:val="nil"/>
                <w:right w:val="nil"/>
                <w:between w:val="nil"/>
              </w:pBdr>
              <w:ind w:left="720"/>
              <w:jc w:val="both"/>
              <w:rPr>
                <w:rFonts w:ascii="Times New Roman" w:eastAsia="Times New Roman" w:hAnsi="Times New Roman" w:cs="Times New Roman"/>
              </w:rPr>
            </w:pPr>
          </w:p>
          <w:p w14:paraId="6A28E34C" w14:textId="77777777" w:rsidR="0072652F" w:rsidRDefault="0072652F">
            <w:pPr>
              <w:pBdr>
                <w:top w:val="nil"/>
                <w:left w:val="nil"/>
                <w:bottom w:val="nil"/>
                <w:right w:val="nil"/>
                <w:between w:val="nil"/>
              </w:pBdr>
              <w:ind w:left="720"/>
              <w:jc w:val="both"/>
              <w:rPr>
                <w:rFonts w:ascii="Times New Roman" w:eastAsia="Times New Roman" w:hAnsi="Times New Roman" w:cs="Times New Roman"/>
              </w:rPr>
            </w:pPr>
          </w:p>
          <w:p w14:paraId="3DA4BDD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[1] Se acceptă</w:t>
            </w:r>
          </w:p>
          <w:p w14:paraId="7412C14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0E8DD681" w14:textId="77777777" w:rsidR="0072652F" w:rsidRDefault="0072652F">
            <w:pPr>
              <w:ind w:left="720"/>
              <w:jc w:val="both"/>
              <w:rPr>
                <w:rFonts w:ascii="Times New Roman" w:eastAsia="Times New Roman" w:hAnsi="Times New Roman" w:cs="Times New Roman"/>
              </w:rPr>
            </w:pPr>
          </w:p>
          <w:p w14:paraId="726AC357"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[2] Se acceptă</w:t>
            </w:r>
          </w:p>
          <w:p w14:paraId="04D4CE7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7300F6B4" w14:textId="77777777" w:rsidR="0072652F" w:rsidRDefault="0072652F">
            <w:pPr>
              <w:ind w:left="720"/>
              <w:jc w:val="both"/>
              <w:rPr>
                <w:rFonts w:ascii="Times New Roman" w:eastAsia="Times New Roman" w:hAnsi="Times New Roman" w:cs="Times New Roman"/>
              </w:rPr>
            </w:pPr>
          </w:p>
          <w:p w14:paraId="07054AEF" w14:textId="77777777" w:rsidR="0072652F" w:rsidRDefault="0072652F">
            <w:pPr>
              <w:ind w:left="720"/>
              <w:jc w:val="both"/>
              <w:rPr>
                <w:rFonts w:ascii="Times New Roman" w:eastAsia="Times New Roman" w:hAnsi="Times New Roman" w:cs="Times New Roman"/>
              </w:rPr>
            </w:pPr>
          </w:p>
          <w:p w14:paraId="711869E5" w14:textId="77777777" w:rsidR="0072652F" w:rsidRDefault="0072652F">
            <w:pPr>
              <w:ind w:left="720"/>
              <w:jc w:val="both"/>
              <w:rPr>
                <w:rFonts w:ascii="Times New Roman" w:eastAsia="Times New Roman" w:hAnsi="Times New Roman" w:cs="Times New Roman"/>
              </w:rPr>
            </w:pPr>
          </w:p>
          <w:p w14:paraId="50A36370" w14:textId="77777777" w:rsidR="0072652F" w:rsidRDefault="0072652F">
            <w:pPr>
              <w:ind w:left="720"/>
              <w:jc w:val="both"/>
              <w:rPr>
                <w:rFonts w:ascii="Times New Roman" w:eastAsia="Times New Roman" w:hAnsi="Times New Roman" w:cs="Times New Roman"/>
              </w:rPr>
            </w:pPr>
          </w:p>
          <w:p w14:paraId="272A933C" w14:textId="77777777" w:rsidR="0072652F" w:rsidRDefault="0072652F">
            <w:pPr>
              <w:ind w:left="720"/>
              <w:jc w:val="both"/>
              <w:rPr>
                <w:rFonts w:ascii="Times New Roman" w:eastAsia="Times New Roman" w:hAnsi="Times New Roman" w:cs="Times New Roman"/>
              </w:rPr>
            </w:pPr>
          </w:p>
          <w:p w14:paraId="275F2C9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[3] Se acceptă.</w:t>
            </w:r>
          </w:p>
          <w:p w14:paraId="093E040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2B2E6235" w14:textId="77777777" w:rsidR="0072652F" w:rsidRDefault="0072652F">
            <w:pPr>
              <w:jc w:val="both"/>
              <w:rPr>
                <w:rFonts w:ascii="Times New Roman" w:eastAsia="Times New Roman" w:hAnsi="Times New Roman" w:cs="Times New Roman"/>
              </w:rPr>
            </w:pPr>
          </w:p>
          <w:p w14:paraId="2D7A4BEB" w14:textId="77777777" w:rsidR="0072652F" w:rsidRDefault="0072652F">
            <w:pPr>
              <w:jc w:val="both"/>
              <w:rPr>
                <w:rFonts w:ascii="Times New Roman" w:eastAsia="Times New Roman" w:hAnsi="Times New Roman" w:cs="Times New Roman"/>
              </w:rPr>
            </w:pPr>
          </w:p>
        </w:tc>
      </w:tr>
      <w:tr w:rsidR="0072652F" w14:paraId="07146908" w14:textId="77777777">
        <w:tc>
          <w:tcPr>
            <w:tcW w:w="480" w:type="dxa"/>
          </w:tcPr>
          <w:p w14:paraId="100DA97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72AB0F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BD2D34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11</w:t>
            </w:r>
          </w:p>
        </w:tc>
        <w:tc>
          <w:tcPr>
            <w:tcW w:w="4485" w:type="dxa"/>
          </w:tcPr>
          <w:p w14:paraId="22015BB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La pct. 15, numerotarea elementelor structurale ale alin. (1) din art. 13 se va conforma prevederilor art. 51 alin. (6) din Legea nr. 100/2017, potrivit cărora „În cazul unei structuri complexe a actului normativ, alineatul poate fi divizat mai întâi în puncte însemnate cu numere ordinare, exprimate prin cifre arabe, urmate de o paranteză. La rândul lor, punctele pot fi divizate în litere, însemnate succesiv cu litere latine mici, urmate de o paranteză.”. </w:t>
            </w:r>
          </w:p>
        </w:tc>
        <w:tc>
          <w:tcPr>
            <w:tcW w:w="5505" w:type="dxa"/>
          </w:tcPr>
          <w:p w14:paraId="29291390"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27E0541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64074CA6" w14:textId="77777777" w:rsidR="0072652F" w:rsidRDefault="0072652F">
            <w:pPr>
              <w:jc w:val="both"/>
              <w:rPr>
                <w:rFonts w:ascii="Times New Roman" w:eastAsia="Times New Roman" w:hAnsi="Times New Roman" w:cs="Times New Roman"/>
              </w:rPr>
            </w:pPr>
          </w:p>
        </w:tc>
      </w:tr>
      <w:tr w:rsidR="0072652F" w14:paraId="2E5D2013" w14:textId="77777777">
        <w:tc>
          <w:tcPr>
            <w:tcW w:w="480" w:type="dxa"/>
          </w:tcPr>
          <w:p w14:paraId="350DFA8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450BD5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87DC56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12</w:t>
            </w:r>
          </w:p>
        </w:tc>
        <w:tc>
          <w:tcPr>
            <w:tcW w:w="4485" w:type="dxa"/>
          </w:tcPr>
          <w:p w14:paraId="6C0B86E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16</w:t>
            </w:r>
          </w:p>
          <w:p w14:paraId="1142BDA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Urmează a fi reconsiderată oportunitatea modificărilor propuse la alin. (1) și (1¹) din art. 15, care nu intervin substanțial în normele propuse spre modificare. </w:t>
            </w:r>
          </w:p>
          <w:p w14:paraId="4873A8E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824A1C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[2] Mai mult, modificarea alin. (1) nu se integrează armonios în context, prin completarea cu cuvintele „precum și alte documente prevăzute de lege”, pe când norma în vigoare prevede că se acumulează toate documentele depuse în legătură cu înregistrarea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transcrierile înregistrărilor efectuate în Registrul de stat.</w:t>
            </w:r>
          </w:p>
          <w:p w14:paraId="5060328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[3] Totodată, la alin. (1¹) propus în redacție nouă textul „sunt păstrate într-un format care permite citirea și căutarea pe calculator sau sub formă de date structurate” dublează prevederile existente ale acestui alineat.</w:t>
            </w:r>
          </w:p>
        </w:tc>
        <w:tc>
          <w:tcPr>
            <w:tcW w:w="5505" w:type="dxa"/>
          </w:tcPr>
          <w:p w14:paraId="157F44F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E850B4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[1] </w:t>
            </w:r>
            <w:r>
              <w:rPr>
                <w:rFonts w:ascii="Times New Roman" w:eastAsia="Times New Roman" w:hAnsi="Times New Roman" w:cs="Times New Roman"/>
                <w:b/>
                <w:bCs/>
              </w:rPr>
              <w:t xml:space="preserve">Se acceptă parțial. </w:t>
            </w:r>
          </w:p>
          <w:p w14:paraId="610F4776"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p w14:paraId="2235667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75A7B81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Norma în vigoare se limitează la documentele ce vizează de înregistrare și transcrieri. Completarea proiectului de lege vizează alte documente, adică documente care nu țin de o înregistrare, cum ar fi documentele care trebuie doar publicate prin registru fără ca ele să fie conexe unei înregistrări, cum ar fi depunerea situațiilor financiare ale societății, precum și documentele pe care trebuie să le depună periodic sucursalele persoanelor juridice străine. Completarea este necesară.</w:t>
            </w:r>
          </w:p>
          <w:p w14:paraId="3E4E4FA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D5298E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[3]</w:t>
            </w:r>
            <w:r>
              <w:rPr>
                <w:rFonts w:ascii="Times New Roman" w:eastAsia="Times New Roman" w:hAnsi="Times New Roman" w:cs="Times New Roman"/>
                <w:b/>
                <w:bCs/>
              </w:rPr>
              <w:t xml:space="preserve"> Se acceptă.</w:t>
            </w:r>
          </w:p>
          <w:p w14:paraId="44C0AA9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5DD9A828" w14:textId="77777777">
        <w:tc>
          <w:tcPr>
            <w:tcW w:w="480" w:type="dxa"/>
          </w:tcPr>
          <w:p w14:paraId="45A43BB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8949C6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840CDA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13</w:t>
            </w:r>
          </w:p>
        </w:tc>
        <w:tc>
          <w:tcPr>
            <w:tcW w:w="4485" w:type="dxa"/>
          </w:tcPr>
          <w:p w14:paraId="391D1B10"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17</w:t>
            </w:r>
          </w:p>
          <w:p w14:paraId="2CA4078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În cuprinsul art. 15¹ propus spre completare, la alin. (2) lit. e), alin. (3) lit. e) și alin. (4) textul „Legii nr. 287/2017 a </w:t>
            </w:r>
            <w:r>
              <w:rPr>
                <w:rFonts w:ascii="Times New Roman" w:eastAsia="Times New Roman" w:hAnsi="Times New Roman" w:cs="Times New Roman"/>
              </w:rPr>
              <w:lastRenderedPageBreak/>
              <w:t>contabilității și raportării financiare” se va substitui cu textul „Legii contabilității și raportării financiare nr. 287/2017”, conform uzanțelor normative.</w:t>
            </w:r>
          </w:p>
          <w:p w14:paraId="2BC1DAA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Totodată, se atestă că alin. (4) dublează prevederile alin. (2) lit. e) și alin. (3) lit. e), din care motiv se va revizui oportunitatea includerii acestuia la art. 15¹.</w:t>
            </w:r>
          </w:p>
          <w:p w14:paraId="46ED0D6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[3] La alin. (6) se va redacta corespunzător limbajului normativ național formula „Cu toate acestea, terții se pot prevala de traducerile furnizate voluntar de către solicitant”, deși reprezintă transpunerea fidelă a prevederilor art. 21 alin. (4) din Directiva (UE) 2017/1132.</w:t>
            </w:r>
          </w:p>
        </w:tc>
        <w:tc>
          <w:tcPr>
            <w:tcW w:w="5505" w:type="dxa"/>
          </w:tcPr>
          <w:p w14:paraId="0F27399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Se acceptă.</w:t>
            </w:r>
          </w:p>
          <w:p w14:paraId="6ED989F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2A8F5580" w14:textId="77777777" w:rsidR="0072652F" w:rsidRDefault="0072652F">
            <w:pPr>
              <w:jc w:val="both"/>
              <w:rPr>
                <w:rFonts w:ascii="Times New Roman" w:eastAsia="Times New Roman" w:hAnsi="Times New Roman" w:cs="Times New Roman"/>
              </w:rPr>
            </w:pPr>
          </w:p>
          <w:p w14:paraId="57CFD7F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[2] Nu se acceptă/</w:t>
            </w:r>
          </w:p>
          <w:p w14:paraId="5B9C9E48" w14:textId="77777777" w:rsidR="0072652F" w:rsidRDefault="0072652F">
            <w:pPr>
              <w:jc w:val="both"/>
              <w:rPr>
                <w:rFonts w:ascii="Times New Roman" w:eastAsia="Times New Roman" w:hAnsi="Times New Roman" w:cs="Times New Roman"/>
              </w:rPr>
            </w:pPr>
          </w:p>
          <w:p w14:paraId="2271068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Alin. (2) și (3) prevăd care documente intră în „partea publică” a dosarului, fără să specifice cine are obligația de a le depune la dosar.</w:t>
            </w:r>
          </w:p>
          <w:p w14:paraId="65151341" w14:textId="77777777" w:rsidR="0072652F" w:rsidRDefault="0072652F">
            <w:pPr>
              <w:jc w:val="both"/>
              <w:rPr>
                <w:rFonts w:ascii="Times New Roman" w:eastAsia="Times New Roman" w:hAnsi="Times New Roman" w:cs="Times New Roman"/>
              </w:rPr>
            </w:pPr>
          </w:p>
          <w:p w14:paraId="7490A21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Alin. (4) instituie o normă specială pentru situațiile financiare și face conexiunea dintre Legea nr. 220/2007 și Legea nr. 287/2017, ultima deja prevăzând obligația societăților și sucursalelor străine de a depune situațiile financiare. Scopul alin. (4) este de a evita dubla depunere de către acești subiecți.  El este logic legat de alin. (5) care arată de unde ASP obține situațiile financiare.</w:t>
            </w:r>
          </w:p>
          <w:p w14:paraId="6BA83C40" w14:textId="77777777" w:rsidR="0072652F" w:rsidRDefault="0072652F">
            <w:pPr>
              <w:jc w:val="both"/>
              <w:rPr>
                <w:rFonts w:ascii="Times New Roman" w:eastAsia="Times New Roman" w:hAnsi="Times New Roman" w:cs="Times New Roman"/>
              </w:rPr>
            </w:pPr>
          </w:p>
          <w:p w14:paraId="301C5E0F"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Nu se acceptă.</w:t>
            </w:r>
          </w:p>
          <w:p w14:paraId="4B51343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Legislația națională nu cunoaște furnizarea voluntară (fără existența unei obligații legale) a documentelor la ASP. Formula „a se prevala” este utilizată în legislația națională (de exemplu, art. 339 alin. (7), 1461 alin. (2), 2621 alin. (5) și (7) din Codul civil).</w:t>
            </w:r>
          </w:p>
          <w:p w14:paraId="054C5EB3" w14:textId="77777777" w:rsidR="0072652F" w:rsidRDefault="0072652F">
            <w:pPr>
              <w:pBdr>
                <w:top w:val="nil"/>
                <w:left w:val="nil"/>
                <w:bottom w:val="nil"/>
                <w:right w:val="nil"/>
                <w:between w:val="nil"/>
              </w:pBdr>
              <w:ind w:left="720"/>
              <w:jc w:val="center"/>
              <w:rPr>
                <w:rFonts w:ascii="Times New Roman" w:eastAsia="Times New Roman" w:hAnsi="Times New Roman" w:cs="Times New Roman"/>
                <w:b/>
                <w:bCs/>
              </w:rPr>
            </w:pPr>
          </w:p>
        </w:tc>
      </w:tr>
      <w:tr w:rsidR="0072652F" w14:paraId="029911BE" w14:textId="77777777">
        <w:tc>
          <w:tcPr>
            <w:tcW w:w="480" w:type="dxa"/>
          </w:tcPr>
          <w:p w14:paraId="0214EA0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7633D7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53B365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14</w:t>
            </w:r>
          </w:p>
        </w:tc>
        <w:tc>
          <w:tcPr>
            <w:tcW w:w="4485" w:type="dxa"/>
          </w:tcPr>
          <w:p w14:paraId="3BA156B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18</w:t>
            </w:r>
          </w:p>
          <w:p w14:paraId="3787940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Completarea art. 16 cu alin. (2² ) din Legea nr. 220/2007 vine în dezacord cu dispozițiile art. 16 alin. (4) din aceeași lege, ale Codului civil, Codului contravențional și ale Legii nr. 71/2007 cu privire la registre. </w:t>
            </w:r>
          </w:p>
          <w:p w14:paraId="67468E3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Datele din registru trebuie să reflecte starea veridică și actuală a obiectelor registrului (art. 19 alin. (9) din Legea nr. 71/2007 cu privire la registre), ceea ce înseamnă că într-un registru de publicitate nu poate fi indicat un eveniment care va produce efecte juridice la o dată ulterioară înregistrării, cum este </w:t>
            </w:r>
            <w:r>
              <w:rPr>
                <w:rFonts w:ascii="Times New Roman" w:eastAsia="Times New Roman" w:hAnsi="Times New Roman" w:cs="Times New Roman"/>
              </w:rPr>
              <w:lastRenderedPageBreak/>
              <w:t xml:space="preserve">cazul modificării datelor privind administratorul persoanei juridice. </w:t>
            </w:r>
          </w:p>
          <w:p w14:paraId="18CA73E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De remarcat că, art. 197 din Codul civil reglementează instituția administratorului aparent, ce are în vedere inclusiv ipoteza administratorul eliberat din funcție, dar neradiat din registrul de stat al persoanelor juridice. Deși între persoana juridică și administratorul eliberat din funcție nu mai există un raport juridic civil și de muncă, administratorul păstrează anumite împuterniciri rezultate din aparența acordată de înregistrare. Curtea Supremă de Justiție, în jurisprudența sa recentă, a reținut că, deși adunarea generală a asociaților SRL a adoptat hotărârea de eliberare din funcție a administratorului, acesta continuă să aibă calitatea de administrator până la radierea sa din registrul de stat al persoanelor juridice. Prin urmare, el are împuterniciri de a încheia contracte în perioada dintre adoptarea hotărârii de eliberare din funcție și înregistrarea acestei schimbări.</w:t>
            </w:r>
          </w:p>
          <w:p w14:paraId="29CD26E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Totodată, Codul contravențional, prin art. 263⁴, sancționează persoanele fizice, persoanele cu funcție de răspundere și persoanele juridice pentru prezentarea informației neveridice, incomplete sau incorecte la înregistrarea de stat, precum și neactualizarea informației respective, în cazul în care au intervenit modificări. </w:t>
            </w:r>
          </w:p>
        </w:tc>
        <w:tc>
          <w:tcPr>
            <w:tcW w:w="5505" w:type="dxa"/>
          </w:tcPr>
          <w:p w14:paraId="3E5B534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509683F6" w14:textId="77777777" w:rsidR="0072652F" w:rsidRDefault="00000000">
            <w:pPr>
              <w:spacing w:line="276" w:lineRule="auto"/>
              <w:jc w:val="both"/>
              <w:rPr>
                <w:rFonts w:ascii="Times New Roman" w:eastAsia="Times New Roman" w:hAnsi="Times New Roman" w:cs="Times New Roman"/>
                <w:sz w:val="28"/>
                <w:szCs w:val="28"/>
                <w:shd w:val="clear" w:color="auto" w:fill="FF9900"/>
              </w:rPr>
            </w:pPr>
            <w:r>
              <w:rPr>
                <w:rFonts w:ascii="Times New Roman" w:eastAsia="Times New Roman" w:hAnsi="Times New Roman" w:cs="Times New Roman"/>
              </w:rPr>
              <w:t>Proiectul de lege a fost ajustat.</w:t>
            </w:r>
          </w:p>
          <w:p w14:paraId="395164E9"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61A5C621" w14:textId="77777777">
        <w:tc>
          <w:tcPr>
            <w:tcW w:w="480" w:type="dxa"/>
          </w:tcPr>
          <w:p w14:paraId="454A6A5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2DF181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3AB7AC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15</w:t>
            </w:r>
          </w:p>
        </w:tc>
        <w:tc>
          <w:tcPr>
            <w:tcW w:w="4485" w:type="dxa"/>
          </w:tcPr>
          <w:p w14:paraId="7491F10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La pct. 22</w:t>
            </w:r>
          </w:p>
          <w:p w14:paraId="1DD826A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Privind completarea cu art. 22¹ , norma se va expune fără a fi însemnată cu textul „(1)”, </w:t>
            </w:r>
            <w:r>
              <w:rPr>
                <w:rFonts w:ascii="Times New Roman" w:eastAsia="Times New Roman" w:hAnsi="Times New Roman" w:cs="Times New Roman"/>
              </w:rPr>
              <w:lastRenderedPageBreak/>
              <w:t xml:space="preserve">întrucât este constituită dintr-un singur alineat. </w:t>
            </w:r>
          </w:p>
        </w:tc>
        <w:tc>
          <w:tcPr>
            <w:tcW w:w="5505" w:type="dxa"/>
          </w:tcPr>
          <w:p w14:paraId="084FCCC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786FCEA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p w14:paraId="7457A6C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r>
      <w:tr w:rsidR="0072652F" w14:paraId="36243B24" w14:textId="77777777">
        <w:tc>
          <w:tcPr>
            <w:tcW w:w="480" w:type="dxa"/>
          </w:tcPr>
          <w:p w14:paraId="2FAED5D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614EDB5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940AB7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16</w:t>
            </w:r>
          </w:p>
        </w:tc>
        <w:tc>
          <w:tcPr>
            <w:tcW w:w="4485" w:type="dxa"/>
          </w:tcPr>
          <w:p w14:paraId="30FDA89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25</w:t>
            </w:r>
          </w:p>
          <w:p w14:paraId="0E38F4C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Ce modifică art. 26, se va revedea dispoziția „în cuprinsul articolului, textul „3 zile” se substituie cu textul „14 zile””, având în vedere că aceste termene se conțin doar la alin. (3) și (5) ale art. 26 (observație similară valabilă și pentru pct. 26, ce modifică art. 26¹). Mai mult, se recomandă de argumentat în nota de fundamentare majorarea termenelor respective. </w:t>
            </w:r>
          </w:p>
        </w:tc>
        <w:tc>
          <w:tcPr>
            <w:tcW w:w="5505" w:type="dxa"/>
          </w:tcPr>
          <w:p w14:paraId="3A136D4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165427B8" w14:textId="77777777" w:rsidR="0072652F" w:rsidRDefault="00000000">
            <w:pPr>
              <w:pBdr>
                <w:top w:val="nil"/>
                <w:left w:val="nil"/>
                <w:bottom w:val="nil"/>
                <w:right w:val="nil"/>
                <w:between w:val="nil"/>
              </w:pBdr>
              <w:jc w:val="both"/>
              <w:rPr>
                <w:rFonts w:ascii="Times New Roman" w:eastAsia="Times New Roman" w:hAnsi="Times New Roman" w:cs="Times New Roman"/>
                <w:sz w:val="28"/>
                <w:szCs w:val="28"/>
                <w:shd w:val="clear" w:color="auto" w:fill="FF9900"/>
              </w:rPr>
            </w:pPr>
            <w:r>
              <w:rPr>
                <w:rFonts w:ascii="Times New Roman" w:eastAsia="Times New Roman" w:hAnsi="Times New Roman" w:cs="Times New Roman"/>
              </w:rPr>
              <w:t>Modificarea termenului a fost exclusă din proiectul de lege.</w:t>
            </w:r>
          </w:p>
          <w:p w14:paraId="3584790A"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44ABF0FD" w14:textId="77777777">
        <w:tc>
          <w:tcPr>
            <w:tcW w:w="480" w:type="dxa"/>
          </w:tcPr>
          <w:p w14:paraId="26FDAAF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6C95C71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490377A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17</w:t>
            </w:r>
          </w:p>
        </w:tc>
        <w:tc>
          <w:tcPr>
            <w:tcW w:w="4485" w:type="dxa"/>
          </w:tcPr>
          <w:p w14:paraId="2512016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28</w:t>
            </w:r>
          </w:p>
          <w:p w14:paraId="3ECDC8E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Redacția lit. c), propusă spre completare la art. 30 alin. (1), nu se integrează armonios în conținutul acestui alineat. </w:t>
            </w:r>
          </w:p>
          <w:p w14:paraId="77A12DF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Astfel, sugerăm substituirea cuvântului „existenței” cu cuvântul „există”, cu ajustarea corespunzătoare a textului. </w:t>
            </w:r>
          </w:p>
        </w:tc>
        <w:tc>
          <w:tcPr>
            <w:tcW w:w="5505" w:type="dxa"/>
          </w:tcPr>
          <w:p w14:paraId="7D6E4E9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BC94D6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7225E4A9" w14:textId="77777777">
        <w:tc>
          <w:tcPr>
            <w:tcW w:w="480" w:type="dxa"/>
          </w:tcPr>
          <w:p w14:paraId="1349021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2E0E5B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8D9AFB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18</w:t>
            </w:r>
          </w:p>
        </w:tc>
        <w:tc>
          <w:tcPr>
            <w:tcW w:w="4485" w:type="dxa"/>
          </w:tcPr>
          <w:p w14:paraId="1237D51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30</w:t>
            </w:r>
          </w:p>
          <w:p w14:paraId="02F63DE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Prezintă neclaritate raționamentul propunerii de completare a art. 32 alin. (2) după cuvintele „întreprinzător individual” cu cuvintele „sau antreprenor independent”, pornind de la faptul că condițiile de asigurare a evidenței de stat a antreprenorilor independenți sunt stabilite la art. 31² din Legea nr. 220/2007, prin derogare de la procedurile prevăzute în această lege.</w:t>
            </w:r>
          </w:p>
        </w:tc>
        <w:tc>
          <w:tcPr>
            <w:tcW w:w="5505" w:type="dxa"/>
          </w:tcPr>
          <w:p w14:paraId="3BB288E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Precizare.</w:t>
            </w:r>
          </w:p>
          <w:p w14:paraId="4B3A338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Art. 31² din Legea nr. 220/2007 într-adevăr stabilește regulile speciale de luare la evidență a antreprenorilor independenți de către ASP.</w:t>
            </w:r>
          </w:p>
          <w:p w14:paraId="12D6877A" w14:textId="77777777" w:rsidR="0072652F" w:rsidRDefault="0072652F">
            <w:pPr>
              <w:jc w:val="both"/>
              <w:rPr>
                <w:rFonts w:ascii="Times New Roman" w:eastAsia="Times New Roman" w:hAnsi="Times New Roman" w:cs="Times New Roman"/>
              </w:rPr>
            </w:pPr>
          </w:p>
          <w:p w14:paraId="4B17FBD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Completarea art. 32 alin. (2) nu afectează acest regim. Acest alineat definește activitatea de ținere a registrului. Această activitate include și luarea la evidență a antreprenorilor independenți. Conform art. art. 31² alin. (1), datele despre antreprenorii independenți se înscriu tot în RSUD de către ASP.</w:t>
            </w:r>
          </w:p>
        </w:tc>
      </w:tr>
      <w:tr w:rsidR="0072652F" w14:paraId="48F15D3F" w14:textId="77777777">
        <w:tc>
          <w:tcPr>
            <w:tcW w:w="480" w:type="dxa"/>
          </w:tcPr>
          <w:p w14:paraId="32C21B0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B93000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175FB3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19</w:t>
            </w:r>
          </w:p>
        </w:tc>
        <w:tc>
          <w:tcPr>
            <w:tcW w:w="4485" w:type="dxa"/>
          </w:tcPr>
          <w:p w14:paraId="1634516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31</w:t>
            </w:r>
          </w:p>
          <w:p w14:paraId="70242BD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Ce modifică art. 33, dat fiind că majoritatea datelor despre persoana juridică ce se înscriu în Registrul de stat, prevăzute în redacția actuală a alin. (1) din art. 33, nu se modifică </w:t>
            </w:r>
            <w:r>
              <w:rPr>
                <w:rFonts w:ascii="Times New Roman" w:eastAsia="Times New Roman" w:hAnsi="Times New Roman" w:cs="Times New Roman"/>
              </w:rPr>
              <w:lastRenderedPageBreak/>
              <w:t xml:space="preserve">prin proiect, urmează a fi reconsiderată oportunitatea expunerii în redacție nouă a alin. (1). În plus, datele menționate după lit. z) nu sunt însemnate în mod corespunzător, ceea ce poate avea drept consecință interpretare divergentă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aplicare incorectă a actului normativ. </w:t>
            </w:r>
          </w:p>
        </w:tc>
        <w:tc>
          <w:tcPr>
            <w:tcW w:w="5505" w:type="dxa"/>
          </w:tcPr>
          <w:p w14:paraId="36B1E8B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Precizare.</w:t>
            </w:r>
          </w:p>
          <w:p w14:paraId="623A5F3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Modificările la art. 33 alin. (1) sunt semnificative. Ele exclud numeroase litere, include altele și renumerotează literele. Toate acestea sunt prezentate în imaginile de mai jos.</w:t>
            </w:r>
          </w:p>
          <w:p w14:paraId="7463C8E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31F0C6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49B0F3F" wp14:editId="1BA4AAB2">
                  <wp:extent cx="3362325" cy="4381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362325" cy="4381500"/>
                          </a:xfrm>
                          <a:prstGeom prst="rect">
                            <a:avLst/>
                          </a:prstGeom>
                          <a:ln/>
                        </pic:spPr>
                      </pic:pic>
                    </a:graphicData>
                  </a:graphic>
                </wp:inline>
              </w:drawing>
            </w:r>
          </w:p>
          <w:p w14:paraId="492C889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C80DE4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6DBFFF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7353B18" wp14:editId="7028C5AF">
                  <wp:extent cx="3362325" cy="4292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62325" cy="4292600"/>
                          </a:xfrm>
                          <a:prstGeom prst="rect">
                            <a:avLst/>
                          </a:prstGeom>
                          <a:ln/>
                        </pic:spPr>
                      </pic:pic>
                    </a:graphicData>
                  </a:graphic>
                </wp:inline>
              </w:drawing>
            </w:r>
          </w:p>
          <w:p w14:paraId="40F78D15"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3EC3D1C"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4FC5D2F6" w14:textId="77777777">
        <w:tc>
          <w:tcPr>
            <w:tcW w:w="480" w:type="dxa"/>
          </w:tcPr>
          <w:p w14:paraId="6E93205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D4B828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4DAD9B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20</w:t>
            </w:r>
          </w:p>
        </w:tc>
        <w:tc>
          <w:tcPr>
            <w:tcW w:w="4485" w:type="dxa"/>
          </w:tcPr>
          <w:p w14:paraId="0ADE500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Punctele 32 și 33</w:t>
            </w:r>
            <w:r>
              <w:rPr>
                <w:rFonts w:ascii="Times New Roman" w:eastAsia="Times New Roman" w:hAnsi="Times New Roman" w:cs="Times New Roman"/>
              </w:rPr>
              <w:t xml:space="preserve"> </w:t>
            </w:r>
          </w:p>
          <w:p w14:paraId="0DB1697A"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Se vor comasa într-un singur punct, întrucât vizează completarea Legii nr. 220/2007 cu două articole ordonate consecutiv. </w:t>
            </w:r>
          </w:p>
        </w:tc>
        <w:tc>
          <w:tcPr>
            <w:tcW w:w="5505" w:type="dxa"/>
          </w:tcPr>
          <w:p w14:paraId="6A2818A0"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1F45B1E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2B4A02A7" w14:textId="77777777">
        <w:tc>
          <w:tcPr>
            <w:tcW w:w="480" w:type="dxa"/>
          </w:tcPr>
          <w:p w14:paraId="733B197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D4D760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FB5A53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21</w:t>
            </w:r>
          </w:p>
        </w:tc>
        <w:tc>
          <w:tcPr>
            <w:tcW w:w="4485" w:type="dxa"/>
          </w:tcPr>
          <w:p w14:paraId="568FEB1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32</w:t>
            </w:r>
          </w:p>
          <w:p w14:paraId="6A3A054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Privind completarea cu art. 33¹ , unicul alineat nu se va însemna cu textul „(1)” </w:t>
            </w:r>
          </w:p>
        </w:tc>
        <w:tc>
          <w:tcPr>
            <w:tcW w:w="5505" w:type="dxa"/>
          </w:tcPr>
          <w:p w14:paraId="4EEA4D2A"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D9F173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5A846325" w14:textId="77777777">
        <w:tc>
          <w:tcPr>
            <w:tcW w:w="480" w:type="dxa"/>
          </w:tcPr>
          <w:p w14:paraId="5154959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4FA876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A2A8A2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22</w:t>
            </w:r>
          </w:p>
        </w:tc>
        <w:tc>
          <w:tcPr>
            <w:tcW w:w="4485" w:type="dxa"/>
          </w:tcPr>
          <w:p w14:paraId="1D0322C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33</w:t>
            </w:r>
          </w:p>
          <w:p w14:paraId="1C593A7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În redacția propusă la art. 33² alin. (6) se va exclude enunțul, potrivit căruia „Dispozițiile alin. (1) nu i se aplică în privința documentului prevăzut la alin. (4).”, având un conținut defectuos, deoarece la alin. (4) nu este menționat nici un document. Mai mult, în conformitate cu art. 55 alin. (3) din Legea nr. 100/2017, nu se admite trimiterea la o altă normă de trimitere. </w:t>
            </w:r>
          </w:p>
        </w:tc>
        <w:tc>
          <w:tcPr>
            <w:tcW w:w="5505" w:type="dxa"/>
          </w:tcPr>
          <w:p w14:paraId="26253788"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7CD034B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a fost ajustat.</w:t>
            </w:r>
          </w:p>
        </w:tc>
      </w:tr>
      <w:tr w:rsidR="0072652F" w14:paraId="437990E2" w14:textId="77777777">
        <w:tc>
          <w:tcPr>
            <w:tcW w:w="480" w:type="dxa"/>
          </w:tcPr>
          <w:p w14:paraId="23DC61A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89BFE84"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37FF18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23</w:t>
            </w:r>
          </w:p>
        </w:tc>
        <w:tc>
          <w:tcPr>
            <w:tcW w:w="4485" w:type="dxa"/>
          </w:tcPr>
          <w:p w14:paraId="0E61D79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34</w:t>
            </w:r>
            <w:r>
              <w:rPr>
                <w:rFonts w:ascii="Times New Roman" w:eastAsia="Times New Roman" w:hAnsi="Times New Roman" w:cs="Times New Roman"/>
              </w:rPr>
              <w:t xml:space="preserve">, </w:t>
            </w:r>
            <w:r>
              <w:rPr>
                <w:rFonts w:ascii="Times New Roman" w:eastAsia="Times New Roman" w:hAnsi="Times New Roman" w:cs="Times New Roman"/>
                <w:b/>
                <w:bCs/>
              </w:rPr>
              <w:t>care modifică art. 34</w:t>
            </w:r>
          </w:p>
          <w:p w14:paraId="5A99300C" w14:textId="71512C0D"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Cu referire la alin. (2), redacția lit. d) creează anumite confuzii în privința noțiunii de „certificat privind constatarea unui fapt” și a organului competent pentru emiterea acestuia. Astfel, conform art. 51 alin. (1) și (2) din Legea nr. 246/2018 privind procedura notarială: „(1) În vederea certificării faptelor prevăzute de lege, notarul va întocmi certificatul corespunzător, în al cărui cuprins va identifica solicitantul certificării </w:t>
            </w:r>
            <w:r w:rsidR="00E912D4">
              <w:rPr>
                <w:rFonts w:ascii="Times New Roman" w:eastAsia="Times New Roman" w:hAnsi="Times New Roman" w:cs="Times New Roman"/>
              </w:rPr>
              <w:t>și</w:t>
            </w:r>
            <w:r>
              <w:rPr>
                <w:rFonts w:ascii="Times New Roman" w:eastAsia="Times New Roman" w:hAnsi="Times New Roman" w:cs="Times New Roman"/>
              </w:rPr>
              <w:t xml:space="preserve"> va constata faptul certificat. (2) Notarul certifică, în baza cererii, următoarele: [...] f) timpul preluării datelor din registrele de publicitate, ținute în formă electronică;”. Art. 57 din Legea nr. 246/2018 reglementează procedura și condițiile în care are loc certificarea timpului preluării datelor din registrele de publicitate, ținute în formă electronică. Având în vedere circumstanțele evocate, este imperioasă clarificarea organului competent de emiterea unor asemenea certificate și a valorii juridice a certificatului emis de organul înregistrării de stat (observație valabilă și pentru pct. 36 ce </w:t>
            </w:r>
            <w:r>
              <w:rPr>
                <w:rFonts w:ascii="Times New Roman" w:eastAsia="Times New Roman" w:hAnsi="Times New Roman" w:cs="Times New Roman"/>
              </w:rPr>
              <w:lastRenderedPageBreak/>
              <w:t>vizează modificarea art. 35 alin. (3) lit. c) din Legea nr. 220/2007).</w:t>
            </w:r>
          </w:p>
          <w:p w14:paraId="41D514E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Alin. (2³ ) se va completa cu numărul și anul adoptării Codului de procedură penală, după cum urmează: „nr. 122/2003”. Observația dată este valabilă și pentru art. 341 alin. (7) cu referire la Codul civil („nr. 1107/2002”), precum și alte cazuri similare din proiect.</w:t>
            </w:r>
          </w:p>
          <w:p w14:paraId="26909666" w14:textId="11A89781"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[3] La alin. (2⁴) cuvintele „impusă de prevederile actelor normative” nu corespund </w:t>
            </w:r>
            <w:r w:rsidR="00E912D4">
              <w:rPr>
                <w:rFonts w:ascii="Times New Roman" w:eastAsia="Times New Roman" w:hAnsi="Times New Roman" w:cs="Times New Roman"/>
              </w:rPr>
              <w:t>exigențelor</w:t>
            </w:r>
            <w:r>
              <w:rPr>
                <w:rFonts w:ascii="Times New Roman" w:eastAsia="Times New Roman" w:hAnsi="Times New Roman" w:cs="Times New Roman"/>
              </w:rPr>
              <w:t xml:space="preserve"> de tehnică legislativă, menite să asigure claritatea, previzibilitatea, predictibilitatea </w:t>
            </w:r>
            <w:r w:rsidR="00E912D4">
              <w:rPr>
                <w:rFonts w:ascii="Times New Roman" w:eastAsia="Times New Roman" w:hAnsi="Times New Roman" w:cs="Times New Roman"/>
              </w:rPr>
              <w:t>și</w:t>
            </w:r>
            <w:r>
              <w:rPr>
                <w:rFonts w:ascii="Times New Roman" w:eastAsia="Times New Roman" w:hAnsi="Times New Roman" w:cs="Times New Roman"/>
              </w:rPr>
              <w:t xml:space="preserve"> accesibilitatea actului normativ. Se recomandă revizuirea acestor cuvinte, prin substituirea cu referințe concrete la acte normative avute în vedere. </w:t>
            </w:r>
          </w:p>
          <w:p w14:paraId="13E699C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0A62F2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[4] Alin. (2⁵ ) după cuvântul „semnătură” se va completa cu cuvântul „olografă”, întru ajustarea la prevederile Legii nr. 124/2002 privind identificarea electronică și serviciile electronice. </w:t>
            </w:r>
          </w:p>
          <w:p w14:paraId="526BA61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6CE84D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[5] Prevederile alin. (4), conform cărora „Prețul copiilor și extraselor eliberate din Registrul de stat nu va depăși costul administrativ al acestora”, necesită a fi revizuite prin prisma prevederilor anexei la Legea nr. 220/2007, care stabilește taxe pentru înregistrarea de stat și serviciile prestate de Agenția Servicii Publice, inclusiv pentru extras din Registrul de stat și eliberarea unei copii de pe actul de constituire (contract de constituire sau </w:t>
            </w:r>
            <w:r>
              <w:rPr>
                <w:rFonts w:ascii="Times New Roman" w:eastAsia="Times New Roman" w:hAnsi="Times New Roman" w:cs="Times New Roman"/>
              </w:rPr>
              <w:lastRenderedPageBreak/>
              <w:t xml:space="preserve">statut), de pe hotărârea de constituire (proces-verbal, ordin sau declarație), de pe actul adițional privind înregistrarea modificărilor, de pe decizia de înregistrare, de pe alte documente din dosarul de evidență. </w:t>
            </w:r>
          </w:p>
          <w:p w14:paraId="3BC9E09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[6] La alin. (6) urmează a fi revăzută noțiunea de „autentificate”, care este utilizată în mod impropriu, ceea ce poate genera confuzii privind natura juridică a procedurii și competența autorității care o îndeplinește. În lumina Legii nr. 246/2018 privind procedura notarială, autentificarea actelor reprezintă o procedură notarială specifică, prin care notarul verifică identitatea părților, consimțământul acestora, capacitatea de exercițiu și corespunderea actului cu prevederile legii, conferind actului un caracter autentic, în condițiile prevăzute de legislație. Astfel, este necesară reformularea normei și substituirea cuvântului „autentificate” cu textul „confirmate”, care, în viziunea noastră, oferă mai multă claritate și rigoare dispoziției legale. </w:t>
            </w:r>
          </w:p>
        </w:tc>
        <w:tc>
          <w:tcPr>
            <w:tcW w:w="5505" w:type="dxa"/>
          </w:tcPr>
          <w:p w14:paraId="4ABA40E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Precizare.</w:t>
            </w:r>
          </w:p>
          <w:p w14:paraId="66587FE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Această literă și competență există în redacția actuală a articolului.</w:t>
            </w:r>
          </w:p>
          <w:p w14:paraId="6C30DF7E"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9FAE5A7" w14:textId="24F779C9" w:rsidR="0072652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Certificatul constatator prevăzut la art. 34 alin. (2) lit.</w:t>
            </w:r>
            <w:r w:rsidR="00E912D4">
              <w:rPr>
                <w:rFonts w:ascii="Times New Roman" w:eastAsia="Times New Roman" w:hAnsi="Times New Roman" w:cs="Times New Roman"/>
              </w:rPr>
              <w:t xml:space="preserve"> </w:t>
            </w:r>
            <w:r>
              <w:rPr>
                <w:rFonts w:ascii="Times New Roman" w:eastAsia="Times New Roman" w:hAnsi="Times New Roman" w:cs="Times New Roman"/>
              </w:rPr>
              <w:t xml:space="preserve">d) din Legea nr. 220/2007 nu este un simplu extras din Registrul de stat, ci este un document oficial prin care organul înregistrării de stat atestă o stare de fapt istorică, o absență sau o acțiune specifică înscrisă în Registrul de stat </w:t>
            </w:r>
            <w:r w:rsidR="00E912D4">
              <w:rPr>
                <w:rFonts w:ascii="Times New Roman" w:eastAsia="Times New Roman" w:hAnsi="Times New Roman" w:cs="Times New Roman"/>
              </w:rPr>
              <w:t>și</w:t>
            </w:r>
            <w:r>
              <w:rPr>
                <w:rFonts w:ascii="Times New Roman" w:eastAsia="Times New Roman" w:hAnsi="Times New Roman" w:cs="Times New Roman"/>
              </w:rPr>
              <w:t xml:space="preserve"> poate reflecta atât </w:t>
            </w:r>
            <w:r w:rsidR="00E912D4">
              <w:rPr>
                <w:rFonts w:ascii="Times New Roman" w:eastAsia="Times New Roman" w:hAnsi="Times New Roman" w:cs="Times New Roman"/>
              </w:rPr>
              <w:t>situația</w:t>
            </w:r>
            <w:r>
              <w:rPr>
                <w:rFonts w:ascii="Times New Roman" w:eastAsia="Times New Roman" w:hAnsi="Times New Roman" w:cs="Times New Roman"/>
              </w:rPr>
              <w:t xml:space="preserve"> la zi, cât </w:t>
            </w:r>
            <w:r w:rsidR="00E912D4">
              <w:rPr>
                <w:rFonts w:ascii="Times New Roman" w:eastAsia="Times New Roman" w:hAnsi="Times New Roman" w:cs="Times New Roman"/>
              </w:rPr>
              <w:t>și</w:t>
            </w:r>
            <w:r>
              <w:rPr>
                <w:rFonts w:ascii="Times New Roman" w:eastAsia="Times New Roman" w:hAnsi="Times New Roman" w:cs="Times New Roman"/>
              </w:rPr>
              <w:t xml:space="preserve"> o situație juridică dintru-un moment fix din trecut. Acesta este utilizat pentru a face dovada unor informații oficiale în relațiile cu autoritățile publice, instituțiile financiare, partenerii contractuali sau alte persoane interesate.</w:t>
            </w:r>
          </w:p>
          <w:p w14:paraId="1948FB55" w14:textId="59238649" w:rsidR="0072652F" w:rsidRDefault="00000000">
            <w:pPr>
              <w:spacing w:line="276" w:lineRule="auto"/>
              <w:jc w:val="both"/>
              <w:rPr>
                <w:rFonts w:ascii="Times New Roman" w:eastAsia="Times New Roman" w:hAnsi="Times New Roman" w:cs="Times New Roman"/>
                <w:sz w:val="28"/>
                <w:szCs w:val="28"/>
                <w:shd w:val="clear" w:color="auto" w:fill="FF9900"/>
              </w:rPr>
            </w:pPr>
            <w:r>
              <w:rPr>
                <w:rFonts w:ascii="Times New Roman" w:eastAsia="Times New Roman" w:hAnsi="Times New Roman" w:cs="Times New Roman"/>
              </w:rPr>
              <w:t xml:space="preserve">Certificatul constatator poate conține, după caz, informații privind: succesiunea în drepturi, perioada de exercitare a mandatului de către organele de conducere ale persoanei juridice într-o anumită perioadă, confirmarea schimbării denumirii persoanei juridice, etc. De asemenea, certificatul constatator poate constata lipsa unui fapt, de exemplu: certifică faptul că o anumită persoană nu figurează </w:t>
            </w:r>
            <w:r w:rsidR="00E912D4">
              <w:rPr>
                <w:rFonts w:ascii="Times New Roman" w:eastAsia="Times New Roman" w:hAnsi="Times New Roman" w:cs="Times New Roman"/>
              </w:rPr>
              <w:t>și</w:t>
            </w:r>
            <w:r>
              <w:rPr>
                <w:rFonts w:ascii="Times New Roman" w:eastAsia="Times New Roman" w:hAnsi="Times New Roman" w:cs="Times New Roman"/>
              </w:rPr>
              <w:t xml:space="preserve"> nu a figurat niciodată </w:t>
            </w:r>
            <w:r>
              <w:rPr>
                <w:rFonts w:ascii="Times New Roman" w:eastAsia="Times New Roman" w:hAnsi="Times New Roman" w:cs="Times New Roman"/>
              </w:rPr>
              <w:lastRenderedPageBreak/>
              <w:t>ca administrator sau fondator al unei persoane radiate sau active. La fel, acesta poate confirma sau infirma dacă un document (de ex. procesul verbal al adunării generale dintr-o dată concretă) a fost prezentat organului înregistrării de stat pentru înregistrarea de stat la o dată anumită.</w:t>
            </w:r>
          </w:p>
          <w:p w14:paraId="1FDEA02E"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AB3D64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031671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Se acceptă.</w:t>
            </w:r>
          </w:p>
          <w:p w14:paraId="224DE29C"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p w14:paraId="20FB460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62BB303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235C9D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Nu se acceptă.</w:t>
            </w:r>
          </w:p>
          <w:p w14:paraId="248CC30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Formula „impusă de prevederile actelor normative” este cea în vigoare.  Nu este scopul acestui proiect de lege să inventarieze toate cazurile din legislație.</w:t>
            </w:r>
          </w:p>
          <w:p w14:paraId="4722A46E" w14:textId="77777777" w:rsidR="0072652F" w:rsidRDefault="0072652F">
            <w:pPr>
              <w:jc w:val="both"/>
              <w:rPr>
                <w:rFonts w:ascii="Times New Roman" w:eastAsia="Times New Roman" w:hAnsi="Times New Roman" w:cs="Times New Roman"/>
              </w:rPr>
            </w:pPr>
          </w:p>
          <w:p w14:paraId="170AF557"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[4] </w:t>
            </w:r>
            <w:r>
              <w:rPr>
                <w:rFonts w:ascii="Times New Roman" w:eastAsia="Times New Roman" w:hAnsi="Times New Roman" w:cs="Times New Roman"/>
                <w:b/>
                <w:bCs/>
              </w:rPr>
              <w:t>Se acceptă.</w:t>
            </w:r>
          </w:p>
          <w:p w14:paraId="1A72DB3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43512AFE" w14:textId="77777777" w:rsidR="0072652F" w:rsidRDefault="0072652F">
            <w:pPr>
              <w:jc w:val="both"/>
              <w:rPr>
                <w:rFonts w:ascii="Times New Roman" w:eastAsia="Times New Roman" w:hAnsi="Times New Roman" w:cs="Times New Roman"/>
              </w:rPr>
            </w:pPr>
          </w:p>
          <w:p w14:paraId="1BEB33D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[5] </w:t>
            </w:r>
            <w:r>
              <w:rPr>
                <w:rFonts w:ascii="Times New Roman" w:eastAsia="Times New Roman" w:hAnsi="Times New Roman" w:cs="Times New Roman"/>
                <w:b/>
                <w:bCs/>
              </w:rPr>
              <w:t>Nu se acceptă.</w:t>
            </w:r>
          </w:p>
          <w:p w14:paraId="293038E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Alin. (4) din proiectul de lege este, de fapt, redacția în vigoare a acestui alineat.  Această formulă este cerută de Directiva 2017/1132.</w:t>
            </w:r>
          </w:p>
          <w:p w14:paraId="3A033362" w14:textId="77777777" w:rsidR="0072652F" w:rsidRDefault="0072652F">
            <w:pPr>
              <w:jc w:val="both"/>
              <w:rPr>
                <w:rFonts w:ascii="Times New Roman" w:eastAsia="Times New Roman" w:hAnsi="Times New Roman" w:cs="Times New Roman"/>
              </w:rPr>
            </w:pPr>
          </w:p>
          <w:p w14:paraId="27D7050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[6] Nu se acceptă.</w:t>
            </w:r>
          </w:p>
          <w:p w14:paraId="7EE9A46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Deși ar fi bine ca noțiunea „autentificare” să fie utilizată în legislație doar în sensul autentificării notariale, realitatea este că Legea nr. 124/2022 utilizează această noțiune într-un al doilea sens, definind-o la art. 2:</w:t>
            </w:r>
          </w:p>
          <w:p w14:paraId="6454033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 xml:space="preserve">autentificare </w:t>
            </w:r>
            <w:r>
              <w:rPr>
                <w:rFonts w:ascii="Times New Roman" w:eastAsia="Times New Roman" w:hAnsi="Times New Roman" w:cs="Times New Roman"/>
              </w:rPr>
              <w:t>– proces electronic care permite confirmarea identificării electronice a persoanelor fizice și/sau juridice sau a originii și integrității anumitor date în formă electronică;”.</w:t>
            </w:r>
          </w:p>
          <w:p w14:paraId="060C3711" w14:textId="77777777" w:rsidR="0072652F" w:rsidRDefault="0072652F">
            <w:pPr>
              <w:jc w:val="both"/>
              <w:rPr>
                <w:rFonts w:ascii="Times New Roman" w:eastAsia="Times New Roman" w:hAnsi="Times New Roman" w:cs="Times New Roman"/>
              </w:rPr>
            </w:pPr>
          </w:p>
          <w:p w14:paraId="1DA931B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Referința, în alin. (6) discutat, la Legea nr. 124/2022 oferă claritate că se are în vedere cel de al doilea sens al noțiunii de „autentificare”.</w:t>
            </w:r>
          </w:p>
          <w:p w14:paraId="7EE5D9BA" w14:textId="77777777" w:rsidR="0072652F" w:rsidRDefault="0072652F">
            <w:pPr>
              <w:jc w:val="both"/>
              <w:rPr>
                <w:rFonts w:ascii="Times New Roman" w:eastAsia="Times New Roman" w:hAnsi="Times New Roman" w:cs="Times New Roman"/>
              </w:rPr>
            </w:pPr>
          </w:p>
          <w:p w14:paraId="52DEAC0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Utilizarea, în alin. (6) discutat, a noțiunii propuse de „confirmare” ar ridica probleme semnificative de corelare cu terminologia Legea nr. 124/2022.</w:t>
            </w:r>
          </w:p>
        </w:tc>
      </w:tr>
      <w:tr w:rsidR="0072652F" w14:paraId="1065F6BB" w14:textId="77777777">
        <w:tc>
          <w:tcPr>
            <w:tcW w:w="480" w:type="dxa"/>
          </w:tcPr>
          <w:p w14:paraId="29B804D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39F9F8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DB7C09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24</w:t>
            </w:r>
          </w:p>
        </w:tc>
        <w:tc>
          <w:tcPr>
            <w:tcW w:w="4485" w:type="dxa"/>
          </w:tcPr>
          <w:p w14:paraId="3D63D2F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35, prin care se modifică art. 34¹</w:t>
            </w:r>
            <w:r>
              <w:rPr>
                <w:rFonts w:ascii="Times New Roman" w:eastAsia="Times New Roman" w:hAnsi="Times New Roman" w:cs="Times New Roman"/>
              </w:rPr>
              <w:t xml:space="preserve"> </w:t>
            </w:r>
          </w:p>
          <w:p w14:paraId="39A2436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Se atestă că conținutul alin. (2) în esență dublează prevederile art. 33 alin. (1) din proiect, care stabilește conținutul Registrului de stat. </w:t>
            </w:r>
          </w:p>
          <w:p w14:paraId="210073D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968425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Mai mult, prevederile propuse pentru alin. (2) nu cad sub incidența obiectului de reglementare al art. 34¹.</w:t>
            </w:r>
          </w:p>
          <w:p w14:paraId="1FC5D18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30424A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 xml:space="preserve">[3] În alin. (2¹) din același articol, formula „identificată la alin. (2)” se va revedea, luând în considerare că la alin. (2) nu sunt stabilite careva criterii sau modalități de identificare a persoanei. </w:t>
            </w:r>
          </w:p>
          <w:p w14:paraId="50FED0C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[4] Cu referire la alin. (5), mențiunea expresă „în vigoare” nu adaugă un conținut normativ distinct și este de natură să încarce inutil textul. Potrivit regulilor de tehnică legislativă, numai în situațiile excepționale, când se urmărește aplicarea legislației existente la un anumit moment determinat, este necesară precizarea expresă a momentului de referință. În acest context, se recomandă excluderea sintagmei „în vigoare”, cu reformularea corespunzătoare a textului, pentru asigurarea conciziei și rigurozității normei juridice. Observația dată este valabilă pentru toate cazurile relevante din proiect. </w:t>
            </w:r>
          </w:p>
          <w:p w14:paraId="5A9BCE9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Totodată, se va reține că în cazul în care articolul se expune în redacție nouă, numerotarea alineatelor cu indici nu se va utiliza. </w:t>
            </w:r>
          </w:p>
        </w:tc>
        <w:tc>
          <w:tcPr>
            <w:tcW w:w="5505" w:type="dxa"/>
          </w:tcPr>
          <w:p w14:paraId="26514A1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Nu se acceptă.</w:t>
            </w:r>
          </w:p>
          <w:p w14:paraId="179499B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Art. 33 alin. (1) și art. 34</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alin. (2) au scopuri normative diferite. Primul arată ce date se înscriu în RSUD; al doilea – ce date sunt publice. Art. 34</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alin. (2) este o prevedere </w:t>
            </w:r>
            <w:r>
              <w:rPr>
                <w:rFonts w:ascii="Times New Roman" w:eastAsia="Times New Roman" w:hAnsi="Times New Roman" w:cs="Times New Roman"/>
                <w:b/>
                <w:bCs/>
              </w:rPr>
              <w:t>cheie</w:t>
            </w:r>
            <w:r>
              <w:rPr>
                <w:rFonts w:ascii="Times New Roman" w:eastAsia="Times New Roman" w:hAnsi="Times New Roman" w:cs="Times New Roman"/>
              </w:rPr>
              <w:t xml:space="preserve"> pentru transpunerea Directivei în sensul asigurării exacte a informației care trebuie publicată prin registru.</w:t>
            </w:r>
          </w:p>
          <w:p w14:paraId="3AD9EC41"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5494D3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7824C58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Din titlul art. 34</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rezultă că el reglementează accesul public la informația din Registrul de Stat.</w:t>
            </w:r>
          </w:p>
          <w:p w14:paraId="35BB620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(2) reglementează volumul de informații accesibile publicului.</w:t>
            </w:r>
          </w:p>
          <w:p w14:paraId="70AC7C2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Prin urmare, alin. (2) nu poate avea un alt loc decât art. 34</w:t>
            </w:r>
            <w:r>
              <w:rPr>
                <w:rFonts w:ascii="Times New Roman" w:eastAsia="Times New Roman" w:hAnsi="Times New Roman" w:cs="Times New Roman"/>
                <w:vertAlign w:val="superscript"/>
              </w:rPr>
              <w:t>1</w:t>
            </w:r>
            <w:r>
              <w:rPr>
                <w:rFonts w:ascii="Times New Roman" w:eastAsia="Times New Roman" w:hAnsi="Times New Roman" w:cs="Times New Roman"/>
              </w:rPr>
              <w:t>.</w:t>
            </w:r>
          </w:p>
          <w:p w14:paraId="24250885"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BC48A1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Nu se acceptă.</w:t>
            </w:r>
          </w:p>
          <w:p w14:paraId="7DF281E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(2) identifică persoane juridice și persoane fizice (numele, prenumele administratorilor și altor persoane cu funcție de conducere). Scopul reglementării de la alin. (2</w:t>
            </w:r>
            <w:r>
              <w:rPr>
                <w:rFonts w:ascii="Times New Roman" w:eastAsia="Times New Roman" w:hAnsi="Times New Roman" w:cs="Times New Roman"/>
                <w:vertAlign w:val="superscript"/>
              </w:rPr>
              <w:t>1</w:t>
            </w:r>
            <w:r>
              <w:rPr>
                <w:rFonts w:ascii="Times New Roman" w:eastAsia="Times New Roman" w:hAnsi="Times New Roman" w:cs="Times New Roman"/>
              </w:rPr>
              <w:t>) este de a preciza întinderea identificării în datele publice, pentru a stabili un echilibru dintre identificarea persoanei pentru terții interesați și ocrotirea datelor cu caracter personal.</w:t>
            </w:r>
          </w:p>
          <w:p w14:paraId="5B6E43D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02CC57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[4] </w:t>
            </w:r>
            <w:r>
              <w:rPr>
                <w:rFonts w:ascii="Times New Roman" w:eastAsia="Times New Roman" w:hAnsi="Times New Roman" w:cs="Times New Roman"/>
                <w:b/>
                <w:bCs/>
              </w:rPr>
              <w:t>Se acceptă.</w:t>
            </w:r>
          </w:p>
          <w:p w14:paraId="409FB7C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4A5A0F7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Proiectul nu conține alte cazuri care folosesc „legislația/acte normative </w:t>
            </w:r>
            <w:r>
              <w:rPr>
                <w:rFonts w:ascii="Times New Roman" w:eastAsia="Times New Roman" w:hAnsi="Times New Roman" w:cs="Times New Roman"/>
                <w:b/>
                <w:bCs/>
              </w:rPr>
              <w:t>în vigoare</w:t>
            </w:r>
            <w:r>
              <w:rPr>
                <w:rFonts w:ascii="Times New Roman" w:eastAsia="Times New Roman" w:hAnsi="Times New Roman" w:cs="Times New Roman"/>
              </w:rPr>
              <w:t>”.</w:t>
            </w:r>
          </w:p>
          <w:p w14:paraId="7C0FBDE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2F4AB20"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[5] </w:t>
            </w:r>
            <w:r>
              <w:rPr>
                <w:rFonts w:ascii="Times New Roman" w:eastAsia="Times New Roman" w:hAnsi="Times New Roman" w:cs="Times New Roman"/>
                <w:b/>
                <w:bCs/>
              </w:rPr>
              <w:t>Se acceptă.</w:t>
            </w:r>
          </w:p>
          <w:p w14:paraId="7F558F4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6C45DDA1" w14:textId="77777777">
        <w:tc>
          <w:tcPr>
            <w:tcW w:w="480" w:type="dxa"/>
          </w:tcPr>
          <w:p w14:paraId="32B71204"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43AF22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467AB3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25</w:t>
            </w:r>
          </w:p>
        </w:tc>
        <w:tc>
          <w:tcPr>
            <w:tcW w:w="4485" w:type="dxa"/>
          </w:tcPr>
          <w:p w14:paraId="281F2A0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La pct. 36, ce modifică art. 35,</w:t>
            </w:r>
          </w:p>
          <w:p w14:paraId="4E9D17DA"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 la alin. (3) lit. i) cuvântul „sesizează” se va substitui cu cuvântul „sesizarea”, iar la lit. j) cuvântul „eliberează” se va substitui cu cuvântul „eliberarea”, în vederea asigurării unei terminologii constante și ajustării la conținutul normativ al alin. (3). </w:t>
            </w:r>
          </w:p>
        </w:tc>
        <w:tc>
          <w:tcPr>
            <w:tcW w:w="5505" w:type="dxa"/>
          </w:tcPr>
          <w:p w14:paraId="7BA8EBF2"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1A70966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13EE1DCF" w14:textId="77777777">
        <w:tc>
          <w:tcPr>
            <w:tcW w:w="480" w:type="dxa"/>
          </w:tcPr>
          <w:p w14:paraId="4F5453E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123029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727D7A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26</w:t>
            </w:r>
          </w:p>
        </w:tc>
        <w:tc>
          <w:tcPr>
            <w:tcW w:w="4485" w:type="dxa"/>
          </w:tcPr>
          <w:p w14:paraId="7E89693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Semnalăm că, în proiect la art. IV numerotarea cu pct. 38 se dublează. </w:t>
            </w:r>
          </w:p>
        </w:tc>
        <w:tc>
          <w:tcPr>
            <w:tcW w:w="5505" w:type="dxa"/>
          </w:tcPr>
          <w:p w14:paraId="7895BE90" w14:textId="77777777" w:rsidR="0072652F" w:rsidRDefault="00000000">
            <w:pPr>
              <w:rPr>
                <w:rFonts w:ascii="Times New Roman" w:eastAsia="Times New Roman" w:hAnsi="Times New Roman" w:cs="Times New Roman"/>
                <w:b/>
                <w:bCs/>
              </w:rPr>
            </w:pPr>
            <w:r>
              <w:rPr>
                <w:rFonts w:ascii="Times New Roman" w:eastAsia="Times New Roman" w:hAnsi="Times New Roman" w:cs="Times New Roman"/>
                <w:b/>
                <w:bCs/>
              </w:rPr>
              <w:t>Se acceptă.</w:t>
            </w:r>
          </w:p>
          <w:p w14:paraId="23BC9007" w14:textId="77777777" w:rsidR="0072652F" w:rsidRDefault="00000000">
            <w:pPr>
              <w:rPr>
                <w:rFonts w:ascii="Times New Roman" w:eastAsia="Times New Roman" w:hAnsi="Times New Roman" w:cs="Times New Roman"/>
              </w:rPr>
            </w:pPr>
            <w:r>
              <w:rPr>
                <w:rFonts w:ascii="Times New Roman" w:eastAsia="Times New Roman" w:hAnsi="Times New Roman" w:cs="Times New Roman"/>
              </w:rPr>
              <w:t>Proiectul a fost ajustat.</w:t>
            </w:r>
          </w:p>
        </w:tc>
      </w:tr>
      <w:tr w:rsidR="0072652F" w14:paraId="60560E26" w14:textId="77777777">
        <w:tc>
          <w:tcPr>
            <w:tcW w:w="480" w:type="dxa"/>
          </w:tcPr>
          <w:p w14:paraId="30FA49B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0CE9EDA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550190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27</w:t>
            </w:r>
          </w:p>
        </w:tc>
        <w:tc>
          <w:tcPr>
            <w:tcW w:w="4485" w:type="dxa"/>
          </w:tcPr>
          <w:p w14:paraId="6CDC31A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38</w:t>
            </w:r>
            <w:r>
              <w:rPr>
                <w:rFonts w:ascii="Times New Roman" w:eastAsia="Times New Roman" w:hAnsi="Times New Roman" w:cs="Times New Roman"/>
              </w:rPr>
              <w:t xml:space="preserve"> (primul caz), privind completarea legii cu un capitol nou, atenționăm asupra </w:t>
            </w:r>
            <w:r>
              <w:rPr>
                <w:rFonts w:ascii="Times New Roman" w:eastAsia="Times New Roman" w:hAnsi="Times New Roman" w:cs="Times New Roman"/>
              </w:rPr>
              <w:lastRenderedPageBreak/>
              <w:t xml:space="preserve">numerotării incorecte a acestuia, întrucât Legea nr. 220/2007 conține 9 capitole. Prin urmare, atât în dispoziția de modificare, cât și în denumirea capitolului, textul „Capitolul XIII¹ ” se va substitui cu textul „Capitolul VIII¹ ”. Totodată, întru evitarea dublării normative în denumirea capitolului și denumirea art. 38¹ , se recomandă de întitulat capitolul respectiv în felul următor: „Sistemul BRIS”. </w:t>
            </w:r>
          </w:p>
          <w:p w14:paraId="566A8C6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La art. 38¹ alin. (5) se va concretiza legea avută în vedere, întru respectarea condițiilor de claritate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accesibilitate a actului normativ. </w:t>
            </w:r>
          </w:p>
        </w:tc>
        <w:tc>
          <w:tcPr>
            <w:tcW w:w="5505" w:type="dxa"/>
          </w:tcPr>
          <w:p w14:paraId="5099C54E" w14:textId="77777777" w:rsidR="0072652F" w:rsidRDefault="00000000">
            <w:pPr>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36331269" w14:textId="77777777" w:rsidR="0072652F" w:rsidRDefault="00000000">
            <w:pPr>
              <w:rPr>
                <w:rFonts w:ascii="Times New Roman" w:eastAsia="Times New Roman" w:hAnsi="Times New Roman" w:cs="Times New Roman"/>
                <w:b/>
                <w:bCs/>
              </w:rPr>
            </w:pPr>
            <w:r>
              <w:rPr>
                <w:rFonts w:ascii="Times New Roman" w:eastAsia="Times New Roman" w:hAnsi="Times New Roman" w:cs="Times New Roman"/>
              </w:rPr>
              <w:t>Proiectul a fost ajustat.</w:t>
            </w:r>
          </w:p>
        </w:tc>
      </w:tr>
      <w:tr w:rsidR="0072652F" w14:paraId="664CCD61" w14:textId="77777777">
        <w:tc>
          <w:tcPr>
            <w:tcW w:w="480" w:type="dxa"/>
          </w:tcPr>
          <w:p w14:paraId="6069B6F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29E43C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1C9A2B4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28</w:t>
            </w:r>
          </w:p>
        </w:tc>
        <w:tc>
          <w:tcPr>
            <w:tcW w:w="4485" w:type="dxa"/>
          </w:tcPr>
          <w:p w14:paraId="617A959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38</w:t>
            </w:r>
            <w:r>
              <w:rPr>
                <w:rFonts w:ascii="Times New Roman" w:eastAsia="Times New Roman" w:hAnsi="Times New Roman" w:cs="Times New Roman"/>
              </w:rPr>
              <w:t xml:space="preserve"> (al doilea caz), ce modifică anexa la Legea nr. 200/2007, sub aspect redacțional: În dispoziția de modificare cuvântul „secțiunea” se va substitui cu cuvântul „compartimentul”. Textele „punctul 1”, „punctul 8” și „punctul 9” se vor substitui cu textele 15 „poziția 1”, „poziția 8” și, respectiv, „poziția 9” </w:t>
            </w:r>
          </w:p>
        </w:tc>
        <w:tc>
          <w:tcPr>
            <w:tcW w:w="5505" w:type="dxa"/>
          </w:tcPr>
          <w:p w14:paraId="36CA6D92" w14:textId="77777777" w:rsidR="0072652F" w:rsidRDefault="00000000">
            <w:pPr>
              <w:rPr>
                <w:rFonts w:ascii="Times New Roman" w:eastAsia="Times New Roman" w:hAnsi="Times New Roman" w:cs="Times New Roman"/>
                <w:b/>
                <w:bCs/>
              </w:rPr>
            </w:pPr>
            <w:r>
              <w:rPr>
                <w:rFonts w:ascii="Times New Roman" w:eastAsia="Times New Roman" w:hAnsi="Times New Roman" w:cs="Times New Roman"/>
                <w:b/>
                <w:bCs/>
              </w:rPr>
              <w:t>Se acceptă.</w:t>
            </w:r>
          </w:p>
          <w:p w14:paraId="0EDA4319" w14:textId="77777777" w:rsidR="0072652F" w:rsidRDefault="00000000">
            <w:pPr>
              <w:rPr>
                <w:rFonts w:ascii="Times New Roman" w:eastAsia="Times New Roman" w:hAnsi="Times New Roman" w:cs="Times New Roman"/>
                <w:b/>
                <w:bCs/>
              </w:rPr>
            </w:pPr>
            <w:r>
              <w:rPr>
                <w:rFonts w:ascii="Times New Roman" w:eastAsia="Times New Roman" w:hAnsi="Times New Roman" w:cs="Times New Roman"/>
              </w:rPr>
              <w:t>Proiectul a fost ajustat.</w:t>
            </w:r>
          </w:p>
        </w:tc>
      </w:tr>
      <w:tr w:rsidR="0072652F" w14:paraId="3D884D57" w14:textId="77777777">
        <w:trPr>
          <w:trHeight w:val="240"/>
        </w:trPr>
        <w:tc>
          <w:tcPr>
            <w:tcW w:w="480" w:type="dxa"/>
          </w:tcPr>
          <w:p w14:paraId="2B6FDE0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DA5799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5035DDB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 xml:space="preserve">La Art. V - Legea insolvabilității nr. 149/2012): </w:t>
            </w:r>
          </w:p>
        </w:tc>
      </w:tr>
      <w:tr w:rsidR="0072652F" w14:paraId="43662C32" w14:textId="77777777">
        <w:tc>
          <w:tcPr>
            <w:tcW w:w="480" w:type="dxa"/>
          </w:tcPr>
          <w:p w14:paraId="310BC67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BCA98F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165B9A6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533FCE6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2</w:t>
            </w:r>
            <w:r>
              <w:rPr>
                <w:rFonts w:ascii="Times New Roman" w:eastAsia="Times New Roman" w:hAnsi="Times New Roman" w:cs="Times New Roman"/>
              </w:rPr>
              <w:t>, modificarea art. 227 și 228 din Legea insolvabilității nr. 149/2012, necesită o analiză suplimentară.</w:t>
            </w:r>
          </w:p>
          <w:p w14:paraId="51DEA6A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Astfel, acordarea dreptului de a introduce acțiunea administratorului insolvabilității, lichidatorului și comitetului creditorilor este firească, însă conferirea acestui drept oricărui creditor ridică semne de întrebare, având în vedere caracterul de ordine publică al descalificării și riscul utilizării acțiunii ca instrument de presiune în cadrul procedurii. </w:t>
            </w:r>
          </w:p>
          <w:p w14:paraId="65AC2EF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992422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[2] Deși corelarea descalificării cu faptele prevăzute la art. 248 alin. (1) este, în principiu, justificată, se impune evaluarea dacă toate aceste fapte sunt suficient de grave pentru a fundamenta o măsură de incapacitate profesională. În vederea asigurării unei aplicări previzibile și uniforme a normei, apreciem oportună completarea proiectului prin indicarea expresă a faptului că măsura descalificării poate fi dispusă în special în cazurile ce implică acțiuni frauduloase, utilizarea abuzivă a persoanei juridice, deturnarea sau ascunderea activelor, falsificarea sau distrugerea documentelor contabile, ascunderea informațiilor relevante administratorului/lichidatorului, creditorilor sau instanței, continuarea activității cu cunoașterea imposibilității vădite de plată, majorarea artificială a pasivului ori înstrăinarea activelor în detrimentul creditorilor. O asemenea abordare ar corespunde mai fidel standardelor europene privind proporționalitatea măsurilor restrictive și ar preveni riscul transformării mecanismului de descalificare într-un instrument excesiv de represiv.</w:t>
            </w:r>
          </w:p>
          <w:p w14:paraId="1AFF864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7CF955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1A1A10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[3] Sub aspectul conținutului măsurii de descalificare, se consideră că interdicțiile propuse pot fi justificate în măsura în care acestea sunt proporționale scopului urmărit și individualizate în funcție de circumstanțele concrete ale fiecărei cauze. În </w:t>
            </w:r>
            <w:r>
              <w:rPr>
                <w:rFonts w:ascii="Times New Roman" w:eastAsia="Times New Roman" w:hAnsi="Times New Roman" w:cs="Times New Roman"/>
              </w:rPr>
              <w:lastRenderedPageBreak/>
              <w:t>acest context, apreciem necesar ca instanța de judecată să motiveze distinct necesitatea aplicării măsurii, întinderea interdicțiilor, durata acestora și proporționalitatea restricțiilor aplicate în raport cu gravitatea faptelor constatate. Totodată, considerăm oportună posibilitatea limitării anumitor interdicții doar la anumite domenii de activitate sau categorii de funcții, atunci când circumstanțele cauzei nu justifică aplicarea unor restricții generale și absolute.</w:t>
            </w:r>
          </w:p>
          <w:p w14:paraId="40AC0CC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același timp, unele dintre efectele propuse ale descalificării necesită o examinare sub aspectul proporționalității. În special, interdicția de a desfășura activitate profesională este formulată într-un mod foarte larg și ar putea depăși scopul urmărit de procedura insolvabilității, iar interdicția de a dobândi o participațiune care conferă peste 50% din drepturile de vot poate fi relativ ușor eludată prin mecanisme indirecte de control.</w:t>
            </w:r>
          </w:p>
          <w:p w14:paraId="2373B3D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[4] În ceea ce privește reglementarea momentului de la care descalificarea produce efecte și a încetării acesteia, dispozițiile propuse sunt, în principiu, clare și previzibile. Totuși, proiectul nu reglementează modalitatea de evidență și publicitatea descalificării, efectele acesteia asupra procedurilor de înregistrare a persoanelor juridice și a modificărilor intervenite în structura ori organele acestora, precum și mecanismele instituționale de verificare a respectării interdicțiilor impuse persoanei descalificate. În lipsa unor </w:t>
            </w:r>
            <w:r>
              <w:rPr>
                <w:rFonts w:ascii="Times New Roman" w:eastAsia="Times New Roman" w:hAnsi="Times New Roman" w:cs="Times New Roman"/>
              </w:rPr>
              <w:lastRenderedPageBreak/>
              <w:t>asemenea reglementări, eficacitatea practică a măsurii și caracterul său opozabil față de terți pot fi afectate.</w:t>
            </w:r>
          </w:p>
          <w:p w14:paraId="28C8299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1F116F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[5] Referitor la interdicția de a ocupa funcții publice, reiterăm necesitatea corelării exprese a acestor prevederi cu dispozițiile Legii nr. 158/2008 privind funcția publică și statutul funcționarului public, precum și cu alte acte normative speciale incidente, în vederea asigurării coerenței și aplicabilității efective a normei. </w:t>
            </w:r>
          </w:p>
          <w:p w14:paraId="390B0501"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6CBDA3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[6] În același timp, considerăm necesară și corelarea proiectului cu legislația societăților comerciale, legislația privind beneficiarii efectivi, mecanismele de înregistrare de stat a persoanelor juridice, precum și cu alte reglementări relevante privind interdicțiile comerciale și administrative. </w:t>
            </w:r>
          </w:p>
          <w:p w14:paraId="057E7A0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01CD5B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[7] Totodată, apreciem pozitiv faptul că proiectul stabilește un termen al descalificării cuprins între 12 luni și 5 ani, însă considerăm necesar ca individualizarea duratei să fie realizată în funcție de gravitatea faptei, întinderea prejudiciului, conduita persoanei și impactul acțiunilor acesteia asupra creditorilor și procedurii. </w:t>
            </w:r>
          </w:p>
          <w:p w14:paraId="4D4049B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657CE3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[8] Pentru asigurarea securității juridice și a previzibilității mecanismului, considerăm oportună reglementarea expresă a termenului de prescripție pentru introducerea acțiunii în descalificare, a </w:t>
            </w:r>
            <w:r>
              <w:rPr>
                <w:rFonts w:ascii="Times New Roman" w:eastAsia="Times New Roman" w:hAnsi="Times New Roman" w:cs="Times New Roman"/>
              </w:rPr>
              <w:lastRenderedPageBreak/>
              <w:t xml:space="preserve">momentului de la care începe să curgă acest termen, precum și a sarcinii probei în cadrul examinării unei asemenea acțiuni. </w:t>
            </w:r>
          </w:p>
          <w:p w14:paraId="618ECF5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EB4779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[9] De asemenea, apreciem oportună examinarea posibilității instituirii unui mecanism electronic de evidență a persoanelor descalificate, inclusiv sub aspectul modalității de publicare a informației, termenului de păstrare a acesteia și procedurii de radiere după expirarea interdicției. </w:t>
            </w:r>
          </w:p>
        </w:tc>
        <w:tc>
          <w:tcPr>
            <w:tcW w:w="5505" w:type="dxa"/>
          </w:tcPr>
          <w:p w14:paraId="2C5CF74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 xml:space="preserve">Nu se acceptă. </w:t>
            </w:r>
          </w:p>
          <w:p w14:paraId="05866E2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Regimul actual al descalificării nu limitează cercul participanților la procesul de insolvabilitate care pot solicita instanței descalificarea. În final, decizia o ia instanța de judecată și nu creditorul individual.</w:t>
            </w:r>
          </w:p>
          <w:p w14:paraId="113D8DF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condițiile în care sunt întrunite condițiile descalificării, aplicarea ei de către instanță nu trebuie văzută ca o „presiune”, ci ca o sancțiune legitimă, de a proteja circuitul civil de persoane cu funcție de conducere nedemne de a administra persoane juridice.</w:t>
            </w:r>
          </w:p>
          <w:p w14:paraId="017BF98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C1F62E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2B2191E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1E8394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Adăugarea unei liste neexhaustive („în special”) de temeiuri în art. 227 alin. (2) nu adaugă securitate juridică.</w:t>
            </w:r>
          </w:p>
          <w:p w14:paraId="04EA4AE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B4728B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Toate faptele de la art. 248 alin. (1) sunt potrivite pentru a exclude, pe o perioadă, persoana din circuitul corporativ, astfel încât ea să nu poată ocupa anumite funcții.</w:t>
            </w:r>
          </w:p>
          <w:p w14:paraId="63F227A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BE7574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Sancțiunea calificării nu este mecanică, ci instanța poate decide aplicarea sau neaplicarea după circumstanțe și ajustează durata și întinderea măsurii potrivit art. 227 alin. (5) din proiectul de lege.</w:t>
            </w:r>
          </w:p>
          <w:p w14:paraId="550D22ED"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401C4E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[4] </w:t>
            </w:r>
            <w:r>
              <w:rPr>
                <w:rFonts w:ascii="Times New Roman" w:eastAsia="Times New Roman" w:hAnsi="Times New Roman" w:cs="Times New Roman"/>
                <w:b/>
                <w:bCs/>
              </w:rPr>
              <w:t>Precizare.</w:t>
            </w:r>
          </w:p>
          <w:p w14:paraId="02EB8D7D"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p w14:paraId="219FB779" w14:textId="77777777" w:rsidR="0072652F" w:rsidRDefault="00000000">
            <w:pPr>
              <w:pBdr>
                <w:top w:val="nil"/>
                <w:left w:val="nil"/>
                <w:bottom w:val="nil"/>
                <w:right w:val="nil"/>
                <w:between w:val="nil"/>
              </w:pBdr>
              <w:jc w:val="both"/>
              <w:rPr>
                <w:rFonts w:ascii="Times New Roman" w:eastAsia="Times New Roman" w:hAnsi="Times New Roman" w:cs="Times New Roman"/>
                <w:highlight w:val="yellow"/>
              </w:rPr>
            </w:pPr>
            <w:r>
              <w:rPr>
                <w:rFonts w:ascii="Times New Roman" w:eastAsia="Times New Roman" w:hAnsi="Times New Roman" w:cs="Times New Roman"/>
              </w:rPr>
              <w:t>Proiectul de lege prevede evidența interdicțiilor prin noul art. 12</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Pr>
                <w:rFonts w:ascii="Times New Roman" w:eastAsia="Times New Roman" w:hAnsi="Times New Roman" w:cs="Times New Roman"/>
                <w:i/>
                <w:iCs/>
              </w:rPr>
              <w:t>Evidența și respectarea interdicțiilor relevante înregistrării de stat</w:t>
            </w:r>
            <w:r>
              <w:rPr>
                <w:rFonts w:ascii="Times New Roman" w:eastAsia="Times New Roman" w:hAnsi="Times New Roman" w:cs="Times New Roman"/>
              </w:rPr>
              <w:t xml:space="preserve">) din Legea nr. 220/2007. Nu este scopul prezentului proiect de lege de a institui un registru unic al interdicțiilor. Promovarea acestei politici, deși necesară, depășește scopul transpunerii Directivei 2017/1132 și termenele restrânse alocate transpunerii. </w:t>
            </w:r>
          </w:p>
          <w:p w14:paraId="074E663E" w14:textId="77777777" w:rsidR="0072652F" w:rsidRDefault="0072652F">
            <w:pPr>
              <w:pBdr>
                <w:top w:val="nil"/>
                <w:left w:val="nil"/>
                <w:bottom w:val="nil"/>
                <w:right w:val="nil"/>
                <w:between w:val="nil"/>
              </w:pBdr>
              <w:jc w:val="both"/>
              <w:rPr>
                <w:rFonts w:ascii="Times New Roman" w:eastAsia="Times New Roman" w:hAnsi="Times New Roman" w:cs="Times New Roman"/>
                <w:highlight w:val="yellow"/>
              </w:rPr>
            </w:pPr>
          </w:p>
          <w:p w14:paraId="65B5155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[5] </w:t>
            </w:r>
            <w:r>
              <w:rPr>
                <w:rFonts w:ascii="Times New Roman" w:eastAsia="Times New Roman" w:hAnsi="Times New Roman" w:cs="Times New Roman"/>
                <w:b/>
                <w:bCs/>
              </w:rPr>
              <w:t>Precizare.</w:t>
            </w:r>
          </w:p>
          <w:p w14:paraId="6F017D8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Proiectul de lege nu prevede tipul de descalificare sub forma interdicției de a ocupa funcția publică, sancțiune care nu se regăsește în legea specială. </w:t>
            </w:r>
          </w:p>
          <w:p w14:paraId="2738AD35"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459A119" w14:textId="77777777" w:rsidR="0072652F" w:rsidRDefault="00000000">
            <w:pPr>
              <w:jc w:val="both"/>
              <w:rPr>
                <w:rFonts w:ascii="Times New Roman" w:eastAsia="Times New Roman" w:hAnsi="Times New Roman" w:cs="Times New Roman"/>
                <w:b/>
                <w:bCs/>
                <w:i/>
                <w:iCs/>
                <w:highlight w:val="yellow"/>
              </w:rPr>
            </w:pPr>
            <w:r>
              <w:rPr>
                <w:rFonts w:ascii="Times New Roman" w:eastAsia="Times New Roman" w:hAnsi="Times New Roman" w:cs="Times New Roman"/>
              </w:rPr>
              <w:t xml:space="preserve">Nu este scopul prezentului proiect de lege de a reglementa interdicțiile de a ocupa funcțiile publice. Promovarea acestei politici depășește scopul </w:t>
            </w:r>
            <w:r>
              <w:rPr>
                <w:rFonts w:ascii="Times New Roman" w:eastAsia="Times New Roman" w:hAnsi="Times New Roman" w:cs="Times New Roman"/>
              </w:rPr>
              <w:lastRenderedPageBreak/>
              <w:t xml:space="preserve">transpunerii Directivei 2017/1132 și termenele restrânse alocate transpunerii. </w:t>
            </w:r>
          </w:p>
          <w:p w14:paraId="3D860390" w14:textId="77777777" w:rsidR="0072652F" w:rsidRDefault="0072652F">
            <w:pPr>
              <w:jc w:val="both"/>
              <w:rPr>
                <w:rFonts w:ascii="Times New Roman" w:eastAsia="Times New Roman" w:hAnsi="Times New Roman" w:cs="Times New Roman"/>
                <w:b/>
                <w:bCs/>
                <w:i/>
                <w:iCs/>
                <w:highlight w:val="yellow"/>
              </w:rPr>
            </w:pPr>
          </w:p>
          <w:p w14:paraId="5943901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[6] Sancțiunea descalificării, deja existentă în Legea insolvabilității nr. 149/2012, este corelată în legile speciale privind societățile comerciale:</w:t>
            </w:r>
          </w:p>
          <w:p w14:paraId="0FFBA7F6" w14:textId="77777777" w:rsidR="0072652F" w:rsidRDefault="0072652F">
            <w:pPr>
              <w:jc w:val="both"/>
              <w:rPr>
                <w:rFonts w:ascii="Times New Roman" w:eastAsia="Times New Roman" w:hAnsi="Times New Roman" w:cs="Times New Roman"/>
              </w:rPr>
            </w:pPr>
          </w:p>
          <w:p w14:paraId="4467478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 art. 69 alin. (2) din Legea nr. 135/2007 deja prevede:</w:t>
            </w:r>
          </w:p>
          <w:p w14:paraId="49300AF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„(2) Administrator poate fi o persoană fizică cu capacitate deplină de exercițiu căreia, prin lege sau </w:t>
            </w:r>
            <w:r>
              <w:rPr>
                <w:rFonts w:ascii="Times New Roman" w:eastAsia="Times New Roman" w:hAnsi="Times New Roman" w:cs="Times New Roman"/>
                <w:b/>
                <w:bCs/>
              </w:rPr>
              <w:t xml:space="preserve">hotărâre judecătorească, nu-i este interzisă deținerea </w:t>
            </w:r>
            <w:r>
              <w:rPr>
                <w:rFonts w:ascii="Times New Roman" w:eastAsia="Times New Roman" w:hAnsi="Times New Roman" w:cs="Times New Roman"/>
              </w:rPr>
              <w:t>funcției de administrator sau a unei alte funcții ce acordă dreptul de dispoziție asupra bunurilor materiale...”.</w:t>
            </w:r>
          </w:p>
          <w:p w14:paraId="53218869" w14:textId="77777777" w:rsidR="0072652F" w:rsidRDefault="0072652F">
            <w:pPr>
              <w:jc w:val="both"/>
              <w:rPr>
                <w:rFonts w:ascii="Times New Roman" w:eastAsia="Times New Roman" w:hAnsi="Times New Roman" w:cs="Times New Roman"/>
              </w:rPr>
            </w:pPr>
          </w:p>
          <w:p w14:paraId="487B067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(b) art. 72 alin. (5) din Legea nr. 1134/1997 deja prevede:</w:t>
            </w:r>
          </w:p>
          <w:p w14:paraId="32B34F9B" w14:textId="08B3A5E3"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„(5) Persoane cu </w:t>
            </w:r>
            <w:r w:rsidR="00E912D4">
              <w:rPr>
                <w:rFonts w:ascii="Times New Roman" w:eastAsia="Times New Roman" w:hAnsi="Times New Roman" w:cs="Times New Roman"/>
              </w:rPr>
              <w:t>funcții</w:t>
            </w:r>
            <w:r>
              <w:rPr>
                <w:rFonts w:ascii="Times New Roman" w:eastAsia="Times New Roman" w:hAnsi="Times New Roman" w:cs="Times New Roman"/>
              </w:rPr>
              <w:t xml:space="preserve"> de răspundere ale </w:t>
            </w:r>
            <w:r w:rsidR="00E912D4">
              <w:rPr>
                <w:rFonts w:ascii="Times New Roman" w:eastAsia="Times New Roman" w:hAnsi="Times New Roman" w:cs="Times New Roman"/>
              </w:rPr>
              <w:t>societății</w:t>
            </w:r>
            <w:r>
              <w:rPr>
                <w:rFonts w:ascii="Times New Roman" w:eastAsia="Times New Roman" w:hAnsi="Times New Roman" w:cs="Times New Roman"/>
              </w:rPr>
              <w:t xml:space="preserve"> nu pot fi:</w:t>
            </w:r>
          </w:p>
          <w:p w14:paraId="2401C161" w14:textId="4406397C"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b) persoanele cărora, </w:t>
            </w:r>
            <w:r>
              <w:rPr>
                <w:rFonts w:ascii="Times New Roman" w:eastAsia="Times New Roman" w:hAnsi="Times New Roman" w:cs="Times New Roman"/>
                <w:b/>
                <w:bCs/>
              </w:rPr>
              <w:t xml:space="preserve">prin hotărâre a </w:t>
            </w:r>
            <w:r w:rsidR="00E912D4">
              <w:rPr>
                <w:rFonts w:ascii="Times New Roman" w:eastAsia="Times New Roman" w:hAnsi="Times New Roman" w:cs="Times New Roman"/>
                <w:b/>
                <w:bCs/>
              </w:rPr>
              <w:t>instanței</w:t>
            </w:r>
            <w:r>
              <w:rPr>
                <w:rFonts w:ascii="Times New Roman" w:eastAsia="Times New Roman" w:hAnsi="Times New Roman" w:cs="Times New Roman"/>
                <w:b/>
                <w:bCs/>
              </w:rPr>
              <w:t xml:space="preserve"> </w:t>
            </w:r>
            <w:r w:rsidR="00E912D4">
              <w:rPr>
                <w:rFonts w:ascii="Times New Roman" w:eastAsia="Times New Roman" w:hAnsi="Times New Roman" w:cs="Times New Roman"/>
                <w:b/>
                <w:bCs/>
              </w:rPr>
              <w:t>judecătorești</w:t>
            </w:r>
            <w:r>
              <w:rPr>
                <w:rFonts w:ascii="Times New Roman" w:eastAsia="Times New Roman" w:hAnsi="Times New Roman" w:cs="Times New Roman"/>
                <w:b/>
                <w:bCs/>
              </w:rPr>
              <w:t xml:space="preserve">, le este interzis </w:t>
            </w:r>
            <w:r>
              <w:rPr>
                <w:rFonts w:ascii="Times New Roman" w:eastAsia="Times New Roman" w:hAnsi="Times New Roman" w:cs="Times New Roman"/>
              </w:rPr>
              <w:t xml:space="preserve">să </w:t>
            </w:r>
            <w:r w:rsidR="00E912D4">
              <w:rPr>
                <w:rFonts w:ascii="Times New Roman" w:eastAsia="Times New Roman" w:hAnsi="Times New Roman" w:cs="Times New Roman"/>
              </w:rPr>
              <w:t>dețină</w:t>
            </w:r>
            <w:r>
              <w:rPr>
                <w:rFonts w:ascii="Times New Roman" w:eastAsia="Times New Roman" w:hAnsi="Times New Roman" w:cs="Times New Roman"/>
              </w:rPr>
              <w:t xml:space="preserve"> </w:t>
            </w:r>
            <w:r w:rsidR="00E912D4">
              <w:rPr>
                <w:rFonts w:ascii="Times New Roman" w:eastAsia="Times New Roman" w:hAnsi="Times New Roman" w:cs="Times New Roman"/>
              </w:rPr>
              <w:t>funcțiile</w:t>
            </w:r>
            <w:r>
              <w:rPr>
                <w:rFonts w:ascii="Times New Roman" w:eastAsia="Times New Roman" w:hAnsi="Times New Roman" w:cs="Times New Roman"/>
              </w:rPr>
              <w:t xml:space="preserve"> respective;”.</w:t>
            </w:r>
          </w:p>
          <w:p w14:paraId="7264786F" w14:textId="77777777" w:rsidR="0072652F" w:rsidRDefault="0072652F">
            <w:pPr>
              <w:jc w:val="both"/>
              <w:rPr>
                <w:rFonts w:ascii="Times New Roman" w:eastAsia="Times New Roman" w:hAnsi="Times New Roman" w:cs="Times New Roman"/>
              </w:rPr>
            </w:pPr>
          </w:p>
          <w:p w14:paraId="136D1E22"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[7] </w:t>
            </w:r>
            <w:r>
              <w:rPr>
                <w:rFonts w:ascii="Times New Roman" w:eastAsia="Times New Roman" w:hAnsi="Times New Roman" w:cs="Times New Roman"/>
                <w:b/>
                <w:bCs/>
              </w:rPr>
              <w:t>Precizare.</w:t>
            </w:r>
          </w:p>
          <w:p w14:paraId="5C29AFB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Alin. (5) al art. 227, în redacția proiectului de lege, deja prevede că „(5) La stabilirea tipului și </w:t>
            </w:r>
            <w:r>
              <w:rPr>
                <w:rFonts w:ascii="Times New Roman" w:eastAsia="Times New Roman" w:hAnsi="Times New Roman" w:cs="Times New Roman"/>
                <w:b/>
                <w:bCs/>
              </w:rPr>
              <w:t>duratei descalificării</w:t>
            </w:r>
            <w:r>
              <w:rPr>
                <w:rFonts w:ascii="Times New Roman" w:eastAsia="Times New Roman" w:hAnsi="Times New Roman" w:cs="Times New Roman"/>
              </w:rPr>
              <w:t>, instanța va ține cont de toate circumstanțele cazului, inclusiv:”, urmând criteriile menționate.</w:t>
            </w:r>
          </w:p>
          <w:p w14:paraId="4647674F" w14:textId="77777777" w:rsidR="0072652F" w:rsidRDefault="0072652F">
            <w:pPr>
              <w:jc w:val="both"/>
              <w:rPr>
                <w:rFonts w:ascii="Times New Roman" w:eastAsia="Times New Roman" w:hAnsi="Times New Roman" w:cs="Times New Roman"/>
              </w:rPr>
            </w:pPr>
          </w:p>
          <w:p w14:paraId="3C531B6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[8] </w:t>
            </w:r>
            <w:r>
              <w:rPr>
                <w:rFonts w:ascii="Times New Roman" w:eastAsia="Times New Roman" w:hAnsi="Times New Roman" w:cs="Times New Roman"/>
                <w:b/>
                <w:bCs/>
              </w:rPr>
              <w:t>Precizare.</w:t>
            </w:r>
          </w:p>
          <w:p w14:paraId="5B4E8F1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Alin. (8) al art. 227, în redacția proiectului de lege, deja reglementează termenele prescripție prin referința la reglementarea existentă în materie de acțiune în </w:t>
            </w:r>
            <w:r>
              <w:rPr>
                <w:rFonts w:ascii="Times New Roman" w:eastAsia="Times New Roman" w:hAnsi="Times New Roman" w:cs="Times New Roman"/>
              </w:rPr>
              <w:lastRenderedPageBreak/>
              <w:t>răspundere, pentru a asigura un regim unitar, simplitatea reglementării.</w:t>
            </w:r>
          </w:p>
          <w:p w14:paraId="6FD33A71" w14:textId="77777777" w:rsidR="0072652F" w:rsidRDefault="0072652F">
            <w:pPr>
              <w:jc w:val="both"/>
              <w:rPr>
                <w:rFonts w:ascii="Times New Roman" w:eastAsia="Times New Roman" w:hAnsi="Times New Roman" w:cs="Times New Roman"/>
              </w:rPr>
            </w:pPr>
          </w:p>
          <w:p w14:paraId="1575F4E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[9]  </w:t>
            </w:r>
            <w:r>
              <w:rPr>
                <w:rFonts w:ascii="Times New Roman" w:eastAsia="Times New Roman" w:hAnsi="Times New Roman" w:cs="Times New Roman"/>
                <w:b/>
                <w:bCs/>
              </w:rPr>
              <w:t>Precizare.</w:t>
            </w:r>
          </w:p>
          <w:p w14:paraId="6940A1C6" w14:textId="77777777" w:rsidR="0072652F" w:rsidRDefault="0072652F">
            <w:pPr>
              <w:jc w:val="both"/>
              <w:rPr>
                <w:rFonts w:ascii="Times New Roman" w:eastAsia="Times New Roman" w:hAnsi="Times New Roman" w:cs="Times New Roman"/>
                <w:b/>
                <w:bCs/>
              </w:rPr>
            </w:pPr>
          </w:p>
          <w:p w14:paraId="6F8B05B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prevede colectarea și stocarea datelor privind interdicțiile prin noul art. 12</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Pr>
                <w:rFonts w:ascii="Times New Roman" w:eastAsia="Times New Roman" w:hAnsi="Times New Roman" w:cs="Times New Roman"/>
                <w:i/>
                <w:iCs/>
              </w:rPr>
              <w:t>Colectarea, stocarea și respectarea interdicțiilor relevante înregistrării de stat</w:t>
            </w:r>
            <w:r>
              <w:rPr>
                <w:rFonts w:ascii="Times New Roman" w:eastAsia="Times New Roman" w:hAnsi="Times New Roman" w:cs="Times New Roman"/>
              </w:rPr>
              <w:t xml:space="preserve">) din Legea nr. 220/2007. Nu este scopul prezentului proiect de lege de a institui un registru unic al interdicțiilor. Promovarea acestei politici, deși necesară, depășește scopul transpunerii Directivei 2017/1132 și termenele restrânse alocate transpunerii. </w:t>
            </w:r>
          </w:p>
        </w:tc>
      </w:tr>
      <w:tr w:rsidR="0072652F" w14:paraId="28DCB2F0" w14:textId="77777777">
        <w:trPr>
          <w:trHeight w:val="240"/>
        </w:trPr>
        <w:tc>
          <w:tcPr>
            <w:tcW w:w="480" w:type="dxa"/>
          </w:tcPr>
          <w:p w14:paraId="41BA4C5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310493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42D60DD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La Art. VI- Codul contravențional nr. 218/2008</w:t>
            </w:r>
          </w:p>
        </w:tc>
      </w:tr>
      <w:tr w:rsidR="0072652F" w14:paraId="28F21B7E" w14:textId="77777777">
        <w:tc>
          <w:tcPr>
            <w:tcW w:w="480" w:type="dxa"/>
          </w:tcPr>
          <w:p w14:paraId="35C97AE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0D7BCD7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1867C9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7F667A54" w14:textId="1D7C66A6"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dispoziția de modificare: sursa publicării se va substitui cu sursa republicării, cu următorul text: „(republicat în Monitorul Oficial al Republicii Moldova, 2017, nr. 78–84, art. 100)”; cuvintele „și se completează” se vor exclude, ca fiind excedente, având în vedere că, în conformitate cu art. 62 din Legea nr. 100/2017, modificarea actului normativ constă în schimbarea oficială a textului actului, inclusiv a </w:t>
            </w:r>
            <w:r w:rsidR="00E912D4">
              <w:rPr>
                <w:rFonts w:ascii="Times New Roman" w:eastAsia="Times New Roman" w:hAnsi="Times New Roman" w:cs="Times New Roman"/>
              </w:rPr>
              <w:t>dispozițiilor</w:t>
            </w:r>
            <w:r>
              <w:rPr>
                <w:rFonts w:ascii="Times New Roman" w:eastAsia="Times New Roman" w:hAnsi="Times New Roman" w:cs="Times New Roman"/>
              </w:rPr>
              <w:t xml:space="preserve"> finale sau tranzitorii, realizată prin modificări, excluderi sau completări ale unor </w:t>
            </w:r>
            <w:r w:rsidR="00E912D4">
              <w:rPr>
                <w:rFonts w:ascii="Times New Roman" w:eastAsia="Times New Roman" w:hAnsi="Times New Roman" w:cs="Times New Roman"/>
              </w:rPr>
              <w:t>părți</w:t>
            </w:r>
            <w:r>
              <w:rPr>
                <w:rFonts w:ascii="Times New Roman" w:eastAsia="Times New Roman" w:hAnsi="Times New Roman" w:cs="Times New Roman"/>
              </w:rPr>
              <w:t xml:space="preserve"> din text. Prin urmare, nu este necesară referința la completare, deoarece modificările includ și completări. </w:t>
            </w:r>
          </w:p>
        </w:tc>
        <w:tc>
          <w:tcPr>
            <w:tcW w:w="5505" w:type="dxa"/>
          </w:tcPr>
          <w:p w14:paraId="196FE1A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743178B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4C50DAA4" w14:textId="77777777">
        <w:tc>
          <w:tcPr>
            <w:tcW w:w="480" w:type="dxa"/>
          </w:tcPr>
          <w:p w14:paraId="6B157E0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290906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F01CDA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333BB65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b/>
                <w:bCs/>
              </w:rPr>
              <w:t>La pct. 2</w:t>
            </w:r>
            <w:r>
              <w:rPr>
                <w:rFonts w:ascii="Times New Roman" w:eastAsia="Times New Roman" w:hAnsi="Times New Roman" w:cs="Times New Roman"/>
              </w:rPr>
              <w:t xml:space="preserve">, cu referire la modificarea art. 263⁴, considerăm că, sub aspectul proporționalității sancțiunii, se impune evaluarea corelației dintre gravitatea faptelor incriminate și cuantumul amenzilor propuse. Deși nivelul sancțiunilor poate fi justificat în cazul prezentării cu intenție a unor informații </w:t>
            </w:r>
            <w:r>
              <w:rPr>
                <w:rFonts w:ascii="Times New Roman" w:eastAsia="Times New Roman" w:hAnsi="Times New Roman" w:cs="Times New Roman"/>
              </w:rPr>
              <w:lastRenderedPageBreak/>
              <w:t xml:space="preserve">false care afectează veridicitatea datelor înscrise în registrele publice, aplicarea aceluiași regim sancționator unor omisiuni, neconcordanțe sau inexactități de natură formală ori cu un impact redus asupra intereselor protejate de lege poate ridica probleme de proporționalitate. În acest context, ar putea fi examinată oportunitatea diferențierii răspunderii contravenționale și a limitelor sancțiunii în funcție de gravitatea încălcării, consecințele produse și forma de vinovăție a făptuitorului. </w:t>
            </w:r>
          </w:p>
          <w:p w14:paraId="14CF21D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[2] De asemenea, trebuie menționat că Ministerul Justiției a transmis spre avizare repetată proiectul de lege pentru modificarea Codului contravențional. Deși respectivul proiectul nu vizează modificarea art. 263⁴, din considerente de coerență legislativă și unitate a intervențiilor normative, ar putea fi avută în vedere includerea acestei modificări în același proiect promovat de Ministerul Justiției. </w:t>
            </w:r>
          </w:p>
          <w:p w14:paraId="69510C3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54E8A2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[3] De asemenea, proiectul de modificare a Codului contravențional prevede modificarea art. 263 alin. (1), prin substituirea cuvintelor „Camera înregistrării de Stat” cu cuvintele „Agenția Servicii Publice”. </w:t>
            </w:r>
          </w:p>
          <w:p w14:paraId="1116AA6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În ceea ce privește utilizarea sintagmei „luare la evidență”, se apreciază că aceasta este imprecisă și susceptibilă de interpretări variabile, ceea ce afectează exigențele de claritate și previzibilitate ale normei contravenționale. Din aceste considerente, </w:t>
            </w:r>
            <w:r>
              <w:rPr>
                <w:rFonts w:ascii="Times New Roman" w:eastAsia="Times New Roman" w:hAnsi="Times New Roman" w:cs="Times New Roman"/>
              </w:rPr>
              <w:lastRenderedPageBreak/>
              <w:t>propunem excluderea pct. 1 din cuprinsul Art. V din proiect.</w:t>
            </w:r>
          </w:p>
          <w:p w14:paraId="2D94CA2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[4] Totodată, propunerea privind sancționarea pentru „neactualizarea informației respective, în cazul în care au intervenit modificări” necesită o analiză suplimentară. Astfel, norma contravențională propusă face referire la obligațiile prevăzute în alte acte normative, însă, legile enumerate nu stabilesc termene clare pentru actualizarea informației. Dacă termenul nu este clar stabilit în legea materială, persoana nu poate prevedea cu certitudine momentul de la care fapta devine contravenție. Se recomandă corelarea sancțiunii cu obligațiile materiale din Legea nr. 220/2007, Legea nr. 1134/1997, Legea nr. 135/2007 și Codul civil, astfel încât fiecare obligație sancționată să aibă un termen clar de executare. </w:t>
            </w:r>
          </w:p>
          <w:p w14:paraId="401CEB2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[5] În aceeași ordine de idei, se va revedea utilizarea noțiunii „actele unilaterale”, din motivul că nu există o delimitare clară cu referire la aceasta, ceea ce poate genera riscul sancționării inclusiv pentru comunicări curente, e-mailuri, notificări automate sau alte mesaje fără relevanță juridică substanțială. </w:t>
            </w:r>
          </w:p>
          <w:p w14:paraId="30750F1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5D1488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[6] Suplimentar, sub aspect redacțional, componențele contravenționale propuse urmează a fi înserate în alineate numerotate, conform prevederilor art. 51 alin. (6) din Legea nr. 100/2027, care stabilește că alineatele sunt însemnate succesiv cu </w:t>
            </w:r>
            <w:r>
              <w:rPr>
                <w:rFonts w:ascii="Times New Roman" w:eastAsia="Times New Roman" w:hAnsi="Times New Roman" w:cs="Times New Roman"/>
              </w:rPr>
              <w:lastRenderedPageBreak/>
              <w:t xml:space="preserve">numere ordinare, exprimate prin cifre arabe, luate între paranteze rotunde </w:t>
            </w:r>
          </w:p>
        </w:tc>
        <w:tc>
          <w:tcPr>
            <w:tcW w:w="5505" w:type="dxa"/>
          </w:tcPr>
          <w:p w14:paraId="18D8A5C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4A5CC6B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Deși proiectul de lege expune în redacție nouă art. 263⁴ din Codul contravențional, în esență el doar adaugă referința la sucursalele persoanelor juridice străine și referința la Legea nr. 220/2007.</w:t>
            </w:r>
          </w:p>
          <w:p w14:paraId="64404B3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Nu se modifică latura obiectivă a faptei și nu se modifică sancțiunea.</w:t>
            </w:r>
          </w:p>
          <w:p w14:paraId="119397E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Proporționalitatea sancțiunilor a fost deja evaluată de Parlament cu ocazia adoptării redacției curente a acestui alineat. Nu este scopul prezentului proiect de lege să evalueze evaluarea legislativă deja efectuată.</w:t>
            </w:r>
          </w:p>
          <w:p w14:paraId="6636BDC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D1C2F3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1D4D728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F30964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Noile reglementări trebuie însoțite de sancțiuni corespunzătoare.</w:t>
            </w:r>
          </w:p>
          <w:p w14:paraId="4602738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716789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Se acceptă.</w:t>
            </w:r>
          </w:p>
          <w:p w14:paraId="641D8A2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Pct. 1 din proiect, vizând art. 263 alin. (1) Cod contravențional, având în vedere proiectul de lege paralel inițial de Ministerul Justiției.  Totodată, se atrage atenția că, în privința antreprenorilor independenți, Legea nr. 220/2007 și Codul fiscal prevăd formalitatea „luare în evidență” și nu „înregistrarea”. Prin urmare, MJ ar trebui să ia în calcul dacă redacția propusă acoperă toate situațiile normative.</w:t>
            </w:r>
          </w:p>
          <w:p w14:paraId="5C48FA3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6B2FA5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[4] </w:t>
            </w:r>
            <w:r>
              <w:rPr>
                <w:rFonts w:ascii="Times New Roman" w:eastAsia="Times New Roman" w:hAnsi="Times New Roman" w:cs="Times New Roman"/>
                <w:b/>
                <w:bCs/>
              </w:rPr>
              <w:t xml:space="preserve">Se acceptă parțial. </w:t>
            </w:r>
          </w:p>
          <w:p w14:paraId="4B3B0C4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Art. 16 alin. (2) deja prevede termenul legal de 30 de zile de la data adoptării hotărârii organului persoanei juridice.</w:t>
            </w:r>
          </w:p>
          <w:p w14:paraId="3353325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9BF546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Același termen de 30 de zile este introdus:</w:t>
            </w:r>
          </w:p>
          <w:p w14:paraId="5C15C59D"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A4AFBD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în noul art. 8 alin. (6), art. 93 alin. (7) din Legea nr. 1134/1997</w:t>
            </w:r>
          </w:p>
          <w:p w14:paraId="39AC3ED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în noul art. 9</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alin. (2), art. 10 alin. (2) din Legea nr. 135/2007;</w:t>
            </w:r>
          </w:p>
          <w:p w14:paraId="1FF3D93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8E09FF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3) noul art. 33</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din Legea nr. 220/2007.</w:t>
            </w:r>
          </w:p>
          <w:p w14:paraId="0C64CAA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1BF23F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Termenul de 15 zile este prevăzute în art. 228 Cod civil pentru lichidatorul desemnat.</w:t>
            </w:r>
          </w:p>
          <w:p w14:paraId="6CD27BA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1DEFB8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În plus, proiectul de lege a fost ajustat la art. 178 alin. (6) din Codul civil, cu precizarea că obligația administratorului de a menține textul actualizat al actului de constituire „trebuie îndeplinită în termen de 30 de zile din data în care persoana juridică ia cunoștință de temeiul pentru care actul de constituire nu corespunde situației juridice reale”. Prin urmare, decisivă nu este comunicarea informației către administrator, ci către persoana juridică pe care o administrează (e.g. transmitere prin email, comunicare la sediu), iar administratorul are sarcina generală de a organiza activitatea persoanei juridice într-o manieră care să asigure că informația primită de aceasta ajunge la cunoștința administratorului. </w:t>
            </w:r>
          </w:p>
          <w:p w14:paraId="4265457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2278A2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[5] </w:t>
            </w:r>
            <w:r>
              <w:rPr>
                <w:rFonts w:ascii="Times New Roman" w:eastAsia="Times New Roman" w:hAnsi="Times New Roman" w:cs="Times New Roman"/>
                <w:b/>
                <w:bCs/>
              </w:rPr>
              <w:t>Nu se acceptă.</w:t>
            </w:r>
          </w:p>
          <w:p w14:paraId="01EBC76C"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p w14:paraId="4D4E382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Noul alin. (3) din art. 263⁴ al Codului contravențional face referință expresă la Legea nr. 1134/1997 (pentru SA);  la Legea nr. 135/2007 (pentru SRL), la Codul civil (pentru sucursalele persoanelor juridice străine). Proiectul de lege prevede clar, în aceste două legi speciale, obligația de includere a anumitor informații în actele unilaterale (cu menționarea categoriilor acestora). Este vorba de art. 3 alin. (9) din Legea nr. 1134/1997 în redacția proiectului de lege; art. 242 din Codul civil în redacția proiectului de lege; art. 9</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alin. (3) din Legea nr. 135/2007. </w:t>
            </w:r>
          </w:p>
          <w:p w14:paraId="4CCBFED1"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8FB649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Orice critici privitor la categoria de acte care se includ în acte unilaterale trebuie formulate în norma materială. Însă aceste obligații din norma materială nu pot rămâne </w:t>
            </w:r>
            <w:r>
              <w:rPr>
                <w:rFonts w:ascii="Times New Roman" w:eastAsia="Times New Roman" w:hAnsi="Times New Roman" w:cs="Times New Roman"/>
              </w:rPr>
              <w:lastRenderedPageBreak/>
              <w:t>fără sancțiune, ele fiind cerute de art. 28(b) și 40 din Directiva 2017/1132.</w:t>
            </w:r>
          </w:p>
          <w:p w14:paraId="6F4E54A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B11C70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[6] </w:t>
            </w:r>
            <w:r>
              <w:rPr>
                <w:rFonts w:ascii="Times New Roman" w:eastAsia="Times New Roman" w:hAnsi="Times New Roman" w:cs="Times New Roman"/>
                <w:b/>
                <w:bCs/>
              </w:rPr>
              <w:t>Se acceptă.</w:t>
            </w:r>
          </w:p>
          <w:p w14:paraId="640C70D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4DD6F72E" w14:textId="77777777">
        <w:trPr>
          <w:trHeight w:val="240"/>
        </w:trPr>
        <w:tc>
          <w:tcPr>
            <w:tcW w:w="480" w:type="dxa"/>
          </w:tcPr>
          <w:p w14:paraId="54E0A1D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8AC996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2085F36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La Art. VII- Codul de procedură civilă nr. 225/2003</w:t>
            </w:r>
          </w:p>
        </w:tc>
      </w:tr>
      <w:tr w:rsidR="0072652F" w14:paraId="1B7B5D19" w14:textId="77777777">
        <w:tc>
          <w:tcPr>
            <w:tcW w:w="480" w:type="dxa"/>
          </w:tcPr>
          <w:p w14:paraId="4AD56DD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8E47C1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0788EA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4485" w:type="dxa"/>
          </w:tcPr>
          <w:p w14:paraId="5C04E3C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Modificarea art. 40 alin. (6) este oportună, dat fiind specificul litigiilor din dreptul societar, care sunt strâns legate de activitatea, documentele și organele persoanei juridice. Stabilirea competenței instanței de la sediul persoanei juridice asigură o administrare mai eficientă a probelor, sporește previzibilitatea și securitatea juridică prin identificarea clară a forului competent și poate contribui la uniformizarea practicii judiciare. Totodată, soluția este în concordanță cu abordările consacrate în numeroase sisteme de drept. </w:t>
            </w:r>
          </w:p>
          <w:p w14:paraId="42A3E832" w14:textId="502E1001"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Cu toate </w:t>
            </w:r>
            <w:r w:rsidR="00E912D4">
              <w:rPr>
                <w:rFonts w:ascii="Times New Roman" w:eastAsia="Times New Roman" w:hAnsi="Times New Roman" w:cs="Times New Roman"/>
              </w:rPr>
              <w:t>aceasta</w:t>
            </w:r>
            <w:r>
              <w:rPr>
                <w:rFonts w:ascii="Times New Roman" w:eastAsia="Times New Roman" w:hAnsi="Times New Roman" w:cs="Times New Roman"/>
              </w:rPr>
              <w:t xml:space="preserve">, textul „acțiunea membrului persoanei juridice, întemeiată pe calitatea de membru” este relativ vagă și ar putea necesita o formulare mai precisă pentru a evita dificultăți de interpretare și aplicare. Mai mult, sugerăm substituirea cuvintelor „persoanei juridice” cu cuvintele „societății comerciale”, întrucât alineatul respectiv este dedicat acestora, dar nu persoanelor juridice la general. </w:t>
            </w:r>
          </w:p>
          <w:p w14:paraId="250F8CE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În context, urmează de clarificat dacă această competență privește toate acțiunile societare sau doar acțiunile interne dintre membru și persoana juridică, pentru a evita conflicte cu normele speciale privind competența în </w:t>
            </w:r>
            <w:r>
              <w:rPr>
                <w:rFonts w:ascii="Times New Roman" w:eastAsia="Times New Roman" w:hAnsi="Times New Roman" w:cs="Times New Roman"/>
              </w:rPr>
              <w:lastRenderedPageBreak/>
              <w:t>materie de proprietate, insolvabilitate, executare sau contencios administrativ.</w:t>
            </w:r>
          </w:p>
          <w:p w14:paraId="609D190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[2] Sub aspect redacțional, dispoziția de modificare se va expune în felul următor: „La articolul 40 din Codul de procedură civilă al Republicii Moldova nr. 225/2003 (republicat în Monitorul Oficial al Republicii Moldova, 2018, nr. 285– 294, art. 436), cu modificările ulterioare, alineatul (6) va avea următorul cuprins:”.  </w:t>
            </w:r>
          </w:p>
        </w:tc>
        <w:tc>
          <w:tcPr>
            <w:tcW w:w="5505" w:type="dxa"/>
          </w:tcPr>
          <w:p w14:paraId="05D5708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Se acceptă parțial.</w:t>
            </w:r>
          </w:p>
          <w:p w14:paraId="684B3FE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Norma a fost ajustată, iar Nota de fundamentare completată pentru a explica intenția în spatele normei. Totuși, nu există motive pentru a limita norma doar la societățile comerciale, aceleași rațiuni, de concentrare a litigiilor la o singură instanță, există și când acțiunea este a membrului unei asociații obștești sau a unei asociații sindicale.</w:t>
            </w:r>
          </w:p>
          <w:p w14:paraId="29DFCF6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A252CC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[2]</w:t>
            </w:r>
            <w:r>
              <w:rPr>
                <w:rFonts w:ascii="Times New Roman" w:eastAsia="Times New Roman" w:hAnsi="Times New Roman" w:cs="Times New Roman"/>
                <w:b/>
                <w:bCs/>
              </w:rPr>
              <w:t xml:space="preserve"> Se acceptă.</w:t>
            </w:r>
          </w:p>
          <w:p w14:paraId="4F3410F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2F9B36BE" w14:textId="77777777">
        <w:trPr>
          <w:trHeight w:val="240"/>
        </w:trPr>
        <w:tc>
          <w:tcPr>
            <w:tcW w:w="480" w:type="dxa"/>
          </w:tcPr>
          <w:p w14:paraId="66AF569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6F9A5FE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105F35A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Art. VIII</w:t>
            </w:r>
          </w:p>
        </w:tc>
      </w:tr>
      <w:tr w:rsidR="0072652F" w14:paraId="0CBF8F54" w14:textId="77777777">
        <w:tc>
          <w:tcPr>
            <w:tcW w:w="480" w:type="dxa"/>
          </w:tcPr>
          <w:p w14:paraId="708FEB64"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C46496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F7AA17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6E9098F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[1] Necesită a fi revăzut de autorul proiectului, în vederea ajustării termenelor de intrare a proiectului de lege, precum și a termenelor privind implementarea dispozițiilor de către Instituția Publică „Agenția Servicii Publice”.</w:t>
            </w:r>
          </w:p>
          <w:p w14:paraId="3C49DE1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De asemenea, alin. (5) și (6) ridică probleme de claritate și coerență, întrucât stabilesc soluții diferite pentru aplicarea în timp a obligației prevăzute la art. 178 alin. (6) din Codul civil. În timp ce alin. (5) limitează aplicarea acesteia la modificările actului de constituire survenite după intrarea în vigoare a legii, alin. (6) extinde obligația și asupra modificărilor anterioare, acordând un termen de conformare de 3 ani. Această suprapunere poate genera incertitudini de interpretare, motiv pentru care normele tranzitorii necesită o formulare mai clară și o delimitare expresă a sferei lor de aplicare. În ceea ce privește alin. (7), apreciem că, pentru o mai bună claritate și previzibilitate a normei, ar putea fi reconsiderate formulările </w:t>
            </w:r>
            <w:r>
              <w:rPr>
                <w:rFonts w:ascii="Times New Roman" w:eastAsia="Times New Roman" w:hAnsi="Times New Roman" w:cs="Times New Roman"/>
              </w:rPr>
              <w:lastRenderedPageBreak/>
              <w:t xml:space="preserve">privind subiectul obligației de conformare și identificarea persoanelor vizate de normă. </w:t>
            </w:r>
          </w:p>
        </w:tc>
        <w:tc>
          <w:tcPr>
            <w:tcW w:w="5505" w:type="dxa"/>
          </w:tcPr>
          <w:p w14:paraId="78D979B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Se acceptă.</w:t>
            </w:r>
          </w:p>
          <w:p w14:paraId="4A1F09C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Proiectul de lege a fost ajustat în sensul în care ajustările trebuie să aibă loc în termen de 6 luni de la </w:t>
            </w:r>
            <w:r>
              <w:rPr>
                <w:rFonts w:ascii="Times New Roman" w:eastAsia="Times New Roman" w:hAnsi="Times New Roman" w:cs="Times New Roman"/>
                <w:b/>
                <w:bCs/>
              </w:rPr>
              <w:t>publicare</w:t>
            </w:r>
            <w:r>
              <w:rPr>
                <w:rFonts w:ascii="Times New Roman" w:eastAsia="Times New Roman" w:hAnsi="Times New Roman" w:cs="Times New Roman"/>
              </w:rPr>
              <w:t xml:space="preserve">. </w:t>
            </w:r>
          </w:p>
          <w:p w14:paraId="23C7801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78A004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Se acceptă.</w:t>
            </w:r>
          </w:p>
          <w:p w14:paraId="443931F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(5) și (6) au fost reformulate.</w:t>
            </w:r>
          </w:p>
          <w:p w14:paraId="613E442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CC9058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(5) are scopul de a preciza că, atâta timp cât, după intrarea în vigoare a legii noi, persoana juridică nu își modifică actul de constituire, administratorul nu are obligația de a depune la ASP textul integral actualizat al actului de constituire. Această obligație se naște, doar din momentul:</w:t>
            </w:r>
          </w:p>
          <w:p w14:paraId="36E4D2F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modificării actului de constituire (art. 178 alin. (5) Cod civil);</w:t>
            </w:r>
          </w:p>
          <w:p w14:paraId="037E5B4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b) survenirii unui eveniment extern (e.g. o hotărâre judecătorească) care modificări actul de constituire (art. 178 alin. (6) Cod civil).</w:t>
            </w:r>
          </w:p>
          <w:p w14:paraId="2180447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0CFD11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Alin. (6) impune un termen de conformare de 3 ani pentru SA și SRL pentru ca ele să depună la ASP textul integral actualizat al actului de constituire, chiar dacă ele nu au decis nicio modificare a actului de constituire în această perioadă (nu a devenit incident art. 178 alin. </w:t>
            </w:r>
            <w:r>
              <w:rPr>
                <w:rFonts w:ascii="Times New Roman" w:eastAsia="Times New Roman" w:hAnsi="Times New Roman" w:cs="Times New Roman"/>
              </w:rPr>
              <w:lastRenderedPageBreak/>
              <w:t>(5) Cod) și chiar dacă nu s-a produs o modificare externă a actului de constituire (nu a devenit incident art. 178 alin. (6) Cod). Această conformare este necesară pentru a transpune Directiva, subiecți ai căreia sunt SA/SRL.</w:t>
            </w:r>
          </w:p>
          <w:p w14:paraId="4F943D5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502D78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Dacă, în interiorul acestui termen de conformare, SA/SRL operează o modificare la actul de constituire, devine incident art. 178 alin. (5) Cod civil coroborat cu art. VIII alin.(5) din proiectul de lege. Respectiv, SA/SRL va trebui, cu ocazia solicitării înregistrării modificării actului de constituire, să depună la registru textul integral actualizat al actului de constituire.</w:t>
            </w:r>
          </w:p>
          <w:p w14:paraId="5912249D"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813701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Dacă, în interiorul acestui termen de conformare, are loc o modificare externă a actului de constituire (e.g. în baza hotărârii instanței de judecată), devine incident art. 178 alin. (6) Cod civil coroborat cu art. VIII alin.(5) din proiectul de lege. Respectiv, SA/SRL va trebui să depună la registru textul integral actualizat al actului de constituire. </w:t>
            </w:r>
          </w:p>
        </w:tc>
      </w:tr>
      <w:tr w:rsidR="0072652F" w14:paraId="4A27AFDE" w14:textId="77777777">
        <w:tc>
          <w:tcPr>
            <w:tcW w:w="480" w:type="dxa"/>
          </w:tcPr>
          <w:p w14:paraId="2BEA37BF" w14:textId="77777777" w:rsidR="0072652F" w:rsidRDefault="00000000">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lastRenderedPageBreak/>
              <w:t>2</w:t>
            </w:r>
          </w:p>
        </w:tc>
        <w:tc>
          <w:tcPr>
            <w:tcW w:w="1530" w:type="dxa"/>
          </w:tcPr>
          <w:p w14:paraId="536976FF" w14:textId="77777777" w:rsidR="0072652F" w:rsidRDefault="00000000">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Ministerul Infrastructurii și Dezvoltării Regionale</w:t>
            </w:r>
          </w:p>
        </w:tc>
        <w:tc>
          <w:tcPr>
            <w:tcW w:w="1800" w:type="dxa"/>
          </w:tcPr>
          <w:p w14:paraId="100701F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77E2EE5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În vederea evitării fragmentării reglementărilor, propunem autorului examinarea oportunității unificării prezentului proiect de lege cu proiectul de lege pentru modificarea unor acte normative (privind administrarea proprietății publice), înregistrat cu numărul unic 240/MDED/2026. La caz, menționăm că, prin ambele proiecte se promovează politici publice cu impact direct asupra regimului juridic al societăților pe acțiuni (Legea nr.1134/1997) și al societăților cu răspundere limitată (Legea nr.135/2007). </w:t>
            </w:r>
          </w:p>
        </w:tc>
        <w:tc>
          <w:tcPr>
            <w:tcW w:w="5505" w:type="dxa"/>
          </w:tcPr>
          <w:p w14:paraId="57DF683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30AEA8C7" w14:textId="77777777" w:rsidR="0072652F" w:rsidRDefault="00000000">
            <w:pPr>
              <w:widowControl w:val="0"/>
              <w:jc w:val="both"/>
              <w:rPr>
                <w:rFonts w:ascii="Times New Roman" w:eastAsia="Times New Roman" w:hAnsi="Times New Roman" w:cs="Times New Roman"/>
              </w:rPr>
            </w:pPr>
            <w:r>
              <w:rPr>
                <w:rFonts w:ascii="Times New Roman" w:eastAsia="Times New Roman" w:hAnsi="Times New Roman" w:cs="Times New Roman"/>
              </w:rPr>
              <w:t>Proiectul de Lege pentru modificarea unor acte normative (dreptul societăților comerciale) înregistrat cu nr. unic 478/MDED/2026 este elaborat în scopul armonizării cadrului normativ național cu acquis-</w:t>
            </w:r>
            <w:proofErr w:type="spellStart"/>
            <w:r>
              <w:rPr>
                <w:rFonts w:ascii="Times New Roman" w:eastAsia="Times New Roman" w:hAnsi="Times New Roman" w:cs="Times New Roman"/>
              </w:rPr>
              <w:t>ul</w:t>
            </w:r>
            <w:proofErr w:type="spellEnd"/>
            <w:r>
              <w:rPr>
                <w:rFonts w:ascii="Times New Roman" w:eastAsia="Times New Roman" w:hAnsi="Times New Roman" w:cs="Times New Roman"/>
              </w:rPr>
              <w:t xml:space="preserve"> Uniunii Europene și al finalizării transpunerii Directivei (UE) 2017/1132, în contextul angajamentelor asumate de Republica Moldova în procesul de aderare la UE, inclusiv potrivit Programului Național de Aderare 2025–2029, aprobat prin Hotărârea Guvernului nr. 306/2025. </w:t>
            </w:r>
          </w:p>
          <w:p w14:paraId="378DB21C" w14:textId="77777777" w:rsidR="0072652F" w:rsidRDefault="0072652F">
            <w:pPr>
              <w:widowControl w:val="0"/>
              <w:jc w:val="both"/>
              <w:rPr>
                <w:rFonts w:ascii="Times New Roman" w:eastAsia="Times New Roman" w:hAnsi="Times New Roman" w:cs="Times New Roman"/>
              </w:rPr>
            </w:pPr>
          </w:p>
          <w:p w14:paraId="51F6B184" w14:textId="77777777" w:rsidR="0072652F" w:rsidRDefault="00000000">
            <w:pPr>
              <w:widowControl w:val="0"/>
              <w:jc w:val="both"/>
              <w:rPr>
                <w:rFonts w:ascii="Times New Roman" w:eastAsia="Times New Roman" w:hAnsi="Times New Roman" w:cs="Times New Roman"/>
              </w:rPr>
            </w:pPr>
            <w:r>
              <w:rPr>
                <w:rFonts w:ascii="Times New Roman" w:eastAsia="Times New Roman" w:hAnsi="Times New Roman" w:cs="Times New Roman"/>
              </w:rPr>
              <w:t xml:space="preserve">Proiectul de lege pentru modificarea unor acte normative (privind administrarea proprietății publice), </w:t>
            </w:r>
            <w:r>
              <w:rPr>
                <w:rFonts w:ascii="Times New Roman" w:eastAsia="Times New Roman" w:hAnsi="Times New Roman" w:cs="Times New Roman"/>
              </w:rPr>
              <w:lastRenderedPageBreak/>
              <w:t xml:space="preserve">înregistrat cu nr. unic 240/MDED/2026, a fost elaborat în vederea implementării pct. 2.3.3, Obiectivului specific 2.3 din Planul de acțiuni aprobat prin Hotărârea Guvernului nr. 742/2024, precum și a Agendei de reforme aferente Planului de creștere al Republicii Moldova 2025–2027, aprobată prin Hotărârea Guvernului nr. 260/2025, Pilonul III „Guvernanța economică”, Reforma 3.8.24 privind sustenabilitatea și viabilitatea financiară a sectorului întreprinderilor de stat. </w:t>
            </w:r>
          </w:p>
          <w:p w14:paraId="0004EA87" w14:textId="77777777" w:rsidR="0072652F" w:rsidRDefault="00000000">
            <w:pPr>
              <w:widowControl w:val="0"/>
              <w:spacing w:before="240" w:after="240"/>
              <w:jc w:val="both"/>
              <w:rPr>
                <w:rFonts w:ascii="Times New Roman" w:eastAsia="Times New Roman" w:hAnsi="Times New Roman" w:cs="Times New Roman"/>
              </w:rPr>
            </w:pPr>
            <w:r>
              <w:rPr>
                <w:rFonts w:ascii="Times New Roman" w:eastAsia="Times New Roman" w:hAnsi="Times New Roman" w:cs="Times New Roman"/>
              </w:rPr>
              <w:t>În consecință, nu se acceptă propunerea de unificare a proiectelor de lege, întrucât acestea urmăresc obiective de politici publice distincte, sunt fundamentate pe angajamente strategice diferite și derivă din acte de planificare și angajamente internaționale separate.</w:t>
            </w:r>
          </w:p>
          <w:p w14:paraId="57A5DACA" w14:textId="77777777" w:rsidR="0072652F" w:rsidRDefault="00000000">
            <w:pPr>
              <w:widowControl w:val="0"/>
              <w:spacing w:before="240" w:after="240"/>
              <w:jc w:val="both"/>
              <w:rPr>
                <w:rFonts w:ascii="Times New Roman" w:eastAsia="Times New Roman" w:hAnsi="Times New Roman" w:cs="Times New Roman"/>
              </w:rPr>
            </w:pPr>
            <w:r>
              <w:rPr>
                <w:rFonts w:ascii="Times New Roman" w:eastAsia="Times New Roman" w:hAnsi="Times New Roman" w:cs="Times New Roman"/>
              </w:rPr>
              <w:t>Astfel, deși ambele proiecte vizează într-o anumită măsură regimul juridic al societăților comerciale, ele se înscriu în domenii de reformă diferite: unul este orientat prioritar spre armonizarea legislației naționale cu acquis-</w:t>
            </w:r>
            <w:proofErr w:type="spellStart"/>
            <w:r>
              <w:rPr>
                <w:rFonts w:ascii="Times New Roman" w:eastAsia="Times New Roman" w:hAnsi="Times New Roman" w:cs="Times New Roman"/>
              </w:rPr>
              <w:t>ul</w:t>
            </w:r>
            <w:proofErr w:type="spellEnd"/>
            <w:r>
              <w:rPr>
                <w:rFonts w:ascii="Times New Roman" w:eastAsia="Times New Roman" w:hAnsi="Times New Roman" w:cs="Times New Roman"/>
              </w:rPr>
              <w:t xml:space="preserve"> Uniunii Europene în materia dreptului societăților comerciale, în cadrul procesului de aderare și transpunere a Directivei (UE) 2017/1132, iar celălalt are ca scop eficientizarea administrării proprietății publice și consolidarea guvernanței corporative a întreprinderilor cu capital de stat, în conformitate cu programele naționale de reformă și planurile de acțiuni guvernamentale în domeniul administrării proprietății publice.</w:t>
            </w:r>
          </w:p>
          <w:p w14:paraId="10C7557F" w14:textId="77777777" w:rsidR="0072652F" w:rsidRDefault="00000000">
            <w:pPr>
              <w:widowControl w:val="0"/>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Prin urmare, reunirea acestora într-un singur act normativ ar putea afecta coerența procesului de implementare a angajamentelor asumate, ar îngreuna urmărirea și evaluarea progreselor pe fiecare domeniu </w:t>
            </w:r>
            <w:r>
              <w:rPr>
                <w:rFonts w:ascii="Times New Roman" w:eastAsia="Times New Roman" w:hAnsi="Times New Roman" w:cs="Times New Roman"/>
              </w:rPr>
              <w:lastRenderedPageBreak/>
              <w:t>de reformă și ar diminua claritatea cadrului normativ, motiv pentru care se menține abordarea de reglementare separată.</w:t>
            </w:r>
          </w:p>
        </w:tc>
      </w:tr>
      <w:tr w:rsidR="0072652F" w14:paraId="5C4C4B85" w14:textId="77777777">
        <w:trPr>
          <w:trHeight w:val="240"/>
        </w:trPr>
        <w:tc>
          <w:tcPr>
            <w:tcW w:w="480" w:type="dxa"/>
            <w:vMerge w:val="restart"/>
          </w:tcPr>
          <w:p w14:paraId="6F92C37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3</w:t>
            </w:r>
          </w:p>
        </w:tc>
        <w:tc>
          <w:tcPr>
            <w:tcW w:w="1530" w:type="dxa"/>
            <w:vMerge w:val="restart"/>
          </w:tcPr>
          <w:p w14:paraId="6C61BB0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Ministerul Energiei</w:t>
            </w:r>
          </w:p>
        </w:tc>
        <w:tc>
          <w:tcPr>
            <w:tcW w:w="11790" w:type="dxa"/>
            <w:gridSpan w:val="3"/>
          </w:tcPr>
          <w:p w14:paraId="7C5176ED"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La Art. I. – Legea nr. 1134/1997 privind societățile pe acțiuni</w:t>
            </w:r>
          </w:p>
        </w:tc>
      </w:tr>
      <w:tr w:rsidR="0072652F" w14:paraId="6CB9C57A" w14:textId="77777777">
        <w:trPr>
          <w:trHeight w:val="240"/>
        </w:trPr>
        <w:tc>
          <w:tcPr>
            <w:tcW w:w="480" w:type="dxa"/>
            <w:vMerge/>
          </w:tcPr>
          <w:p w14:paraId="75FA1D0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1738B57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5957B8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02AFDA5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b/>
                <w:bCs/>
              </w:rPr>
              <w:t>La punctul 3, articolul 8, alineatul (5)</w:t>
            </w:r>
            <w:r>
              <w:rPr>
                <w:rFonts w:ascii="Times New Roman" w:eastAsia="Times New Roman" w:hAnsi="Times New Roman" w:cs="Times New Roman"/>
              </w:rPr>
              <w:t xml:space="preserve"> se propune reexaminarea aspectului cu privire la înregistrarea în Registrul de stat a membrilor comisiei de cenzori și ai comitetului de audit. Astfel, comparativ cu membrii organului executiv și ai consiliului societății, care exercită atribuții de administrare, reprezentare și supraveghere corporativă cu relevanță directă pentru terți, comisia de cenzori și comitetul de audit îndeplinesc, în principal funcții interne de control. Întrucât aceste persoane nu reprezintă societatea în raporturile juridice și nu produc efecte directe față de terți, nu se justifică necesitatea asigurării publicității acestora prin intermediul Registrului de stat. </w:t>
            </w:r>
          </w:p>
          <w:p w14:paraId="2F57BA0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388A5D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[2] Totodată, se recomandă reconsiderarea prevederii potrivit căreia calitatea de membru al consiliului societății și al organului executiv se dobândește exclusiv din data înregistrării persoanei în Registrul de stat, or, o asemenea reglementare condiționează exercitarea atribuțiilor de administrare și reprezentare de finalizarea unei proceduri administrative aflate în afara controlului societății, ceea ce poate genera dificultăți în asigurarea continuității activității organelor de conducere. În cazul societăților cu capital public, care </w:t>
            </w:r>
            <w:r>
              <w:rPr>
                <w:rFonts w:ascii="Times New Roman" w:eastAsia="Times New Roman" w:hAnsi="Times New Roman" w:cs="Times New Roman"/>
              </w:rPr>
              <w:lastRenderedPageBreak/>
              <w:t xml:space="preserve">administrează bunuri de interes public, implementează programe investiționale și prestează servicii de interes economic general, eventualele întârzieri în procesul de înregistrare pot afecta exercitarea atribuțiilor de conducere și buna administrare a patrimoniului societății. În această ordine de idei, se propune ca mandatul membrilor consiliului societății și ai organului executiv să producă efecte din data desemnării lor de către organul competent al societății, iar înregistrarea în Registrul de stat să asigure publicitatea informațiilor și opozabilitatea acestora față de terți. </w:t>
            </w:r>
          </w:p>
          <w:p w14:paraId="3C5001C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[3] Pentru același articol, </w:t>
            </w:r>
            <w:r>
              <w:rPr>
                <w:rFonts w:ascii="Times New Roman" w:eastAsia="Times New Roman" w:hAnsi="Times New Roman" w:cs="Times New Roman"/>
                <w:b/>
                <w:bCs/>
              </w:rPr>
              <w:t>alineatul (6)</w:t>
            </w:r>
            <w:r>
              <w:rPr>
                <w:rFonts w:ascii="Times New Roman" w:eastAsia="Times New Roman" w:hAnsi="Times New Roman" w:cs="Times New Roman"/>
              </w:rPr>
              <w:t xml:space="preserve"> se recomandă substituirea cuvintelor ,,celorlalte organe ale societății” cu indicarea expresă a acestora, în scopul evitării interpretărilor </w:t>
            </w:r>
          </w:p>
        </w:tc>
        <w:tc>
          <w:tcPr>
            <w:tcW w:w="5505" w:type="dxa"/>
          </w:tcPr>
          <w:p w14:paraId="6460F7B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Nu se acceptă.</w:t>
            </w:r>
          </w:p>
          <w:p w14:paraId="770D4D0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După arătat în Nota de fundamentare, art. 14(d) din Directivă impune publicarea prin registru a tuturor persoanelor cu funcție de conducere sau de control ale SA/SRL. </w:t>
            </w:r>
          </w:p>
          <w:p w14:paraId="5450DBE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Argumentul că membrii comisiei de cenzori și ai comitetului de audit nu reprezintă societatea față de terți este valabil, însă dispozițiile Directivei nu permit o asemenea exceptare. În caz contrar, Directiva nu va fi transpusă integral.</w:t>
            </w:r>
          </w:p>
          <w:p w14:paraId="3D124A4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1B923B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 xml:space="preserve">Nu se acceptă. </w:t>
            </w:r>
          </w:p>
          <w:p w14:paraId="369C291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Motivul pentru care s-a introdus caracterul constitutiv al înregistrării și avantajele sale față de sistemul de opozabilitate + sancțiune a fost </w:t>
            </w:r>
            <w:proofErr w:type="spellStart"/>
            <w:r>
              <w:rPr>
                <w:rFonts w:ascii="Times New Roman" w:eastAsia="Times New Roman" w:hAnsi="Times New Roman" w:cs="Times New Roman"/>
              </w:rPr>
              <w:t>reliefiat</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supra</w:t>
            </w:r>
            <w:r>
              <w:rPr>
                <w:rFonts w:ascii="Times New Roman" w:eastAsia="Times New Roman" w:hAnsi="Times New Roman" w:cs="Times New Roman"/>
              </w:rPr>
              <w:t xml:space="preserve"> în Tabelul de sinteză, ca răspuns la obiecțiile similare ale Ministrului Justiției. În plus, s-au arătat și soluțiile pentru a depăși blocajele, cum sunt acordarea de împuterniciri prin însăși hotărârea organului competent de numire într-o funcție.</w:t>
            </w:r>
          </w:p>
          <w:p w14:paraId="1FE0B8F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B23A36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Se acceptă.</w:t>
            </w:r>
          </w:p>
          <w:p w14:paraId="7140ACE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ajutat.</w:t>
            </w:r>
          </w:p>
          <w:p w14:paraId="5936689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75681AF"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09FB1BD6" w14:textId="77777777">
        <w:trPr>
          <w:trHeight w:val="240"/>
        </w:trPr>
        <w:tc>
          <w:tcPr>
            <w:tcW w:w="480" w:type="dxa"/>
            <w:vMerge/>
          </w:tcPr>
          <w:p w14:paraId="2DD9CE4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17CB8ED4"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733195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7E6096B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punctul 4, articolul 9</w:t>
            </w:r>
            <w:r>
              <w:rPr>
                <w:rFonts w:ascii="Times New Roman" w:eastAsia="Times New Roman" w:hAnsi="Times New Roman" w:cs="Times New Roman"/>
              </w:rPr>
              <w:t xml:space="preserve">, se propune clarificarea noțiunii de „alte subdiviziuni”, inclusiv a regimului juridic aplicabil acestora. În lipsa unei definiții și a unor reguli privind deschiderea, înregistrarea, conducerea și închiderea acestor subdiviziuni, prevederea poate genera interpretări neunitare, mai ales în raport cu sucursalele, care au un regim juridic distinct. </w:t>
            </w:r>
          </w:p>
        </w:tc>
        <w:tc>
          <w:tcPr>
            <w:tcW w:w="5505" w:type="dxa"/>
          </w:tcPr>
          <w:p w14:paraId="5A81EE0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4595416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Art. 9 ține cont de faptul că, conform Codului fiscal (art. 5 (pct. 29) și art. 161 alin. (5)), o societate poate deschide subdiviziuni fără statut juridic de sucursală și este obligată să le ia la evidență la Serviciul Fiscal de Stat.</w:t>
            </w:r>
          </w:p>
        </w:tc>
      </w:tr>
      <w:tr w:rsidR="0072652F" w14:paraId="6F8FF644" w14:textId="77777777">
        <w:trPr>
          <w:trHeight w:val="240"/>
        </w:trPr>
        <w:tc>
          <w:tcPr>
            <w:tcW w:w="480" w:type="dxa"/>
            <w:vMerge/>
          </w:tcPr>
          <w:p w14:paraId="0167872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7BB9D084"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2814BD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5548690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punctul 6, articolul 19, alineatul (</w:t>
            </w:r>
            <w:r>
              <w:rPr>
                <w:rFonts w:ascii="Times New Roman" w:eastAsia="Times New Roman" w:hAnsi="Times New Roman" w:cs="Times New Roman"/>
                <w:b/>
                <w:bCs/>
                <w:highlight w:val="white"/>
              </w:rPr>
              <w:t>9¹)</w:t>
            </w:r>
            <w:r>
              <w:rPr>
                <w:rFonts w:ascii="Times New Roman" w:eastAsia="Times New Roman" w:hAnsi="Times New Roman" w:cs="Times New Roman"/>
              </w:rPr>
              <w:t xml:space="preserve"> se propune reexaminarea prevederii sub aspectul clarificării cum acest Raport urmează a fi prezentat „prin registrul de stat al persoanelor juridice.” </w:t>
            </w:r>
          </w:p>
        </w:tc>
        <w:tc>
          <w:tcPr>
            <w:tcW w:w="5505" w:type="dxa"/>
          </w:tcPr>
          <w:p w14:paraId="55F2022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4049F02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3B2D0722" w14:textId="77777777">
        <w:trPr>
          <w:trHeight w:val="240"/>
        </w:trPr>
        <w:tc>
          <w:tcPr>
            <w:tcW w:w="480" w:type="dxa"/>
            <w:vMerge/>
          </w:tcPr>
          <w:p w14:paraId="00E77B94"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4B7C8D6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449311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06EDE72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punctul 8, articolul 48, alineatul (3), litera n)</w:t>
            </w:r>
            <w:r>
              <w:rPr>
                <w:rFonts w:ascii="Times New Roman" w:eastAsia="Times New Roman" w:hAnsi="Times New Roman" w:cs="Times New Roman"/>
              </w:rPr>
              <w:t xml:space="preserve"> se recomandă substituirea </w:t>
            </w:r>
            <w:r>
              <w:rPr>
                <w:rFonts w:ascii="Times New Roman" w:eastAsia="Times New Roman" w:hAnsi="Times New Roman" w:cs="Times New Roman"/>
              </w:rPr>
              <w:lastRenderedPageBreak/>
              <w:t xml:space="preserve">cuvintelor ,,după caz” cu precizarea expresă a situațiilor care determină ,,aprobarea proiectului de reorganizare sau a modificărilor acestuia, precum și aprobarea modificării capitalului social și a statutului societății”. </w:t>
            </w:r>
          </w:p>
        </w:tc>
        <w:tc>
          <w:tcPr>
            <w:tcW w:w="5505" w:type="dxa"/>
          </w:tcPr>
          <w:p w14:paraId="6FCA615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4204549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Reformularea îngreunează norma. Actul care urmează să fie aprobat în cadrul fiecărei proceduri de reorganizare (internă sau transfrontalieră) este determinat de normele ce guvernează procedura.  Scopul art. 48 alin. (3) lit. n) este doar atribuirea tuturor acestor acte la competența adunării generale a acționarilor.</w:t>
            </w:r>
          </w:p>
        </w:tc>
      </w:tr>
      <w:tr w:rsidR="0072652F" w14:paraId="7EFF3612" w14:textId="77777777">
        <w:trPr>
          <w:trHeight w:val="240"/>
        </w:trPr>
        <w:tc>
          <w:tcPr>
            <w:tcW w:w="480" w:type="dxa"/>
            <w:vMerge/>
          </w:tcPr>
          <w:p w14:paraId="49776FA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060249E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0D9272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45BF40D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punctul 15, articolul 92, alineatul (6) litera a)</w:t>
            </w:r>
            <w:r>
              <w:rPr>
                <w:rFonts w:ascii="Times New Roman" w:eastAsia="Times New Roman" w:hAnsi="Times New Roman" w:cs="Times New Roman"/>
              </w:rPr>
              <w:t xml:space="preserve"> se propune clarificarea sensului formulării ,,dificultăți speciale de evaluare” or, redacția actuală nu permite identificarea clară a situațiilor ce pot fi încadrate în această categorie. </w:t>
            </w:r>
          </w:p>
        </w:tc>
        <w:tc>
          <w:tcPr>
            <w:tcW w:w="5505" w:type="dxa"/>
          </w:tcPr>
          <w:p w14:paraId="5527F4E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Precizare.</w:t>
            </w:r>
          </w:p>
          <w:p w14:paraId="78EB894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Formularea urmează textul Directivei 2017/1132 (art. 95(1) și 141(2)). Atragem atenția că această formulă deja există în Legea nr. 1134/1997 la art. 93 alin. (11). Aplicarea lor unitară cere păstrarea formulării existente.</w:t>
            </w:r>
          </w:p>
        </w:tc>
      </w:tr>
      <w:tr w:rsidR="0072652F" w14:paraId="7D8BA2B6" w14:textId="77777777">
        <w:trPr>
          <w:trHeight w:val="240"/>
        </w:trPr>
        <w:tc>
          <w:tcPr>
            <w:tcW w:w="480" w:type="dxa"/>
            <w:vMerge/>
          </w:tcPr>
          <w:p w14:paraId="1FCA4E5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2F2C5EE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5441DB6C" w14:textId="77777777" w:rsidR="0072652F" w:rsidRDefault="00000000">
            <w:pPr>
              <w:jc w:val="center"/>
              <w:rPr>
                <w:rFonts w:ascii="Times New Roman" w:eastAsia="Times New Roman" w:hAnsi="Times New Roman" w:cs="Times New Roman"/>
                <w:b/>
                <w:bCs/>
                <w:color w:val="000000"/>
              </w:rPr>
            </w:pPr>
            <w:r>
              <w:rPr>
                <w:rFonts w:ascii="Times New Roman" w:eastAsia="Times New Roman" w:hAnsi="Times New Roman" w:cs="Times New Roman"/>
                <w:b/>
                <w:bCs/>
              </w:rPr>
              <w:t>La Art. II. – Codul civil al Republicii Moldova nr. 1107/2002</w:t>
            </w:r>
          </w:p>
        </w:tc>
      </w:tr>
      <w:tr w:rsidR="0072652F" w14:paraId="6B3F9EC2" w14:textId="77777777">
        <w:trPr>
          <w:trHeight w:val="240"/>
        </w:trPr>
        <w:tc>
          <w:tcPr>
            <w:tcW w:w="480" w:type="dxa"/>
            <w:vMerge/>
          </w:tcPr>
          <w:p w14:paraId="70EE103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77F0B74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8B388D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4A95718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punctul 3, articolul 178, alineatul (6)</w:t>
            </w:r>
            <w:r>
              <w:rPr>
                <w:rFonts w:ascii="Times New Roman" w:eastAsia="Times New Roman" w:hAnsi="Times New Roman" w:cs="Times New Roman"/>
              </w:rPr>
              <w:t xml:space="preserve"> se propune completarea după cuvântul ,,administratorul” cu cuvintele ,,sau persoana împuternicită în acest sens” ținând cont de prevederile alineatului (5), care permit organului competent să desemneze o altă persoană pentru întocmirea și semnarea textului integral actualizat al actului de constituire. Astfel, alineatul (6) instituie doar obligația administratorului de a se asigura că, textul integral actualizat al actului de constituire, corespunde situației juridice reale ,,administratorul este obligat să se asigure că textul integral actualizat al actului de constituire, înregistrat de organul înregistrării de stat, corespunde situației juridice reale”. Totodată, alineatul (5) al aceluiași articol, prevede obligația administratorului de a întocmi textul integral actualizat al actului de constituire, în cazul modificării acestuia și de a-l semna în </w:t>
            </w:r>
            <w:r>
              <w:rPr>
                <w:rFonts w:ascii="Times New Roman" w:eastAsia="Times New Roman" w:hAnsi="Times New Roman" w:cs="Times New Roman"/>
              </w:rPr>
              <w:lastRenderedPageBreak/>
              <w:t xml:space="preserve">numele persoanei juridice, cu excepția cazului în care organul care a aprobat modificarea ,,împuternicește o altă persoană în acest sens”. </w:t>
            </w:r>
          </w:p>
        </w:tc>
        <w:tc>
          <w:tcPr>
            <w:tcW w:w="5505" w:type="dxa"/>
          </w:tcPr>
          <w:p w14:paraId="6232191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36F8A22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(6) acoperă o altă situație decât cea de la alin.(5).</w:t>
            </w:r>
          </w:p>
          <w:p w14:paraId="7B70969D"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94F01F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(5) se referă de o modificare decisă de organul competent al persoanei juridice, care poate împuterniciri un terț cu această sarcină.</w:t>
            </w:r>
          </w:p>
          <w:p w14:paraId="570A4C9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1295F7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Alin. (6) instituie o obligație legală directă pe administrator de a veghea că textul integral actualizat al actului de constituire reflectă situația juridică reală. Nu este interzis sa administratorul să includă această monitorizare în obligațiile de serviciu ale unui salariat concret al persoanei juridice sau un prestator extern, dar obligația legală incumbă permanent administratorului. </w:t>
            </w:r>
          </w:p>
        </w:tc>
      </w:tr>
      <w:tr w:rsidR="0072652F" w14:paraId="62CA064F" w14:textId="77777777">
        <w:trPr>
          <w:trHeight w:val="240"/>
        </w:trPr>
        <w:tc>
          <w:tcPr>
            <w:tcW w:w="480" w:type="dxa"/>
            <w:vMerge/>
          </w:tcPr>
          <w:p w14:paraId="02BA6C7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44DFF1F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5E52575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17EC8CF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punctul 14, articolul 240, alineatul (4)</w:t>
            </w:r>
            <w:r>
              <w:rPr>
                <w:rFonts w:ascii="Times New Roman" w:eastAsia="Times New Roman" w:hAnsi="Times New Roman" w:cs="Times New Roman"/>
              </w:rPr>
              <w:t xml:space="preserve"> se propune examinarea suplimentară a cuvântului ,,respective”, în vederea clarificării dacă interdicția vizează exclusiv calitatea de administrator al unei anumite persoanei juridice sau se aplică persoanelor cărora le-a fost interzisă exercitarea funcției de administrator al oricărei persoane juridice, în scopul asigurării că, persoanele care au admis încălcări în activitatea persoanelor juridice și față de care au fost instituite anumite interdicții nu pot ocupa funcția de conducător al unei sucursale. </w:t>
            </w:r>
          </w:p>
        </w:tc>
        <w:tc>
          <w:tcPr>
            <w:tcW w:w="5505" w:type="dxa"/>
          </w:tcPr>
          <w:p w14:paraId="68E82DE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2E35D8C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 pentru a preciza că este suficient persoana să aibă interdicție de a fi administrator al unei persoane juridice (indiferent ce formă de organizare juridică a persoanei juridice).</w:t>
            </w:r>
          </w:p>
        </w:tc>
      </w:tr>
      <w:tr w:rsidR="0072652F" w14:paraId="13198778" w14:textId="77777777">
        <w:trPr>
          <w:trHeight w:val="240"/>
        </w:trPr>
        <w:tc>
          <w:tcPr>
            <w:tcW w:w="480" w:type="dxa"/>
            <w:vMerge/>
          </w:tcPr>
          <w:p w14:paraId="7B60F17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511D6516"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6FBBCFA3" w14:textId="77777777" w:rsidR="0072652F" w:rsidRDefault="00000000">
            <w:pPr>
              <w:jc w:val="center"/>
              <w:rPr>
                <w:rFonts w:ascii="Times New Roman" w:eastAsia="Times New Roman" w:hAnsi="Times New Roman" w:cs="Times New Roman"/>
                <w:b/>
                <w:bCs/>
                <w:color w:val="000000"/>
              </w:rPr>
            </w:pPr>
            <w:r>
              <w:rPr>
                <w:rFonts w:ascii="Times New Roman" w:eastAsia="Times New Roman" w:hAnsi="Times New Roman" w:cs="Times New Roman"/>
                <w:b/>
                <w:bCs/>
              </w:rPr>
              <w:t>La Art. III. – Legea nr. 135/2007 privind societățile cu răspundere limitată</w:t>
            </w:r>
          </w:p>
        </w:tc>
      </w:tr>
      <w:tr w:rsidR="0072652F" w14:paraId="3C7B5802" w14:textId="77777777">
        <w:trPr>
          <w:trHeight w:val="240"/>
        </w:trPr>
        <w:tc>
          <w:tcPr>
            <w:tcW w:w="480" w:type="dxa"/>
            <w:vMerge/>
          </w:tcPr>
          <w:p w14:paraId="556EC5C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15A5820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97A75F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3A0BCD9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punctul 6, articolul 58 alineatul (5)</w:t>
            </w:r>
            <w:r>
              <w:rPr>
                <w:rFonts w:ascii="Times New Roman" w:eastAsia="Times New Roman" w:hAnsi="Times New Roman" w:cs="Times New Roman"/>
              </w:rPr>
              <w:t xml:space="preserve">,se propune reexaminarea sintagmei „din voturile tuturor asociaților prezenți sau reprezentați la adunarea generală deliberativă”, în vederea corelării cu alineatul (4), care stabilește că statutul nu poate prevedea o cerință de vot mai mică decât majoritatea voturilor tuturor asociaților societății. În redacția propusă, pot apărea situații în care pragul de 2/3 din voturile asociaților prezenți sau reprezentați este inferior majorității voturilor tuturor asociaților, ceea ce poate crea incertitudine juridică la adoptarea hotărârilor privind reorganizarea. </w:t>
            </w:r>
          </w:p>
        </w:tc>
        <w:tc>
          <w:tcPr>
            <w:tcW w:w="5505" w:type="dxa"/>
          </w:tcPr>
          <w:p w14:paraId="71DAB2F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6E10351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Există o diferență esențială dintre alin. (4) și alin. (5).</w:t>
            </w:r>
          </w:p>
          <w:p w14:paraId="7ED0EC3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0041EB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(4) stabilește votul minim ca expresie absolută (din întregul capital = majoritate absolută).</w:t>
            </w:r>
          </w:p>
          <w:p w14:paraId="291AB5E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0C263C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(5), în acord cu formula Directivei 2017/1132 (art. 86h(3) din Directivă; 160h(3) din Directivă), stabilește praguri de vot minime și maxime, pentru chestiunea specifică menționată, ca expresie relativă (din asociații prezenți sau reprezentați la adunarea deliberativă).</w:t>
            </w:r>
          </w:p>
        </w:tc>
      </w:tr>
      <w:tr w:rsidR="0072652F" w14:paraId="17A070CE" w14:textId="77777777">
        <w:trPr>
          <w:trHeight w:val="240"/>
        </w:trPr>
        <w:tc>
          <w:tcPr>
            <w:tcW w:w="480" w:type="dxa"/>
            <w:vMerge/>
          </w:tcPr>
          <w:p w14:paraId="62EC28D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18E74C1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C5F10F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661A517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Totodată, se recomandă examinarea oportunității completării Legii nr. 135/2007 </w:t>
            </w:r>
            <w:r>
              <w:rPr>
                <w:rFonts w:ascii="Times New Roman" w:eastAsia="Times New Roman" w:hAnsi="Times New Roman" w:cs="Times New Roman"/>
              </w:rPr>
              <w:lastRenderedPageBreak/>
              <w:t xml:space="preserve">privind societățile cu răspundere limitată cu prevederi referitoare la încetarea împuternicirilor consiliului societății, similare celor prevăzute în proiectul de modificare a Legii nr. 1134/1997 privind societățile pe acțiuni. </w:t>
            </w:r>
          </w:p>
        </w:tc>
        <w:tc>
          <w:tcPr>
            <w:tcW w:w="5505" w:type="dxa"/>
          </w:tcPr>
          <w:p w14:paraId="1AB4CAC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Precizare.</w:t>
            </w:r>
          </w:p>
          <w:p w14:paraId="24D502A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O asemenea intervenție nu este necesară, deoarece, spre deosebire de Legea nr. 1134/1997, Legea nr. 135/2007 nu cuprinde o normă privind expirarea mandatului membrilor consiliului.</w:t>
            </w:r>
          </w:p>
          <w:p w14:paraId="1AD27A0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Prin urmare, se va aplica noua normă de la art. 9</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alin. (1) din Legea nr. 135/2007, conform căreia mandatul membrului consiliului încetează din data radierii din RSPJ.</w:t>
            </w:r>
          </w:p>
        </w:tc>
      </w:tr>
      <w:tr w:rsidR="0072652F" w14:paraId="2B905BAF" w14:textId="77777777">
        <w:tc>
          <w:tcPr>
            <w:tcW w:w="480" w:type="dxa"/>
          </w:tcPr>
          <w:p w14:paraId="011457E5"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4</w:t>
            </w:r>
          </w:p>
        </w:tc>
        <w:tc>
          <w:tcPr>
            <w:tcW w:w="1530" w:type="dxa"/>
          </w:tcPr>
          <w:p w14:paraId="047CA37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Instituția Publică „Consiliul de supraveghere publică a auditului”</w:t>
            </w:r>
          </w:p>
        </w:tc>
        <w:tc>
          <w:tcPr>
            <w:tcW w:w="1800" w:type="dxa"/>
          </w:tcPr>
          <w:p w14:paraId="3C98CE3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4D2B4D0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Instituția Publică „Consiliul de supraveghere publică a auditului”, în limitele competenței funcționale, comunică lipsa de obiecții și propuneri.</w:t>
            </w:r>
          </w:p>
        </w:tc>
        <w:tc>
          <w:tcPr>
            <w:tcW w:w="5505" w:type="dxa"/>
          </w:tcPr>
          <w:p w14:paraId="1137FA7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 xml:space="preserve">Obiecții și propuneri nu au fost prezentate. </w:t>
            </w:r>
          </w:p>
        </w:tc>
      </w:tr>
      <w:tr w:rsidR="0072652F" w14:paraId="44F81F57" w14:textId="77777777">
        <w:trPr>
          <w:trHeight w:val="240"/>
        </w:trPr>
        <w:tc>
          <w:tcPr>
            <w:tcW w:w="480" w:type="dxa"/>
            <w:vMerge w:val="restart"/>
          </w:tcPr>
          <w:p w14:paraId="5C1A01B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1530" w:type="dxa"/>
            <w:vMerge w:val="restart"/>
          </w:tcPr>
          <w:p w14:paraId="6CC1C69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Comisia Națională a Pieței Financiare</w:t>
            </w:r>
          </w:p>
        </w:tc>
        <w:tc>
          <w:tcPr>
            <w:tcW w:w="11790" w:type="dxa"/>
            <w:gridSpan w:val="3"/>
          </w:tcPr>
          <w:p w14:paraId="60EB7BC5"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La Art. I. – Legea nr. 1134/1997 privind societățile pe acțiuni</w:t>
            </w:r>
          </w:p>
        </w:tc>
      </w:tr>
      <w:tr w:rsidR="0072652F" w14:paraId="2A80D3A8" w14:textId="77777777">
        <w:trPr>
          <w:trHeight w:val="240"/>
        </w:trPr>
        <w:tc>
          <w:tcPr>
            <w:tcW w:w="480" w:type="dxa"/>
            <w:vMerge/>
          </w:tcPr>
          <w:p w14:paraId="7DD7203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40FC1FD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35D918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57A4EAD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Se reține că nu este necesară ajustarea clauzei de armonizare cuprinse în Legea nr. 1134/1997 privind societățile pe acțiuni (Legea nr. 1134/1997) în raport cu unele articole modificate prin prezentul proiect de lege. Normele vizate se regăsesc deja în actele Uniunii Europene indicate în clauza de armonizare a Legii nr. 1134/1997 ca fiind transpuse. Astfel, dispozițiile aferente art. 49, 56, 70 și 86 din Directiva 1132/2017 își au originea în Directiva 2012/30/UE, dispozițiile aferente art. 92, 95, 97 și 107 derivă din Directiva 2011/35/UE, iar dispozițiile aferente art. 142, 152 și 160 provin din A Șasea Directivă a Consiliului 82/891/CEE, toate aceste acte fiind codificate prin Directiva (UE) 2017/1132 privind anumite aspecte ale dreptului societăților </w:t>
            </w:r>
            <w:proofErr w:type="spellStart"/>
            <w:r>
              <w:rPr>
                <w:rFonts w:ascii="Times New Roman" w:eastAsia="Times New Roman" w:hAnsi="Times New Roman" w:cs="Times New Roman"/>
              </w:rPr>
              <w:t>comerciale.Doar</w:t>
            </w:r>
            <w:proofErr w:type="spellEnd"/>
            <w:r>
              <w:rPr>
                <w:rFonts w:ascii="Times New Roman" w:eastAsia="Times New Roman" w:hAnsi="Times New Roman" w:cs="Times New Roman"/>
              </w:rPr>
              <w:t xml:space="preserve"> articolele 13, </w:t>
            </w:r>
            <w:r>
              <w:rPr>
                <w:rFonts w:ascii="Times New Roman" w:eastAsia="Times New Roman" w:hAnsi="Times New Roman" w:cs="Times New Roman"/>
              </w:rPr>
              <w:lastRenderedPageBreak/>
              <w:t xml:space="preserve">14, 26 codifica o alta directiva (Directiva 2009/101/CE ), care nu este indicată actualmente în Legea nr. 1134/1997, și nu este inclusă în clauza de armonizare. Astfel, clauza de armonizare din Legea nr.1134/1997 urmează a fi ajustată doar în acest sens. Corespunzător, în clauza de armonizare se propune substituirea textului </w:t>
            </w:r>
          </w:p>
          <w:p w14:paraId="6CD3260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 toate codificate prin Directiva (UE) 2017/1132 a Parlamentului European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a Consiliului din 14 iunie 2017 privind anumite aspecte ale dreptului societăților comerciale, publicată în Jurnalul Oficial al Uniunii Europene L 169 din 30 iunie 2017.” cu textul: </w:t>
            </w:r>
          </w:p>
          <w:p w14:paraId="7B66E38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 - parțial [13,14, 26…] din Directiva 2009/101/CE a Parlamentului European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a Consiliului din 16 septembrie 2009 de coordonare, în vederea echivalării, a garanțiilor impuse societăților în statele membre, în înțelesul articolului 48 al doilea paragraf din tratat, pentru protejarea intereselor asociaților sau terților)</w:t>
            </w:r>
          </w:p>
          <w:p w14:paraId="3532F3EE" w14:textId="44187D6E"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 - toate codificate prin Directiva (UE) 2017/1132 a Parlamentului European </w:t>
            </w:r>
            <w:r w:rsidR="00E912D4">
              <w:rPr>
                <w:rFonts w:ascii="Times New Roman" w:eastAsia="Times New Roman" w:hAnsi="Times New Roman" w:cs="Times New Roman"/>
              </w:rPr>
              <w:t>și</w:t>
            </w:r>
            <w:r>
              <w:rPr>
                <w:rFonts w:ascii="Times New Roman" w:eastAsia="Times New Roman" w:hAnsi="Times New Roman" w:cs="Times New Roman"/>
              </w:rPr>
              <w:t xml:space="preserve"> a Consiliului din 14 iunie 2017 privind anumite aspecte ale dreptului societăților comerciale, publicată în Jurnalul Oficial al Uniunii Europene L 169 din 30 iunie 2017;”. </w:t>
            </w:r>
          </w:p>
        </w:tc>
        <w:tc>
          <w:tcPr>
            <w:tcW w:w="5505" w:type="dxa"/>
          </w:tcPr>
          <w:p w14:paraId="7EC4B51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5B6540E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Clauza de armonizare are rol informativ pentru subiecții de drept, în special pentru a înțelege fundamentul european al normei și a se referi la interpretarea dată de jurisprudența CJUE.</w:t>
            </w:r>
          </w:p>
          <w:p w14:paraId="567895D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Neincluderea noilor numere de articole din noua Directivă ar crea falsa impresie că aceste articole nu sunt transpuse.</w:t>
            </w:r>
          </w:p>
          <w:p w14:paraId="6B195FD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77E121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Potrivit Centrului de Armonizare Legislativă, clauzele nu pot reflecta acte abrogate, astfel încât este necesară substituirea referințelor de la actele vechi la prevederile actului UE de codificare.</w:t>
            </w:r>
          </w:p>
          <w:p w14:paraId="4A89FB77" w14:textId="77777777" w:rsidR="0072652F" w:rsidRDefault="0072652F">
            <w:pPr>
              <w:pBdr>
                <w:top w:val="nil"/>
                <w:left w:val="nil"/>
                <w:bottom w:val="nil"/>
                <w:right w:val="nil"/>
                <w:between w:val="nil"/>
              </w:pBdr>
              <w:jc w:val="both"/>
              <w:rPr>
                <w:rFonts w:ascii="Times New Roman" w:eastAsia="Times New Roman" w:hAnsi="Times New Roman" w:cs="Times New Roman"/>
                <w:b/>
                <w:bCs/>
                <w:color w:val="FF0000"/>
              </w:rPr>
            </w:pPr>
          </w:p>
        </w:tc>
      </w:tr>
      <w:tr w:rsidR="0072652F" w14:paraId="713E74E5" w14:textId="77777777">
        <w:trPr>
          <w:trHeight w:val="240"/>
        </w:trPr>
        <w:tc>
          <w:tcPr>
            <w:tcW w:w="480" w:type="dxa"/>
            <w:vMerge/>
          </w:tcPr>
          <w:p w14:paraId="2B449C3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0228B43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E9615C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0ECDE91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2</w:t>
            </w:r>
            <w:r>
              <w:rPr>
                <w:rFonts w:ascii="Times New Roman" w:eastAsia="Times New Roman" w:hAnsi="Times New Roman" w:cs="Times New Roman"/>
              </w:rPr>
              <w:t xml:space="preserve"> din proiect, ce vizează completarea art. 3 din Legea 1134/1997 cu alin. (9) urmează a fi excluse cuvintele „subscris și vărsat” or, potrivit prevederilor art. 12 alin. (6) din legea prenotată nu este validă situația </w:t>
            </w:r>
            <w:r>
              <w:rPr>
                <w:rFonts w:ascii="Times New Roman" w:eastAsia="Times New Roman" w:hAnsi="Times New Roman" w:cs="Times New Roman"/>
              </w:rPr>
              <w:lastRenderedPageBreak/>
              <w:t xml:space="preserve">în care valorile mobiliare subscrise nu sunt achitate; </w:t>
            </w:r>
          </w:p>
        </w:tc>
        <w:tc>
          <w:tcPr>
            <w:tcW w:w="5505" w:type="dxa"/>
          </w:tcPr>
          <w:p w14:paraId="0C7486C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6D625AB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3B1FF04C" w14:textId="77777777">
        <w:trPr>
          <w:trHeight w:val="240"/>
        </w:trPr>
        <w:tc>
          <w:tcPr>
            <w:tcW w:w="480" w:type="dxa"/>
            <w:vMerge/>
          </w:tcPr>
          <w:p w14:paraId="0417566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0E596AF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1769EB5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5575248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 xml:space="preserve">la pct. 3 </w:t>
            </w:r>
            <w:r>
              <w:rPr>
                <w:rFonts w:ascii="Times New Roman" w:eastAsia="Times New Roman" w:hAnsi="Times New Roman" w:cs="Times New Roman"/>
              </w:rPr>
              <w:t xml:space="preserve">din proiect, ce vizează completarea art. 8 din Legea nr.1134/1997, cu alineatele (5)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(6), propunem următoarea redacție:</w:t>
            </w:r>
          </w:p>
          <w:p w14:paraId="0A06CE9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„(5) Calitatea de membru al organelor de conducere și control al societății se dobândește din data înregistrării persoanei în această calitate în registrul de stat al persoanelor juridice. Din aceeași dată începe să curgă termenul mandatului acestei persoane. </w:t>
            </w:r>
          </w:p>
          <w:p w14:paraId="4230739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(6) Organul executiv și/sau persoana împuternicită, după caz, de adunarea generală a acționarilor sau de consiliul societății are obligația să asigure înregistrarea în Registrul de stat a persoanelor juridice a modificărilor survenite în componența membrilor organelor de conducere și control, în termen de 30 zile, de la data numirii/alegerii lor în funcție. În cazul în care, în termenul prenotat, nu este prezentată cererea privind înregistrarea respectivă, obligația de a prezenta organului înregistrării de stat a documentelor aferente modificării componenței membrilor organelor de conducere și control, revine celorlalte organe de conducere și control ale societății, aflate în funcțiune, iar în lipsa acestora, persoanelor numite/alese în funcție în respectivele structuri ale societății.” </w:t>
            </w:r>
          </w:p>
        </w:tc>
        <w:tc>
          <w:tcPr>
            <w:tcW w:w="5505" w:type="dxa"/>
          </w:tcPr>
          <w:p w14:paraId="57D0121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[1] </w:t>
            </w:r>
            <w:r>
              <w:rPr>
                <w:rFonts w:ascii="Times New Roman" w:eastAsia="Times New Roman" w:hAnsi="Times New Roman" w:cs="Times New Roman"/>
                <w:b/>
                <w:bCs/>
              </w:rPr>
              <w:t>Nu se acceptă.</w:t>
            </w:r>
          </w:p>
          <w:p w14:paraId="645213A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(5) – formularea propusă este imprecisă, deoarece adunarea generală este de asemenea un organ de conducere a SA conform art. 8 alin. (1) lit. a) din Legea nr. 1134/1997. Formularea din proiectul de lege este mai exactă, indicând specific tipurile de organe vizate.</w:t>
            </w:r>
          </w:p>
          <w:p w14:paraId="3BC9DD91"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A45D7F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Se acceptă parțial.</w:t>
            </w:r>
          </w:p>
          <w:p w14:paraId="747B2C3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345B519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E56804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Textul „Organul executiv și/sau persoana împuternicită” se substituie cu textul „Organul executiv și persoana împuternicită”, deoarece este inadmisibil ca organul executiv să nu aibă obligații de a îndeplinire a formalităților de publicitate. Dacă AGA a împuternicit un terț să îndeplinească publicitatea, acesta nu exclude obligația primară a organului executiv de a asigura acest aspect.  </w:t>
            </w:r>
          </w:p>
          <w:p w14:paraId="4782E20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Reamintim că neîndeplinirea publicității atrage sancțiunea contravențională, în urma completării Codului contravențional. Prin urmare, în cazul în care publicitatea nu se face în termen, organul executiv nu se poate eschiva răspunderii, invocând faptul că terțul împuternicit era singurul obligat să îndeplinească publicitatea, astfel organul executiv nu poate purta răspundere.</w:t>
            </w:r>
          </w:p>
          <w:p w14:paraId="03260B07" w14:textId="77777777" w:rsidR="0072652F" w:rsidRDefault="0072652F">
            <w:pPr>
              <w:jc w:val="both"/>
              <w:rPr>
                <w:rFonts w:ascii="Times New Roman" w:eastAsia="Times New Roman" w:hAnsi="Times New Roman" w:cs="Times New Roman"/>
              </w:rPr>
            </w:pPr>
          </w:p>
          <w:p w14:paraId="6581AEE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La noul alin. (7), formularea „aceasta revine și” precizează faptul că persoanele inițial obligate conform alin. (6) rămân sub această obligație, doar că alin. (7) adaugă persoane noi supuse obligației (în fond, ele sunt obligații solidare). Îndeplinirea publicității de către una, stinge obligația tuturor (publicitatea nu necesită a fi </w:t>
            </w:r>
            <w:r>
              <w:rPr>
                <w:rFonts w:ascii="Times New Roman" w:eastAsia="Times New Roman" w:hAnsi="Times New Roman" w:cs="Times New Roman"/>
              </w:rPr>
              <w:lastRenderedPageBreak/>
              <w:t xml:space="preserve">repetată), dar nu stinge eventuala răspundere pentru neîndeplinirea în termen a obligației. </w:t>
            </w:r>
          </w:p>
        </w:tc>
      </w:tr>
      <w:tr w:rsidR="0072652F" w14:paraId="656A8F74" w14:textId="77777777">
        <w:trPr>
          <w:trHeight w:val="240"/>
        </w:trPr>
        <w:tc>
          <w:tcPr>
            <w:tcW w:w="480" w:type="dxa"/>
            <w:vMerge/>
          </w:tcPr>
          <w:p w14:paraId="5352614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1A6BFB67"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B9860E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5FC975FF"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7</w:t>
            </w:r>
            <w:r>
              <w:rPr>
                <w:rFonts w:ascii="Times New Roman" w:eastAsia="Times New Roman" w:hAnsi="Times New Roman" w:cs="Times New Roman"/>
              </w:rPr>
              <w:t xml:space="preserve"> din proiect, norma expusă este redundantă, în condițiile prevederilor art. 12 alin. (6) din Legea nr. 1134/1997, și urmează a fi exclusă. </w:t>
            </w:r>
          </w:p>
        </w:tc>
        <w:tc>
          <w:tcPr>
            <w:tcW w:w="5505" w:type="dxa"/>
          </w:tcPr>
          <w:p w14:paraId="4EC0A4C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4F7F65A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0A8F0057" w14:textId="77777777">
        <w:trPr>
          <w:trHeight w:val="240"/>
        </w:trPr>
        <w:tc>
          <w:tcPr>
            <w:tcW w:w="480" w:type="dxa"/>
            <w:vMerge/>
          </w:tcPr>
          <w:p w14:paraId="440E374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706C367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273A8D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2A20050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8</w:t>
            </w:r>
            <w:r>
              <w:rPr>
                <w:rFonts w:ascii="Times New Roman" w:eastAsia="Times New Roman" w:hAnsi="Times New Roman" w:cs="Times New Roman"/>
              </w:rPr>
              <w:t xml:space="preserve"> din proiect, aferent modificării art. 48 alin. (3) lit. n) din Legea nr.1134/1997, propunem includerea textului „(inclusiv cea transfrontalieră, după caz, aprobarea proiectului de reorganizare sau a modificărilor acestuia, precum și aprobarea modificării capitalului social și a statutului societății în legătură cu cele menționate.”, deoarece, proiectul de lege propune completarea Legii 1134/1997 cu un nou articol </w:t>
            </w:r>
            <w:r>
              <w:rPr>
                <w:rFonts w:ascii="Times New Roman" w:eastAsia="Times New Roman" w:hAnsi="Times New Roman" w:cs="Times New Roman"/>
                <w:highlight w:val="white"/>
              </w:rPr>
              <w:t>”97¹</w:t>
            </w:r>
            <w:r>
              <w:rPr>
                <w:rFonts w:ascii="Times New Roman" w:eastAsia="Times New Roman" w:hAnsi="Times New Roman" w:cs="Times New Roman"/>
              </w:rPr>
              <w:t xml:space="preserve"> Reorganizarea transfrontalieră”, în care se menționează că reorganizarea transfrontalieră se va efectua în conformitate cu actele normative aplicabile acesteia, prin care se vor institui reglementări, inclusiv procedurile privind emiterea și aprobarea, în cadrul adunării generale a acționarilor, a actelor conexe acestei reorganizări.</w:t>
            </w:r>
          </w:p>
          <w:p w14:paraId="296D089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 Corespunzător, art. 48 alin. (3) lit. n) din Legea nr.1134/1997, va avea următoarea redacție:</w:t>
            </w:r>
          </w:p>
          <w:p w14:paraId="56EEE0F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 „n) hotărăște cu privire la dizolvarea sau reorganizarea societății, inclusiv cea transfrontalieră;”; </w:t>
            </w:r>
          </w:p>
        </w:tc>
        <w:tc>
          <w:tcPr>
            <w:tcW w:w="5505" w:type="dxa"/>
          </w:tcPr>
          <w:p w14:paraId="253A583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4A5673E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Presupunem că avizul sugerează </w:t>
            </w:r>
            <w:r>
              <w:rPr>
                <w:rFonts w:ascii="Times New Roman" w:eastAsia="Times New Roman" w:hAnsi="Times New Roman" w:cs="Times New Roman"/>
                <w:b/>
                <w:bCs/>
              </w:rPr>
              <w:t>excluderea</w:t>
            </w:r>
            <w:r>
              <w:rPr>
                <w:rFonts w:ascii="Times New Roman" w:eastAsia="Times New Roman" w:hAnsi="Times New Roman" w:cs="Times New Roman"/>
              </w:rPr>
              <w:t>, nu includerea textului.</w:t>
            </w:r>
          </w:p>
          <w:p w14:paraId="71A8EA1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Includerea unei prevederi privind competența AGA și cerințele de vot într-o lege specială contravine sistematicii Legii nr. 1134/1997 și principiului unității materiei. Legea specială privind reorganizarea transfrontalieră (conform proiectului) nu stabilește competența AGA și cerințele de vot.</w:t>
            </w:r>
          </w:p>
          <w:p w14:paraId="78293C4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se observa că unele elemente introduse de noua lit. n) din art. 48 alin. (3) din Legea nr.1134/1997 nu se regăsesc în redacția actuală, deși ele trebuie să fie în competența exclusivă anume a AGA și să fie supusă votului necesar pentru competențele exclusive.</w:t>
            </w:r>
          </w:p>
          <w:p w14:paraId="60FAA4B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fine, a se observa că Legea nr. 1134/1997 nu prevede că AGA poate îndeplini competențe prevăzute de alte legi, ceea ce poate crea insecuritate juridică în materia reglementată și duce la o transpunere insuficientă a Directivei (art. 86h(3) din Directivă; 160h(3) din Directivă). Lipsa noii redacții art. 48 alin. (3) lit. n) din Legea nr.1134/1997 creează dificultăți semnificative pentru aplicarea noii redacții a art. 60 alin. (3) din aceeași lege.</w:t>
            </w:r>
          </w:p>
        </w:tc>
      </w:tr>
      <w:tr w:rsidR="0072652F" w14:paraId="5538FA64" w14:textId="77777777">
        <w:trPr>
          <w:trHeight w:val="240"/>
        </w:trPr>
        <w:tc>
          <w:tcPr>
            <w:tcW w:w="480" w:type="dxa"/>
            <w:vMerge/>
          </w:tcPr>
          <w:p w14:paraId="2B0CD1F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25E09C3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4D5EAD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0D9FBD9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9</w:t>
            </w:r>
            <w:r>
              <w:rPr>
                <w:rFonts w:ascii="Times New Roman" w:eastAsia="Times New Roman" w:hAnsi="Times New Roman" w:cs="Times New Roman"/>
              </w:rPr>
              <w:t xml:space="preserve"> din proiect, ce vizează modificarea articolul 60 alin. (2) și alin. (3) din Legea nr.1134/1997, propunem excluderea acestuia, or, specificul reorganizării transfrontaliere, se va stabili în legea privind </w:t>
            </w:r>
            <w:r>
              <w:rPr>
                <w:rFonts w:ascii="Times New Roman" w:eastAsia="Times New Roman" w:hAnsi="Times New Roman" w:cs="Times New Roman"/>
              </w:rPr>
              <w:lastRenderedPageBreak/>
              <w:t xml:space="preserve">reorganizarea transfrontalieră a societăților comerciale (lege specială), potrivit art. 97¹ din proiectul de lege. </w:t>
            </w:r>
          </w:p>
        </w:tc>
        <w:tc>
          <w:tcPr>
            <w:tcW w:w="5505" w:type="dxa"/>
          </w:tcPr>
          <w:p w14:paraId="4438D7C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53BB585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se vedea argumentarea imediat mai sus.</w:t>
            </w:r>
          </w:p>
        </w:tc>
      </w:tr>
      <w:tr w:rsidR="0072652F" w14:paraId="4C2C0BAF" w14:textId="77777777">
        <w:trPr>
          <w:trHeight w:val="240"/>
        </w:trPr>
        <w:tc>
          <w:tcPr>
            <w:tcW w:w="480" w:type="dxa"/>
            <w:vMerge/>
          </w:tcPr>
          <w:p w14:paraId="05EAA0A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1522D83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74CDF89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1CC5C82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11</w:t>
            </w:r>
            <w:r>
              <w:rPr>
                <w:rFonts w:ascii="Times New Roman" w:eastAsia="Times New Roman" w:hAnsi="Times New Roman" w:cs="Times New Roman"/>
              </w:rPr>
              <w:t xml:space="preserve"> din proiect, aferent modificării art. 67 alin. (10) din Legea nr.1134/1997, propunem fie substituirea enunțului:</w:t>
            </w:r>
          </w:p>
          <w:p w14:paraId="6A9CC5E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 „Aceeași regulă se aplică extrasului din procesul-verbal al ședinței consiliului societății.”, cu următorul enunț: „În același mod se va semna și extrasul din procesul-verbal al ședinței consiliului.”, </w:t>
            </w:r>
          </w:p>
          <w:p w14:paraId="1B61162C" w14:textId="58ED754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fie expunerea alin. (10) în următoarea redacție: „(10) Fiecare exemplar al procesului-verbal și/sau al extrasului din procesul-verbal al </w:t>
            </w:r>
            <w:r w:rsidR="00E912D4">
              <w:rPr>
                <w:rFonts w:ascii="Times New Roman" w:eastAsia="Times New Roman" w:hAnsi="Times New Roman" w:cs="Times New Roman"/>
              </w:rPr>
              <w:t>ședinței</w:t>
            </w:r>
            <w:r>
              <w:rPr>
                <w:rFonts w:ascii="Times New Roman" w:eastAsia="Times New Roman" w:hAnsi="Times New Roman" w:cs="Times New Roman"/>
              </w:rPr>
              <w:t xml:space="preserve"> consiliului </w:t>
            </w:r>
            <w:r w:rsidR="00E912D4">
              <w:rPr>
                <w:rFonts w:ascii="Times New Roman" w:eastAsia="Times New Roman" w:hAnsi="Times New Roman" w:cs="Times New Roman"/>
              </w:rPr>
              <w:t>societății</w:t>
            </w:r>
            <w:r>
              <w:rPr>
                <w:rFonts w:ascii="Times New Roman" w:eastAsia="Times New Roman" w:hAnsi="Times New Roman" w:cs="Times New Roman"/>
              </w:rPr>
              <w:t xml:space="preserve"> va fi semnat de </w:t>
            </w:r>
            <w:r w:rsidR="00E912D4">
              <w:rPr>
                <w:rFonts w:ascii="Times New Roman" w:eastAsia="Times New Roman" w:hAnsi="Times New Roman" w:cs="Times New Roman"/>
              </w:rPr>
              <w:t>președintele</w:t>
            </w:r>
            <w:r>
              <w:rPr>
                <w:rFonts w:ascii="Times New Roman" w:eastAsia="Times New Roman" w:hAnsi="Times New Roman" w:cs="Times New Roman"/>
              </w:rPr>
              <w:t xml:space="preserve"> consiliului </w:t>
            </w:r>
            <w:r w:rsidR="00E912D4">
              <w:rPr>
                <w:rFonts w:ascii="Times New Roman" w:eastAsia="Times New Roman" w:hAnsi="Times New Roman" w:cs="Times New Roman"/>
              </w:rPr>
              <w:t>și</w:t>
            </w:r>
            <w:r>
              <w:rPr>
                <w:rFonts w:ascii="Times New Roman" w:eastAsia="Times New Roman" w:hAnsi="Times New Roman" w:cs="Times New Roman"/>
              </w:rPr>
              <w:t xml:space="preserve"> de secretarul ședinței, precum </w:t>
            </w:r>
            <w:r w:rsidR="00E912D4">
              <w:rPr>
                <w:rFonts w:ascii="Times New Roman" w:eastAsia="Times New Roman" w:hAnsi="Times New Roman" w:cs="Times New Roman"/>
              </w:rPr>
              <w:t>și</w:t>
            </w:r>
            <w:r>
              <w:rPr>
                <w:rFonts w:ascii="Times New Roman" w:eastAsia="Times New Roman" w:hAnsi="Times New Roman" w:cs="Times New Roman"/>
              </w:rPr>
              <w:t xml:space="preserve"> de un membru al consiliului societății.”; </w:t>
            </w:r>
          </w:p>
        </w:tc>
        <w:tc>
          <w:tcPr>
            <w:tcW w:w="5505" w:type="dxa"/>
          </w:tcPr>
          <w:p w14:paraId="769C54F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6675B19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681102DC" w14:textId="77777777">
        <w:trPr>
          <w:trHeight w:val="240"/>
        </w:trPr>
        <w:tc>
          <w:tcPr>
            <w:tcW w:w="480" w:type="dxa"/>
            <w:vMerge/>
          </w:tcPr>
          <w:p w14:paraId="50C91A2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4DFC50DC"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3B6DED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4485" w:type="dxa"/>
          </w:tcPr>
          <w:p w14:paraId="798FAC8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pct. 16</w:t>
            </w:r>
            <w:r>
              <w:rPr>
                <w:rFonts w:ascii="Times New Roman" w:eastAsia="Times New Roman" w:hAnsi="Times New Roman" w:cs="Times New Roman"/>
              </w:rPr>
              <w:t xml:space="preserve"> din proiect, aferent modificării art. 93 din Legea nr.1134/1997, propunem: </w:t>
            </w:r>
          </w:p>
          <w:p w14:paraId="17DBA43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[1] - la alin. (7) cumularea primului și al doilea enunț și expunerea textului în următoarea redacție: „Proiectul contractului de fuziune se publică obligator de fiecare dintre societățile care fuzionează în registrul de stat al persoanelor juridice, fără plată, cu cel puțin o lună înainte de data fixată a adunării generale a acționarilor care urmează să decidă cu privire la proiectul de fuziune.”, în continuare după text. </w:t>
            </w:r>
          </w:p>
          <w:p w14:paraId="6038C4A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 la alin. (8), propunem a fi menținută redacția actuală de „30 de zile” pentru a fi în concordanță cu terminologia Codului Civil. </w:t>
            </w:r>
          </w:p>
        </w:tc>
        <w:tc>
          <w:tcPr>
            <w:tcW w:w="5505" w:type="dxa"/>
          </w:tcPr>
          <w:p w14:paraId="7CDD043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[1] </w:t>
            </w:r>
            <w:r>
              <w:rPr>
                <w:rFonts w:ascii="Times New Roman" w:eastAsia="Times New Roman" w:hAnsi="Times New Roman" w:cs="Times New Roman"/>
                <w:b/>
                <w:bCs/>
              </w:rPr>
              <w:t>Se acceptă parțial.</w:t>
            </w:r>
          </w:p>
          <w:p w14:paraId="45F8CCF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Terminologia „se publică obligator” nu este potrivită formulării textelor juridice în limba română iar sintagma „fără plată” nu oferă claritate că organul înregistrării de stat nu va solicita plata.</w:t>
            </w:r>
          </w:p>
          <w:p w14:paraId="74DBDEB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 pentru a evidenția că fiecare societate implicată în fuziune este obligată să asigure publicitatea în privința sa, adică textul proiectului să fie accesibil publicului în partea cu acces public a dosarului acestei societăți. Norma nu instituie o obligație solidară, fiecare societate fiind responsabilă pentru propria publicație.</w:t>
            </w:r>
          </w:p>
          <w:p w14:paraId="31FD160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Nu se acceptă.</w:t>
            </w:r>
          </w:p>
          <w:p w14:paraId="554235A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Codul civil nu prevede vreun termen pentru publicarea acestui aviz. În terminologia Codului civil o lună nu este și nu poate fi egală cu 30 de zile (art. 388 Cod civil).</w:t>
            </w:r>
          </w:p>
        </w:tc>
      </w:tr>
      <w:tr w:rsidR="0072652F" w14:paraId="53A3C585" w14:textId="77777777">
        <w:trPr>
          <w:trHeight w:val="240"/>
        </w:trPr>
        <w:tc>
          <w:tcPr>
            <w:tcW w:w="480" w:type="dxa"/>
            <w:vMerge/>
          </w:tcPr>
          <w:p w14:paraId="6FA79EC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0C83A8AB"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1EA5035"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9</w:t>
            </w:r>
          </w:p>
        </w:tc>
        <w:tc>
          <w:tcPr>
            <w:tcW w:w="4485" w:type="dxa"/>
          </w:tcPr>
          <w:p w14:paraId="0513E1EA" w14:textId="72B5D801"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17</w:t>
            </w:r>
            <w:r>
              <w:rPr>
                <w:rFonts w:ascii="Times New Roman" w:eastAsia="Times New Roman" w:hAnsi="Times New Roman" w:cs="Times New Roman"/>
              </w:rPr>
              <w:t xml:space="preserve"> din proiect, aferent modificării art. 94 din Legea nr.1134/1997, ce vizează completarea articolului cu un aliniat nou (5), propunem excluderea acestuia din proiectul de lege, deoarece norma dată (art. 97 alin.(4) din Directiva UE/2017/1132) se regăsește în alin. (4) art. 94 din Legea nr.1134/1997. În acest sens, considerăm necesară expunerea art. 94 alin. (4) în următoarea redacție: „(4) Fiecare </w:t>
            </w:r>
            <w:r w:rsidR="00E912D4">
              <w:rPr>
                <w:rFonts w:ascii="Times New Roman" w:eastAsia="Times New Roman" w:hAnsi="Times New Roman" w:cs="Times New Roman"/>
              </w:rPr>
              <w:t>acționar</w:t>
            </w:r>
            <w:r>
              <w:rPr>
                <w:rFonts w:ascii="Times New Roman" w:eastAsia="Times New Roman" w:hAnsi="Times New Roman" w:cs="Times New Roman"/>
              </w:rPr>
              <w:t xml:space="preserve"> are dreptul să </w:t>
            </w:r>
            <w:r w:rsidR="00E912D4">
              <w:rPr>
                <w:rFonts w:ascii="Times New Roman" w:eastAsia="Times New Roman" w:hAnsi="Times New Roman" w:cs="Times New Roman"/>
              </w:rPr>
              <w:t>obțină</w:t>
            </w:r>
            <w:r>
              <w:rPr>
                <w:rFonts w:ascii="Times New Roman" w:eastAsia="Times New Roman" w:hAnsi="Times New Roman" w:cs="Times New Roman"/>
              </w:rPr>
              <w:t xml:space="preserve">, la cerere </w:t>
            </w:r>
            <w:r w:rsidR="00E912D4">
              <w:rPr>
                <w:rFonts w:ascii="Times New Roman" w:eastAsia="Times New Roman" w:hAnsi="Times New Roman" w:cs="Times New Roman"/>
              </w:rPr>
              <w:t>și</w:t>
            </w:r>
            <w:r>
              <w:rPr>
                <w:rFonts w:ascii="Times New Roman" w:eastAsia="Times New Roman" w:hAnsi="Times New Roman" w:cs="Times New Roman"/>
              </w:rPr>
              <w:t xml:space="preserve"> gratuit, copii de pe documentele prevăzute la alin.(1), cu </w:t>
            </w:r>
            <w:r w:rsidR="00E912D4">
              <w:rPr>
                <w:rFonts w:ascii="Times New Roman" w:eastAsia="Times New Roman" w:hAnsi="Times New Roman" w:cs="Times New Roman"/>
              </w:rPr>
              <w:t>excepția</w:t>
            </w:r>
            <w:r>
              <w:rPr>
                <w:rFonts w:ascii="Times New Roman" w:eastAsia="Times New Roman" w:hAnsi="Times New Roman" w:cs="Times New Roman"/>
              </w:rPr>
              <w:t xml:space="preserve"> cazului în care pagină web oficială a </w:t>
            </w:r>
            <w:r w:rsidR="00E912D4">
              <w:rPr>
                <w:rFonts w:ascii="Times New Roman" w:eastAsia="Times New Roman" w:hAnsi="Times New Roman" w:cs="Times New Roman"/>
              </w:rPr>
              <w:t>societății</w:t>
            </w:r>
            <w:r>
              <w:rPr>
                <w:rFonts w:ascii="Times New Roman" w:eastAsia="Times New Roman" w:hAnsi="Times New Roman" w:cs="Times New Roman"/>
              </w:rPr>
              <w:t xml:space="preserve"> oferă </w:t>
            </w:r>
            <w:r w:rsidR="00E912D4">
              <w:rPr>
                <w:rFonts w:ascii="Times New Roman" w:eastAsia="Times New Roman" w:hAnsi="Times New Roman" w:cs="Times New Roman"/>
              </w:rPr>
              <w:t>acționarilor</w:t>
            </w:r>
            <w:r>
              <w:rPr>
                <w:rFonts w:ascii="Times New Roman" w:eastAsia="Times New Roman" w:hAnsi="Times New Roman" w:cs="Times New Roman"/>
              </w:rPr>
              <w:t xml:space="preserve"> posibilitatea de a descărca </w:t>
            </w:r>
            <w:r w:rsidR="00E912D4">
              <w:rPr>
                <w:rFonts w:ascii="Times New Roman" w:eastAsia="Times New Roman" w:hAnsi="Times New Roman" w:cs="Times New Roman"/>
              </w:rPr>
              <w:t>și</w:t>
            </w:r>
            <w:r>
              <w:rPr>
                <w:rFonts w:ascii="Times New Roman" w:eastAsia="Times New Roman" w:hAnsi="Times New Roman" w:cs="Times New Roman"/>
              </w:rPr>
              <w:t xml:space="preserve">/sau de a imprima documentele respective, pe o perioadă continuă care începe cu cel puțin o lună înainte de data stabilită pentru adunarea generală care urmează să decidă asupra proiectului de fuziune și care se încheie nu mai devreme de o lună după adunarea respectivă. În cazul în care un </w:t>
            </w:r>
            <w:r w:rsidR="00E912D4">
              <w:rPr>
                <w:rFonts w:ascii="Times New Roman" w:eastAsia="Times New Roman" w:hAnsi="Times New Roman" w:cs="Times New Roman"/>
              </w:rPr>
              <w:t>acționar</w:t>
            </w:r>
            <w:r>
              <w:rPr>
                <w:rFonts w:ascii="Times New Roman" w:eastAsia="Times New Roman" w:hAnsi="Times New Roman" w:cs="Times New Roman"/>
              </w:rPr>
              <w:t xml:space="preserve"> a fost de acord ca pentru comunicarea de </w:t>
            </w:r>
            <w:r w:rsidR="00E912D4">
              <w:rPr>
                <w:rFonts w:ascii="Times New Roman" w:eastAsia="Times New Roman" w:hAnsi="Times New Roman" w:cs="Times New Roman"/>
              </w:rPr>
              <w:t>informații</w:t>
            </w:r>
            <w:r>
              <w:rPr>
                <w:rFonts w:ascii="Times New Roman" w:eastAsia="Times New Roman" w:hAnsi="Times New Roman" w:cs="Times New Roman"/>
              </w:rPr>
              <w:t xml:space="preserve"> societatea să utilizeze mijloace electronice, se pot trimite asemenea copii prin </w:t>
            </w:r>
            <w:r w:rsidR="00E912D4">
              <w:rPr>
                <w:rFonts w:ascii="Times New Roman" w:eastAsia="Times New Roman" w:hAnsi="Times New Roman" w:cs="Times New Roman"/>
              </w:rPr>
              <w:t>poșta</w:t>
            </w:r>
            <w:r>
              <w:rPr>
                <w:rFonts w:ascii="Times New Roman" w:eastAsia="Times New Roman" w:hAnsi="Times New Roman" w:cs="Times New Roman"/>
              </w:rPr>
              <w:t xml:space="preserve"> electronică.” </w:t>
            </w:r>
          </w:p>
        </w:tc>
        <w:tc>
          <w:tcPr>
            <w:tcW w:w="5505" w:type="dxa"/>
          </w:tcPr>
          <w:p w14:paraId="66CE8D9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1D1BEEC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79FB3F52" w14:textId="77777777">
        <w:trPr>
          <w:trHeight w:val="240"/>
        </w:trPr>
        <w:tc>
          <w:tcPr>
            <w:tcW w:w="480" w:type="dxa"/>
            <w:vMerge/>
          </w:tcPr>
          <w:p w14:paraId="4CDD63D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644D32B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009F3BA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10</w:t>
            </w:r>
          </w:p>
        </w:tc>
        <w:tc>
          <w:tcPr>
            <w:tcW w:w="4485" w:type="dxa"/>
          </w:tcPr>
          <w:p w14:paraId="77C00660"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pct. 19</w:t>
            </w:r>
            <w:r>
              <w:rPr>
                <w:rFonts w:ascii="Times New Roman" w:eastAsia="Times New Roman" w:hAnsi="Times New Roman" w:cs="Times New Roman"/>
              </w:rPr>
              <w:t xml:space="preserve"> din proiect, aferent completării Legii nr.1134/1997 cu art. 97¹ considerăm oportună expunerea acestuia în următoarea redacție: „Articolul 97¹ . Reorganizarea transfrontalieră Societatea participă la o reorganizare transfrontalieră în conformitate cu dispozițiile legislației privind reorganizarea transfrontalieră a societăților comerciale și, în completare, cu dispozițiile prezentei legi.”. </w:t>
            </w:r>
          </w:p>
        </w:tc>
        <w:tc>
          <w:tcPr>
            <w:tcW w:w="5505" w:type="dxa"/>
          </w:tcPr>
          <w:p w14:paraId="1CC17E20"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46104A32"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6847359A" w14:textId="77777777">
        <w:tc>
          <w:tcPr>
            <w:tcW w:w="480" w:type="dxa"/>
            <w:vMerge w:val="restart"/>
          </w:tcPr>
          <w:p w14:paraId="36B920D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6</w:t>
            </w:r>
          </w:p>
        </w:tc>
        <w:tc>
          <w:tcPr>
            <w:tcW w:w="1530" w:type="dxa"/>
            <w:vMerge w:val="restart"/>
          </w:tcPr>
          <w:p w14:paraId="772E32F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Agenția Servicii Publice a Republicii Moldova</w:t>
            </w:r>
          </w:p>
        </w:tc>
        <w:tc>
          <w:tcPr>
            <w:tcW w:w="11790" w:type="dxa"/>
            <w:gridSpan w:val="3"/>
          </w:tcPr>
          <w:p w14:paraId="426643E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La Art. I. – Legea nr. 1134/1997 privind societățile pe acțiuni</w:t>
            </w:r>
          </w:p>
        </w:tc>
      </w:tr>
      <w:tr w:rsidR="0072652F" w14:paraId="3279527F" w14:textId="77777777">
        <w:tc>
          <w:tcPr>
            <w:tcW w:w="480" w:type="dxa"/>
            <w:vMerge/>
          </w:tcPr>
          <w:p w14:paraId="0EE0427E"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4C63A4AE"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25B176F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242C92D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 propune revizuirea pct. 6, articolul 39 alineatul (9</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în contextul prevederilor art. 33 alin. (9), potrivit cărora, raportul întreprinderii de evaluare care a efectuat estimarea valorii de piață a aportului </w:t>
            </w:r>
            <w:proofErr w:type="spellStart"/>
            <w:r>
              <w:rPr>
                <w:rFonts w:ascii="Times New Roman" w:eastAsia="Times New Roman" w:hAnsi="Times New Roman" w:cs="Times New Roman"/>
                <w:color w:val="000000"/>
              </w:rPr>
              <w:t>nebănesc</w:t>
            </w:r>
            <w:proofErr w:type="spellEnd"/>
            <w:r>
              <w:rPr>
                <w:rFonts w:ascii="Times New Roman" w:eastAsia="Times New Roman" w:hAnsi="Times New Roman" w:cs="Times New Roman"/>
                <w:color w:val="000000"/>
              </w:rPr>
              <w:t xml:space="preserve"> se anexează la statutul societății și devine parte integrantă a acestuia, inclusiv pentru înregistrare la organul înregistrării de stat.</w:t>
            </w:r>
          </w:p>
        </w:tc>
        <w:tc>
          <w:tcPr>
            <w:tcW w:w="5505" w:type="dxa"/>
          </w:tcPr>
          <w:p w14:paraId="5D0AA1D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7BEF9D7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Anexarea la statut nu înseamnă neapărat că raportul se publică. Pentru claritate este necesară o normă că raportul se publică. Aceasta nu înseamnă o dublă publicare. Publicarea o dată, de sine stătătoare sau ca anexă la statut, va fi suficientă.</w:t>
            </w:r>
          </w:p>
        </w:tc>
      </w:tr>
      <w:tr w:rsidR="0072652F" w14:paraId="4C9519B3" w14:textId="77777777">
        <w:tc>
          <w:tcPr>
            <w:tcW w:w="480" w:type="dxa"/>
            <w:vMerge/>
          </w:tcPr>
          <w:p w14:paraId="735EB1A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12D2DDA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3E8E960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p>
        </w:tc>
        <w:tc>
          <w:tcPr>
            <w:tcW w:w="4485" w:type="dxa"/>
          </w:tcPr>
          <w:p w14:paraId="7F1D76A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pct. 16, la articolul 93 alineatul (7), în primul enunț cuvintele „prin registrul de stat al persoanelor juridice” de substituit cu cuvintele „pe pagina web al organului înregistrării de stat”, din motivul că proiectul contractului de fuziune urmează să fie aprobat la adunarea generală la o dată ulterioară, însă Registrul de stat are rolul de a stoca </w:t>
            </w:r>
            <w:proofErr w:type="spellStart"/>
            <w:r>
              <w:rPr>
                <w:rFonts w:ascii="Times New Roman" w:eastAsia="Times New Roman" w:hAnsi="Times New Roman" w:cs="Times New Roman"/>
                <w:color w:val="000000"/>
              </w:rPr>
              <w:t>şi</w:t>
            </w:r>
            <w:proofErr w:type="spellEnd"/>
            <w:r>
              <w:rPr>
                <w:rFonts w:ascii="Times New Roman" w:eastAsia="Times New Roman" w:hAnsi="Times New Roman" w:cs="Times New Roman"/>
                <w:color w:val="000000"/>
              </w:rPr>
              <w:t xml:space="preserve"> atesta opozabilitatea unor acte juridice definitive, deja aprobate. Proiectul contractului nu produce încă efecte juridice de reorganizare, dar necesită o afișare publică pentru informarea terților.</w:t>
            </w:r>
          </w:p>
        </w:tc>
        <w:tc>
          <w:tcPr>
            <w:tcW w:w="5505" w:type="dxa"/>
          </w:tcPr>
          <w:p w14:paraId="285D0FA0"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152D40D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Directiva 2017/1132 nu prevede un asemenea mecanism de publicitate ca „publicarea pe pagina web a autorității care ține registrul”. Recomandăm ASP să revizuiască acest mecanism de publicitate.</w:t>
            </w:r>
          </w:p>
          <w:p w14:paraId="041C8E0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680B4C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Unica formă de publicitate prevăzută de Directivă este publicitatea </w:t>
            </w:r>
            <w:r>
              <w:rPr>
                <w:rFonts w:ascii="Times New Roman" w:eastAsia="Times New Roman" w:hAnsi="Times New Roman" w:cs="Times New Roman"/>
                <w:b/>
                <w:bCs/>
              </w:rPr>
              <w:t xml:space="preserve">în </w:t>
            </w:r>
            <w:r>
              <w:rPr>
                <w:rFonts w:ascii="Times New Roman" w:eastAsia="Times New Roman" w:hAnsi="Times New Roman" w:cs="Times New Roman"/>
              </w:rPr>
              <w:t>registru. Terții trebuie să fie în măsură să verifice toate actele și informațiile prevăzute de lege într-un singur loc (</w:t>
            </w:r>
            <w:proofErr w:type="spellStart"/>
            <w:r>
              <w:rPr>
                <w:rFonts w:ascii="Times New Roman" w:eastAsia="Times New Roman" w:hAnsi="Times New Roman" w:cs="Times New Roman"/>
              </w:rPr>
              <w:t>one</w:t>
            </w:r>
            <w:proofErr w:type="spellEnd"/>
            <w:r>
              <w:rPr>
                <w:rFonts w:ascii="Times New Roman" w:eastAsia="Times New Roman" w:hAnsi="Times New Roman" w:cs="Times New Roman"/>
              </w:rPr>
              <w:t xml:space="preserve"> stop shop).</w:t>
            </w:r>
          </w:p>
          <w:p w14:paraId="22A3E5CD"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4B3A31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Formularea propusă de ASP contravine art. 92 din Directivă.</w:t>
            </w:r>
          </w:p>
          <w:p w14:paraId="7A849D5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Pentru a se evita confuzii, va fi necesar ca registrul să facă mențiunea că se publică proiectul contractului de fuziune, care încă nu a fost supus aprobării.</w:t>
            </w:r>
          </w:p>
        </w:tc>
      </w:tr>
      <w:tr w:rsidR="0072652F" w14:paraId="2F13A8D8" w14:textId="77777777">
        <w:tc>
          <w:tcPr>
            <w:tcW w:w="480" w:type="dxa"/>
            <w:vMerge/>
          </w:tcPr>
          <w:p w14:paraId="0F07D50D"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3A851237"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1790" w:type="dxa"/>
            <w:gridSpan w:val="3"/>
          </w:tcPr>
          <w:p w14:paraId="1E188E3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La Art. II. – Codul civil al Republicii Moldova nr. 1107/2002</w:t>
            </w:r>
          </w:p>
        </w:tc>
      </w:tr>
      <w:tr w:rsidR="0072652F" w14:paraId="51440755" w14:textId="77777777">
        <w:tc>
          <w:tcPr>
            <w:tcW w:w="480" w:type="dxa"/>
            <w:vMerge/>
          </w:tcPr>
          <w:p w14:paraId="20414568"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03105F95"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262F7E7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071382F0" w14:textId="77777777" w:rsidR="0072652F" w:rsidRDefault="00000000">
            <w:pPr>
              <w:pBdr>
                <w:top w:val="nil"/>
                <w:left w:val="nil"/>
                <w:bottom w:val="nil"/>
                <w:right w:val="nil"/>
                <w:between w:val="nil"/>
              </w:pBd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propune de exclus pct. 12 din proiect cu păstrarea redacției actuale a normelor. Publicarea avizului despre lichidarea unei persoane juridice nu este o formalitate birocratică, ci o cerință esențială pentru protecția terților și asigurarea transparenței. Creditorii trebuie să afle că entitatea intră în lichidare pentru a-și putea revendica </w:t>
            </w:r>
            <w:r>
              <w:rPr>
                <w:rFonts w:ascii="Times New Roman" w:eastAsia="Times New Roman" w:hAnsi="Times New Roman" w:cs="Times New Roman"/>
                <w:color w:val="000000"/>
              </w:rPr>
              <w:lastRenderedPageBreak/>
              <w:t>creanțele. Publicarea avizului declanșează, de obicei, termenul legal în care aceștia pot depune cereri. Nu doar creditorii, ci și partenerii contractuali, angajații sau alte persoane interesate trebuie să fie informați, pentru a evita prejudicii (de exemplu, încheierea unor contracte cu o entitate care urmează să dispară). De asemenea, prin publicitate, se reduce riscul ca lichidarea să fie utilizată pentru a evita plata datoriilor sau pentru a prejudicia anumite persoane.</w:t>
            </w:r>
          </w:p>
        </w:tc>
        <w:tc>
          <w:tcPr>
            <w:tcW w:w="5505" w:type="dxa"/>
          </w:tcPr>
          <w:p w14:paraId="1292E44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284CC01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Directiva 2017/1132 nu prevede un asemenea mecanism de publicitate ca „publicarea pe pagina web a autorității care ține registrul”. Recomandăm ASP să revizuiască acest mecanism de publicitate.</w:t>
            </w:r>
          </w:p>
          <w:p w14:paraId="237186E6" w14:textId="77777777" w:rsidR="0072652F" w:rsidRDefault="0072652F">
            <w:pPr>
              <w:jc w:val="both"/>
              <w:rPr>
                <w:rFonts w:ascii="Times New Roman" w:eastAsia="Times New Roman" w:hAnsi="Times New Roman" w:cs="Times New Roman"/>
              </w:rPr>
            </w:pPr>
          </w:p>
          <w:p w14:paraId="5550F1E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Unica formă de publicitate prevăzută de Directivă este publicitatea </w:t>
            </w:r>
            <w:r>
              <w:rPr>
                <w:rFonts w:ascii="Times New Roman" w:eastAsia="Times New Roman" w:hAnsi="Times New Roman" w:cs="Times New Roman"/>
                <w:b/>
                <w:bCs/>
              </w:rPr>
              <w:t xml:space="preserve">în </w:t>
            </w:r>
            <w:r>
              <w:rPr>
                <w:rFonts w:ascii="Times New Roman" w:eastAsia="Times New Roman" w:hAnsi="Times New Roman" w:cs="Times New Roman"/>
              </w:rPr>
              <w:t xml:space="preserve">registru. Terții trebuie să fie în măsură </w:t>
            </w:r>
            <w:r>
              <w:rPr>
                <w:rFonts w:ascii="Times New Roman" w:eastAsia="Times New Roman" w:hAnsi="Times New Roman" w:cs="Times New Roman"/>
              </w:rPr>
              <w:lastRenderedPageBreak/>
              <w:t>să verifice toate actele și informațiile prevăzute de lege într-un singur loc (</w:t>
            </w:r>
            <w:proofErr w:type="spellStart"/>
            <w:r>
              <w:rPr>
                <w:rFonts w:ascii="Times New Roman" w:eastAsia="Times New Roman" w:hAnsi="Times New Roman" w:cs="Times New Roman"/>
              </w:rPr>
              <w:t>one</w:t>
            </w:r>
            <w:proofErr w:type="spellEnd"/>
            <w:r>
              <w:rPr>
                <w:rFonts w:ascii="Times New Roman" w:eastAsia="Times New Roman" w:hAnsi="Times New Roman" w:cs="Times New Roman"/>
              </w:rPr>
              <w:t xml:space="preserve"> stop shop).</w:t>
            </w:r>
          </w:p>
          <w:p w14:paraId="1D5D2EA5" w14:textId="77777777" w:rsidR="0072652F" w:rsidRDefault="0072652F">
            <w:pPr>
              <w:jc w:val="both"/>
              <w:rPr>
                <w:rFonts w:ascii="Times New Roman" w:eastAsia="Times New Roman" w:hAnsi="Times New Roman" w:cs="Times New Roman"/>
              </w:rPr>
            </w:pPr>
          </w:p>
          <w:p w14:paraId="1AD32FD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Noua redacție a art. 228 din Codul civil prevede clar că lichidatorul efectuează publicitatea. Conținutul publicității este prevăzut în Legea nr. 220/2007, în redacția proiectului, și anume, societatea este obligată să publice intrarea în lichidare, desemnarea lichidatorului și finalizarea procedurii de lichidare.</w:t>
            </w:r>
          </w:p>
          <w:p w14:paraId="32DFBC13" w14:textId="77777777" w:rsidR="0072652F" w:rsidRDefault="0072652F">
            <w:pPr>
              <w:jc w:val="both"/>
              <w:rPr>
                <w:rFonts w:ascii="Times New Roman" w:eastAsia="Times New Roman" w:hAnsi="Times New Roman" w:cs="Times New Roman"/>
              </w:rPr>
            </w:pPr>
          </w:p>
          <w:p w14:paraId="4C3F04B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Înțelegem că preocuparea ASP ar putea fi că terții nu vor fi notificați despre acest eveniment. Aceasta este o problemă generală și este în puterea ASP, ca noua platformă prin care se va publica datele publice din RSPJ va cuprinde o rubrică privind notificări/</w:t>
            </w:r>
            <w:proofErr w:type="spellStart"/>
            <w:r>
              <w:rPr>
                <w:rFonts w:ascii="Times New Roman" w:eastAsia="Times New Roman" w:hAnsi="Times New Roman" w:cs="Times New Roman"/>
              </w:rPr>
              <w:t>alterte</w:t>
            </w:r>
            <w:proofErr w:type="spellEnd"/>
            <w:r>
              <w:rPr>
                <w:rFonts w:ascii="Times New Roman" w:eastAsia="Times New Roman" w:hAnsi="Times New Roman" w:cs="Times New Roman"/>
              </w:rPr>
              <w:t xml:space="preserve"> privitor la anumite persoane juridice. Astfel că utilizatorii cu un cont creat să fie notificați despre acele entități în care au interes.</w:t>
            </w:r>
          </w:p>
          <w:p w14:paraId="28A5865A" w14:textId="77777777" w:rsidR="0072652F" w:rsidRDefault="0072652F">
            <w:pPr>
              <w:jc w:val="both"/>
              <w:rPr>
                <w:rFonts w:ascii="Times New Roman" w:eastAsia="Times New Roman" w:hAnsi="Times New Roman" w:cs="Times New Roman"/>
              </w:rPr>
            </w:pPr>
          </w:p>
          <w:p w14:paraId="711FED4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Astăzi, simpla publicare a informației pe pagina web nu este o alertă și nu oferă un mecanism eficient și comod de a fi la zi cu situația juridică a entității în care terțul/publicul are interes concret.</w:t>
            </w:r>
          </w:p>
          <w:p w14:paraId="70DFB588"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tc>
      </w:tr>
      <w:tr w:rsidR="0072652F" w14:paraId="1600085A" w14:textId="77777777">
        <w:tc>
          <w:tcPr>
            <w:tcW w:w="480" w:type="dxa"/>
            <w:vMerge/>
          </w:tcPr>
          <w:p w14:paraId="39DA3B7E"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04293508"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3BE428B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p>
        </w:tc>
        <w:tc>
          <w:tcPr>
            <w:tcW w:w="4485" w:type="dxa"/>
          </w:tcPr>
          <w:p w14:paraId="3AFB69F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14, la articolul 240 alineatul (4), cuvântul „respective” de exclus.</w:t>
            </w:r>
          </w:p>
        </w:tc>
        <w:tc>
          <w:tcPr>
            <w:tcW w:w="5505" w:type="dxa"/>
          </w:tcPr>
          <w:p w14:paraId="5A1C44D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98A342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08D07B0B" w14:textId="77777777">
        <w:tc>
          <w:tcPr>
            <w:tcW w:w="480" w:type="dxa"/>
            <w:vMerge/>
          </w:tcPr>
          <w:p w14:paraId="1A4D170D"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1A7A0399"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55E8CF0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w:t>
            </w:r>
          </w:p>
        </w:tc>
        <w:tc>
          <w:tcPr>
            <w:tcW w:w="4485" w:type="dxa"/>
          </w:tcPr>
          <w:p w14:paraId="5F5C616B" w14:textId="77777777" w:rsidR="0072652F" w:rsidRDefault="00000000">
            <w:pPr>
              <w:pBdr>
                <w:top w:val="nil"/>
                <w:left w:val="nil"/>
                <w:bottom w:val="nil"/>
                <w:right w:val="nil"/>
                <w:between w:val="nil"/>
              </w:pBd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15, la articolul 241 alineatul (7), cuvintele „acelei persoane” de substituit cu cuvântul „persoanei”.</w:t>
            </w:r>
          </w:p>
        </w:tc>
        <w:tc>
          <w:tcPr>
            <w:tcW w:w="5505" w:type="dxa"/>
          </w:tcPr>
          <w:p w14:paraId="7612201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3065BA2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Proiectul de lege a fost ajustat. </w:t>
            </w:r>
          </w:p>
          <w:p w14:paraId="49A2E24D" w14:textId="77777777" w:rsidR="0072652F" w:rsidRDefault="00000000">
            <w:pPr>
              <w:spacing w:after="240"/>
              <w:jc w:val="both"/>
              <w:rPr>
                <w:rFonts w:ascii="Times New Roman" w:eastAsia="Times New Roman" w:hAnsi="Times New Roman" w:cs="Times New Roman"/>
              </w:rPr>
            </w:pPr>
            <w:r>
              <w:rPr>
                <w:rFonts w:ascii="Times New Roman" w:eastAsia="Times New Roman" w:hAnsi="Times New Roman" w:cs="Times New Roman"/>
              </w:rPr>
              <w:t xml:space="preserve">Astfel, se are în vedere o interdicție nu doar în privința persoanei juridice concrete care l-a numit în funcția de conducător al sucursalei, ci de administrator al oricărei persoane juridice care are acea formă juridică de organizare. Nu este relevant dacă interdicția impusă vizează toate persoanele juridice în general sau anume forma juridică a acelei persoane. Important este ca, din </w:t>
            </w:r>
            <w:r>
              <w:rPr>
                <w:rFonts w:ascii="Times New Roman" w:eastAsia="Times New Roman" w:hAnsi="Times New Roman" w:cs="Times New Roman"/>
              </w:rPr>
              <w:lastRenderedPageBreak/>
              <w:t>cauza acestei interdicții, conducătorul nu poate fi numit legal în funcția de administrator al persoanei juridice care l-a desemnat în funcția de conducător al sucursalei.</w:t>
            </w:r>
          </w:p>
        </w:tc>
      </w:tr>
      <w:tr w:rsidR="0072652F" w14:paraId="4899B150" w14:textId="77777777">
        <w:tc>
          <w:tcPr>
            <w:tcW w:w="480" w:type="dxa"/>
            <w:vMerge/>
          </w:tcPr>
          <w:p w14:paraId="410D0B05"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2C6C973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5CF2992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p>
        </w:tc>
        <w:tc>
          <w:tcPr>
            <w:tcW w:w="4485" w:type="dxa"/>
          </w:tcPr>
          <w:p w14:paraId="61EA94DB" w14:textId="77777777" w:rsidR="0072652F" w:rsidRDefault="00000000">
            <w:pPr>
              <w:pBdr>
                <w:top w:val="nil"/>
                <w:left w:val="nil"/>
                <w:bottom w:val="nil"/>
                <w:right w:val="nil"/>
                <w:between w:val="nil"/>
              </w:pBd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16, la articolul 242, atenționăm că Codul civil nu va conține norme privind notarea insolvabilității sau lichidării persoanei juridice străine care are sucursală în Republica Moldova.</w:t>
            </w:r>
          </w:p>
        </w:tc>
        <w:tc>
          <w:tcPr>
            <w:tcW w:w="5505" w:type="dxa"/>
          </w:tcPr>
          <w:p w14:paraId="7F5D830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 xml:space="preserve">Precizare. </w:t>
            </w:r>
          </w:p>
          <w:p w14:paraId="41788BD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Obligația sucursalei de a informa ASP despre aceste evenimente (și a asigura publicarea în RSPJ) a fost inclusă în lista introdusă de proiectul de lege în Legea nr. 220/2007 (art. 34</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alin. (2) pct. 3) coroborat cu noul art. 33</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lit. h) și i) și cu art. 33</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alin. (1)). </w:t>
            </w:r>
          </w:p>
        </w:tc>
      </w:tr>
      <w:tr w:rsidR="0072652F" w14:paraId="2826EFA6" w14:textId="77777777">
        <w:tc>
          <w:tcPr>
            <w:tcW w:w="480" w:type="dxa"/>
            <w:vMerge/>
          </w:tcPr>
          <w:p w14:paraId="4B342DB7"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2BCAB5A6"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1AA777E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w:t>
            </w:r>
          </w:p>
        </w:tc>
        <w:tc>
          <w:tcPr>
            <w:tcW w:w="4485" w:type="dxa"/>
          </w:tcPr>
          <w:p w14:paraId="25B071A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17, nu se susține abrogarea alineatului (4) din articolul 243. Procedura de lichidare a sucursalelor persoanelor juridice străine trebuie păstrată similară procedurii de lichidare a persoanelor juridice deoarece, deși sucursala nu are personalitate juridică distinctă, ea participă efectiv la circuitul civil și economic în Republica Moldova și poate genera obligații față de terți. Procedura formală de lichidare permite creditorilor să fie informați și să își valorifice creanțele înainte de radierea sucursalei. Fără o asemenea procedură, persoana juridică străină ar putea înceta activitatea sucursalei fără a soluționa obligațiile existente în Moldova. Deși răspunderea finală aparține persoanei juridice străine, sucursala reprezintă manifestarea sa operațională în Moldova.</w:t>
            </w:r>
          </w:p>
          <w:p w14:paraId="7D05C49F"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Lichidarea formală permite identificarea patrimoniului, obligațiilor și raporturilor juridice generate local. Prin urmare, menținerea unei proceduri de lichidare similare celei aplicabile persoanelor juridice nu derivă din existența</w:t>
            </w:r>
          </w:p>
          <w:p w14:paraId="6155129A"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personalității juridice a sucursalei, ci din necesitatea de a proteja creditorii, ordinea publică economică și securitatea raporturilor juridice generate de activitatea acesteia în Republica Moldova.</w:t>
            </w:r>
          </w:p>
          <w:p w14:paraId="17B78E1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Totodată, menționăm că potrivit prevederilor art. 27 alin. (2) din Legea nr. 220/2007, radierea sucursalelor persoanelor juridice străine se efectuează în conformitate cu prevederile stabilite pentru radierea persoanei juridice autohtone.</w:t>
            </w:r>
          </w:p>
        </w:tc>
        <w:tc>
          <w:tcPr>
            <w:tcW w:w="5505" w:type="dxa"/>
          </w:tcPr>
          <w:p w14:paraId="77D3C52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123F421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Într-adevăr, lichidarea sucursalei (debitorul creditorilor nu dispare) nu trebuie confundată cu lichidarea persoanei juridice (în ultimul caz debitorul creditorilor dispare). Creditorii continuă să aibă o creanță pe care o pot valorifica contra persoanei juridice, care nu își încetează existența în general, ci doar își încetează existența în Republica Moldova.</w:t>
            </w:r>
          </w:p>
          <w:p w14:paraId="1FD7F70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Nota de fundamentare deja a argumentat că Estonia (sursa reglementării inițiale) a urmat aceeași cale.</w:t>
            </w:r>
          </w:p>
          <w:p w14:paraId="3B2C8CA1" w14:textId="77777777" w:rsidR="0072652F" w:rsidRDefault="0072652F">
            <w:pPr>
              <w:jc w:val="both"/>
              <w:rPr>
                <w:rFonts w:ascii="Times New Roman" w:eastAsia="Times New Roman" w:hAnsi="Times New Roman" w:cs="Times New Roman"/>
              </w:rPr>
            </w:pPr>
          </w:p>
          <w:p w14:paraId="371BC21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Dincolo de argumentele de oportunitate, abrogarea alin. (4) este necesară pentru transpunerea corectă și eficientă a Directivei 2017/1132. Potrivit art. 28c (Închiderea sucursalelor) a Directivei: „Statele membre se asigură că la primirea documentelor și a informațiilor menționate la articolul 30 alineatul (1) litera (h), </w:t>
            </w:r>
            <w:r>
              <w:rPr>
                <w:rFonts w:ascii="Times New Roman" w:eastAsia="Times New Roman" w:hAnsi="Times New Roman" w:cs="Times New Roman"/>
                <w:b/>
                <w:bCs/>
              </w:rPr>
              <w:t>registrul statului membru în care este înregistrată sucursala unei societăți comerciale informează</w:t>
            </w:r>
            <w:r>
              <w:rPr>
                <w:rFonts w:ascii="Times New Roman" w:eastAsia="Times New Roman" w:hAnsi="Times New Roman" w:cs="Times New Roman"/>
              </w:rPr>
              <w:t xml:space="preserve">, prin intermediul sistemului de interconectare a registrelor, registrul statului membru în care este înregistrată societatea comercială </w:t>
            </w:r>
            <w:r>
              <w:rPr>
                <w:rFonts w:ascii="Times New Roman" w:eastAsia="Times New Roman" w:hAnsi="Times New Roman" w:cs="Times New Roman"/>
                <w:b/>
                <w:bCs/>
              </w:rPr>
              <w:t>cu privire la închiderea sucursalei și la radierea sa din registru</w:t>
            </w:r>
            <w:r>
              <w:rPr>
                <w:rFonts w:ascii="Times New Roman" w:eastAsia="Times New Roman" w:hAnsi="Times New Roman" w:cs="Times New Roman"/>
              </w:rPr>
              <w:t xml:space="preserve">. Registrul statului membru al societății comerciale confirmă, prin </w:t>
            </w:r>
            <w:r>
              <w:rPr>
                <w:rFonts w:ascii="Times New Roman" w:eastAsia="Times New Roman" w:hAnsi="Times New Roman" w:cs="Times New Roman"/>
              </w:rPr>
              <w:lastRenderedPageBreak/>
              <w:t>intermediul sistemului menționat, primirea notificării, iar informația este înregistrată imediat.”</w:t>
            </w:r>
          </w:p>
          <w:p w14:paraId="3EF2091B" w14:textId="77777777" w:rsidR="0072652F" w:rsidRDefault="0072652F">
            <w:pPr>
              <w:jc w:val="both"/>
              <w:rPr>
                <w:rFonts w:ascii="Times New Roman" w:eastAsia="Times New Roman" w:hAnsi="Times New Roman" w:cs="Times New Roman"/>
              </w:rPr>
            </w:pPr>
          </w:p>
          <w:p w14:paraId="66542A5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După cum se poate observa, radierea din RSPJ a sucursalei societății altui stat membru trebuie să fie aproape automată (fără alte formalități, proceduri de lichidare și verificare de garanții din partea ASP), spre deosebire de radierea unei persoane juridice autohtone.</w:t>
            </w:r>
          </w:p>
          <w:p w14:paraId="45E9747E" w14:textId="77777777" w:rsidR="0072652F" w:rsidRDefault="0072652F">
            <w:pPr>
              <w:jc w:val="both"/>
              <w:rPr>
                <w:rFonts w:ascii="Times New Roman" w:eastAsia="Times New Roman" w:hAnsi="Times New Roman" w:cs="Times New Roman"/>
              </w:rPr>
            </w:pPr>
          </w:p>
        </w:tc>
      </w:tr>
      <w:tr w:rsidR="0072652F" w14:paraId="5D5D5D32" w14:textId="77777777">
        <w:tc>
          <w:tcPr>
            <w:tcW w:w="480" w:type="dxa"/>
            <w:vMerge/>
          </w:tcPr>
          <w:p w14:paraId="78C48007"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25708CBF"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69D44D2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p>
        </w:tc>
        <w:tc>
          <w:tcPr>
            <w:tcW w:w="4485" w:type="dxa"/>
          </w:tcPr>
          <w:p w14:paraId="109FF1B6" w14:textId="77777777" w:rsidR="0072652F" w:rsidRDefault="00000000">
            <w:pPr>
              <w:pBdr>
                <w:top w:val="nil"/>
                <w:left w:val="nil"/>
                <w:bottom w:val="nil"/>
                <w:right w:val="nil"/>
                <w:between w:val="nil"/>
              </w:pBd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18, articolul 249 alineatul (3), cuvintele „de la sediul persoanei juridice” de exclus, deoarece principiul teritorial de prestare a serviciilor în domeniul înregistrării de stat a fost exclus prin Legea nr. 133/2018 privind modernizarea Codului civil și modificarea unor acte legislative.</w:t>
            </w:r>
          </w:p>
        </w:tc>
        <w:tc>
          <w:tcPr>
            <w:tcW w:w="5505" w:type="dxa"/>
          </w:tcPr>
          <w:p w14:paraId="63089D3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5C845FD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04765BBD" w14:textId="77777777">
        <w:tc>
          <w:tcPr>
            <w:tcW w:w="480" w:type="dxa"/>
            <w:vMerge/>
          </w:tcPr>
          <w:p w14:paraId="61CD39CD"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192F6A3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1790" w:type="dxa"/>
            <w:gridSpan w:val="3"/>
          </w:tcPr>
          <w:p w14:paraId="4B0B1D7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La Art. III. – Legea nr. 135/2007 privind societățile cu răspundere limitată</w:t>
            </w:r>
          </w:p>
        </w:tc>
      </w:tr>
      <w:tr w:rsidR="0072652F" w14:paraId="5A186754" w14:textId="77777777">
        <w:tc>
          <w:tcPr>
            <w:tcW w:w="480" w:type="dxa"/>
            <w:vMerge/>
          </w:tcPr>
          <w:p w14:paraId="4BAA1EA7"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5866C0F6"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7905847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63B7C70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pct. 6, art. 58: </w:t>
            </w:r>
          </w:p>
          <w:p w14:paraId="1C5B7D3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[1] </w:t>
            </w:r>
            <w:r>
              <w:rPr>
                <w:rFonts w:ascii="Times New Roman" w:eastAsia="Times New Roman" w:hAnsi="Times New Roman" w:cs="Times New Roman"/>
                <w:color w:val="000000"/>
              </w:rPr>
              <w:t>- la alin. (1) punctul 2), se propune de completat proiectul cu textul: „cuvintele „sau mai mic” se exclud”;</w:t>
            </w:r>
          </w:p>
          <w:p w14:paraId="7CDF4B6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w:t>
            </w:r>
            <w:r>
              <w:rPr>
                <w:rFonts w:ascii="Times New Roman" w:eastAsia="Times New Roman" w:hAnsi="Times New Roman" w:cs="Times New Roman"/>
                <w:color w:val="000000"/>
              </w:rPr>
              <w:t>- se propune de revizuit redacția alin. (4), deoarece la alin. (1) pct. 1) prevede expres că hotărârile adunării generale a asociaților se adoptă cu votul unanim al tuturor asociaților societății, iar la pct. 2) cu două treimi din voturile tuturor asociaților societății.</w:t>
            </w:r>
          </w:p>
        </w:tc>
        <w:tc>
          <w:tcPr>
            <w:tcW w:w="5505" w:type="dxa"/>
          </w:tcPr>
          <w:p w14:paraId="1D5C462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[1] </w:t>
            </w:r>
            <w:r>
              <w:rPr>
                <w:rFonts w:ascii="Times New Roman" w:eastAsia="Times New Roman" w:hAnsi="Times New Roman" w:cs="Times New Roman"/>
                <w:b/>
                <w:bCs/>
              </w:rPr>
              <w:t>Nu se acceptă</w:t>
            </w:r>
          </w:p>
          <w:p w14:paraId="77FCCFC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se vedea avizul Ministerului Justiției. Art. 58 alin. (1) pct. 2) este rezultatul unei reforme recente menite să lărgească autonomia privată și normele juridice dispozitive în materia SRL. Este suficientă intervenția la alin. (4) care stabilește o cerință minimă de vot de majoritate absolută (&gt;50% din capital + 1 vot) pentru orice chestiune.</w:t>
            </w:r>
          </w:p>
          <w:p w14:paraId="38BC4F00"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2B2F8BF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Alin. (4) este necesar ca limită imperativă a libertății de a reduce cerința de vot, prevăzută la alin. (1).</w:t>
            </w:r>
          </w:p>
        </w:tc>
      </w:tr>
      <w:tr w:rsidR="0072652F" w14:paraId="7E99338D" w14:textId="77777777">
        <w:tc>
          <w:tcPr>
            <w:tcW w:w="480" w:type="dxa"/>
            <w:vMerge/>
          </w:tcPr>
          <w:p w14:paraId="7540E5FE"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55C4315D"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62A6B2C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p>
        </w:tc>
        <w:tc>
          <w:tcPr>
            <w:tcW w:w="4485" w:type="dxa"/>
          </w:tcPr>
          <w:p w14:paraId="3026192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propune excluderea pct. 7 din proiect, deoarece abrogarea alin. (2) din art. 59 va cauza blocaje decizionale și paraliza activitatea societății, precum și interpretări </w:t>
            </w:r>
            <w:r>
              <w:rPr>
                <w:rFonts w:ascii="Times New Roman" w:eastAsia="Times New Roman" w:hAnsi="Times New Roman" w:cs="Times New Roman"/>
                <w:color w:val="000000"/>
              </w:rPr>
              <w:lastRenderedPageBreak/>
              <w:t>diferite la aplicarea normelor. În cazul abrogării alin. (2), nu sunt justificate nici celelalte norme ale art. 59.</w:t>
            </w:r>
          </w:p>
        </w:tc>
        <w:tc>
          <w:tcPr>
            <w:tcW w:w="5505" w:type="dxa"/>
          </w:tcPr>
          <w:p w14:paraId="40A0776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6710F8F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Nota de fundamentare explică rațiunea acestui alineat.</w:t>
            </w:r>
          </w:p>
          <w:p w14:paraId="112BFA1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Într-adevăr, lipsa unui vot majoritar duce la blocaj decizional, dar, totodată, asigură legitimitatea </w:t>
            </w:r>
            <w:r>
              <w:rPr>
                <w:rFonts w:ascii="Times New Roman" w:eastAsia="Times New Roman" w:hAnsi="Times New Roman" w:cs="Times New Roman"/>
              </w:rPr>
              <w:lastRenderedPageBreak/>
              <w:t>hotărârilor și, în special, asigură că un vot minoritar nu poate dicta majorității o decizie.</w:t>
            </w:r>
          </w:p>
          <w:p w14:paraId="5F252BF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Poziția din avizul ASP aici pare a fi contradictorie cu poziția de la pct. 6 art. 58, [1], unde ASP susține ca cerințele de vot pentru pct. 1) și pct. 2) să fie cerințe minime (să nu poată fi reduse prin statut). </w:t>
            </w:r>
          </w:p>
          <w:p w14:paraId="3013F7F3"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Modificarea la art. 59 alin. (2) se bazează aceeași logică de a menține un vot minim legal, indiferent că e vorba de adunarea generală inițială sau repetată.</w:t>
            </w:r>
          </w:p>
          <w:p w14:paraId="091BE39F" w14:textId="77777777" w:rsidR="0072652F" w:rsidRDefault="0072652F">
            <w:pPr>
              <w:jc w:val="both"/>
              <w:rPr>
                <w:rFonts w:ascii="Times New Roman" w:eastAsia="Times New Roman" w:hAnsi="Times New Roman" w:cs="Times New Roman"/>
              </w:rPr>
            </w:pPr>
          </w:p>
          <w:p w14:paraId="0DF8030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Reamintim că Legea SRL deja cuprinde mai multe mecanisme </w:t>
            </w:r>
            <w:proofErr w:type="spellStart"/>
            <w:r>
              <w:rPr>
                <w:rFonts w:ascii="Times New Roman" w:eastAsia="Times New Roman" w:hAnsi="Times New Roman" w:cs="Times New Roman"/>
              </w:rPr>
              <w:t>antiblocaj</w:t>
            </w:r>
            <w:proofErr w:type="spellEnd"/>
            <w:r>
              <w:rPr>
                <w:rFonts w:ascii="Times New Roman" w:eastAsia="Times New Roman" w:hAnsi="Times New Roman" w:cs="Times New Roman"/>
              </w:rPr>
              <w:t xml:space="preserve"> (art. 59 alin. (3) din Legea nr. 135/2007), iar asociații pot adițional să le amenajeze prin contracte ale asociațiilor (art. 43</w:t>
            </w:r>
            <w:r>
              <w:rPr>
                <w:rFonts w:ascii="Times New Roman" w:eastAsia="Times New Roman" w:hAnsi="Times New Roman" w:cs="Times New Roman"/>
                <w:vertAlign w:val="superscript"/>
              </w:rPr>
              <w:t>1</w:t>
            </w:r>
            <w:r>
              <w:rPr>
                <w:rFonts w:ascii="Times New Roman" w:eastAsia="Times New Roman" w:hAnsi="Times New Roman" w:cs="Times New Roman"/>
              </w:rPr>
              <w:t>), inclusiv prin opțiuni de cumpărare (</w:t>
            </w:r>
            <w:proofErr w:type="spellStart"/>
            <w:r>
              <w:rPr>
                <w:rFonts w:ascii="Times New Roman" w:eastAsia="Times New Roman" w:hAnsi="Times New Roman" w:cs="Times New Roman"/>
                <w:i/>
                <w:iCs/>
              </w:rPr>
              <w:t>call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option</w:t>
            </w:r>
            <w:proofErr w:type="spellEnd"/>
            <w:r>
              <w:rPr>
                <w:rFonts w:ascii="Times New Roman" w:eastAsia="Times New Roman" w:hAnsi="Times New Roman" w:cs="Times New Roman"/>
              </w:rPr>
              <w:t>) sau de vânzare (</w:t>
            </w:r>
            <w:r>
              <w:rPr>
                <w:rFonts w:ascii="Times New Roman" w:eastAsia="Times New Roman" w:hAnsi="Times New Roman" w:cs="Times New Roman"/>
                <w:i/>
                <w:iCs/>
              </w:rPr>
              <w:t xml:space="preserve">put </w:t>
            </w:r>
            <w:proofErr w:type="spellStart"/>
            <w:r>
              <w:rPr>
                <w:rFonts w:ascii="Times New Roman" w:eastAsia="Times New Roman" w:hAnsi="Times New Roman" w:cs="Times New Roman"/>
                <w:i/>
                <w:iCs/>
              </w:rPr>
              <w:t>option</w:t>
            </w:r>
            <w:proofErr w:type="spellEnd"/>
            <w:r>
              <w:rPr>
                <w:rFonts w:ascii="Times New Roman" w:eastAsia="Times New Roman" w:hAnsi="Times New Roman" w:cs="Times New Roman"/>
              </w:rPr>
              <w:t>) în caz de blocaj.</w:t>
            </w:r>
          </w:p>
        </w:tc>
      </w:tr>
      <w:tr w:rsidR="0072652F" w14:paraId="3CF44361" w14:textId="77777777">
        <w:tc>
          <w:tcPr>
            <w:tcW w:w="480" w:type="dxa"/>
            <w:vMerge/>
          </w:tcPr>
          <w:p w14:paraId="565BACC5"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15FFE7D9"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1790" w:type="dxa"/>
            <w:gridSpan w:val="3"/>
          </w:tcPr>
          <w:p w14:paraId="156E20F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La Art. IV. – Legea nr. 220/2007 privind înregistrarea de stat a persoanelor juridice și a întreprinzătorilor individuali</w:t>
            </w:r>
          </w:p>
        </w:tc>
      </w:tr>
      <w:tr w:rsidR="0072652F" w14:paraId="2ED4FBA0" w14:textId="77777777">
        <w:tc>
          <w:tcPr>
            <w:tcW w:w="480" w:type="dxa"/>
            <w:vMerge/>
          </w:tcPr>
          <w:p w14:paraId="01C9C64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34C8EDD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1B59D6C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6090A60B" w14:textId="77777777" w:rsidR="0072652F" w:rsidRDefault="00000000">
            <w:pPr>
              <w:pBdr>
                <w:top w:val="nil"/>
                <w:left w:val="nil"/>
                <w:bottom w:val="nil"/>
                <w:right w:val="nil"/>
                <w:between w:val="nil"/>
              </w:pBd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La pct. 3, la articolul 2 în noțiunea „societate autohtonă”, după cuvântul „limitată” cuvintele „guvernată de dreptul Republicii Moldova” de exclus.</w:t>
            </w:r>
          </w:p>
        </w:tc>
        <w:tc>
          <w:tcPr>
            <w:tcW w:w="5505" w:type="dxa"/>
          </w:tcPr>
          <w:p w14:paraId="283EDE7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EE97FB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164D37B6" w14:textId="77777777">
        <w:tc>
          <w:tcPr>
            <w:tcW w:w="480" w:type="dxa"/>
            <w:vMerge/>
          </w:tcPr>
          <w:p w14:paraId="3BC5FDC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35A63854"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44CBB15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p>
        </w:tc>
        <w:tc>
          <w:tcPr>
            <w:tcW w:w="4485" w:type="dxa"/>
          </w:tcPr>
          <w:p w14:paraId="555FA46F" w14:textId="77777777" w:rsidR="0072652F" w:rsidRDefault="00000000">
            <w:pPr>
              <w:pBdr>
                <w:top w:val="nil"/>
                <w:left w:val="nil"/>
                <w:bottom w:val="nil"/>
                <w:right w:val="nil"/>
                <w:between w:val="nil"/>
              </w:pBd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La pct. 5, articolul 4 alineatul (1</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cuvintele „actul de constituire” de substituit cu cuvintele „actul de constituire al”.</w:t>
            </w:r>
          </w:p>
        </w:tc>
        <w:tc>
          <w:tcPr>
            <w:tcW w:w="5505" w:type="dxa"/>
          </w:tcPr>
          <w:p w14:paraId="51340EE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552C0F21"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217DB87B" w14:textId="77777777">
        <w:tc>
          <w:tcPr>
            <w:tcW w:w="480" w:type="dxa"/>
            <w:vMerge/>
          </w:tcPr>
          <w:p w14:paraId="2B5F08FA"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77E819B6"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1E2F527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w:t>
            </w:r>
          </w:p>
        </w:tc>
        <w:tc>
          <w:tcPr>
            <w:tcW w:w="4485" w:type="dxa"/>
          </w:tcPr>
          <w:p w14:paraId="187BF9CD" w14:textId="77777777" w:rsidR="0072652F" w:rsidRDefault="00000000">
            <w:pPr>
              <w:pBdr>
                <w:top w:val="nil"/>
                <w:left w:val="nil"/>
                <w:bottom w:val="nil"/>
                <w:right w:val="nil"/>
                <w:between w:val="nil"/>
              </w:pBd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12, la articolul 11 alineatul (1</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în primul enunț cuvintele „care trebuie să fie rezonabil,” și „așteptate de la solicitant” de exclus.</w:t>
            </w:r>
          </w:p>
        </w:tc>
        <w:tc>
          <w:tcPr>
            <w:tcW w:w="5505" w:type="dxa"/>
          </w:tcPr>
          <w:p w14:paraId="672ADB0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parțial.</w:t>
            </w:r>
          </w:p>
          <w:p w14:paraId="7221862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0B24E54F" w14:textId="77777777" w:rsidR="0072652F" w:rsidRDefault="00000000">
            <w:pPr>
              <w:spacing w:after="160"/>
              <w:jc w:val="both"/>
              <w:rPr>
                <w:rFonts w:ascii="Times New Roman" w:eastAsia="Times New Roman" w:hAnsi="Times New Roman" w:cs="Times New Roman"/>
                <w:b/>
                <w:bCs/>
              </w:rPr>
            </w:pPr>
            <w:r>
              <w:rPr>
                <w:rFonts w:ascii="Times New Roman" w:eastAsia="Times New Roman" w:hAnsi="Times New Roman" w:cs="Times New Roman"/>
              </w:rPr>
              <w:t>Cuvintele „care trebuie să fie rezonabil,” se exclud, deoarece criteriul este deja prevăzut de art. 81 alin. (2) din Codul administrativ.</w:t>
            </w:r>
          </w:p>
        </w:tc>
      </w:tr>
      <w:tr w:rsidR="0072652F" w14:paraId="7060A517" w14:textId="77777777">
        <w:tc>
          <w:tcPr>
            <w:tcW w:w="480" w:type="dxa"/>
            <w:vMerge/>
          </w:tcPr>
          <w:p w14:paraId="6F1B03A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7A68D824"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2338C44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p>
        </w:tc>
        <w:tc>
          <w:tcPr>
            <w:tcW w:w="4485" w:type="dxa"/>
          </w:tcPr>
          <w:p w14:paraId="53CDD01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14, la articolul 12</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w:t>
            </w:r>
          </w:p>
          <w:p w14:paraId="19B52AC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[1]</w:t>
            </w:r>
            <w:r>
              <w:rPr>
                <w:rFonts w:ascii="Times New Roman" w:eastAsia="Times New Roman" w:hAnsi="Times New Roman" w:cs="Times New Roman"/>
                <w:color w:val="000000"/>
              </w:rPr>
              <w:t xml:space="preserve"> la alineatul (2), cuvintele „ține evidența interdicțiilor impuse conform legii și” de </w:t>
            </w:r>
            <w:r>
              <w:rPr>
                <w:rFonts w:ascii="Times New Roman" w:eastAsia="Times New Roman" w:hAnsi="Times New Roman" w:cs="Times New Roman"/>
                <w:color w:val="000000"/>
              </w:rPr>
              <w:lastRenderedPageBreak/>
              <w:t>substituit cu cuvintele „înscrie în Registrul de stat interdicțiile impuse conform legii care”, deoarece în atribuțiile organului înregistrării de stat intră doar asigurarea publicității legale a datelor din Registrul de stat, nu și efectuarea evidenței autonome privind interdicțiile aplicate de către alte autorități. Evidența interdicțiilor ține de competența autorităților care le instituie.</w:t>
            </w:r>
          </w:p>
          <w:p w14:paraId="5637942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[2]</w:t>
            </w:r>
            <w:r>
              <w:rPr>
                <w:rFonts w:ascii="Times New Roman" w:eastAsia="Times New Roman" w:hAnsi="Times New Roman" w:cs="Times New Roman"/>
                <w:color w:val="000000"/>
              </w:rPr>
              <w:t xml:space="preserve"> prevederile alineatului (5) nu sunt în corelare cu prevederile alineatului (1).</w:t>
            </w:r>
          </w:p>
        </w:tc>
        <w:tc>
          <w:tcPr>
            <w:tcW w:w="5505" w:type="dxa"/>
          </w:tcPr>
          <w:p w14:paraId="2D3C4170"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 xml:space="preserve">Nu se acceptă. </w:t>
            </w:r>
          </w:p>
          <w:p w14:paraId="7BA73D4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Simpla activitate de înscriere în Registrul de stat a interdicție nu este suficientă pentru transpunerea </w:t>
            </w:r>
            <w:r>
              <w:rPr>
                <w:rFonts w:ascii="Times New Roman" w:eastAsia="Times New Roman" w:hAnsi="Times New Roman" w:cs="Times New Roman"/>
              </w:rPr>
              <w:lastRenderedPageBreak/>
              <w:t>Directivei pentru a atinge scopul proiectului de lege. În special, dacă o interdicție comunicată către ASP se referă la o persoană fizică care nu are încă nicio calitate în nicio societate, ea nu va fi înscrisă în Registrul de Stat.</w:t>
            </w:r>
          </w:p>
          <w:p w14:paraId="59E6B39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Este necesar un sistem în care ASP ține evidența tuturor interdicțiilor comunicate ASP și verifică fiecare numire nouă în funcția de conducere contra acestei evidențe. </w:t>
            </w:r>
          </w:p>
          <w:p w14:paraId="0284B02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Nu este scopul acestui proiect de lege să acorde ASP atribuția de a ține un registru de stat al interdicțiilor. </w:t>
            </w:r>
          </w:p>
          <w:p w14:paraId="37668B2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moment nu există un sistem centralizat al interdicțiilor, iar numeroase autorități (în special, instanțele de judecată) nu au atribuția de a ține evidența lor, ci doar le instituie și le comunică destinatarilor conform legii.</w:t>
            </w:r>
          </w:p>
          <w:p w14:paraId="73F53FD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29F28CC"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 xml:space="preserve">Se acceptă. </w:t>
            </w:r>
          </w:p>
          <w:p w14:paraId="4EECE02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Alin. (5) este exclus, deoarece această normă ține de cooperarea în sistemul BRIS și deja este prevăzută în art. 38</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alin. (5) în redacția proiectului de lege. </w:t>
            </w:r>
          </w:p>
        </w:tc>
      </w:tr>
      <w:tr w:rsidR="0072652F" w14:paraId="75C49CF9" w14:textId="77777777">
        <w:tc>
          <w:tcPr>
            <w:tcW w:w="480" w:type="dxa"/>
            <w:vMerge/>
          </w:tcPr>
          <w:p w14:paraId="46AA4A88"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0DFA21E5"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4FF3038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w:t>
            </w:r>
          </w:p>
        </w:tc>
        <w:tc>
          <w:tcPr>
            <w:tcW w:w="4485" w:type="dxa"/>
          </w:tcPr>
          <w:p w14:paraId="38DBAB90"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15, la articolul 13 alineatul (1), se propune de renumerotat literele fără indicarea exponenților și, din considerentele expuse supra, la litera e) cuvintele „deținute de organul înregistrării de stat” de substituit cu cuvintele „înscrise în Registrul de stat”.</w:t>
            </w:r>
          </w:p>
        </w:tc>
        <w:tc>
          <w:tcPr>
            <w:tcW w:w="5505" w:type="dxa"/>
          </w:tcPr>
          <w:p w14:paraId="5E51726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759EB10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Numerotarea a fost ajustată.</w:t>
            </w:r>
          </w:p>
          <w:p w14:paraId="63F9808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Substituirea propusă nu se acceptă, din motivul indicat imediat mai sus.</w:t>
            </w:r>
          </w:p>
        </w:tc>
      </w:tr>
      <w:tr w:rsidR="0072652F" w14:paraId="12043BDD" w14:textId="77777777">
        <w:tc>
          <w:tcPr>
            <w:tcW w:w="480" w:type="dxa"/>
            <w:vMerge/>
          </w:tcPr>
          <w:p w14:paraId="12C6E5CF"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736AF8A8"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69D249A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p>
        </w:tc>
        <w:tc>
          <w:tcPr>
            <w:tcW w:w="4485" w:type="dxa"/>
          </w:tcPr>
          <w:p w14:paraId="436078F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propune de exclus pct. 18 din proiect, deoarece potrivit prevederilor art. 16 alin. (4) din Legea nr. 220/2007 modificările operate în actele de constituire și în datele înscrise în Registrul de stat au putere juridică de la data înregistrării lor la organul înregistrării de stat. În temeiul art. 19 alin. (9) din Legea nr. 71/2007 cu privire la registre, datele din registru trebuie să reflecte starea veridică și </w:t>
            </w:r>
            <w:r>
              <w:rPr>
                <w:rFonts w:ascii="Times New Roman" w:eastAsia="Times New Roman" w:hAnsi="Times New Roman" w:cs="Times New Roman"/>
                <w:color w:val="000000"/>
              </w:rPr>
              <w:lastRenderedPageBreak/>
              <w:t>actuală a obiectelor registrului. Totodată, prin art. 197 din Codul civil este reglementată noțiunea de administrator aparent și anume: se consideră administrator aparent al acelei persoane juridice pe perioada în care deși mandatul ei a expirat sau a încetat pe altă cale, calitatea sa de administrator nu a fost radiată din registrul de publicitate prevăzut de lege. De asemenea, potrivit art. 263</w:t>
            </w:r>
            <w:r>
              <w:rPr>
                <w:rFonts w:ascii="Times New Roman" w:eastAsia="Times New Roman" w:hAnsi="Times New Roman" w:cs="Times New Roman"/>
                <w:color w:val="000000"/>
                <w:vertAlign w:val="superscript"/>
              </w:rPr>
              <w:t>4</w:t>
            </w:r>
            <w:r>
              <w:rPr>
                <w:rFonts w:ascii="Times New Roman" w:eastAsia="Times New Roman" w:hAnsi="Times New Roman" w:cs="Times New Roman"/>
                <w:color w:val="000000"/>
              </w:rPr>
              <w:t xml:space="preserve"> din Codul contravențional, este prevăzută sancțiune pentru neactualizarea informației din Registrul de stat, în cazul în care au intervenit modificări.</w:t>
            </w:r>
          </w:p>
        </w:tc>
        <w:tc>
          <w:tcPr>
            <w:tcW w:w="5505" w:type="dxa"/>
          </w:tcPr>
          <w:p w14:paraId="670E5C4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2CF6C58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02E098A1" w14:textId="77777777">
        <w:tc>
          <w:tcPr>
            <w:tcW w:w="480" w:type="dxa"/>
            <w:vMerge/>
          </w:tcPr>
          <w:p w14:paraId="477937C5"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105D5A09"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6853BA1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p>
        </w:tc>
        <w:tc>
          <w:tcPr>
            <w:tcW w:w="4485" w:type="dxa"/>
          </w:tcPr>
          <w:p w14:paraId="6F173F1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pct.17 din proiect, la art. 15</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alin. (2), litera f) de exclus din considerentele expuse la Art. I. pct. 2 din prezentul aviz.</w:t>
            </w:r>
          </w:p>
        </w:tc>
        <w:tc>
          <w:tcPr>
            <w:tcW w:w="5505" w:type="dxa"/>
          </w:tcPr>
          <w:p w14:paraId="69DBAE9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2BC6C0D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se vedea justificarea la respectivul considerent din aviz.</w:t>
            </w:r>
          </w:p>
        </w:tc>
      </w:tr>
      <w:tr w:rsidR="0072652F" w14:paraId="5C97AFB9" w14:textId="77777777">
        <w:tc>
          <w:tcPr>
            <w:tcW w:w="480" w:type="dxa"/>
            <w:vMerge/>
          </w:tcPr>
          <w:p w14:paraId="7D4C0584"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687C9F86"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1000D14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w:t>
            </w:r>
          </w:p>
        </w:tc>
        <w:tc>
          <w:tcPr>
            <w:tcW w:w="4485" w:type="dxa"/>
          </w:tcPr>
          <w:p w14:paraId="0A69D62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pct. 31 </w:t>
            </w:r>
            <w:proofErr w:type="spellStart"/>
            <w:r>
              <w:rPr>
                <w:rFonts w:ascii="Times New Roman" w:eastAsia="Times New Roman" w:hAnsi="Times New Roman" w:cs="Times New Roman"/>
                <w:color w:val="000000"/>
              </w:rPr>
              <w:t>subpct</w:t>
            </w:r>
            <w:proofErr w:type="spellEnd"/>
            <w:r>
              <w:rPr>
                <w:rFonts w:ascii="Times New Roman" w:eastAsia="Times New Roman" w:hAnsi="Times New Roman" w:cs="Times New Roman"/>
                <w:color w:val="000000"/>
              </w:rPr>
              <w:t>. 1), articolul 33 alineatul (1):</w:t>
            </w:r>
          </w:p>
          <w:p w14:paraId="194980F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la litera s), cuvintele „numărul de identificare de stat al persoanei cu funcție de conducere” de substituit cu cuvintele „numărul de identificare de stat al persoanei fizice cu funcție de conducere”;</w:t>
            </w:r>
          </w:p>
          <w:p w14:paraId="33E4712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toate pozițiile de numerotat cu litere.</w:t>
            </w:r>
          </w:p>
        </w:tc>
        <w:tc>
          <w:tcPr>
            <w:tcW w:w="5505" w:type="dxa"/>
          </w:tcPr>
          <w:p w14:paraId="5DD673B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0722C97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O persoană juridică de asemenea poate fi numită administrator în condițiile legii. Prin urmare, poate fi persoană cu funcție de conducere a unei alte persoane juridice.</w:t>
            </w:r>
          </w:p>
        </w:tc>
      </w:tr>
      <w:tr w:rsidR="0072652F" w14:paraId="2C665358" w14:textId="77777777">
        <w:tc>
          <w:tcPr>
            <w:tcW w:w="480" w:type="dxa"/>
            <w:vMerge/>
          </w:tcPr>
          <w:p w14:paraId="423D2FB6"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405C3B59"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2D5DA43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9</w:t>
            </w:r>
          </w:p>
        </w:tc>
        <w:tc>
          <w:tcPr>
            <w:tcW w:w="4485" w:type="dxa"/>
          </w:tcPr>
          <w:p w14:paraId="7C70C3F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34, la articolul 34, alineatele de numerotat fără indicarea exponenților.</w:t>
            </w:r>
          </w:p>
        </w:tc>
        <w:tc>
          <w:tcPr>
            <w:tcW w:w="5505" w:type="dxa"/>
          </w:tcPr>
          <w:p w14:paraId="0D1BB919"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7B98B50B"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6232A27F" w14:textId="77777777">
        <w:tc>
          <w:tcPr>
            <w:tcW w:w="480" w:type="dxa"/>
            <w:vMerge/>
          </w:tcPr>
          <w:p w14:paraId="6C98239E"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239B5DA2"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1A63E5C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10</w:t>
            </w:r>
          </w:p>
        </w:tc>
        <w:tc>
          <w:tcPr>
            <w:tcW w:w="4485" w:type="dxa"/>
          </w:tcPr>
          <w:p w14:paraId="057383B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35, la articolul 34</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w:t>
            </w:r>
          </w:p>
          <w:p w14:paraId="3B90338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la alineatul (2) punctul 4) litera d), cuvintele „privind radierea acestuia” de substituit cu cuvintele „efectuate în Registrul de stat”;</w:t>
            </w:r>
          </w:p>
          <w:p w14:paraId="2615C98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alineatele de numerotat fără indicarea</w:t>
            </w:r>
          </w:p>
        </w:tc>
        <w:tc>
          <w:tcPr>
            <w:tcW w:w="5505" w:type="dxa"/>
          </w:tcPr>
          <w:p w14:paraId="2CE0900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3E01B2BC"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31F0BF3E" w14:textId="77777777">
        <w:tc>
          <w:tcPr>
            <w:tcW w:w="480" w:type="dxa"/>
            <w:vMerge/>
          </w:tcPr>
          <w:p w14:paraId="4B90D7E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0EB86742"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535DFF6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p>
        </w:tc>
        <w:tc>
          <w:tcPr>
            <w:tcW w:w="4485" w:type="dxa"/>
          </w:tcPr>
          <w:p w14:paraId="581B131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36, articolul 35 alineatul (3):</w:t>
            </w:r>
          </w:p>
          <w:p w14:paraId="21B92870"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la litera i) cuvântul „sesizează” de substituit cu cuvântul „sesizarea”;</w:t>
            </w:r>
          </w:p>
          <w:p w14:paraId="57510F8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la litera j) cuvântul „eliberează” de substituit cu cuvântul „eliberarea”.</w:t>
            </w:r>
          </w:p>
        </w:tc>
        <w:tc>
          <w:tcPr>
            <w:tcW w:w="5505" w:type="dxa"/>
          </w:tcPr>
          <w:p w14:paraId="5BCE7D4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1BA8B33C"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3096A761" w14:textId="77777777">
        <w:tc>
          <w:tcPr>
            <w:tcW w:w="480" w:type="dxa"/>
            <w:vMerge/>
          </w:tcPr>
          <w:p w14:paraId="7BE57B12"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2DAF61A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3C42A7F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p>
        </w:tc>
        <w:tc>
          <w:tcPr>
            <w:tcW w:w="4485" w:type="dxa"/>
          </w:tcPr>
          <w:p w14:paraId="6432E6E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pct. 38, în Anexă la secțiunea III, punctul 9 se propune de expus cu următorul cuprins:</w:t>
            </w:r>
          </w:p>
          <w:p w14:paraId="0FD117E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„9. Eliberarea unei copii certificate pentru conformitate ale documentelor din partea cu acces public a dosarelor de evidență și ale actelor de constituire ale persoanelor juridice.”</w:t>
            </w:r>
          </w:p>
          <w:p w14:paraId="638E55DA"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Propunerea respectivă este formulată pentru aducerea în corelare cu prevederile art. 34 alin. (2) lit. b) din proiect și având în vedere că, varianta actuală a punctului respectiv prevede copii și de pe alte documente din dosarul de evidență.</w:t>
            </w:r>
          </w:p>
        </w:tc>
        <w:tc>
          <w:tcPr>
            <w:tcW w:w="5505" w:type="dxa"/>
          </w:tcPr>
          <w:p w14:paraId="668065BC"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66CBB97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58B1ED93" w14:textId="77777777">
        <w:tc>
          <w:tcPr>
            <w:tcW w:w="480" w:type="dxa"/>
            <w:vMerge/>
          </w:tcPr>
          <w:p w14:paraId="1EA000F8"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7B51DD91"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0EADFBB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13</w:t>
            </w:r>
          </w:p>
        </w:tc>
        <w:tc>
          <w:tcPr>
            <w:tcW w:w="4485" w:type="dxa"/>
          </w:tcPr>
          <w:p w14:paraId="439E4EA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 poziția 3.1.5 din Nota de fundamentare la proiect se propune de exclus pct.7, deoarece în proiect se propune modificarea art. 182 alin. (7) și art. 183 alin.(5) din Codul civil, prin care publicarea avizelor privind modificarea denumirii și sediului persoanei juridice se efectuează pe pagina web oficială a organului înregistrării de stat.</w:t>
            </w:r>
          </w:p>
        </w:tc>
        <w:tc>
          <w:tcPr>
            <w:tcW w:w="5505" w:type="dxa"/>
          </w:tcPr>
          <w:p w14:paraId="2B3C5F32"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461CC4A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Nota de fundamentare a fost ajustată pentru a explica esența modificării la aceste alineate.</w:t>
            </w:r>
          </w:p>
        </w:tc>
      </w:tr>
      <w:tr w:rsidR="0072652F" w14:paraId="4B8B8EE3" w14:textId="77777777">
        <w:tc>
          <w:tcPr>
            <w:tcW w:w="480" w:type="dxa"/>
            <w:vMerge w:val="restart"/>
          </w:tcPr>
          <w:p w14:paraId="3CF3FA3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1530" w:type="dxa"/>
            <w:vMerge w:val="restart"/>
          </w:tcPr>
          <w:p w14:paraId="76D3EE3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Ministerul Agriculturii și Industriei Alimentare al Republicii Moldova</w:t>
            </w:r>
          </w:p>
        </w:tc>
        <w:tc>
          <w:tcPr>
            <w:tcW w:w="11790" w:type="dxa"/>
            <w:gridSpan w:val="3"/>
          </w:tcPr>
          <w:p w14:paraId="3B65CD8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Art. IV. – Legea nr. 220/2007 privind înregistrarea de stat a persoanelor juridice și a întreprinzătorilor individuali</w:t>
            </w:r>
          </w:p>
        </w:tc>
      </w:tr>
      <w:tr w:rsidR="0072652F" w14:paraId="19A7EFD0" w14:textId="77777777">
        <w:tc>
          <w:tcPr>
            <w:tcW w:w="480" w:type="dxa"/>
            <w:vMerge/>
          </w:tcPr>
          <w:p w14:paraId="43F56D30"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396A924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487B288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37CDADDD"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pct. 3</w:t>
            </w:r>
          </w:p>
          <w:p w14:paraId="6893B85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[1] </w:t>
            </w:r>
            <w:r>
              <w:rPr>
                <w:rFonts w:ascii="Times New Roman" w:eastAsia="Times New Roman" w:hAnsi="Times New Roman" w:cs="Times New Roman"/>
                <w:color w:val="000000"/>
              </w:rPr>
              <w:t xml:space="preserve">noțiunea de „înregistrare de stat”, observăm că, din conținutul Legii nr. 220/2007 privind înregistrarea de stat a persoanelor juridice și a întreprinzătorilor individuali, în special al capitolului II, care este dedicat înregistrării de stat, se deduce că înregistrarea de stat nu este „o acțiune”, ci o </w:t>
            </w:r>
            <w:r>
              <w:rPr>
                <w:rFonts w:ascii="Times New Roman" w:eastAsia="Times New Roman" w:hAnsi="Times New Roman" w:cs="Times New Roman"/>
                <w:color w:val="000000"/>
              </w:rPr>
              <w:lastRenderedPageBreak/>
              <w:t xml:space="preserve">succesiune de acțiuni și operațiuni ce se finalizează cu o decizie, ceea ce corespunde, în opinia Ministerului, definiției procedurii administrative, definite de Codul administrativ. Prin urmare, considerăm necesar ca autorul proiectului să supună această noțiune unei analize suplimentare și, după caz, s-o ajusteze. </w:t>
            </w:r>
          </w:p>
          <w:p w14:paraId="0613151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w:t>
            </w:r>
            <w:r>
              <w:rPr>
                <w:rFonts w:ascii="Times New Roman" w:eastAsia="Times New Roman" w:hAnsi="Times New Roman" w:cs="Times New Roman"/>
                <w:color w:val="000000"/>
              </w:rPr>
              <w:t>noțiunea de „decizia registratorului”, atragem atenția că prin definiție actele administrative individuale nu sunt acte juridice constatatoare, ci acte juridice care dau naștere, modifică sau sting raporturi juridice (a se vedea în acest sens articolul 10 din Codul administrativ). Prin urmare, considerăm necesar de substituit, în definiția noțiunii analizate, textul „care certifică înregistrarea de stat a” cu textul „prin care se conferă efecte juridice faptelor de”.</w:t>
            </w:r>
          </w:p>
        </w:tc>
        <w:tc>
          <w:tcPr>
            <w:tcW w:w="5505" w:type="dxa"/>
          </w:tcPr>
          <w:p w14:paraId="251D753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Nu se acceptă.</w:t>
            </w:r>
          </w:p>
          <w:p w14:paraId="76259E1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Succesiunea de acțiuni și operațiuni constituie operațiuni administrative în sensul art. 15 din Codul administrativ. Nu este scopul acestei definiții să le cuprindă și pe aceasta, doar decizia finală, care constituie un act administrativ și înregistrarea concluziei acestui act în RSPJ, face obiectul definiției.</w:t>
            </w:r>
          </w:p>
          <w:p w14:paraId="1C2F72B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Prin urmare, definiția nu este greșită.</w:t>
            </w:r>
          </w:p>
          <w:p w14:paraId="634F8D9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DF8013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2E549F7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Nu toate înregistrările efectuate de registrator au efect constitutiv. Unele (cum ar fi notările unor fapte) au efecte declarative (de informare, opozabilitate).</w:t>
            </w:r>
          </w:p>
          <w:p w14:paraId="7F772A8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Definiția din proiectul de lege subliniază că decizia este un act care confirmă în exterior (pentru terți) că registratorul a examinat întrunirea condițiilor legale și a efectuat o înregistrare în Registrul de stat. În acest sens, definiția nu este greșită și captează exact activitatea registratorului.</w:t>
            </w:r>
          </w:p>
        </w:tc>
      </w:tr>
      <w:tr w:rsidR="0072652F" w14:paraId="73676A3E" w14:textId="77777777">
        <w:tc>
          <w:tcPr>
            <w:tcW w:w="480" w:type="dxa"/>
            <w:vMerge/>
          </w:tcPr>
          <w:p w14:paraId="5AA7C5D1"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715CD929"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1203EBD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p>
        </w:tc>
        <w:tc>
          <w:tcPr>
            <w:tcW w:w="4485" w:type="dxa"/>
          </w:tcPr>
          <w:p w14:paraId="3B7C3B67"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pct. 4</w:t>
            </w:r>
          </w:p>
          <w:p w14:paraId="27FFA82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intenția de completare a articolului 3 cu alin. (2), observăm că, pe lângă organizațiile profesionale din domeniul dreptului, prin legi speciale au fost instituite organizații profesionale din domeniul agriculturii (camere agricole) și al medicinii veterinare, care nu se supun înregistrării la Ministerul Justiției. Prin urmare, scoaterea de sub incidența Legii nr. 220/2007 privind înregistrarea de stat a persoanelor juridice și a întreprinzătorilor individuali a organizațiilor profesionale va ridica problema dobândirii personalității juridice de către acestea. Astfel, considerăm necesar identificarea unei soluții universale de </w:t>
            </w:r>
            <w:r>
              <w:rPr>
                <w:rFonts w:ascii="Times New Roman" w:eastAsia="Times New Roman" w:hAnsi="Times New Roman" w:cs="Times New Roman"/>
                <w:color w:val="000000"/>
              </w:rPr>
              <w:lastRenderedPageBreak/>
              <w:t>înregistrare a organizațiilor profesionale, indiferent de domeniul în care se constituie.</w:t>
            </w:r>
          </w:p>
        </w:tc>
        <w:tc>
          <w:tcPr>
            <w:tcW w:w="5505" w:type="dxa"/>
          </w:tcPr>
          <w:p w14:paraId="15E2897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Precizare.</w:t>
            </w:r>
          </w:p>
          <w:p w14:paraId="2EC0043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Art. 3 alin. (2) precizează că el nu se aplică dacă există un act normativ special care ar prevedea norme speciale privitor la înregistrarea de stat.</w:t>
            </w:r>
          </w:p>
          <w:p w14:paraId="176E094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Alin. (2) nu are ca efect sau ca scop să scoată de sub incidența sa organizațiile profesionale în general, ci doar precizează că actele normative speciale rămân aplicabile. Norma în special se referă la formele de exercitare a profesiilor din sectorul justiției, care nu sunt înregistrate de ASP, ci de către Ministerul  Justiției. În plus, organele de administrare ale acestor profesii sunt persoane juridice de drept public, supuse unor legi speciale.</w:t>
            </w:r>
          </w:p>
        </w:tc>
      </w:tr>
      <w:tr w:rsidR="0072652F" w14:paraId="160AFE46" w14:textId="77777777">
        <w:tc>
          <w:tcPr>
            <w:tcW w:w="480" w:type="dxa"/>
            <w:vMerge/>
          </w:tcPr>
          <w:p w14:paraId="6163D138"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4D5E458F"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349F4E3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w:t>
            </w:r>
          </w:p>
        </w:tc>
        <w:tc>
          <w:tcPr>
            <w:tcW w:w="4485" w:type="dxa"/>
          </w:tcPr>
          <w:p w14:paraId="5E88C14A"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pct. 12</w:t>
            </w:r>
          </w:p>
          <w:p w14:paraId="3F6C12E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intenția de completare a articolului 11 cu alin. (11), ținem să subliniem că, potrivit articolului 78 alin. (3) din Codul administrativ, în cazul neprezentării documentelor sau dovezilor solicitate de autoritatea publică în termenele rezonabile stabilite de aceasta, procedura administrativă se finalizează prin constatarea renunțării tacite, dar nu prin decizie de refuz.</w:t>
            </w:r>
          </w:p>
        </w:tc>
        <w:tc>
          <w:tcPr>
            <w:tcW w:w="5505" w:type="dxa"/>
          </w:tcPr>
          <w:p w14:paraId="301D9AF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7ACE729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Art. 78 alin. (3) nu se opun unei decizii de refuz de a satisface cererea.</w:t>
            </w:r>
          </w:p>
          <w:p w14:paraId="5D0EA634" w14:textId="77777777" w:rsidR="0072652F" w:rsidRDefault="0072652F">
            <w:pPr>
              <w:pBdr>
                <w:top w:val="nil"/>
                <w:left w:val="nil"/>
                <w:bottom w:val="nil"/>
                <w:right w:val="nil"/>
                <w:between w:val="nil"/>
              </w:pBdr>
              <w:jc w:val="both"/>
              <w:rPr>
                <w:rFonts w:ascii="Times New Roman" w:eastAsia="Times New Roman" w:hAnsi="Times New Roman" w:cs="Times New Roman"/>
                <w:b/>
                <w:bCs/>
                <w:color w:val="000000"/>
                <w:shd w:val="clear" w:color="auto" w:fill="FF9900"/>
              </w:rPr>
            </w:pPr>
          </w:p>
        </w:tc>
      </w:tr>
      <w:tr w:rsidR="0072652F" w14:paraId="2117E334" w14:textId="77777777">
        <w:tc>
          <w:tcPr>
            <w:tcW w:w="480" w:type="dxa"/>
            <w:vMerge/>
          </w:tcPr>
          <w:p w14:paraId="3EC96DB1"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5081E3D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220F507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p>
        </w:tc>
        <w:tc>
          <w:tcPr>
            <w:tcW w:w="4485" w:type="dxa"/>
          </w:tcPr>
          <w:p w14:paraId="408F4531"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pct. 38</w:t>
            </w:r>
          </w:p>
          <w:p w14:paraId="535E3FB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intenția de completare a Legii cu art. 38</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alin. (2), atragem atenția că Republica Moldova nu are, încă, calitatea de stat membru al UE, prin urmare actele normative naționale nu pot institui norme prin care să stabilească obligația autorităților din Republica Moldova să aplice direct Directivele Uniunii Europene. În această ordine de idei, considerăm necesară fie excluderea textului „în conformitate cu art. 16 și, după caz, art. 29 alin. (4) din Directiva (UE) 2017/1132”, fie transpunerea în legislația națională a normelor articolelor din Directiva invocată și inserarea în proiect a unei norme de trimitere la articolele din actul național care a preluat aceste norme în legislația Republicii Moldova.</w:t>
            </w:r>
          </w:p>
        </w:tc>
        <w:tc>
          <w:tcPr>
            <w:tcW w:w="5505" w:type="dxa"/>
          </w:tcPr>
          <w:p w14:paraId="61BF444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01ABD1E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Norma tranzitorie a proiectului de lege prevede că aceste norme intră în vigoare la data aderării Republicii Moldova la Uniunea Europeană.</w:t>
            </w:r>
          </w:p>
          <w:p w14:paraId="37A070E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Directivele sunt obligatorii pentru state (iar ASP este exponent al statului). Alte legi de transpunere a acestei Directive (cum ar fi Legea Estoniei și Legea română, cum ar fi art. 14</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din Legea română 265/2022), fac referință directă la Directivă atunci când este vorba de cooperarea între autorități.</w:t>
            </w:r>
          </w:p>
        </w:tc>
      </w:tr>
      <w:tr w:rsidR="0072652F" w14:paraId="0A87D4BE" w14:textId="77777777">
        <w:tc>
          <w:tcPr>
            <w:tcW w:w="480" w:type="dxa"/>
            <w:vMerge/>
          </w:tcPr>
          <w:p w14:paraId="2C73FC7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78A9FC88"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2C49E54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w:t>
            </w:r>
          </w:p>
        </w:tc>
        <w:tc>
          <w:tcPr>
            <w:tcW w:w="4485" w:type="dxa"/>
          </w:tcPr>
          <w:p w14:paraId="29EE39B3" w14:textId="77777777" w:rsidR="0072652F" w:rsidRDefault="00000000">
            <w:pPr>
              <w:pBdr>
                <w:top w:val="nil"/>
                <w:left w:val="nil"/>
                <w:bottom w:val="nil"/>
                <w:right w:val="nil"/>
                <w:between w:val="nil"/>
              </w:pBdr>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Propuneri cu caracter de recomandare:</w:t>
            </w:r>
          </w:p>
          <w:p w14:paraId="33285E7F"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pct. 15</w:t>
            </w:r>
          </w:p>
          <w:p w14:paraId="2EBDF92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intenția de modificare a articolului 13 alin. (1) lit. d), în opinia Ministerului, refuzul înregistrării pentru încălcarea, din motive </w:t>
            </w:r>
            <w:r>
              <w:rPr>
                <w:rFonts w:ascii="Times New Roman" w:eastAsia="Times New Roman" w:hAnsi="Times New Roman" w:cs="Times New Roman"/>
                <w:color w:val="000000"/>
              </w:rPr>
              <w:lastRenderedPageBreak/>
              <w:t>neîntemeiate, a termenului de depunere a documentelor pentru înregistrarea modificărilor operate în actele de constituire sau în datele înscrise în Registrul de stat este disproporționat și birocratic, în condițiile în care proiectul prevede pentru aceste fapte și sancțiuni contravenționale. Considerăm că ar fi mai echitabil ca, în ipoteza în care organul executiv întârzie, din motive neîntemeiate, să depună în termenul legal documentele pentru înregistrare, ASP să aplice față de acesta o sancțiune contravențională, fără însă să refuze înregistrarea de stat solicitată.</w:t>
            </w:r>
          </w:p>
        </w:tc>
        <w:tc>
          <w:tcPr>
            <w:tcW w:w="5505" w:type="dxa"/>
          </w:tcPr>
          <w:p w14:paraId="490BAD1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5FFC7BC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7426AB55"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61A54CE2" w14:textId="77777777">
        <w:tc>
          <w:tcPr>
            <w:tcW w:w="480" w:type="dxa"/>
            <w:vMerge w:val="restart"/>
          </w:tcPr>
          <w:p w14:paraId="17F9300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1530" w:type="dxa"/>
            <w:vMerge w:val="restart"/>
          </w:tcPr>
          <w:p w14:paraId="4DB530F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Ministerul Muncii și Protecției Sociale al Republicii Moldova</w:t>
            </w:r>
          </w:p>
        </w:tc>
        <w:tc>
          <w:tcPr>
            <w:tcW w:w="11790" w:type="dxa"/>
            <w:gridSpan w:val="3"/>
          </w:tcPr>
          <w:p w14:paraId="3B23A60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Art. I. – Legea nr. 1134/1997 privind societățile pe acțiuni</w:t>
            </w:r>
          </w:p>
        </w:tc>
      </w:tr>
      <w:tr w:rsidR="0072652F" w14:paraId="6DDEEE05" w14:textId="77777777">
        <w:tc>
          <w:tcPr>
            <w:tcW w:w="480" w:type="dxa"/>
            <w:vMerge/>
          </w:tcPr>
          <w:p w14:paraId="1D835AF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53464A11"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4A9443D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34FA9A5E"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pct. 19</w:t>
            </w:r>
          </w:p>
          <w:p w14:paraId="0D00E22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 propune completarea art. 97¹, după textul „în măsura în care acestea sunt aplicabile”, cu textul „inclusiv cu respectarea prevederilor Codului muncii nr. 154/2003 și ale altor legi speciale care reglementează informarea și consultarea salariaților”.</w:t>
            </w:r>
          </w:p>
        </w:tc>
        <w:tc>
          <w:tcPr>
            <w:tcW w:w="5505" w:type="dxa"/>
          </w:tcPr>
          <w:p w14:paraId="75F0385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1BAD994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Logica propunerii este corectă, doar că ea deja se reflectă în legea specială (a se vedea proiectul Legii privind reorganizarea transfrontalieră a societăților comerciale).</w:t>
            </w:r>
          </w:p>
        </w:tc>
      </w:tr>
      <w:tr w:rsidR="0072652F" w14:paraId="2D8CCF28" w14:textId="77777777">
        <w:tc>
          <w:tcPr>
            <w:tcW w:w="480" w:type="dxa"/>
            <w:vMerge/>
          </w:tcPr>
          <w:p w14:paraId="1C5E27DC"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632BE814"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1790" w:type="dxa"/>
            <w:gridSpan w:val="3"/>
          </w:tcPr>
          <w:p w14:paraId="26733A35"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Art. IV. – Legea nr. 220/2007 privind înregistrarea de stat a persoanelor juridice și a întreprinzătorilor individuali</w:t>
            </w:r>
          </w:p>
        </w:tc>
      </w:tr>
      <w:tr w:rsidR="0072652F" w14:paraId="00071A20" w14:textId="77777777">
        <w:tc>
          <w:tcPr>
            <w:tcW w:w="480" w:type="dxa"/>
            <w:vMerge/>
          </w:tcPr>
          <w:p w14:paraId="0DF40B73"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6667ED0D"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3BFE075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1B6CFCA9"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pct. 14 </w:t>
            </w:r>
          </w:p>
          <w:p w14:paraId="3F25A7A0"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prin care legea se completează cu art. 12² la alin. (1), se consideră oportună revizuirea sintagmei „încetează de plin drept” și substituirea acesteia cu sintagma „încetează de drept”, pentru a asigura coerența cadrului normativ și uniformitatea terminologiei juridice utilizate în legislația națională.</w:t>
            </w:r>
          </w:p>
        </w:tc>
        <w:tc>
          <w:tcPr>
            <w:tcW w:w="5505" w:type="dxa"/>
          </w:tcPr>
          <w:p w14:paraId="229C82D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695514A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 conform avizului Ministerului Justiției.</w:t>
            </w:r>
          </w:p>
        </w:tc>
      </w:tr>
      <w:tr w:rsidR="0072652F" w14:paraId="00D94EDE" w14:textId="77777777">
        <w:tc>
          <w:tcPr>
            <w:tcW w:w="480" w:type="dxa"/>
            <w:vMerge w:val="restart"/>
          </w:tcPr>
          <w:p w14:paraId="2B81F8F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9</w:t>
            </w:r>
          </w:p>
        </w:tc>
        <w:tc>
          <w:tcPr>
            <w:tcW w:w="1530" w:type="dxa"/>
            <w:vMerge w:val="restart"/>
          </w:tcPr>
          <w:p w14:paraId="3439168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Ministerul Finanțelor al Republicii Moldova</w:t>
            </w:r>
          </w:p>
        </w:tc>
        <w:tc>
          <w:tcPr>
            <w:tcW w:w="11790" w:type="dxa"/>
            <w:gridSpan w:val="3"/>
          </w:tcPr>
          <w:p w14:paraId="0D22887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Art. I. – Legea nr. 1134/1997 privind societățile pe acțiuni</w:t>
            </w:r>
          </w:p>
        </w:tc>
      </w:tr>
      <w:tr w:rsidR="0072652F" w14:paraId="72680F38" w14:textId="77777777">
        <w:tc>
          <w:tcPr>
            <w:tcW w:w="480" w:type="dxa"/>
            <w:vMerge/>
          </w:tcPr>
          <w:p w14:paraId="2BB338C5"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1595B829"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2BC6ACA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7FDAB49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pct.2</w:t>
            </w:r>
            <w:r>
              <w:rPr>
                <w:rFonts w:ascii="Times New Roman" w:eastAsia="Times New Roman" w:hAnsi="Times New Roman" w:cs="Times New Roman"/>
                <w:color w:val="000000"/>
              </w:rPr>
              <w:t>, ce vizează modificarea art.3:</w:t>
            </w:r>
          </w:p>
          <w:p w14:paraId="044EB0E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[1] </w:t>
            </w:r>
            <w:r>
              <w:rPr>
                <w:rFonts w:ascii="Times New Roman" w:eastAsia="Times New Roman" w:hAnsi="Times New Roman" w:cs="Times New Roman"/>
                <w:color w:val="000000"/>
              </w:rPr>
              <w:t xml:space="preserve">La alin. (9) sintagma ,„alte notificări” urmează a fi clarificată pentru nu a lăsa loc </w:t>
            </w:r>
            <w:r>
              <w:rPr>
                <w:rFonts w:ascii="Times New Roman" w:eastAsia="Times New Roman" w:hAnsi="Times New Roman" w:cs="Times New Roman"/>
                <w:color w:val="000000"/>
              </w:rPr>
              <w:lastRenderedPageBreak/>
              <w:t xml:space="preserve">de interpretare, iar sintagma ,„emanat" se va substitui cu sintagma ,,emis". </w:t>
            </w:r>
          </w:p>
          <w:p w14:paraId="59E4637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9C8506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w:t>
            </w:r>
            <w:r>
              <w:rPr>
                <w:rFonts w:ascii="Times New Roman" w:eastAsia="Times New Roman" w:hAnsi="Times New Roman" w:cs="Times New Roman"/>
                <w:color w:val="000000"/>
              </w:rPr>
              <w:t xml:space="preserve">Concomitent, propunem substituirea sintagmei ,,alt format" cu sintagma ,,format electronic sau digital". </w:t>
            </w:r>
          </w:p>
          <w:p w14:paraId="04C2460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C0571F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[3] </w:t>
            </w:r>
            <w:r>
              <w:rPr>
                <w:rFonts w:ascii="Times New Roman" w:eastAsia="Times New Roman" w:hAnsi="Times New Roman" w:cs="Times New Roman"/>
                <w:color w:val="000000"/>
              </w:rPr>
              <w:t xml:space="preserve">La fel, considerăm oportun expunerea în redacție nouă a lit. a) și lit. b) după cum urmează: ,,a) registrul de stat al persoanelor juridice din Republica Moldova"; ,,b) numărul de identificare de stat (IDNO)". </w:t>
            </w:r>
          </w:p>
          <w:p w14:paraId="67F27230"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B138AA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[4] </w:t>
            </w:r>
            <w:r>
              <w:rPr>
                <w:rFonts w:ascii="Times New Roman" w:eastAsia="Times New Roman" w:hAnsi="Times New Roman" w:cs="Times New Roman"/>
                <w:color w:val="000000"/>
              </w:rPr>
              <w:t>Alin. (10) propunem de a fi reformulat după cum urmează „Daca deține pagină web oficial, societatea este obligată sa publice pe pagina sa cel puțin informațiile menționate la alin. (9).</w:t>
            </w:r>
          </w:p>
        </w:tc>
        <w:tc>
          <w:tcPr>
            <w:tcW w:w="5505" w:type="dxa"/>
          </w:tcPr>
          <w:p w14:paraId="17BA319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[1] Se acceptă parțial.</w:t>
            </w:r>
          </w:p>
          <w:p w14:paraId="5D0DEF7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 xml:space="preserve">Proiectul de lege a fost ajustat, fiind introdusă noțiunea autonomă, definită, de „scrisoare comercială” (explicată detaliat în Nota de fundamentare actualizată). </w:t>
            </w:r>
          </w:p>
          <w:p w14:paraId="7AA847C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4D662D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r>
              <w:rPr>
                <w:rFonts w:ascii="Times New Roman" w:eastAsia="Times New Roman" w:hAnsi="Times New Roman" w:cs="Times New Roman"/>
              </w:rPr>
              <w:t xml:space="preserve"> </w:t>
            </w:r>
          </w:p>
          <w:p w14:paraId="4F9A281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Formula existentă corespunde cu cea din art. 26 din Directivă.</w:t>
            </w:r>
          </w:p>
          <w:p w14:paraId="6800183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6AD385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b/>
                <w:bCs/>
              </w:rPr>
              <w:t>Nu se acceptă.</w:t>
            </w:r>
            <w:r>
              <w:rPr>
                <w:rFonts w:ascii="Times New Roman" w:eastAsia="Times New Roman" w:hAnsi="Times New Roman" w:cs="Times New Roman"/>
              </w:rPr>
              <w:t xml:space="preserve"> </w:t>
            </w:r>
          </w:p>
          <w:p w14:paraId="1E56427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Norma este una generică. Ea ar trebui să fie suficient de largă dacă denumirea registrului se modifică sau prin lege se creează un registru distinct. </w:t>
            </w:r>
          </w:p>
          <w:p w14:paraId="6E4063D5" w14:textId="77777777" w:rsidR="0072652F" w:rsidRDefault="0072652F">
            <w:pPr>
              <w:jc w:val="both"/>
              <w:rPr>
                <w:rFonts w:ascii="Times New Roman" w:eastAsia="Times New Roman" w:hAnsi="Times New Roman" w:cs="Times New Roman"/>
              </w:rPr>
            </w:pPr>
          </w:p>
          <w:p w14:paraId="3742E0B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b/>
                <w:bCs/>
              </w:rPr>
              <w:t>Nu se acceptă.</w:t>
            </w:r>
            <w:r>
              <w:rPr>
                <w:rFonts w:ascii="Times New Roman" w:eastAsia="Times New Roman" w:hAnsi="Times New Roman" w:cs="Times New Roman"/>
              </w:rPr>
              <w:t xml:space="preserve"> </w:t>
            </w:r>
          </w:p>
          <w:p w14:paraId="1BB3633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Formula existentă corespunde cu cea din art. 26 din Directivă. Ea nu cere o pagină „oficială”, ci „proprie”. Legislația nu definește ce înseamnă „oficială”.</w:t>
            </w:r>
          </w:p>
          <w:p w14:paraId="4BF0DD56"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0E557AAF" w14:textId="77777777">
        <w:tc>
          <w:tcPr>
            <w:tcW w:w="480" w:type="dxa"/>
            <w:vMerge/>
          </w:tcPr>
          <w:p w14:paraId="1D1CD587"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76384B05"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68A2FAB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p>
        </w:tc>
        <w:tc>
          <w:tcPr>
            <w:tcW w:w="4485" w:type="dxa"/>
          </w:tcPr>
          <w:p w14:paraId="4F7A5C02"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pct.3 </w:t>
            </w:r>
          </w:p>
          <w:p w14:paraId="2428A4C6" w14:textId="58EEF353"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[1] </w:t>
            </w:r>
            <w:r>
              <w:rPr>
                <w:rFonts w:ascii="Times New Roman" w:eastAsia="Times New Roman" w:hAnsi="Times New Roman" w:cs="Times New Roman"/>
                <w:color w:val="000000"/>
              </w:rPr>
              <w:t xml:space="preserve">autorul propune completarea art.8 cu alin.(5) </w:t>
            </w:r>
            <w:proofErr w:type="spellStart"/>
            <w:r>
              <w:rPr>
                <w:rFonts w:ascii="Times New Roman" w:eastAsia="Times New Roman" w:hAnsi="Times New Roman" w:cs="Times New Roman"/>
                <w:color w:val="000000"/>
              </w:rPr>
              <w:t>şi</w:t>
            </w:r>
            <w:proofErr w:type="spellEnd"/>
            <w:r>
              <w:rPr>
                <w:rFonts w:ascii="Times New Roman" w:eastAsia="Times New Roman" w:hAnsi="Times New Roman" w:cs="Times New Roman"/>
                <w:color w:val="000000"/>
              </w:rPr>
              <w:t xml:space="preserve"> alin.(6), care presupun înregistrarea modificărilor în registrul de stat al persoanelor juridice a calității de membru al consiliului, al organului executiv, al comisiei de cenzori sau al comitetului de audit al societății, iar Nota de fundamentare nu conține nici o clarificare privind tangența cu Legea nr.220/2007 privind înregistrarea de stat a persoanelor juridice </w:t>
            </w:r>
            <w:r w:rsidR="00E912D4">
              <w:rPr>
                <w:rFonts w:ascii="Times New Roman" w:eastAsia="Times New Roman" w:hAnsi="Times New Roman" w:cs="Times New Roman"/>
                <w:color w:val="000000"/>
              </w:rPr>
              <w:t>și</w:t>
            </w:r>
            <w:r>
              <w:rPr>
                <w:rFonts w:ascii="Times New Roman" w:eastAsia="Times New Roman" w:hAnsi="Times New Roman" w:cs="Times New Roman"/>
                <w:color w:val="000000"/>
              </w:rPr>
              <w:t xml:space="preserve"> a întreprinzătorilor individuali. </w:t>
            </w:r>
          </w:p>
          <w:p w14:paraId="464616E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9EA312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w:t>
            </w:r>
            <w:r>
              <w:rPr>
                <w:rFonts w:ascii="Times New Roman" w:eastAsia="Times New Roman" w:hAnsi="Times New Roman" w:cs="Times New Roman"/>
                <w:color w:val="000000"/>
              </w:rPr>
              <w:t xml:space="preserve">Totodată, prin prezenta transpunere nu se reglementează obligația membrilor organelor societății de a furniza informațiile solicitate potrivit Legii nr.308/2017 cu </w:t>
            </w:r>
            <w:r>
              <w:rPr>
                <w:rFonts w:ascii="Times New Roman" w:eastAsia="Times New Roman" w:hAnsi="Times New Roman" w:cs="Times New Roman"/>
                <w:color w:val="000000"/>
              </w:rPr>
              <w:lastRenderedPageBreak/>
              <w:t xml:space="preserve">privire la prevenirea și combaterea spălării banilor si finanțării terorismului, cât și completarea informației despre beneficiarul efectiv. </w:t>
            </w:r>
          </w:p>
          <w:p w14:paraId="786C81B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5B8BCB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[3] </w:t>
            </w:r>
            <w:r>
              <w:rPr>
                <w:rFonts w:ascii="Times New Roman" w:eastAsia="Times New Roman" w:hAnsi="Times New Roman" w:cs="Times New Roman"/>
                <w:color w:val="000000"/>
              </w:rPr>
              <w:t>Concomitent, la art.8 alin.(6), propunem să examinați oportunitatea revizuirii termenului de 30 zile acordat pentru înregistrarea modificărilor datelor în registrul de stat a persoanelor juridice, deoarece acesta poate genera menținerea în registru, pentru o perioadă îndelungată, a unor informații care nu corespund situației reale a societății. Astfel, pentru a nu crea careva discrepanțe, considerăm că modificările privind organele de conducere trebuie reflectate într-un termen mai scurt.</w:t>
            </w:r>
          </w:p>
          <w:p w14:paraId="4B2DA3A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Obiecția respectivă este valabilă și la art. III, pct.4, ce vizează completarea Legii cu privire la societățile cu răspundere limitată cu art.9</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w:t>
            </w:r>
          </w:p>
        </w:tc>
        <w:tc>
          <w:tcPr>
            <w:tcW w:w="5505" w:type="dxa"/>
          </w:tcPr>
          <w:p w14:paraId="30EC4DC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Precizare.</w:t>
            </w:r>
          </w:p>
          <w:p w14:paraId="746FCA4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Nota de fundamentare explică scopul acestor alineate (pct. 3.1.3) în contextul asigurării publicității persoanelor care ocupă funcții de conducere în sensul Legii nr. 220/2007.</w:t>
            </w:r>
          </w:p>
          <w:p w14:paraId="7FAF74C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9201405"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Precizare.</w:t>
            </w:r>
          </w:p>
          <w:p w14:paraId="2EACC4E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Directiva transpusă nu cuprinde reguli cu privire la prevenirea și combaterea spălării banilor si finanțării terorismului.</w:t>
            </w:r>
          </w:p>
          <w:p w14:paraId="350BB26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CC71DD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Nu se acceptă.</w:t>
            </w:r>
          </w:p>
          <w:p w14:paraId="1DD16CF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Termenul de 30 de zile stabilește un echilibru între rapiditatea înregistrării modificării și acordarea unui răgaz rezonabil, asigurându-se că persoana juridică nu este sufocată de termene nerealiste în procesul de conformare.</w:t>
            </w:r>
          </w:p>
          <w:p w14:paraId="064E3D1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28A4A6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Atragem atenția că concepția proiectului de lege este de a stabili, ori de câte ori este posibil, caracterul constitutiv al înregistrării. Astfel că înregistrarea nu este o obligație după ce un fapt și-a produs efectele (înregistrare declarativă), ci înregistrarea este o condiție ca faptul să producă efectele juridice (înregistrare constitutivă). Prin urmare, persoana juridică care vrea să obțină un efect nou, de regulă, va depune cererea de înregistrare a modificărilor la RSPJ.</w:t>
            </w:r>
          </w:p>
        </w:tc>
      </w:tr>
      <w:tr w:rsidR="0072652F" w14:paraId="01F0FB8A" w14:textId="77777777">
        <w:tc>
          <w:tcPr>
            <w:tcW w:w="480" w:type="dxa"/>
            <w:vMerge/>
          </w:tcPr>
          <w:p w14:paraId="00504B92"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236FC8CD"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1790" w:type="dxa"/>
            <w:gridSpan w:val="3"/>
          </w:tcPr>
          <w:p w14:paraId="1277332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Nota de fundamentare</w:t>
            </w:r>
          </w:p>
        </w:tc>
      </w:tr>
      <w:tr w:rsidR="0072652F" w14:paraId="3EEA1941" w14:textId="77777777">
        <w:tc>
          <w:tcPr>
            <w:tcW w:w="480" w:type="dxa"/>
            <w:vMerge/>
          </w:tcPr>
          <w:p w14:paraId="14EE975B"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530" w:type="dxa"/>
            <w:vMerge/>
          </w:tcPr>
          <w:p w14:paraId="203136B6" w14:textId="77777777" w:rsidR="0072652F" w:rsidRDefault="0072652F">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800" w:type="dxa"/>
          </w:tcPr>
          <w:p w14:paraId="1B0C948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4CAA993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În partea ce ține de informațiile prezentate la compartimentul 4.2 al Notei de fundamentare privind impactul financiar și argumentarea costurilor estimative, observăm că autorul menționează doar faptul că implementarea proiectului va genera costuri semnificative pentru I.P. "Agenția Servicii Publice" și I.P. "Agenția de Guvernare Electronică", fără prezentarea detaliilor în acest sens în conformitate cu Legea nr.100/2017 cu privire la actele normative și Legea finanțelor publice și responsabilității bugetar-fiscale </w:t>
            </w:r>
            <w:r>
              <w:rPr>
                <w:rFonts w:ascii="Times New Roman" w:eastAsia="Times New Roman" w:hAnsi="Times New Roman" w:cs="Times New Roman"/>
                <w:color w:val="000000"/>
              </w:rPr>
              <w:lastRenderedPageBreak/>
              <w:t xml:space="preserve">nr.181/2014. Respectiv, reliefam că autorul urmează să prezinte costurile estimative pentru fiecare acțiune în parte, sursa de finanțare a acestora, precum și să indice dacă aceste costuri sunt prevăzute în bugetele instituțiilor publice (I.P. A.S.P. și I.P. A.G.E.) și/sau urmează a fi identificate. Prin urmare, atragem atenția că potrivit art.17 alin.(2) din Legea nr. 181/2014, pe parcursul anului bugetar nu pot fi puse în aplicare decizii care conduc la majorarea cheltuielilor bugetare, dacă impactul financiar al acestora nu este prevăzut în buget. Mai mult ca atât, conform art. 131 alin. (6) din Constituția RM, nici o cheltuială bugetară nu poate fi aprobată fără stabilirea sursei de finanțare. În concluzie, susținem că argumentarea </w:t>
            </w:r>
            <w:proofErr w:type="spellStart"/>
            <w:r>
              <w:rPr>
                <w:rFonts w:ascii="Times New Roman" w:eastAsia="Times New Roman" w:hAnsi="Times New Roman" w:cs="Times New Roman"/>
                <w:color w:val="000000"/>
              </w:rPr>
              <w:t>economico</w:t>
            </w:r>
            <w:proofErr w:type="spellEnd"/>
            <w:r>
              <w:rPr>
                <w:rFonts w:ascii="Times New Roman" w:eastAsia="Times New Roman" w:hAnsi="Times New Roman" w:cs="Times New Roman"/>
                <w:color w:val="000000"/>
              </w:rPr>
              <w:t>-financiară urmează a fi completată prin prisma celor relatate mai sus.</w:t>
            </w:r>
          </w:p>
        </w:tc>
        <w:tc>
          <w:tcPr>
            <w:tcW w:w="5505" w:type="dxa"/>
          </w:tcPr>
          <w:p w14:paraId="47C3D5B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lastRenderedPageBreak/>
              <w:t>Nota de fundamentare a fost ajustată.</w:t>
            </w:r>
          </w:p>
        </w:tc>
      </w:tr>
      <w:tr w:rsidR="0072652F" w14:paraId="26473E50" w14:textId="77777777">
        <w:trPr>
          <w:trHeight w:val="240"/>
        </w:trPr>
        <w:tc>
          <w:tcPr>
            <w:tcW w:w="480" w:type="dxa"/>
            <w:vMerge w:val="restart"/>
          </w:tcPr>
          <w:p w14:paraId="35D7BBA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10</w:t>
            </w:r>
          </w:p>
        </w:tc>
        <w:tc>
          <w:tcPr>
            <w:tcW w:w="1530" w:type="dxa"/>
            <w:vMerge w:val="restart"/>
          </w:tcPr>
          <w:p w14:paraId="3047359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Centrul de Armonizare a Legislației</w:t>
            </w:r>
          </w:p>
        </w:tc>
        <w:tc>
          <w:tcPr>
            <w:tcW w:w="1800" w:type="dxa"/>
          </w:tcPr>
          <w:p w14:paraId="36DE8FC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133DD30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Constatăm că, proiectul național asigură transpunerea Directivei UE cu modificările propuse prin Regulamentul (UE) 2021/23 al Parlamentului European și al Consiliului din 16 decembrie 2020 privind un cadru pentru redresarea și rezoluția </w:t>
            </w:r>
            <w:proofErr w:type="spellStart"/>
            <w:r>
              <w:rPr>
                <w:rFonts w:ascii="Times New Roman" w:eastAsia="Times New Roman" w:hAnsi="Times New Roman" w:cs="Times New Roman"/>
              </w:rPr>
              <w:t>contrapărților</w:t>
            </w:r>
            <w:proofErr w:type="spellEnd"/>
            <w:r>
              <w:rPr>
                <w:rFonts w:ascii="Times New Roman" w:eastAsia="Times New Roman" w:hAnsi="Times New Roman" w:cs="Times New Roman"/>
              </w:rPr>
              <w:t xml:space="preserve"> centrale și de modificare a Regulamentelor (UE) nr. 1095/2010, (UE) nr. 648/2012, (UE) nr. 600/2014, (UE) nr. 806/2014 și(UE) 2015/2365 și a Directivelor 2002/47/CE, 2004/25/CE, 2007/36/CE, 2014/59/UE și (UE) 2017/1132 (Text cu relevanță pentru SEE). Atragem atenția că, între timp, a fost adoptată Directiva (UE) 2025/25 a Parlamentului European și a Consiliului din </w:t>
            </w:r>
            <w:r>
              <w:rPr>
                <w:rFonts w:ascii="Times New Roman" w:eastAsia="Times New Roman" w:hAnsi="Times New Roman" w:cs="Times New Roman"/>
              </w:rPr>
              <w:lastRenderedPageBreak/>
              <w:t xml:space="preserve">19 decembrie 2024 de modificare a Directivelor 2009/102/CE și (UE) 2017/1132 în ceea ce privește extinderea și îmbunătățirea suplimentară a utilizării instrumentelor și proceselor digitale în domeniul dreptului societăților (Text cu relevanță pentru SEE), fiind necesară o examinarea suplimentară prin prisma acesteia, inclusiv, și a Tabelului de concordanță prezentat. </w:t>
            </w:r>
          </w:p>
        </w:tc>
        <w:tc>
          <w:tcPr>
            <w:tcW w:w="5505" w:type="dxa"/>
          </w:tcPr>
          <w:p w14:paraId="45D58D4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Precizare.</w:t>
            </w:r>
          </w:p>
          <w:p w14:paraId="2C9ADA67"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Directiva (UE) 2025/25 urmează a fi transpusă prin alt proiect de lege, conform altui calendar, în anul 2027.</w:t>
            </w:r>
          </w:p>
          <w:p w14:paraId="4BB97EEE"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tc>
      </w:tr>
      <w:tr w:rsidR="0072652F" w14:paraId="1549B712" w14:textId="77777777">
        <w:trPr>
          <w:trHeight w:val="240"/>
        </w:trPr>
        <w:tc>
          <w:tcPr>
            <w:tcW w:w="480" w:type="dxa"/>
            <w:vMerge/>
          </w:tcPr>
          <w:p w14:paraId="162E5257"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A198DD4"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162B6A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1306578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Clauza de armonizare a proiectului național se va expune în următoarea redacție:</w:t>
            </w:r>
          </w:p>
          <w:p w14:paraId="7558794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“Prezenta lege transpune parțial (transpune: art. 12 (5), art. 13a, art. 13f, art. 13g (1), (3) și (7), art. 13h, art. 13i, art. 13j (5), art. 14, art. 15 (1), art. 16, art. 16a (1) și (4), art. 17 (1), art. 18 – 22, art. 26 – 27, art. 28a (5) – (7), 28c, art. 29 – 30a, art. 31–39, art. 41 – 42, art. 92 (2), art. 93, art. 95 (1) și art. 97 paragraful 3 și art. 141 (2)) Directiva (UE) 2017/1132 a Parlamentului European și a Consiliului din 14 iunie 2017 privind anumite aspecte ale dreptului societăților comerciale, publicată în Jurnalul Oficial al Uniunii Europene L 169/46 din 30 iunie 2017, CELEX 32017L1132, astfel cum a fost modificată ultima dată prin Directiva (UE) 2025/25 a Parlamentului European și a Consiliului din 19 decembrie 2024 ”</w:t>
            </w:r>
          </w:p>
        </w:tc>
        <w:tc>
          <w:tcPr>
            <w:tcW w:w="5505" w:type="dxa"/>
          </w:tcPr>
          <w:p w14:paraId="5E30C10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0F6AF51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Clauza de armonizare a fost ajustată, dar a fost completată cu articole adiționale conform Tabelului de concordanță.</w:t>
            </w:r>
          </w:p>
        </w:tc>
      </w:tr>
      <w:tr w:rsidR="0072652F" w14:paraId="0768E135" w14:textId="77777777">
        <w:trPr>
          <w:trHeight w:val="240"/>
        </w:trPr>
        <w:tc>
          <w:tcPr>
            <w:tcW w:w="480" w:type="dxa"/>
            <w:vMerge/>
          </w:tcPr>
          <w:p w14:paraId="4800F21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67548AA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31577C1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04402EEA"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Clauza de armonizare a Legii nr. 1134/1997 privind societățile pe acțiuni se va formula după modelul de mai jos:</w:t>
            </w:r>
          </w:p>
          <w:p w14:paraId="2D546F19"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,,Prezenta lege transpune parțial (transpune: art. 13i, art. 14 litera d), art. 26 - 27,art. 49 (3), art. 70 (2), art. 92 (2), art. 93, art. 95 (1), </w:t>
            </w:r>
            <w:r>
              <w:rPr>
                <w:rFonts w:ascii="Times New Roman" w:eastAsia="Times New Roman" w:hAnsi="Times New Roman" w:cs="Times New Roman"/>
                <w:color w:val="000000"/>
              </w:rPr>
              <w:lastRenderedPageBreak/>
              <w:t>art. 97 paragraful 3, art. 141 (2))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Directiva (UE) 2025/25 a Parlamentului European și a Consiliului din 19 decembrie 2024.”</w:t>
            </w:r>
          </w:p>
        </w:tc>
        <w:tc>
          <w:tcPr>
            <w:tcW w:w="5505" w:type="dxa"/>
          </w:tcPr>
          <w:p w14:paraId="1B36CC61"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204B64DB"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Clauza de armonizare a fost ajustată, dar a fost completată cu articole adiționale conform Tabelului de concordanță.</w:t>
            </w:r>
          </w:p>
        </w:tc>
      </w:tr>
      <w:tr w:rsidR="0072652F" w14:paraId="78C9B31F" w14:textId="77777777">
        <w:trPr>
          <w:trHeight w:val="240"/>
        </w:trPr>
        <w:tc>
          <w:tcPr>
            <w:tcW w:w="480" w:type="dxa"/>
            <w:vMerge/>
          </w:tcPr>
          <w:p w14:paraId="5D9451D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E14B00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AB1A6E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2C5BD14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Clauza de armonizare a Codului civil al Republicii Moldova nr. 1107/2002 se va formula după modelul de mai jos:</w:t>
            </w:r>
          </w:p>
          <w:p w14:paraId="5977FB2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,,Prezenta lege transpune parțial (transpune: art. 12 (5), art. 13i, art. 14, art. 15 (1), art. 16, art. 27, art. 35, art. 39)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Directiva (UE) 2025/25 a Parlamentului European și a Consiliului din 19 decembrie 2024.”</w:t>
            </w:r>
          </w:p>
        </w:tc>
        <w:tc>
          <w:tcPr>
            <w:tcW w:w="5505" w:type="dxa"/>
          </w:tcPr>
          <w:p w14:paraId="6AEA5AF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3BB062C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Clauza de armonizare a fost ajustată, dar a fost completată cu articole adiționale conform Tabelului de concordanță.</w:t>
            </w:r>
          </w:p>
        </w:tc>
      </w:tr>
      <w:tr w:rsidR="0072652F" w14:paraId="20ACA360" w14:textId="77777777">
        <w:trPr>
          <w:trHeight w:val="240"/>
        </w:trPr>
        <w:tc>
          <w:tcPr>
            <w:tcW w:w="480" w:type="dxa"/>
            <w:vMerge/>
          </w:tcPr>
          <w:p w14:paraId="6CE995C2"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58232A1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8127C8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583F845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Clauza de armonizare a Legii nr. 135/2007 privind societățile cu răspundere limitată se va formula după modelul de mai jos: </w:t>
            </w:r>
          </w:p>
          <w:p w14:paraId="17C57DF0"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,,Prezenta lege transpune parțial (transpune: art. 14 lit. d) și art. 26) Directiva (UE) 2017/1132 a Parlamentului European și a Consiliului din 14 iunie 2017 privind anumite aspecte ale dreptului societăților </w:t>
            </w:r>
            <w:r>
              <w:rPr>
                <w:rFonts w:ascii="Times New Roman" w:eastAsia="Times New Roman" w:hAnsi="Times New Roman" w:cs="Times New Roman"/>
                <w:color w:val="000000"/>
              </w:rPr>
              <w:lastRenderedPageBreak/>
              <w:t>comerciale (text codificat), publicată în Jurnalul Oficial al Uniunii Europene L 169 din iunie 2017, CELEX 32017L1132, astfel cum a fost modificată ultima dată prin Directiva (UE) 2025/25 a Parlamentului European și a Consiliului din 19 decembrie 2024.”</w:t>
            </w:r>
          </w:p>
        </w:tc>
        <w:tc>
          <w:tcPr>
            <w:tcW w:w="5505" w:type="dxa"/>
          </w:tcPr>
          <w:p w14:paraId="0E7D22BA"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71A9F86F"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Clauza de armonizare a fost ajustată, dar a fost completată cu articole adiționale conform Tabelului de concordanță.</w:t>
            </w:r>
          </w:p>
        </w:tc>
      </w:tr>
      <w:tr w:rsidR="0072652F" w14:paraId="17FAF5A6" w14:textId="77777777">
        <w:trPr>
          <w:trHeight w:val="240"/>
        </w:trPr>
        <w:tc>
          <w:tcPr>
            <w:tcW w:w="480" w:type="dxa"/>
            <w:vMerge/>
          </w:tcPr>
          <w:p w14:paraId="1A0466D4"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5E99B6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DFB5D5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0F39934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Clauza de armonizare a Legii nr. 220/2007 privind înregistrarea de stat a persoanelor juridice și a întreprinzătorilor individuali se va formula după modelul de mai jos:</w:t>
            </w:r>
          </w:p>
          <w:p w14:paraId="2ED4B4A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,,Prezenta lege transpune parțial (transpune: art. 13a pct. 4, art. 13f, art. 13g (1), (3) și (7), art. 13h, art. 13i, art. 13j (5), art. 14, art. 15 (1), art. 16 (1) și (3), (6), 16a (1) și (4), 17 (1), art. 18-22, art. 26a (6), art. 28a (5) - (7), art. 28c, art. 29 - 30a, art. 31-34, art. 36 - 38, art. 41 și art. 42)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Directiva (UE) 2025/25 a Parlamentului European și a Consiliului din 19 decembrie 2024.”</w:t>
            </w:r>
          </w:p>
        </w:tc>
        <w:tc>
          <w:tcPr>
            <w:tcW w:w="5505" w:type="dxa"/>
          </w:tcPr>
          <w:p w14:paraId="3122858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1468EA8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Clauza de armonizare a fost ajustată, dar a fost completată cu articole adiționale conform Tabelului de concordanță.</w:t>
            </w:r>
          </w:p>
        </w:tc>
      </w:tr>
      <w:tr w:rsidR="0072652F" w14:paraId="50F9B526" w14:textId="77777777">
        <w:trPr>
          <w:trHeight w:val="240"/>
        </w:trPr>
        <w:tc>
          <w:tcPr>
            <w:tcW w:w="480" w:type="dxa"/>
            <w:vMerge/>
          </w:tcPr>
          <w:p w14:paraId="11AE8D4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06F1B42"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7175A8D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49DB0F4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Clauza de armonizare a Legii insolvabilității nr. 149/2012 se va formula după modelul de mai jos: </w:t>
            </w:r>
          </w:p>
          <w:p w14:paraId="73E6FD0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,,Prezenta lege transpune parțial (transpune: art. 13i (1)) Directiva (UE) 2017/1132 a Parlamentului European și a Consiliului din 14 iunie 2017 privind anumite aspecte ale dreptului societăților comerciale (text </w:t>
            </w:r>
            <w:r>
              <w:rPr>
                <w:rFonts w:ascii="Times New Roman" w:eastAsia="Times New Roman" w:hAnsi="Times New Roman" w:cs="Times New Roman"/>
                <w:color w:val="000000"/>
              </w:rPr>
              <w:lastRenderedPageBreak/>
              <w:t>codificat), publicată în Jurnalul Oficial al Uniunii Europene L 169 din iunie 2017, CELEX 32017L1132, astfel cum a fost modificată ultima dată prin Directiva (UE) 2025/25 a Parlamentului European și a Consiliului din 19 decembrie 2024.”</w:t>
            </w:r>
          </w:p>
        </w:tc>
        <w:tc>
          <w:tcPr>
            <w:tcW w:w="5505" w:type="dxa"/>
          </w:tcPr>
          <w:p w14:paraId="7F85B94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4821BA6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Clauza de armonizare a fost ajustată, dar a fost completată cu articole adiționale conform Tabelului de concordanță.</w:t>
            </w:r>
          </w:p>
        </w:tc>
      </w:tr>
      <w:tr w:rsidR="0072652F" w14:paraId="676B44E1" w14:textId="77777777">
        <w:trPr>
          <w:trHeight w:val="240"/>
        </w:trPr>
        <w:tc>
          <w:tcPr>
            <w:tcW w:w="480" w:type="dxa"/>
          </w:tcPr>
          <w:p w14:paraId="16A74C92"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tcPr>
          <w:p w14:paraId="2B3147B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C9A218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4485" w:type="dxa"/>
          </w:tcPr>
          <w:p w14:paraId="6005529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Observații privind tabelul de concordanță</w:t>
            </w:r>
          </w:p>
          <w:p w14:paraId="473F6D0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Tabelul de concordanță prezentat urmează a fi revizuit, după cum urmează: </w:t>
            </w:r>
          </w:p>
          <w:p w14:paraId="6746D2D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Compartimentul 6</w:t>
            </w:r>
            <w:r>
              <w:rPr>
                <w:rFonts w:ascii="Times New Roman" w:eastAsia="Times New Roman" w:hAnsi="Times New Roman" w:cs="Times New Roman"/>
              </w:rPr>
              <w:t xml:space="preserve"> al Tabelului la Directiva (UE) 2017/1132 va include textul integral al actului UE, nu doar prevederile nemijlocit transpuse. Astfel, se vor menționa, în ordinea specificată: articolele, alineatele, paragrafele etc. ale actului juridic european, cu transcrierea tuturor dispozițiilor ce corespund acestora. - </w:t>
            </w:r>
            <w:r>
              <w:rPr>
                <w:rFonts w:ascii="Times New Roman" w:eastAsia="Times New Roman" w:hAnsi="Times New Roman" w:cs="Times New Roman"/>
                <w:b/>
                <w:bCs/>
              </w:rPr>
              <w:t>Compartimentul 9</w:t>
            </w:r>
            <w:r>
              <w:rPr>
                <w:rFonts w:ascii="Times New Roman" w:eastAsia="Times New Roman" w:hAnsi="Times New Roman" w:cs="Times New Roman"/>
              </w:rPr>
              <w:t xml:space="preserve"> al Tabelului de concordanță va fi completat cu explicațiile și motivele care stau la baza netranspunerii sau transpunerii parțiale a prevederilor actului UE, fiind inserate trimiteri, mențiuni relevante ce menționează diferențele dintre prevederile actului UE și prevederile proiectului de act normativ național, cât și se vor indica termenele preconizate pentru realizarea transpunerii integrale ale dispozițiilor actului Uniunii Europene și proiectele de acte normative care vor înlătura diferențele de compatibilitate. </w:t>
            </w:r>
          </w:p>
          <w:p w14:paraId="2313D43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Totodată, atragem atenția că, tabelul de concordanță necesită a fi revizuit și redactat astfel încât să reflecte atât prevederile proiectului național, cât și cele existente în actele normative în vigoare. În forma </w:t>
            </w:r>
            <w:r>
              <w:rPr>
                <w:rFonts w:ascii="Times New Roman" w:eastAsia="Times New Roman" w:hAnsi="Times New Roman" w:cs="Times New Roman"/>
              </w:rPr>
              <w:lastRenderedPageBreak/>
              <w:t xml:space="preserve">actuală, acesta include și modificări ale unor acte normative care nu se regăsesc de facto în proiectul examinat, fapt ce poate genera confuzii privind obiectul și limitele transpunerii realizate prin prezentul proiect de lege. În măsura în care anumite dispoziții ale Directivei (UE) 2017/1132 urmează a fi transpuse prin alte proiecte legislative distincte, acestea urmează a fi reflectate în tabele de concordanță separate, aferente proiectelor respective și doar menționate în Compartimentul Observații al Tabelului de concordanță al prezentului proiect. </w:t>
            </w:r>
          </w:p>
        </w:tc>
        <w:tc>
          <w:tcPr>
            <w:tcW w:w="5505" w:type="dxa"/>
          </w:tcPr>
          <w:p w14:paraId="4AC0B50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5DED4A6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Tabelul de concordanță a fost actualizat.</w:t>
            </w:r>
          </w:p>
          <w:p w14:paraId="734BECC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Indicarea unor norme din alte proiecte de lege este necesar, având în vedere că scopul Tabelului de concordanță este examinarea modului planificat de transpunere al întregii Directive 2017/1132 de către experții UE.</w:t>
            </w:r>
          </w:p>
          <w:p w14:paraId="42C7008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Nota de fundamentare explică care sunt cele 3 proiecte de lege care tind spre transpunerea integrală a Directivei.</w:t>
            </w:r>
          </w:p>
        </w:tc>
      </w:tr>
      <w:tr w:rsidR="0072652F" w14:paraId="5255D92E" w14:textId="77777777">
        <w:trPr>
          <w:trHeight w:val="240"/>
        </w:trPr>
        <w:tc>
          <w:tcPr>
            <w:tcW w:w="480" w:type="dxa"/>
            <w:vMerge w:val="restart"/>
          </w:tcPr>
          <w:p w14:paraId="193E5AC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11</w:t>
            </w:r>
          </w:p>
        </w:tc>
        <w:tc>
          <w:tcPr>
            <w:tcW w:w="1530" w:type="dxa"/>
            <w:vMerge w:val="restart"/>
          </w:tcPr>
          <w:p w14:paraId="082D8BD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Agenția de Guvernare Electronică</w:t>
            </w:r>
          </w:p>
        </w:tc>
        <w:tc>
          <w:tcPr>
            <w:tcW w:w="1800" w:type="dxa"/>
          </w:tcPr>
          <w:p w14:paraId="565A812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6918E0DF"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Art. I pct. 3, pct. 6, pct. 16, Art. II pct. 4, Art. III pct. 4, Art. IV pct. 31</w:t>
            </w:r>
            <w:r>
              <w:rPr>
                <w:rFonts w:ascii="Times New Roman" w:eastAsia="Times New Roman" w:hAnsi="Times New Roman" w:cs="Times New Roman"/>
              </w:rPr>
              <w:t>, trimiterea „Registrul de stat al persoanelor juridice” se va substitui cu cuvintele „Registrul unităților de drept”, în conformitate cu prevederile Hotărârii Guvernului nr. 955/2022 cu privire la aprobarea Conceptului Sistemului informațional „Registrul de stat al unităților de drept” și a Regulamentului cu privire la modul de ținere a Registrului de stat al unităților de drept.</w:t>
            </w:r>
          </w:p>
        </w:tc>
        <w:tc>
          <w:tcPr>
            <w:tcW w:w="5505" w:type="dxa"/>
          </w:tcPr>
          <w:p w14:paraId="7A77BDF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5EBF058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La moment registrul de publicitate al persoanelor juridice este RSPJ conform Legii nr. 220/2007. Acesta este o componentă a RSUD, dar nu se confundă cu el. Legea nr. 220/2007 nu prevede că RSUD înlocuiește RSPJ, ci prevede o relație întreg-parte componentă.</w:t>
            </w:r>
          </w:p>
          <w:p w14:paraId="61447F7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BDB97A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Nu este scopul prezentului proiect de lege să efectueze această înlocuire.</w:t>
            </w:r>
          </w:p>
        </w:tc>
      </w:tr>
      <w:tr w:rsidR="0072652F" w14:paraId="78D0D7F3" w14:textId="77777777">
        <w:trPr>
          <w:trHeight w:val="240"/>
        </w:trPr>
        <w:tc>
          <w:tcPr>
            <w:tcW w:w="480" w:type="dxa"/>
            <w:vMerge/>
          </w:tcPr>
          <w:p w14:paraId="427988A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4B7D8CA5"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1790" w:type="dxa"/>
            <w:gridSpan w:val="3"/>
          </w:tcPr>
          <w:p w14:paraId="2A898570"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Art. IV. – Legea nr. 220/2007 privind înregistrarea de stat a persoanelor juridice și a întreprinzătorilor individuali</w:t>
            </w:r>
          </w:p>
        </w:tc>
      </w:tr>
      <w:tr w:rsidR="0072652F" w14:paraId="519F99F6" w14:textId="77777777">
        <w:trPr>
          <w:trHeight w:val="240"/>
        </w:trPr>
        <w:tc>
          <w:tcPr>
            <w:tcW w:w="480" w:type="dxa"/>
            <w:vMerge/>
          </w:tcPr>
          <w:p w14:paraId="7EF9834E"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452F3541"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F1AEA6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06A08CC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În tot textul articolului, referințele la Portalul guvernamental integrat EVO se vor revizui prin specificarea cuvântului „Portal” cu majusculă;</w:t>
            </w:r>
          </w:p>
        </w:tc>
        <w:tc>
          <w:tcPr>
            <w:tcW w:w="5505" w:type="dxa"/>
          </w:tcPr>
          <w:p w14:paraId="584569B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79F5468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064694BB" w14:textId="77777777">
        <w:trPr>
          <w:trHeight w:val="240"/>
        </w:trPr>
        <w:tc>
          <w:tcPr>
            <w:tcW w:w="480" w:type="dxa"/>
            <w:vMerge/>
          </w:tcPr>
          <w:p w14:paraId="72E2420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6D0B708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6AE8428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6B4C44D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b/>
                <w:bCs/>
              </w:rPr>
              <w:t>La pct. 8 subpct.1)</w:t>
            </w:r>
            <w:r>
              <w:rPr>
                <w:rFonts w:ascii="Times New Roman" w:eastAsia="Times New Roman" w:hAnsi="Times New Roman" w:cs="Times New Roman"/>
              </w:rPr>
              <w:t>, norma necesită a fi revizuită din următoarele considerente:</w:t>
            </w:r>
          </w:p>
          <w:p w14:paraId="67FB2282" w14:textId="61F99F9A" w:rsidR="0072652F" w:rsidRDefault="00000000">
            <w:pPr>
              <w:jc w:val="both"/>
              <w:rPr>
                <w:rFonts w:ascii="Times New Roman" w:eastAsia="Times New Roman" w:hAnsi="Times New Roman" w:cs="Times New Roman"/>
              </w:rPr>
            </w:pPr>
            <w:r>
              <w:rPr>
                <w:rFonts w:ascii="Times New Roman" w:eastAsia="Times New Roman" w:hAnsi="Times New Roman" w:cs="Times New Roman"/>
              </w:rPr>
              <w:t>- În textul în vigoare a art.8 alin.(1) lit.</w:t>
            </w:r>
            <w:r w:rsidR="00E912D4">
              <w:rPr>
                <w:rFonts w:ascii="Times New Roman" w:eastAsia="Times New Roman" w:hAnsi="Times New Roman" w:cs="Times New Roman"/>
              </w:rPr>
              <w:t xml:space="preserve"> </w:t>
            </w:r>
            <w:r>
              <w:rPr>
                <w:rFonts w:ascii="Times New Roman" w:eastAsia="Times New Roman" w:hAnsi="Times New Roman" w:cs="Times New Roman"/>
              </w:rPr>
              <w:t xml:space="preserve">a) din Legea nr.220/2007 privind înregistrarea de stat a persoanelor juridice și a </w:t>
            </w:r>
            <w:r>
              <w:rPr>
                <w:rFonts w:ascii="Times New Roman" w:eastAsia="Times New Roman" w:hAnsi="Times New Roman" w:cs="Times New Roman"/>
              </w:rPr>
              <w:lastRenderedPageBreak/>
              <w:t>întreprinzătorilor individuali, se face trimitere directă la Legea nr. 124/2022 privind identificarea electronică și serviciile de încredere, în contextul aplicării semnăturii electronice pentru documentele transmise organului de înregistrare.</w:t>
            </w:r>
          </w:p>
          <w:p w14:paraId="2867CD0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În acest sens, subliniem că în prezent în circuitul de avizare/expertizare se află proiectul noii legi privind identificarea electronică și serviciile de încredere (număr unic 395/MDED/SIS/2026), act prin care se asigură transpunerea la nivel național a standardelor europene </w:t>
            </w:r>
            <w:proofErr w:type="spellStart"/>
            <w:r>
              <w:rPr>
                <w:rFonts w:ascii="Times New Roman" w:eastAsia="Times New Roman" w:hAnsi="Times New Roman" w:cs="Times New Roman"/>
              </w:rPr>
              <w:t>eIDAS</w:t>
            </w:r>
            <w:proofErr w:type="spellEnd"/>
            <w:r>
              <w:rPr>
                <w:rFonts w:ascii="Times New Roman" w:eastAsia="Times New Roman" w:hAnsi="Times New Roman" w:cs="Times New Roman"/>
              </w:rPr>
              <w:t xml:space="preserve"> 2.0. Potrivit dispozițiilor finale din proiectul nominalizat, la data intrării în vigoare a noului cadru legal (estimată la 12-24 de luni de la publicare), actuala Lege nr. 124/2022 va fi abrogată integral.</w:t>
            </w:r>
          </w:p>
          <w:p w14:paraId="3131BD1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Prin urmare, păstrarea trimiterii exprese la Legea nr. 124/2022 în cuprinsul Legii nr. 220/2007 va lăsa norma fără suport juridic într-un termen relativ scurt, generând o lacună legislativă și impunând o nouă intervenție de modificare a textului.</w:t>
            </w:r>
          </w:p>
          <w:p w14:paraId="5C31027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Pentru a asigura o tehnică legislativă fluidă, flexibilă și de perspectivă, recomandăm utilizarea unei trimiteri generice la legislația sectorială, formulă capabilă să absoarbă automat noul cadru legal </w:t>
            </w:r>
            <w:proofErr w:type="spellStart"/>
            <w:r>
              <w:rPr>
                <w:rFonts w:ascii="Times New Roman" w:eastAsia="Times New Roman" w:hAnsi="Times New Roman" w:cs="Times New Roman"/>
              </w:rPr>
              <w:t>eIDAS</w:t>
            </w:r>
            <w:proofErr w:type="spellEnd"/>
            <w:r>
              <w:rPr>
                <w:rFonts w:ascii="Times New Roman" w:eastAsia="Times New Roman" w:hAnsi="Times New Roman" w:cs="Times New Roman"/>
              </w:rPr>
              <w:t xml:space="preserve"> 2.0 (inclusiv viitoarele mecanisme</w:t>
            </w:r>
          </w:p>
          <w:p w14:paraId="5F39400A" w14:textId="25CE981A"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precum portofelul pentru identitatea digitală), fără a mai necesita intervenție de modificare tehnică a Legii nr.220/2007.</w:t>
            </w:r>
          </w:p>
          <w:p w14:paraId="325A962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Această propunere de simplificare terminologică urmează a fi aplicată ca regulă </w:t>
            </w:r>
            <w:r>
              <w:rPr>
                <w:rFonts w:ascii="Times New Roman" w:eastAsia="Times New Roman" w:hAnsi="Times New Roman" w:cs="Times New Roman"/>
              </w:rPr>
              <w:lastRenderedPageBreak/>
              <w:t>generală pentru tot textul proiectului de lege unde se face trimitere la Legea nr.124/2022.</w:t>
            </w:r>
          </w:p>
          <w:p w14:paraId="58400E51" w14:textId="5ADCC59D"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 Totodată, la același punct, propunem excluderea sintagmei „Platforma de dezvoltare a serviciilor </w:t>
            </w:r>
            <w:r w:rsidR="0089031C">
              <w:rPr>
                <w:rFonts w:ascii="Times New Roman" w:eastAsia="Times New Roman" w:hAnsi="Times New Roman" w:cs="Times New Roman"/>
              </w:rPr>
              <w:t>p</w:t>
            </w:r>
            <w:r>
              <w:rPr>
                <w:rFonts w:ascii="Times New Roman" w:eastAsia="Times New Roman" w:hAnsi="Times New Roman" w:cs="Times New Roman"/>
              </w:rPr>
              <w:t>ublice (PDSE)”.</w:t>
            </w:r>
          </w:p>
          <w:p w14:paraId="2C722EB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Menționarea PDSE în context reprezintă o specificare strict tehnică, de infrastructură internă (back-</w:t>
            </w:r>
            <w:proofErr w:type="spellStart"/>
            <w:r>
              <w:rPr>
                <w:rFonts w:ascii="Times New Roman" w:eastAsia="Times New Roman" w:hAnsi="Times New Roman" w:cs="Times New Roman"/>
              </w:rPr>
              <w:t>office</w:t>
            </w:r>
            <w:proofErr w:type="spellEnd"/>
            <w:r>
              <w:rPr>
                <w:rFonts w:ascii="Times New Roman" w:eastAsia="Times New Roman" w:hAnsi="Times New Roman" w:cs="Times New Roman"/>
              </w:rPr>
              <w:t xml:space="preserve">). </w:t>
            </w:r>
          </w:p>
          <w:p w14:paraId="3375FA0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Din perspectiva tehnicii legislative și a corectitudinii de business, o lege primară nu trebuie să reglementeze denumirile instrumentelor software din spatele fluxurilor guvernamentale, deoarece acestea au un caracter volatil, sunt supuse modernizării tehnologice continue și pot fi modificate sau înlocuite fără ca acest fapt să afecteze drepturile beneficiarilor.</w:t>
            </w:r>
          </w:p>
          <w:p w14:paraId="5006453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Sub aspectul relației dintre stat și mediul de afaceri (G2B), elementul esențial și generator de efecte juridice este punctul unic de contact și interfața utilizată de antreprenori, adică Portalul guvernamental integrat EVO. Pentru cetățeni și investitori, Portalul EVO constituie ghișeul unic de interacțiune în raport cu autoritățile statului, fiind irelevant prin ce soluții tehnice colaterale (cum este PDSE) sunt </w:t>
            </w:r>
            <w:proofErr w:type="spellStart"/>
            <w:r>
              <w:rPr>
                <w:rFonts w:ascii="Times New Roman" w:eastAsia="Times New Roman" w:hAnsi="Times New Roman" w:cs="Times New Roman"/>
              </w:rPr>
              <w:t>rutate</w:t>
            </w:r>
            <w:proofErr w:type="spellEnd"/>
            <w:r>
              <w:rPr>
                <w:rFonts w:ascii="Times New Roman" w:eastAsia="Times New Roman" w:hAnsi="Times New Roman" w:cs="Times New Roman"/>
              </w:rPr>
              <w:t xml:space="preserve"> datele de către portal.</w:t>
            </w:r>
          </w:p>
          <w:p w14:paraId="1B9B662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Mai mult decât atât, această abordare simplificată este pe deplin aliniată la cerințele de calitate și transparență impuse de Regulamentul (UE) 2018/1724 privind portalul digital unic (Single Digital Gateway), care se va aplica direct în viitorul apropiat în raport cu funcționalitățile </w:t>
            </w:r>
            <w:r>
              <w:rPr>
                <w:rFonts w:ascii="Times New Roman" w:eastAsia="Times New Roman" w:hAnsi="Times New Roman" w:cs="Times New Roman"/>
              </w:rPr>
              <w:lastRenderedPageBreak/>
              <w:t>Portalului EVO. Regulamentul european pune accentul exclusiv pe asigurarea accesului facil al utilizatorilor la procedurile online de depunere a cererilor și a documentelor aferente prestării serviciilor publice printr-un portal unificat, fără a condiționa sau încărca textul legal cu arhitecturile informatice interne ale statelor membre.</w:t>
            </w:r>
          </w:p>
          <w:p w14:paraId="33AA4E4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Această propunere de simplificare terminologică urmează a fi aplicată ca regulă generală pentru tot textul proiectului de lege unde se face trimitere cumulativă la PDSE și Portalul EVO.</w:t>
            </w:r>
          </w:p>
          <w:p w14:paraId="278962B8" w14:textId="2C98399E" w:rsidR="0072652F" w:rsidRDefault="00000000">
            <w:pPr>
              <w:jc w:val="both"/>
              <w:rPr>
                <w:rFonts w:ascii="Times New Roman" w:eastAsia="Times New Roman" w:hAnsi="Times New Roman" w:cs="Times New Roman"/>
              </w:rPr>
            </w:pPr>
            <w:r>
              <w:rPr>
                <w:rFonts w:ascii="Times New Roman" w:eastAsia="Times New Roman" w:hAnsi="Times New Roman" w:cs="Times New Roman"/>
              </w:rPr>
              <w:t>În conformitate cu cele menționate, propunem următoarea redacție a Art.</w:t>
            </w:r>
            <w:r w:rsidR="0089031C">
              <w:rPr>
                <w:rFonts w:ascii="Times New Roman" w:eastAsia="Times New Roman" w:hAnsi="Times New Roman" w:cs="Times New Roman"/>
              </w:rPr>
              <w:t xml:space="preserve"> </w:t>
            </w:r>
            <w:r>
              <w:rPr>
                <w:rFonts w:ascii="Times New Roman" w:eastAsia="Times New Roman" w:hAnsi="Times New Roman" w:cs="Times New Roman"/>
              </w:rPr>
              <w:t>IV pct.8 subpct.1) din proiectul de lege, cu referire la art.8 alin.(1) lit.</w:t>
            </w:r>
            <w:r w:rsidR="0089031C">
              <w:rPr>
                <w:rFonts w:ascii="Times New Roman" w:eastAsia="Times New Roman" w:hAnsi="Times New Roman" w:cs="Times New Roman"/>
              </w:rPr>
              <w:t xml:space="preserve"> </w:t>
            </w:r>
            <w:r>
              <w:rPr>
                <w:rFonts w:ascii="Times New Roman" w:eastAsia="Times New Roman" w:hAnsi="Times New Roman" w:cs="Times New Roman"/>
              </w:rPr>
              <w:t>a) din Legea nr.220/2007:</w:t>
            </w:r>
          </w:p>
          <w:p w14:paraId="5C9CE26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„litera a) va avea următorul cuprins:</w:t>
            </w:r>
          </w:p>
          <w:p w14:paraId="09A6F7D8" w14:textId="77777777" w:rsidR="0072652F" w:rsidRDefault="00000000">
            <w:pPr>
              <w:jc w:val="both"/>
              <w:rPr>
                <w:rFonts w:ascii="Times New Roman" w:eastAsia="Times New Roman" w:hAnsi="Times New Roman" w:cs="Times New Roman"/>
                <w:i/>
                <w:iCs/>
              </w:rPr>
            </w:pPr>
            <w:r>
              <w:rPr>
                <w:rFonts w:ascii="Times New Roman" w:eastAsia="Times New Roman" w:hAnsi="Times New Roman" w:cs="Times New Roman"/>
                <w:i/>
                <w:iCs/>
              </w:rPr>
              <w:t>„a) fie se transmit organului înregistrării de stat în formă de documente electronice semnate cu semnătura electronică, eliberată în condițiile cadrului normativ privind identificarea electronică și serviciile de încredere, prin intermediul Portalului guvernamental integrat EVO;”;</w:t>
            </w:r>
          </w:p>
          <w:p w14:paraId="657ECC31" w14:textId="77777777" w:rsidR="0072652F" w:rsidRDefault="0072652F">
            <w:pPr>
              <w:jc w:val="both"/>
              <w:rPr>
                <w:rFonts w:ascii="Times New Roman" w:eastAsia="Times New Roman" w:hAnsi="Times New Roman" w:cs="Times New Roman"/>
              </w:rPr>
            </w:pPr>
          </w:p>
          <w:p w14:paraId="4C6C72E1"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c>
          <w:tcPr>
            <w:tcW w:w="5505" w:type="dxa"/>
          </w:tcPr>
          <w:p w14:paraId="777FFDF9"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043F2A4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5C4FFE27" w14:textId="77777777">
        <w:trPr>
          <w:trHeight w:val="240"/>
        </w:trPr>
        <w:tc>
          <w:tcPr>
            <w:tcW w:w="480" w:type="dxa"/>
            <w:vMerge/>
          </w:tcPr>
          <w:p w14:paraId="5CC48BB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7B30FE1D"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1918A6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67788D6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Cu referire la completările care modifică art. 8 alin. (2³) din Legea nr. 220/2007, este necesară reconfigurarea conceptuală și normativă a textului propus, în vederea alinierii acestuia la cadrul normativ imperativ care reglementează evidența, </w:t>
            </w:r>
            <w:r>
              <w:rPr>
                <w:rFonts w:ascii="Times New Roman" w:eastAsia="Times New Roman" w:hAnsi="Times New Roman" w:cs="Times New Roman"/>
              </w:rPr>
              <w:lastRenderedPageBreak/>
              <w:t>publicarea și livrarea informațiilor despre serviciile publice în Republica Moldova (Legea nr. 234/2021 cu privire la serviciile publice și Hotărârea Guvernului nr. 169/2021 cu privire la Registrul de stat al serviciilor publice).</w:t>
            </w:r>
          </w:p>
          <w:p w14:paraId="16D49FE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Textul actual din proiect limitează obligația organului înregistrării de stat la simpla plasare pe pagina web și în EVO a unor „formulare-tip de acte constitutive și formulare-tip de cereri”. O astfel de abordare este insuficientă din perspectiva transpunerii Regulamentului (UE) 2018/1724 (Single Digital Gateway), dar și contrară regulilor de business stabilite pentru ecosistemul digital guvernamental, din următoarele considerente:</w:t>
            </w:r>
          </w:p>
          <w:p w14:paraId="7607165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 Interdicția duplicării manuale a informațiilor și managementul datelor: Conform art. 11 alin. (3) din Legea nr. 234/2021 cu privire la serviciile publice, este interzisă prestarea serviciilor publice care nu sunt înregistrate în Registrul de stat al serviciilor publice (RSSP). Potrivit Conceptului SI RSSP, aprobat prin Hotărârea Guvernului nr. 169/2021, acest sistem este resursa unică de evidență și de acces al beneficiarilor la informațiile autentice despre servicii prin intermediul Portalului guvernamental integrat EVO. Conform pct. 22 din Conceptul menționat, fișa fiecărui serviciu public din RSSP conține deja tot complexul structurat de informații operaționale: tarife, termene, acte necesare, cadru normativ relevant, locații, </w:t>
            </w:r>
            <w:r>
              <w:rPr>
                <w:rFonts w:ascii="Times New Roman" w:eastAsia="Times New Roman" w:hAnsi="Times New Roman" w:cs="Times New Roman"/>
              </w:rPr>
              <w:lastRenderedPageBreak/>
              <w:t>modelele de formulare/cereri etc. Prin urmare, obligarea organului înregistrării de stat de a încărca și de a menține aceste formulare separat pe pagina sa web proprie contravine principiului unificării datelor de referință, eliminării redundanței și generează un risc major de necorelare a datelor (o actualizare a formularelor sau a cerințelor în RSSP nu se va reflecta simultan și pe site-ul organului înregistrării de stat);</w:t>
            </w:r>
          </w:p>
          <w:p w14:paraId="08F0F50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Garanția „sursei unice de adevăr” și sferă informațională extinsă (Alinierea la Single Digital Gateway): Pentru asigurarea cerințelor europene de calitate stabilite în raport cu Portalul EVO, beneficiarul (inclusiv cel transfrontalier) nu are nevoie doar de formulare izolate, ci de un set complet, coerent și predictibil de informații ghidate (procedură cap-la-cap).</w:t>
            </w:r>
          </w:p>
          <w:p w14:paraId="1EF3E25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Pentru a asigura o imagine instituțională clară, a elimina efortul de mentenanță dublă și a garanta cetățeanului accesul la o singură sursă de adevăr guvernamental, textul legii trebuie reconfigurat pe baza următoarei reguli de business:</w:t>
            </w:r>
          </w:p>
          <w:p w14:paraId="0D3EAED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1) La nivelul paginii web oficiale a organului înregistrării de stat: Se vor reflecta doar liste și informații sumare (denumire, scurtă descriere a serviciilor);</w:t>
            </w:r>
          </w:p>
          <w:p w14:paraId="38C677C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2) La nivelul de detaliu operativ (formulare, cereri, tarife, termene): Pagina web a organului de înregistrare de stat va redirecționa utilizatorul în mod direct și exclusiv către pagina oficială a serviciului public din Portalul guvernamental integrat </w:t>
            </w:r>
            <w:r>
              <w:rPr>
                <w:rFonts w:ascii="Times New Roman" w:eastAsia="Times New Roman" w:hAnsi="Times New Roman" w:cs="Times New Roman"/>
              </w:rPr>
              <w:lastRenderedPageBreak/>
              <w:t>EVO, consumând datele structurate generate automat din SI RSSP.</w:t>
            </w:r>
          </w:p>
          <w:p w14:paraId="30ECCE1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În vederea remedierii acestor deficiențe de arhitectură juridică și digitală, propunem reformularea art. 8 alin. (23) din Legea nr. 220/2007 în următorul cuprins:</w:t>
            </w:r>
          </w:p>
          <w:p w14:paraId="07AA9A21" w14:textId="77777777" w:rsidR="0072652F" w:rsidRDefault="00000000">
            <w:pPr>
              <w:jc w:val="both"/>
              <w:rPr>
                <w:rFonts w:ascii="Times New Roman" w:eastAsia="Times New Roman" w:hAnsi="Times New Roman" w:cs="Times New Roman"/>
                <w:i/>
                <w:iCs/>
              </w:rPr>
            </w:pPr>
            <w:r>
              <w:rPr>
                <w:rFonts w:ascii="Times New Roman" w:eastAsia="Times New Roman" w:hAnsi="Times New Roman" w:cs="Times New Roman"/>
                <w:i/>
                <w:iCs/>
              </w:rPr>
              <w:t>„(2³) Organul înregistrării de stat asigură publicarea și actualizarea continuă a informațiilor autentice aferente procedurilor de înregistrare, a formularelor-tip de acte constitutive și a formularelor-tip de cereri puse la dispoziția solicitanților, prin intermediul Portalului guvernamental integrat EVO, cel puțin în limbile română și engleză. Pagina web oficială a organului înregistrării de stat va asigura ghidarea sumară a utilizatorilor și redirecționarea directă a acestora către interfața dedicată a serviciului din Portalul guvernamental integrat EVO, în modul stabilit de Guvern.”</w:t>
            </w:r>
          </w:p>
          <w:p w14:paraId="36E794B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Suplimentar, atenționăm autorii proiectului că prezenta propunere de simplificare și unificare se află în strictă corelare cu prevederile Legii nr. 282/2024 privind libertatea de stabilire a prestatorilor de servicii și libertatea de a furniza servicii. Acest act normativ de importanță strategică desemnează în mod expres AGE în calitate de posesor al Ghișeului Unic Electronic.</w:t>
            </w:r>
          </w:p>
          <w:p w14:paraId="6D4026A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Având în vedere că acest ghișeu unic electronic național și transfrontalier se materializează de drept și de fapt prin Portalul guvernamental integrat EVO, este contraindicat ca textul modificat al Legii nr. 220/2007 să instituie obligații paralele de </w:t>
            </w:r>
            <w:r>
              <w:rPr>
                <w:rFonts w:ascii="Times New Roman" w:eastAsia="Times New Roman" w:hAnsi="Times New Roman" w:cs="Times New Roman"/>
              </w:rPr>
              <w:lastRenderedPageBreak/>
              <w:t>stocare și publicare a resurselor de ghidare pe site-ul propriu al organului înregistrării de stat. Pentru a respecta voința legislatorului din Legea nr. 282/2024, interfața utilizatorului (atât pentru afacerile autohtone, cât și pentru cele străine) trebuie concentrată exclusiv în Portalul EVO, eliminând fragmentarea informațiilor în mai multe resurse informaționale de stat;</w:t>
            </w:r>
          </w:p>
        </w:tc>
        <w:tc>
          <w:tcPr>
            <w:tcW w:w="5505" w:type="dxa"/>
          </w:tcPr>
          <w:p w14:paraId="5119065A"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4815916C" w14:textId="77777777" w:rsidR="0072652F" w:rsidRDefault="0072652F">
            <w:pPr>
              <w:shd w:val="clear" w:color="auto" w:fill="FFFFFF"/>
              <w:ind w:firstLine="20"/>
              <w:jc w:val="both"/>
              <w:rPr>
                <w:rFonts w:ascii="Times New Roman" w:eastAsia="Times New Roman" w:hAnsi="Times New Roman" w:cs="Times New Roman"/>
                <w:b/>
                <w:bCs/>
              </w:rPr>
            </w:pPr>
          </w:p>
          <w:p w14:paraId="7E78B732" w14:textId="77777777" w:rsidR="0072652F" w:rsidRDefault="00000000">
            <w:pPr>
              <w:shd w:val="clear" w:color="auto" w:fill="FFFFFF"/>
              <w:ind w:firstLine="20"/>
              <w:jc w:val="both"/>
              <w:rPr>
                <w:rFonts w:ascii="Times New Roman" w:eastAsia="Times New Roman" w:hAnsi="Times New Roman" w:cs="Times New Roman"/>
              </w:rPr>
            </w:pPr>
            <w:r>
              <w:rPr>
                <w:rFonts w:ascii="Times New Roman" w:eastAsia="Times New Roman" w:hAnsi="Times New Roman" w:cs="Times New Roman"/>
              </w:rPr>
              <w:t xml:space="preserve">Obligarea organului înregistrării de stat să reducă informația de pe pagina sa web oficială la simple liste și redirecționări către Portalul EVO este o măsură disproporționată, care afectează transparența </w:t>
            </w:r>
            <w:r>
              <w:rPr>
                <w:rFonts w:ascii="Times New Roman" w:eastAsia="Times New Roman" w:hAnsi="Times New Roman" w:cs="Times New Roman"/>
              </w:rPr>
              <w:lastRenderedPageBreak/>
              <w:t>instituțională a prestatorului în raport cu beneficiarii săi. Site-ul oficial rămâne prima resursă la care apelează cetățenii și mediul de afaceri, iar aceștia asociază direct serviciul de înregistrare a unităților de drept cu ASP, nu cu o platformă intermediară. În plus, ASP prestează și servicii care nu cad sub obligativitatea înregistrării în RSSP, astfel încât aplicarea regulii propuse ar duce la prezentarea serviciilor în volume și formate diferite pe același site (unele detaliate, altele reduse la link-uri), cu efect de fragmentare și confuzie. Separat, fișele de serviciu din EVO au o structură standardizată și predefinită, care nu acoperă specificul complex al procedurilor de înregistrare, nu oferă spațiu pentru condiții speciale de prestare sau excepții legale și tinde să grupeze mai multe servicii conexe într-o singură fișă. Or, unele servicii se divizează după complexitate, subcategorii sau termene de urgență, cu tarife distincte, iar site-ul ASP este singurul instrument capabil să detalieze predictibil matricea tarifară.</w:t>
            </w:r>
          </w:p>
          <w:p w14:paraId="7818E6A2" w14:textId="77777777" w:rsidR="0072652F" w:rsidRDefault="0072652F">
            <w:pPr>
              <w:shd w:val="clear" w:color="auto" w:fill="FFFFFF"/>
              <w:ind w:firstLine="20"/>
              <w:jc w:val="both"/>
              <w:rPr>
                <w:rFonts w:ascii="Times New Roman" w:eastAsia="Times New Roman" w:hAnsi="Times New Roman" w:cs="Times New Roman"/>
              </w:rPr>
            </w:pPr>
          </w:p>
          <w:p w14:paraId="6E54BD39" w14:textId="77777777" w:rsidR="0072652F" w:rsidRDefault="00000000">
            <w:pPr>
              <w:shd w:val="clear" w:color="auto" w:fill="FFFFFF"/>
              <w:ind w:firstLine="20"/>
              <w:jc w:val="both"/>
              <w:rPr>
                <w:rFonts w:ascii="Times New Roman" w:eastAsia="Times New Roman" w:hAnsi="Times New Roman" w:cs="Times New Roman"/>
              </w:rPr>
            </w:pPr>
            <w:r>
              <w:rPr>
                <w:rFonts w:ascii="Times New Roman" w:eastAsia="Times New Roman" w:hAnsi="Times New Roman" w:cs="Times New Roman"/>
              </w:rPr>
              <w:t xml:space="preserve">Soluția corectă nu este interzicerea publicării, ci sincronizarea. Datele (tarife, termene, formulare, acte necesare) se introduc o singură dată în RSSP, dar devin vizibile instantaneu atât în Portalul EVO, cât și pe pagina web a prestatorului, prin consumarea automată a acelorași date structurate. Această abordare atinge integral obiectivele invocate de AGE, adică sursa unică de adevăr, eliminarea mentenanței duble, înlăturarea riscului de necorelare a datelor și conformitatea cu cerințele Regulamentului (UE) 2018/1724 și ale Legii nr. 282/2024, fără a sacrifica rolul informațional legitim al organului înregistrării de stat. </w:t>
            </w:r>
          </w:p>
          <w:p w14:paraId="43EC34F5" w14:textId="77777777" w:rsidR="0072652F" w:rsidRDefault="0072652F">
            <w:pPr>
              <w:shd w:val="clear" w:color="auto" w:fill="FFFFFF"/>
              <w:ind w:firstLine="20"/>
              <w:jc w:val="both"/>
              <w:rPr>
                <w:rFonts w:ascii="Times New Roman" w:eastAsia="Times New Roman" w:hAnsi="Times New Roman" w:cs="Times New Roman"/>
                <w:b/>
                <w:bCs/>
              </w:rPr>
            </w:pPr>
          </w:p>
          <w:p w14:paraId="57B88194" w14:textId="77777777" w:rsidR="0072652F" w:rsidRDefault="0072652F">
            <w:pPr>
              <w:pBdr>
                <w:top w:val="nil"/>
                <w:left w:val="nil"/>
                <w:bottom w:val="nil"/>
                <w:right w:val="nil"/>
                <w:between w:val="nil"/>
              </w:pBdr>
              <w:jc w:val="both"/>
              <w:rPr>
                <w:rFonts w:ascii="Times New Roman" w:eastAsia="Times New Roman" w:hAnsi="Times New Roman" w:cs="Times New Roman"/>
                <w:b/>
                <w:bCs/>
                <w:shd w:val="clear" w:color="auto" w:fill="DD7E6B"/>
              </w:rPr>
            </w:pPr>
          </w:p>
        </w:tc>
      </w:tr>
      <w:tr w:rsidR="0072652F" w14:paraId="306B19E6" w14:textId="77777777">
        <w:trPr>
          <w:trHeight w:val="240"/>
        </w:trPr>
        <w:tc>
          <w:tcPr>
            <w:tcW w:w="480" w:type="dxa"/>
            <w:vMerge/>
          </w:tcPr>
          <w:p w14:paraId="03D613E2"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46C5864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2BD9FC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5FA72F1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La </w:t>
            </w:r>
            <w:r>
              <w:rPr>
                <w:rFonts w:ascii="Times New Roman" w:eastAsia="Times New Roman" w:hAnsi="Times New Roman" w:cs="Times New Roman"/>
                <w:b/>
                <w:bCs/>
              </w:rPr>
              <w:t>pct. 12</w:t>
            </w:r>
            <w:r>
              <w:rPr>
                <w:rFonts w:ascii="Times New Roman" w:eastAsia="Times New Roman" w:hAnsi="Times New Roman" w:cs="Times New Roman"/>
              </w:rPr>
              <w:t>, se va exclude acronimul „</w:t>
            </w:r>
            <w:proofErr w:type="spellStart"/>
            <w:r>
              <w:rPr>
                <w:rFonts w:ascii="Times New Roman" w:eastAsia="Times New Roman" w:hAnsi="Times New Roman" w:cs="Times New Roman"/>
              </w:rPr>
              <w:t>MConnect</w:t>
            </w:r>
            <w:proofErr w:type="spellEnd"/>
            <w:r>
              <w:rPr>
                <w:rFonts w:ascii="Times New Roman" w:eastAsia="Times New Roman" w:hAnsi="Times New Roman" w:cs="Times New Roman"/>
              </w:rPr>
              <w:t>”, păstrând denumirea neutră și generală stabilită de Legea nr.142/2018 cu privire la schimbul de date și interoperabilitate în cazul referințelor la platforma de interoperabilitate (</w:t>
            </w:r>
            <w:proofErr w:type="spellStart"/>
            <w:r>
              <w:rPr>
                <w:rFonts w:ascii="Times New Roman" w:eastAsia="Times New Roman" w:hAnsi="Times New Roman" w:cs="Times New Roman"/>
              </w:rPr>
              <w:t>MConnect</w:t>
            </w:r>
            <w:proofErr w:type="spellEnd"/>
            <w:r>
              <w:rPr>
                <w:rFonts w:ascii="Times New Roman" w:eastAsia="Times New Roman" w:hAnsi="Times New Roman" w:cs="Times New Roman"/>
              </w:rPr>
              <w:t>) la nivel de cadrul normativ primar (legi);</w:t>
            </w:r>
          </w:p>
        </w:tc>
        <w:tc>
          <w:tcPr>
            <w:tcW w:w="5505" w:type="dxa"/>
          </w:tcPr>
          <w:p w14:paraId="2BC58B99"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5489400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68AA9F3C" w14:textId="77777777">
        <w:trPr>
          <w:trHeight w:val="240"/>
        </w:trPr>
        <w:tc>
          <w:tcPr>
            <w:tcW w:w="480" w:type="dxa"/>
            <w:vMerge/>
          </w:tcPr>
          <w:p w14:paraId="17CD6AF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3E8D5A7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4FD4BE8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2F9D3FF1"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La </w:t>
            </w:r>
            <w:r>
              <w:rPr>
                <w:rFonts w:ascii="Times New Roman" w:eastAsia="Times New Roman" w:hAnsi="Times New Roman" w:cs="Times New Roman"/>
                <w:b/>
                <w:bCs/>
              </w:rPr>
              <w:t>pct. 34</w:t>
            </w:r>
            <w:r>
              <w:rPr>
                <w:rFonts w:ascii="Times New Roman" w:eastAsia="Times New Roman" w:hAnsi="Times New Roman" w:cs="Times New Roman"/>
              </w:rPr>
              <w:t>:</w:t>
            </w:r>
          </w:p>
          <w:p w14:paraId="3EAADBA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[1] - în corelare cu Legea nr.109/2025 cu privire la datele deschise și reutilizarea informațiilor din sectorul public, alin.(1) se va completa după textul „cu privire la registre” cu textul „cu privire la datele deschise și reutilizarea informațiilor din sectorul public,”;</w:t>
            </w:r>
          </w:p>
          <w:p w14:paraId="3BB9DDC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[2] - în partea ce ține de redacția propusă pentru alin. (5) și (6), atragem atenția asupra necesității revizuirii acestor norme din considerentul inconsistențelor cu prevederile art. 29 alin.(3³) din Legea nr. 71/2007 cu privire la registre. Astfel, autorul în cele două alineate folosește termeni multipli cum ar fi: „documente electronice descărcate”, „copii și extrase în format electronic”, „copii certificate a documentului păstrat în registru”, care în esență definesc același </w:t>
            </w:r>
            <w:r>
              <w:rPr>
                <w:rFonts w:ascii="Times New Roman" w:eastAsia="Times New Roman" w:hAnsi="Times New Roman" w:cs="Times New Roman"/>
              </w:rPr>
              <w:lastRenderedPageBreak/>
              <w:t>lucru și anume „documente electronice ce conțin date din registru”;</w:t>
            </w:r>
          </w:p>
        </w:tc>
        <w:tc>
          <w:tcPr>
            <w:tcW w:w="5505" w:type="dxa"/>
          </w:tcPr>
          <w:p w14:paraId="647EE187"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Se acceptă.</w:t>
            </w:r>
          </w:p>
          <w:p w14:paraId="729EF2F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56DD239C" w14:textId="77777777" w:rsidR="0072652F" w:rsidRDefault="0072652F">
            <w:pPr>
              <w:jc w:val="both"/>
              <w:rPr>
                <w:rFonts w:ascii="Times New Roman" w:eastAsia="Times New Roman" w:hAnsi="Times New Roman" w:cs="Times New Roman"/>
              </w:rPr>
            </w:pPr>
          </w:p>
          <w:p w14:paraId="7CAC04F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6E485EA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Documentele electronice, copiile și extrasele menționate în proiectul de lege sunt varietăți ale „documentelor electronice ce conțin date din registru”, respectiv. Este important, din perspectiva transpunerii Directivei și a utilizatorilor, ca aceste documente să aibă denumirile clasice în materie de registre. </w:t>
            </w:r>
          </w:p>
          <w:p w14:paraId="69636F73" w14:textId="77777777" w:rsidR="0072652F" w:rsidRDefault="0072652F">
            <w:pPr>
              <w:jc w:val="both"/>
              <w:rPr>
                <w:rFonts w:ascii="Times New Roman" w:eastAsia="Times New Roman" w:hAnsi="Times New Roman" w:cs="Times New Roman"/>
              </w:rPr>
            </w:pPr>
          </w:p>
          <w:p w14:paraId="26B77FB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Noțiunile Legii nr. 220/2007 sunt speciale și se înscriu în noțiunea generică a Legii nr. 71/2007.</w:t>
            </w:r>
          </w:p>
        </w:tc>
      </w:tr>
      <w:tr w:rsidR="0072652F" w14:paraId="3C7D37FC" w14:textId="77777777">
        <w:trPr>
          <w:trHeight w:val="240"/>
        </w:trPr>
        <w:tc>
          <w:tcPr>
            <w:tcW w:w="480" w:type="dxa"/>
            <w:vMerge/>
          </w:tcPr>
          <w:p w14:paraId="74ABBD40"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7B883523"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336B675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3A68568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La </w:t>
            </w:r>
            <w:r>
              <w:rPr>
                <w:rFonts w:ascii="Times New Roman" w:eastAsia="Times New Roman" w:hAnsi="Times New Roman" w:cs="Times New Roman"/>
                <w:b/>
                <w:bCs/>
              </w:rPr>
              <w:t>pct. 38</w:t>
            </w:r>
            <w:r>
              <w:rPr>
                <w:rFonts w:ascii="Times New Roman" w:eastAsia="Times New Roman" w:hAnsi="Times New Roman" w:cs="Times New Roman"/>
              </w:rPr>
              <w:t>, în partea ce ține de completarea legii cu art. 38¹, în special sarcinile delegate AGE la alin.(5), ținem să menționăm că mandatul delegat prin Legea nr. 142/2018 cu privire la schimbul de date și interoperabilitate și Hotărârea Guvernului nr. 211/2019 privind platforma de interoperabilitate (</w:t>
            </w:r>
            <w:proofErr w:type="spellStart"/>
            <w:r>
              <w:rPr>
                <w:rFonts w:ascii="Times New Roman" w:eastAsia="Times New Roman" w:hAnsi="Times New Roman" w:cs="Times New Roman"/>
              </w:rPr>
              <w:t>MConnect</w:t>
            </w:r>
            <w:proofErr w:type="spellEnd"/>
            <w:r>
              <w:rPr>
                <w:rFonts w:ascii="Times New Roman" w:eastAsia="Times New Roman" w:hAnsi="Times New Roman" w:cs="Times New Roman"/>
              </w:rPr>
              <w:t>) este de a asigura funcționarea platformei în cauză și nu asigura de a asigura interoperabilitatea cu alte resurse și sisteme informaționale, or asemenea sarcini în conformitate cu prevederile cadrului normativ menționat revin posesorului resursei sau sistemului informațional. În aceeași ordine de idei, remarcăm că sarcinile aferente „creării punctelor de acces opționale la sistemul BRIS” depășesc mandatul stabilit de Legea nr. 142/2018 și statutul AGE.</w:t>
            </w:r>
          </w:p>
          <w:p w14:paraId="4FCCAF1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Considerăm că această atribuție ar trebui să revină organului de înregistrare de stat, în calitate de deținător al Registrului de stat al unităților de drept. Un punct de acces opțional este, în esență, o cale suplimentară prin care publicul accesează datele din registru. A-l constitui înseamnă a expune aceste date prin canale electronice noi — o operațiune strâns legată de funcția de furnizare a informației și de exploatare a registrului, funcții care îi revin organului înregistrării de stat. Aceasta asigură funcționarea registrului și eliberează informația și extrasele din acesta. A atribui </w:t>
            </w:r>
            <w:r>
              <w:rPr>
                <w:rFonts w:ascii="Times New Roman" w:eastAsia="Times New Roman" w:hAnsi="Times New Roman" w:cs="Times New Roman"/>
              </w:rPr>
              <w:lastRenderedPageBreak/>
              <w:t>constituirea punctelor de acces unei alte autorități ar separa interfața de acces de baza de date pe care o expune și ar fragmenta responsabilitatea asupra aceluiași registru.</w:t>
            </w:r>
          </w:p>
          <w:p w14:paraId="7A66FA9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Suplimentar, Regulamentul de punere în aplicare (UE) 2021/1042 prevede că fiecare parte răspunde pentru segmentul aflat sub controlul său tehnic și că punctele de acces opționale nu trebuie să afecteze securitatea și buna funcționare a BRIS. Răspunderea pentru datele expuse printr-un punct de acces nu poate fi desprinsă de răspunderea pentru registrul-sursă, care revine deja organului înregistrării de stat. În caz contrar, o autoritate ar constitui interfața, iar alta ar răspunde de date, ceea ce ar genera responsabilități neclare față de Comisia Europeană și față de public.</w:t>
            </w:r>
          </w:p>
          <w:p w14:paraId="5BA7A9B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Totodată, nici Art. VII (intrarea în vigoare) din proiectul de lege și nici în Nota de fundamentare nu specifică termene pentru implementare unor asemenea sarcini și nici nu estimează costurile necesare implementării, fapt ce contravine principiilor și mecanismului de elaborare și adoptare a actelor normative stabilite de Legea nr. 100/2017 cu privire la actele normative și nu derivă din normele Directivei (UE) 2017/1132 a Parlamentului European și a Consiliului din 14 iunie 2017 privind anumite aspecte ale dreptului societăților comerciale, publicată în Jurnalul Oficial al Uniunii Europene L 169/46 din 30 iunie 2017, CELEX 32017L1132, astfel cum a fost modificată ultima dată prin </w:t>
            </w:r>
            <w:r>
              <w:rPr>
                <w:rFonts w:ascii="Times New Roman" w:eastAsia="Times New Roman" w:hAnsi="Times New Roman" w:cs="Times New Roman"/>
              </w:rPr>
              <w:lastRenderedPageBreak/>
              <w:t>Regulamentul (UE) 2021/23 al Parlamentului European și al Consiliului din 16 decembrie 2020.</w:t>
            </w:r>
          </w:p>
        </w:tc>
        <w:tc>
          <w:tcPr>
            <w:tcW w:w="5505" w:type="dxa"/>
          </w:tcPr>
          <w:p w14:paraId="4A27139F"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Se acceptă parțial.</w:t>
            </w:r>
          </w:p>
          <w:p w14:paraId="5828867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introduce capitolul VIII, art. 38</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care reglementează participarea Registrului de Stat la sistemul BRIS. S-a adăugat atât AGE, cât și organul înregistrării de stat, dar cu mențiunea „în limitele competenței”. Scopul nu este de adăugarea AGE a unei competențe care nu se înscrie în cadrul normativ actual, ci de a sublinia rolul tehnic al AGE, pentru a asigura interacțiunea platformei de interoperabilitate cu BRIS, astfel cum prevede pct. 30, </w:t>
            </w:r>
            <w:proofErr w:type="spellStart"/>
            <w:r>
              <w:rPr>
                <w:rFonts w:ascii="Times New Roman" w:eastAsia="Times New Roman" w:hAnsi="Times New Roman" w:cs="Times New Roman"/>
              </w:rPr>
              <w:t>subpct</w:t>
            </w:r>
            <w:proofErr w:type="spellEnd"/>
            <w:r>
              <w:rPr>
                <w:rFonts w:ascii="Times New Roman" w:eastAsia="Times New Roman" w:hAnsi="Times New Roman" w:cs="Times New Roman"/>
              </w:rPr>
              <w:t>. 7</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din Conceptul SI RSUD (anexa nr. 1 la HG nr. 955/2022)</w:t>
            </w:r>
          </w:p>
          <w:p w14:paraId="25BA6210" w14:textId="77777777" w:rsidR="0072652F" w:rsidRDefault="0072652F">
            <w:pPr>
              <w:jc w:val="both"/>
              <w:rPr>
                <w:rFonts w:ascii="Times New Roman" w:eastAsia="Times New Roman" w:hAnsi="Times New Roman" w:cs="Times New Roman"/>
                <w:b/>
                <w:bCs/>
              </w:rPr>
            </w:pPr>
          </w:p>
          <w:p w14:paraId="7A50BE7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Se acceptă.</w:t>
            </w:r>
          </w:p>
          <w:p w14:paraId="06A73C4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58C095C2" w14:textId="77777777" w:rsidR="0072652F" w:rsidRDefault="0072652F">
            <w:pPr>
              <w:jc w:val="both"/>
              <w:rPr>
                <w:rFonts w:ascii="Times New Roman" w:eastAsia="Times New Roman" w:hAnsi="Times New Roman" w:cs="Times New Roman"/>
              </w:rPr>
            </w:pPr>
          </w:p>
          <w:p w14:paraId="6F3E1A20" w14:textId="77777777" w:rsidR="0072652F" w:rsidRDefault="0072652F">
            <w:pPr>
              <w:jc w:val="both"/>
              <w:rPr>
                <w:rFonts w:ascii="Times New Roman" w:eastAsia="Times New Roman" w:hAnsi="Times New Roman" w:cs="Times New Roman"/>
              </w:rPr>
            </w:pPr>
          </w:p>
        </w:tc>
      </w:tr>
      <w:tr w:rsidR="0072652F" w14:paraId="73E50C26" w14:textId="77777777">
        <w:trPr>
          <w:trHeight w:val="240"/>
        </w:trPr>
        <w:tc>
          <w:tcPr>
            <w:tcW w:w="480" w:type="dxa"/>
            <w:vMerge/>
          </w:tcPr>
          <w:p w14:paraId="2AD989DA"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530" w:type="dxa"/>
            <w:vMerge/>
          </w:tcPr>
          <w:p w14:paraId="768A38B9"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2FAF0AD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693EC64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Art. 38² alin. (2)</w:t>
            </w:r>
            <w:r>
              <w:rPr>
                <w:rFonts w:ascii="Times New Roman" w:eastAsia="Times New Roman" w:hAnsi="Times New Roman" w:cs="Times New Roman"/>
              </w:rPr>
              <w:t xml:space="preserve"> prevede că structura identificatorului EUID este aprobată de organul înregistrării de stat în conformitate cu art. 16 și, după caz, art. 29 alin. (4) din Directiva (UE) 2017/1132. Norma însă nu clarifică prin ce act normativ al organului înregistrării de stat se va aproba structura EUID, nici dacă aceasta va fi corelată cu IDNO-</w:t>
            </w:r>
            <w:proofErr w:type="spellStart"/>
            <w:r>
              <w:rPr>
                <w:rFonts w:ascii="Times New Roman" w:eastAsia="Times New Roman" w:hAnsi="Times New Roman" w:cs="Times New Roman"/>
              </w:rPr>
              <w:t>ul</w:t>
            </w:r>
            <w:proofErr w:type="spellEnd"/>
            <w:r>
              <w:rPr>
                <w:rFonts w:ascii="Times New Roman" w:eastAsia="Times New Roman" w:hAnsi="Times New Roman" w:cs="Times New Roman"/>
              </w:rPr>
              <w:t xml:space="preserve"> național din Registrul de stat al unităților de drept, în scopul asigurării interoperabilității cu registrele de stat existente. Atenționăm că EUID, potrivit art. 16 alin. (1) din Directiva (UE) 2017/1132, conține obligatoriu: codul de țară al statului, codul registrului național, numărul de înregistrare națională și, după caz, o caracteristică de unicitate. Or, numărul de înregistrare națională din componența EUID trebuie să fie identic cu IDNO (numărul de identificare de stat) deja atribuit persoanei juridice și prevăzut la art. 33 alin. (1) lit. d) din Legea nr. 220/2007, pentru a evita crearea unui identificator paralel.</w:t>
            </w:r>
          </w:p>
        </w:tc>
        <w:tc>
          <w:tcPr>
            <w:tcW w:w="5505" w:type="dxa"/>
          </w:tcPr>
          <w:p w14:paraId="284936C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Precizare.</w:t>
            </w:r>
          </w:p>
          <w:p w14:paraId="1BC872B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Tipul actului se determină conform statutului organului înregistrării de stat.</w:t>
            </w:r>
          </w:p>
        </w:tc>
      </w:tr>
      <w:tr w:rsidR="0072652F" w14:paraId="24819B62" w14:textId="77777777">
        <w:tc>
          <w:tcPr>
            <w:tcW w:w="480" w:type="dxa"/>
          </w:tcPr>
          <w:p w14:paraId="351006D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 xml:space="preserve">12 </w:t>
            </w:r>
          </w:p>
        </w:tc>
        <w:tc>
          <w:tcPr>
            <w:tcW w:w="1530" w:type="dxa"/>
          </w:tcPr>
          <w:p w14:paraId="42E240E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Consiliul Concurenței</w:t>
            </w:r>
          </w:p>
        </w:tc>
        <w:tc>
          <w:tcPr>
            <w:tcW w:w="1800" w:type="dxa"/>
          </w:tcPr>
          <w:p w14:paraId="7CE030C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3FBD681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Proiectul prevede modificarea mai multor acte normative inclusiv, Legea insolvabilității nr. 149/2012. Respectiv, în scopul asigurării recuperării creanței față de bugetul public național izvorâtă din obligativitatea imediată a recuperării unui ajutor de stat sau ajutor de </w:t>
            </w:r>
            <w:proofErr w:type="spellStart"/>
            <w:r>
              <w:rPr>
                <w:rFonts w:ascii="Times New Roman" w:eastAsia="Times New Roman" w:hAnsi="Times New Roman" w:cs="Times New Roman"/>
              </w:rPr>
              <w:t>minimis</w:t>
            </w:r>
            <w:proofErr w:type="spellEnd"/>
            <w:r>
              <w:rPr>
                <w:rFonts w:ascii="Times New Roman" w:eastAsia="Times New Roman" w:hAnsi="Times New Roman" w:cs="Times New Roman"/>
              </w:rPr>
              <w:t xml:space="preserve"> ilegal acordat unei întreprinderi beneficiare față de care s-a intentat procesul de insolvabilitate </w:t>
            </w:r>
            <w:r>
              <w:rPr>
                <w:rFonts w:ascii="Times New Roman" w:eastAsia="Times New Roman" w:hAnsi="Times New Roman" w:cs="Times New Roman"/>
              </w:rPr>
              <w:lastRenderedPageBreak/>
              <w:t xml:space="preserve">care este impusă de Legea cu privire la ajutorul de stat nr. 139/2012, este </w:t>
            </w:r>
            <w:proofErr w:type="spellStart"/>
            <w:r>
              <w:rPr>
                <w:rFonts w:ascii="Times New Roman" w:eastAsia="Times New Roman" w:hAnsi="Times New Roman" w:cs="Times New Roman"/>
              </w:rPr>
              <w:t>judicious</w:t>
            </w:r>
            <w:proofErr w:type="spellEnd"/>
            <w:r>
              <w:rPr>
                <w:rFonts w:ascii="Times New Roman" w:eastAsia="Times New Roman" w:hAnsi="Times New Roman" w:cs="Times New Roman"/>
              </w:rPr>
              <w:t xml:space="preserve"> de a fi completată norma art. 43 alin. (2) pct. 3) din Legea insolvabilității nr. 149/2012 cu textul „ , inclusiv care vizează ajutorul de stat sau ajutorul de </w:t>
            </w:r>
            <w:proofErr w:type="spellStart"/>
            <w:r>
              <w:rPr>
                <w:rFonts w:ascii="Times New Roman" w:eastAsia="Times New Roman" w:hAnsi="Times New Roman" w:cs="Times New Roman"/>
              </w:rPr>
              <w:t>minimis</w:t>
            </w:r>
            <w:proofErr w:type="spellEnd"/>
            <w:r>
              <w:rPr>
                <w:rFonts w:ascii="Times New Roman" w:eastAsia="Times New Roman" w:hAnsi="Times New Roman" w:cs="Times New Roman"/>
              </w:rPr>
              <w:t xml:space="preserve"> necesar a fi recuperat”. </w:t>
            </w:r>
          </w:p>
        </w:tc>
        <w:tc>
          <w:tcPr>
            <w:tcW w:w="5505" w:type="dxa"/>
          </w:tcPr>
          <w:p w14:paraId="604E192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2F29051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Completarea depășește materia Directivei și a proiectului de lege.</w:t>
            </w:r>
          </w:p>
          <w:p w14:paraId="53B4A469"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414294F"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7C8B8924" w14:textId="77777777">
        <w:trPr>
          <w:trHeight w:val="240"/>
        </w:trPr>
        <w:tc>
          <w:tcPr>
            <w:tcW w:w="480" w:type="dxa"/>
            <w:vMerge w:val="restart"/>
          </w:tcPr>
          <w:p w14:paraId="1B32D6B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13</w:t>
            </w:r>
          </w:p>
        </w:tc>
        <w:tc>
          <w:tcPr>
            <w:tcW w:w="1530" w:type="dxa"/>
            <w:vMerge w:val="restart"/>
          </w:tcPr>
          <w:p w14:paraId="08641BB3" w14:textId="76967304"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Grupul de lucru al Comisiei de stat pentru reglementarea activității de întreprinzător</w:t>
            </w:r>
          </w:p>
        </w:tc>
        <w:tc>
          <w:tcPr>
            <w:tcW w:w="11790" w:type="dxa"/>
            <w:gridSpan w:val="3"/>
          </w:tcPr>
          <w:p w14:paraId="0387671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Nota de fundamentare</w:t>
            </w:r>
          </w:p>
        </w:tc>
      </w:tr>
      <w:tr w:rsidR="0072652F" w14:paraId="059C0C99" w14:textId="77777777" w:rsidTr="0089031C">
        <w:trPr>
          <w:trHeight w:val="5576"/>
        </w:trPr>
        <w:tc>
          <w:tcPr>
            <w:tcW w:w="480" w:type="dxa"/>
            <w:vMerge/>
          </w:tcPr>
          <w:p w14:paraId="1019207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2EFF4EC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37DB7B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58FE4471" w14:textId="77777777" w:rsidR="0072652F" w:rsidRDefault="0072652F">
            <w:pPr>
              <w:jc w:val="both"/>
              <w:rPr>
                <w:rFonts w:ascii="Times New Roman" w:eastAsia="Times New Roman" w:hAnsi="Times New Roman" w:cs="Times New Roman"/>
              </w:rPr>
            </w:pPr>
          </w:p>
          <w:tbl>
            <w:tblPr>
              <w:tblStyle w:val="a0"/>
              <w:tblW w:w="48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75"/>
            </w:tblGrid>
            <w:tr w:rsidR="0072652F" w14:paraId="3121178E" w14:textId="77777777">
              <w:trPr>
                <w:trHeight w:val="8670"/>
              </w:trPr>
              <w:tc>
                <w:tcPr>
                  <w:tcW w:w="4875" w:type="dxa"/>
                  <w:tcBorders>
                    <w:top w:val="nil"/>
                    <w:left w:val="nil"/>
                    <w:bottom w:val="nil"/>
                    <w:right w:val="nil"/>
                  </w:tcBorders>
                  <w:tcMar>
                    <w:top w:w="0" w:type="dxa"/>
                    <w:left w:w="180" w:type="dxa"/>
                    <w:bottom w:w="0" w:type="dxa"/>
                    <w:right w:w="180" w:type="dxa"/>
                  </w:tcMar>
                </w:tcPr>
                <w:p w14:paraId="2D949624" w14:textId="77777777" w:rsidR="0072652F" w:rsidRDefault="00000000">
                  <w:pPr>
                    <w:spacing w:after="0" w:line="240" w:lineRule="auto"/>
                    <w:ind w:left="-180" w:right="375"/>
                    <w:jc w:val="both"/>
                    <w:rPr>
                      <w:rFonts w:ascii="Times New Roman" w:eastAsia="Times New Roman" w:hAnsi="Times New Roman" w:cs="Times New Roman"/>
                    </w:rPr>
                  </w:pPr>
                  <w:r>
                    <w:rPr>
                      <w:rFonts w:ascii="Times New Roman" w:eastAsia="Times New Roman" w:hAnsi="Times New Roman" w:cs="Times New Roman"/>
                    </w:rPr>
                    <w:lastRenderedPageBreak/>
                    <w:t xml:space="preserve">[1] Cu privire la </w:t>
                  </w:r>
                  <w:r>
                    <w:rPr>
                      <w:rFonts w:ascii="Times New Roman" w:eastAsia="Times New Roman" w:hAnsi="Times New Roman" w:cs="Times New Roman"/>
                      <w:b/>
                      <w:bCs/>
                    </w:rPr>
                    <w:t>p. 2.2</w:t>
                  </w:r>
                  <w:r>
                    <w:rPr>
                      <w:rFonts w:ascii="Times New Roman" w:eastAsia="Times New Roman" w:hAnsi="Times New Roman" w:cs="Times New Roman"/>
                    </w:rPr>
                    <w:t>, nota descrie situația normativă actuală și problemele de transpunere. Este indicat gradul de transpunere a Directivei, inclusiv articolele transpuse integral, parțial sau netranspuse, precum și proiectele legislative conexe. Pentru un proiect cu relevanță UE, această abordare este, în principiu, suficientă. Totuși, se recomandă completarea, în măsura disponibilității datelor, cu informații privind categoriile de entități vizate, inclusiv societățile pe acțiuni, societățile cu răspundere limitată, sucursalele societăților străine, Agenția Servicii Publice și alte autorități implicate. Aceste informații ar contribui la reflectarea mai clară a situației naționale curente și a nivelului de pregătire pentru implementarea cerințelor europene.</w:t>
                  </w:r>
                </w:p>
                <w:p w14:paraId="3850BCEB" w14:textId="77777777" w:rsidR="0072652F" w:rsidRDefault="00000000">
                  <w:pPr>
                    <w:spacing w:after="0" w:line="240" w:lineRule="auto"/>
                    <w:ind w:left="-180" w:right="375"/>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b/>
                      <w:bCs/>
                    </w:rPr>
                    <w:t xml:space="preserve"> La capitolul 3</w:t>
                  </w:r>
                  <w:r>
                    <w:rPr>
                      <w:rFonts w:ascii="Times New Roman" w:eastAsia="Times New Roman" w:hAnsi="Times New Roman" w:cs="Times New Roman"/>
                    </w:rPr>
                    <w:t>, obiectivele proiectului rezultă din obligația de transpunere a Directivei și din necesitatea ajustării legislației naționale la acquis-</w:t>
                  </w:r>
                  <w:proofErr w:type="spellStart"/>
                  <w:r>
                    <w:rPr>
                      <w:rFonts w:ascii="Times New Roman" w:eastAsia="Times New Roman" w:hAnsi="Times New Roman" w:cs="Times New Roman"/>
                    </w:rPr>
                    <w:t>ul</w:t>
                  </w:r>
                  <w:proofErr w:type="spellEnd"/>
                  <w:r>
                    <w:rPr>
                      <w:rFonts w:ascii="Times New Roman" w:eastAsia="Times New Roman" w:hAnsi="Times New Roman" w:cs="Times New Roman"/>
                    </w:rPr>
                    <w:t xml:space="preserve"> UE. În cazul proiectelor de transpunere, nu este obligatorie formularea obiectivelor în manieră detaliată și cuantificată, însă ar fi utilă evidențierea mai clară a obiectivelor urmărite, precum creșterea transparenței informațiilor corporative, facilitarea accesului publicului la documentele societare, asigurarea interoperabilității cu registrele europene și prevenirea exercitării funcțiilor de conducere de către persoane supuse interdicțiilor.</w:t>
                  </w:r>
                </w:p>
                <w:p w14:paraId="0C6C550C" w14:textId="77777777" w:rsidR="0072652F" w:rsidRDefault="00000000">
                  <w:pPr>
                    <w:spacing w:after="0" w:line="240" w:lineRule="auto"/>
                    <w:ind w:left="-180" w:right="375"/>
                    <w:jc w:val="both"/>
                    <w:rPr>
                      <w:rFonts w:ascii="Times New Roman" w:eastAsia="Times New Roman" w:hAnsi="Times New Roman" w:cs="Times New Roman"/>
                    </w:rPr>
                  </w:pPr>
                  <w:r>
                    <w:rPr>
                      <w:rFonts w:ascii="Times New Roman" w:eastAsia="Times New Roman" w:hAnsi="Times New Roman" w:cs="Times New Roman"/>
                    </w:rPr>
                    <w:t xml:space="preserve">[3] În ceea ce privește </w:t>
                  </w:r>
                  <w:r>
                    <w:rPr>
                      <w:rFonts w:ascii="Times New Roman" w:eastAsia="Times New Roman" w:hAnsi="Times New Roman" w:cs="Times New Roman"/>
                      <w:b/>
                      <w:bCs/>
                    </w:rPr>
                    <w:t>capitolul 4</w:t>
                  </w:r>
                  <w:r>
                    <w:rPr>
                      <w:rFonts w:ascii="Times New Roman" w:eastAsia="Times New Roman" w:hAnsi="Times New Roman" w:cs="Times New Roman"/>
                    </w:rPr>
                    <w:t xml:space="preserve">, nota reflectă principalele efecte ale proiectului, </w:t>
                  </w:r>
                  <w:r>
                    <w:rPr>
                      <w:rFonts w:ascii="Times New Roman" w:eastAsia="Times New Roman" w:hAnsi="Times New Roman" w:cs="Times New Roman"/>
                    </w:rPr>
                    <w:lastRenderedPageBreak/>
                    <w:t xml:space="preserve">însă se recomandă completarea argumentării privind impactul financiar și instituțional. Participarea la sistemul BRIS, publicarea informațiilor din RSPJ și schimbul electronic de date presupun adaptări tehnice, administrative și operaționale. În acest sens, ar fi oportună indicarea, cel puțin estimativă, a resurselor necesare pentru dezvoltarea sau ajustarea sistemelor informaționale, mentenanță, interoperabilitate, instruirea personalului și exercitarea noilor atribuții de către Agenția Servicii Publice. </w:t>
                  </w:r>
                </w:p>
                <w:p w14:paraId="33076063" w14:textId="77777777" w:rsidR="0072652F" w:rsidRDefault="0072652F">
                  <w:pPr>
                    <w:spacing w:after="0" w:line="240" w:lineRule="auto"/>
                    <w:ind w:left="-180" w:right="375"/>
                    <w:jc w:val="both"/>
                    <w:rPr>
                      <w:rFonts w:ascii="Times New Roman" w:eastAsia="Times New Roman" w:hAnsi="Times New Roman" w:cs="Times New Roman"/>
                    </w:rPr>
                  </w:pPr>
                </w:p>
                <w:p w14:paraId="162A0BD6" w14:textId="77777777" w:rsidR="0089031C" w:rsidRDefault="00000000" w:rsidP="0089031C">
                  <w:pPr>
                    <w:spacing w:after="0" w:line="240" w:lineRule="auto"/>
                    <w:ind w:left="-180" w:right="375"/>
                    <w:jc w:val="both"/>
                    <w:rPr>
                      <w:rFonts w:ascii="Times New Roman" w:eastAsia="Times New Roman" w:hAnsi="Times New Roman" w:cs="Times New Roman"/>
                    </w:rPr>
                  </w:pPr>
                  <w:r>
                    <w:rPr>
                      <w:rFonts w:ascii="Times New Roman" w:eastAsia="Times New Roman" w:hAnsi="Times New Roman" w:cs="Times New Roman"/>
                    </w:rPr>
                    <w:t xml:space="preserve">[4] Totodată, se recomandă completarea notei cu o descriere mai clară a efectelor asupra sectorului privat, inclusiv prin indicarea categoriilor de întreprinderi vizate și, după caz, a unor date estimative privind numărul de SRL, SA și sucursale ale societăților străine care vor fi afectate de noile cerințe. De asemenea, ar fi utilă evidențierea eventualelor costuri de conformare pentru întreprinderi, cum ar fi adaptarea actelor societare, actualizarea informațiilor în registru, respectarea noilor cerințe de publicitate și familiarizarea cu procedurile electronice. În același timp, nota ar trebui să reflecte mai explicit beneficiile pentru mediul de afaceri, inclusiv economiile generate. Având în vedere că proiectul transpune prevederi ale Directivei (UE) 2017/1132, nu este necesară o analiză detaliată a oportunității intervenției, însă este recomandabilă prezentarea nivelului de </w:t>
                  </w:r>
                  <w:r>
                    <w:rPr>
                      <w:rFonts w:ascii="Times New Roman" w:eastAsia="Times New Roman" w:hAnsi="Times New Roman" w:cs="Times New Roman"/>
                    </w:rPr>
                    <w:lastRenderedPageBreak/>
                    <w:t>pregătire și a efectelor practice asupra entităților privatizate.</w:t>
                  </w:r>
                </w:p>
                <w:p w14:paraId="3D098431" w14:textId="6614D812" w:rsidR="0089031C" w:rsidRDefault="0089031C" w:rsidP="0089031C">
                  <w:pPr>
                    <w:spacing w:after="0" w:line="240" w:lineRule="auto"/>
                    <w:ind w:left="-180" w:right="375"/>
                    <w:jc w:val="both"/>
                    <w:rPr>
                      <w:rFonts w:ascii="Times New Roman" w:eastAsia="Times New Roman" w:hAnsi="Times New Roman" w:cs="Times New Roman"/>
                    </w:rPr>
                  </w:pPr>
                  <w:r>
                    <w:rPr>
                      <w:rFonts w:ascii="Times New Roman" w:eastAsia="Times New Roman" w:hAnsi="Times New Roman" w:cs="Times New Roman"/>
                      <w:b/>
                      <w:bCs/>
                    </w:rPr>
                    <w:t>Secțiunea 6</w:t>
                  </w:r>
                  <w:r>
                    <w:rPr>
                      <w:rFonts w:ascii="Times New Roman" w:eastAsia="Times New Roman" w:hAnsi="Times New Roman" w:cs="Times New Roman"/>
                    </w:rPr>
                    <w:t xml:space="preserve"> din perspectiva HG nr. 574/2024 necesită completare, deoarece nu descrie suficient modul în care au fost consultate părțile cu interese majore în etapa analizei impactului de reglementare.  Se recomandă reflectarea clară a opiniilor recepționate, inclusiv a pozițiilor exprimate de autoritățile publice, mediul de afaceri, asociațiile profesionale și alți actori interesați, precum și indicarea modului în care observațiile au fost acceptate sau respinse.</w:t>
                  </w:r>
                </w:p>
              </w:tc>
            </w:tr>
          </w:tbl>
          <w:p w14:paraId="5D916E90" w14:textId="717F02D8" w:rsidR="0072652F" w:rsidRDefault="0072652F">
            <w:pPr>
              <w:jc w:val="both"/>
              <w:rPr>
                <w:rFonts w:ascii="Times New Roman" w:eastAsia="Times New Roman" w:hAnsi="Times New Roman" w:cs="Times New Roman"/>
              </w:rPr>
            </w:pPr>
          </w:p>
        </w:tc>
        <w:tc>
          <w:tcPr>
            <w:tcW w:w="5505" w:type="dxa"/>
          </w:tcPr>
          <w:p w14:paraId="2F4B6B3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Se acceptă.</w:t>
            </w:r>
          </w:p>
          <w:p w14:paraId="7B5C31A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Datele statistice au fost incluse în pct. 2.1 din Nota de fundamentare.</w:t>
            </w:r>
          </w:p>
          <w:p w14:paraId="1AEADC38" w14:textId="77777777" w:rsidR="0072652F" w:rsidRDefault="0072652F">
            <w:pPr>
              <w:pBdr>
                <w:top w:val="nil"/>
                <w:left w:val="nil"/>
                <w:bottom w:val="nil"/>
                <w:right w:val="nil"/>
                <w:between w:val="nil"/>
              </w:pBdr>
              <w:jc w:val="both"/>
              <w:rPr>
                <w:rFonts w:ascii="Times New Roman" w:eastAsia="Times New Roman" w:hAnsi="Times New Roman" w:cs="Times New Roman"/>
                <w:b/>
                <w:bCs/>
                <w:color w:val="FF0000"/>
              </w:rPr>
            </w:pPr>
          </w:p>
          <w:p w14:paraId="3F0F1B7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Se acceptă.</w:t>
            </w:r>
          </w:p>
          <w:p w14:paraId="419EB81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Nota de fundamentare a fost completată.</w:t>
            </w:r>
          </w:p>
          <w:p w14:paraId="01094C3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CBD5EC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Se acceptă.</w:t>
            </w:r>
          </w:p>
          <w:p w14:paraId="67E9C3B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Nota de fundamentare a fost completată.</w:t>
            </w:r>
          </w:p>
          <w:p w14:paraId="0E075852" w14:textId="77777777" w:rsidR="0072652F" w:rsidRDefault="0072652F">
            <w:pPr>
              <w:jc w:val="both"/>
              <w:rPr>
                <w:rFonts w:ascii="Times New Roman" w:eastAsia="Times New Roman" w:hAnsi="Times New Roman" w:cs="Times New Roman"/>
              </w:rPr>
            </w:pPr>
          </w:p>
          <w:p w14:paraId="4AD404C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Costurile nu pot fi cuantificate exact la această etapă (depind de soluțiile tehnice), însă completăm cu categoriile de costuri și de resurse necesare, la nivel estimativ, și cu sursele de finanțare.</w:t>
            </w:r>
          </w:p>
          <w:p w14:paraId="42C8089B" w14:textId="77777777" w:rsidR="0072652F" w:rsidRDefault="0072652F">
            <w:pPr>
              <w:jc w:val="both"/>
              <w:rPr>
                <w:rFonts w:ascii="Times New Roman" w:eastAsia="Times New Roman" w:hAnsi="Times New Roman" w:cs="Times New Roman"/>
              </w:rPr>
            </w:pPr>
          </w:p>
          <w:p w14:paraId="0EFEF2A3" w14:textId="77777777" w:rsidR="0072652F" w:rsidRDefault="00000000">
            <w:pPr>
              <w:ind w:right="375"/>
              <w:jc w:val="both"/>
              <w:rPr>
                <w:rFonts w:ascii="Times New Roman" w:eastAsia="Times New Roman" w:hAnsi="Times New Roman" w:cs="Times New Roman"/>
                <w:b/>
                <w:bCs/>
              </w:rPr>
            </w:pPr>
            <w:r>
              <w:rPr>
                <w:rFonts w:ascii="Times New Roman" w:eastAsia="Times New Roman" w:hAnsi="Times New Roman" w:cs="Times New Roman"/>
              </w:rPr>
              <w:t xml:space="preserve">[4] </w:t>
            </w:r>
            <w:r>
              <w:rPr>
                <w:rFonts w:ascii="Times New Roman" w:eastAsia="Times New Roman" w:hAnsi="Times New Roman" w:cs="Times New Roman"/>
                <w:b/>
                <w:bCs/>
              </w:rPr>
              <w:t>Se acceptă.</w:t>
            </w:r>
          </w:p>
          <w:p w14:paraId="65AEFFE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Nota de fundamentare a fost completată.</w:t>
            </w:r>
          </w:p>
        </w:tc>
      </w:tr>
      <w:tr w:rsidR="0072652F" w14:paraId="080B3458" w14:textId="77777777">
        <w:trPr>
          <w:trHeight w:val="240"/>
        </w:trPr>
        <w:tc>
          <w:tcPr>
            <w:tcW w:w="480" w:type="dxa"/>
            <w:vMerge/>
          </w:tcPr>
          <w:p w14:paraId="4E9C0E97"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53E89BDC"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1DB01B12" w14:textId="77777777" w:rsidR="0072652F" w:rsidRDefault="00000000">
            <w:pPr>
              <w:jc w:val="center"/>
              <w:rPr>
                <w:rFonts w:ascii="Times New Roman" w:eastAsia="Times New Roman" w:hAnsi="Times New Roman" w:cs="Times New Roman"/>
                <w:b/>
                <w:bCs/>
                <w:color w:val="000000"/>
              </w:rPr>
            </w:pPr>
            <w:r>
              <w:rPr>
                <w:rFonts w:ascii="Times New Roman" w:eastAsia="Times New Roman" w:hAnsi="Times New Roman" w:cs="Times New Roman"/>
                <w:b/>
                <w:bCs/>
              </w:rPr>
              <w:t>La Art. I. – Legea nr. 1134/1997 privind societățile pe acțiuni</w:t>
            </w:r>
          </w:p>
        </w:tc>
      </w:tr>
      <w:tr w:rsidR="0072652F" w14:paraId="48C46BBC" w14:textId="77777777">
        <w:trPr>
          <w:trHeight w:val="240"/>
        </w:trPr>
        <w:tc>
          <w:tcPr>
            <w:tcW w:w="480" w:type="dxa"/>
            <w:vMerge/>
          </w:tcPr>
          <w:p w14:paraId="30E3CD4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2E47680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046D92D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7AA7A0A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rPr>
              <w:t>Articolul 3 alin. (9)</w:t>
            </w:r>
            <w:r>
              <w:rPr>
                <w:rFonts w:ascii="Times New Roman" w:eastAsia="Times New Roman" w:hAnsi="Times New Roman" w:cs="Times New Roman"/>
              </w:rPr>
              <w:t xml:space="preserve"> care obligă societatea să includă anumite informații în </w:t>
            </w:r>
            <w:r>
              <w:rPr>
                <w:rFonts w:ascii="Times New Roman" w:eastAsia="Times New Roman" w:hAnsi="Times New Roman" w:cs="Times New Roman"/>
                <w:i/>
                <w:iCs/>
              </w:rPr>
              <w:t>actele unilaterale întocmite „în orice alt format”</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Formularea este largă și poate fi interpretată ca incluzând inclusiv e-mailuri, notificări automate, comenzi electronice sau alte comunicări curente. Norma riscă să creeze o obligație formală greu de respectat în practică și să expună companiile la sancțiuni pentru omisiuni minore. Se recomandă limitarea obligației la documentele oficiale ale societății destinate terților și utilizate în raporturi juridice sau comerciale, pe suport de hârtie sau format electronic. Ideea de la art. 3 alin. (10), privind pagina web a societății este bună, dar textul nu spune exact cât de repede trebuie actualizată. Pentru mediul de afaceri, asemenea detalii contează, deoarece din ele depinde dacă obligația este simplă și previzibilă sau devine o sursă de risc. </w:t>
            </w:r>
          </w:p>
        </w:tc>
        <w:tc>
          <w:tcPr>
            <w:tcW w:w="5505" w:type="dxa"/>
          </w:tcPr>
          <w:p w14:paraId="0BCA9F8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7757B45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Proiectul de lege a fost ajustat și Nota de fundamentare aduce precizări detaliate privind intenția și domeniul de aplicare al normei.</w:t>
            </w:r>
          </w:p>
          <w:p w14:paraId="7AAD8E4B" w14:textId="77777777" w:rsidR="0072652F" w:rsidRDefault="0072652F">
            <w:pPr>
              <w:jc w:val="both"/>
              <w:rPr>
                <w:rFonts w:ascii="Times New Roman" w:eastAsia="Times New Roman" w:hAnsi="Times New Roman" w:cs="Times New Roman"/>
              </w:rPr>
            </w:pPr>
          </w:p>
          <w:p w14:paraId="6F38D1A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1CFB7A0"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0383E32B" w14:textId="77777777">
        <w:trPr>
          <w:trHeight w:val="240"/>
        </w:trPr>
        <w:tc>
          <w:tcPr>
            <w:tcW w:w="480" w:type="dxa"/>
            <w:vMerge/>
          </w:tcPr>
          <w:p w14:paraId="3265F9D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D2D9DB2"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2A07762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7B4D853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b/>
                <w:bCs/>
              </w:rPr>
              <w:t>Articolul 8 alin. (5)</w:t>
            </w:r>
            <w:r>
              <w:rPr>
                <w:rFonts w:ascii="Times New Roman" w:eastAsia="Times New Roman" w:hAnsi="Times New Roman" w:cs="Times New Roman"/>
              </w:rPr>
              <w:t xml:space="preserve"> ridică semne de întrebare. Proiectul spune că membrii consiliului, organului executiv, comisiei de cenzori sau comitetului de audit dobândesc calitatea doar din data înregistrării în registrul de stat. Problema este că, în practică, între adoptarea hotărârii de numire și înregistrarea la ASP poate exista un interval de timp. În această perioadă nu este clar cine reprezintă societatea, cine poate semna acte și ce se întâmplă dacă înregistrarea întârzie. Se recomandă clarificarea raportului dintre hotărârea de numire și publicitatea înregistrată, prin stabilirea expresă că numirea produce efecte în raporturile interne din data adoptării </w:t>
            </w:r>
            <w:r>
              <w:rPr>
                <w:rFonts w:ascii="Times New Roman" w:eastAsia="Times New Roman" w:hAnsi="Times New Roman" w:cs="Times New Roman"/>
              </w:rPr>
              <w:lastRenderedPageBreak/>
              <w:t>hotărârii, iar față de terți devine opozabilă din data înregistrării în registrul de stat.</w:t>
            </w:r>
          </w:p>
        </w:tc>
        <w:tc>
          <w:tcPr>
            <w:tcW w:w="5505" w:type="dxa"/>
          </w:tcPr>
          <w:p w14:paraId="67FDA71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Precizare.</w:t>
            </w:r>
          </w:p>
          <w:p w14:paraId="0900ECA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Aceste aspecte au fost clarificate în răspunsul la avizul Ministerului Justiție (supra în acest tabel).</w:t>
            </w:r>
          </w:p>
        </w:tc>
      </w:tr>
      <w:tr w:rsidR="0072652F" w14:paraId="2F52F057" w14:textId="77777777">
        <w:trPr>
          <w:trHeight w:val="240"/>
        </w:trPr>
        <w:tc>
          <w:tcPr>
            <w:tcW w:w="480" w:type="dxa"/>
            <w:vMerge/>
          </w:tcPr>
          <w:p w14:paraId="75AE9EF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471477D7"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7746495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5E78B7C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Tot în legătură cu acest aspect, </w:t>
            </w:r>
            <w:r>
              <w:rPr>
                <w:rFonts w:ascii="Times New Roman" w:eastAsia="Times New Roman" w:hAnsi="Times New Roman" w:cs="Times New Roman"/>
                <w:b/>
                <w:bCs/>
              </w:rPr>
              <w:t>art. 8 alin. (6)</w:t>
            </w:r>
            <w:r>
              <w:rPr>
                <w:rFonts w:ascii="Times New Roman" w:eastAsia="Times New Roman" w:hAnsi="Times New Roman" w:cs="Times New Roman"/>
              </w:rPr>
              <w:t xml:space="preserve"> folosește expresia „</w:t>
            </w:r>
            <w:r>
              <w:rPr>
                <w:rFonts w:ascii="Times New Roman" w:eastAsia="Times New Roman" w:hAnsi="Times New Roman" w:cs="Times New Roman"/>
                <w:i/>
                <w:iCs/>
              </w:rPr>
              <w:t>celelalte organe ale societății</w:t>
            </w:r>
            <w:r>
              <w:rPr>
                <w:rFonts w:ascii="Times New Roman" w:eastAsia="Times New Roman" w:hAnsi="Times New Roman" w:cs="Times New Roman"/>
              </w:rPr>
              <w:t>”. Această formulare este, în viziunea noastră, vagă. Dacă societatea nu are organ executiv, nu este clar cui îi revine obligația de a solicita înregistrarea modificărilor: consiliului, adunării generale, comisiei de cenzori sau altei persoane. O asemenea neclaritate poate duce la întârzieri, refuzuri sau interpretări diferite din partea autorității de înregistrare.</w:t>
            </w:r>
          </w:p>
        </w:tc>
        <w:tc>
          <w:tcPr>
            <w:tcW w:w="5505" w:type="dxa"/>
          </w:tcPr>
          <w:p w14:paraId="582FC64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3BD6825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1258F6B3" w14:textId="77777777">
        <w:trPr>
          <w:trHeight w:val="240"/>
        </w:trPr>
        <w:tc>
          <w:tcPr>
            <w:tcW w:w="480" w:type="dxa"/>
            <w:vMerge/>
          </w:tcPr>
          <w:p w14:paraId="1BDAFDF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B4CD334"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0D4F44C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350DC2A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b/>
                <w:bCs/>
              </w:rPr>
              <w:t>La art. 39 alin. (9/1)</w:t>
            </w:r>
            <w:r>
              <w:rPr>
                <w:rFonts w:ascii="Times New Roman" w:eastAsia="Times New Roman" w:hAnsi="Times New Roman" w:cs="Times New Roman"/>
              </w:rPr>
              <w:t>, pentru mai multă claritate obligația de publicare a raportului prin registrul de stat al persoanelor juridice urmează a fi completată cu norme privind termenul de publicare, formatul documentului, procedura de depunere, obligația organului înregistrării de stat de a publica documentul și eventualele consecințe ale nepublicării.</w:t>
            </w:r>
          </w:p>
          <w:p w14:paraId="6BF099D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Aceleași observații sunt și pentru articolul 9/1, alin. (1), (2), (3) și (4) din modificările din  proiect la Legea 135/2007</w:t>
            </w:r>
          </w:p>
        </w:tc>
        <w:tc>
          <w:tcPr>
            <w:tcW w:w="5505" w:type="dxa"/>
          </w:tcPr>
          <w:p w14:paraId="084BAB6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59FB221F"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34A351C1" w14:textId="77777777">
        <w:trPr>
          <w:trHeight w:val="240"/>
        </w:trPr>
        <w:tc>
          <w:tcPr>
            <w:tcW w:w="480" w:type="dxa"/>
            <w:vMerge/>
          </w:tcPr>
          <w:p w14:paraId="79FCF90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8EA971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5AB38933" w14:textId="77777777" w:rsidR="0072652F" w:rsidRDefault="00000000">
            <w:pPr>
              <w:jc w:val="center"/>
              <w:rPr>
                <w:rFonts w:ascii="Times New Roman" w:eastAsia="Times New Roman" w:hAnsi="Times New Roman" w:cs="Times New Roman"/>
                <w:b/>
                <w:bCs/>
                <w:color w:val="000000"/>
              </w:rPr>
            </w:pPr>
            <w:r>
              <w:rPr>
                <w:rFonts w:ascii="Times New Roman" w:eastAsia="Times New Roman" w:hAnsi="Times New Roman" w:cs="Times New Roman"/>
                <w:b/>
                <w:bCs/>
              </w:rPr>
              <w:t>La Art. II. – Codul civil al Republicii Moldova nr. 1107/2002</w:t>
            </w:r>
          </w:p>
        </w:tc>
      </w:tr>
      <w:tr w:rsidR="0072652F" w14:paraId="016EDC78" w14:textId="77777777">
        <w:trPr>
          <w:trHeight w:val="240"/>
        </w:trPr>
        <w:tc>
          <w:tcPr>
            <w:tcW w:w="480" w:type="dxa"/>
            <w:vMerge/>
          </w:tcPr>
          <w:p w14:paraId="788425FD"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0B242B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1B52371"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2D1D8729" w14:textId="77777777"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La art.178, alin. (6) </w:t>
            </w:r>
            <w:r>
              <w:rPr>
                <w:rFonts w:ascii="Times New Roman" w:eastAsia="Times New Roman" w:hAnsi="Times New Roman" w:cs="Times New Roman"/>
              </w:rPr>
              <w:t>este formulat larg și poate crea dificultăți practice pentru administratori. Textul obligă administratorul să se asigure că actul de constituire corespunde permanent „</w:t>
            </w:r>
            <w:r>
              <w:rPr>
                <w:rFonts w:ascii="Times New Roman" w:eastAsia="Times New Roman" w:hAnsi="Times New Roman" w:cs="Times New Roman"/>
                <w:i/>
                <w:iCs/>
              </w:rPr>
              <w:t>situației juridice reale</w:t>
            </w:r>
            <w:r>
              <w:rPr>
                <w:rFonts w:ascii="Times New Roman" w:eastAsia="Times New Roman" w:hAnsi="Times New Roman" w:cs="Times New Roman"/>
              </w:rPr>
              <w:t xml:space="preserve">”, inclusiv după hotărâri judecătorești sau modificări operate în registrul de stat. Problema este că nu se indică în ce termen trebuie făcută actualizarea, ce modificări </w:t>
            </w:r>
            <w:r>
              <w:rPr>
                <w:rFonts w:ascii="Times New Roman" w:eastAsia="Times New Roman" w:hAnsi="Times New Roman" w:cs="Times New Roman"/>
              </w:rPr>
              <w:lastRenderedPageBreak/>
              <w:t>impun actualizarea și dacă administratorul răspunde doar atunci când a greșit cu vinovăție. Astfel, norma poate crea risc de răspundere excesivă pentru simple necorelări formale. Se recomandă clarificarea termenului de actualizare și limitarea răspunderii administratorului la cazurile în care neactualizarea este efectuată cu vinovăție și a cauzat prejudicii.</w:t>
            </w:r>
          </w:p>
        </w:tc>
        <w:tc>
          <w:tcPr>
            <w:tcW w:w="5505" w:type="dxa"/>
          </w:tcPr>
          <w:p w14:paraId="60D6FE6B"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32EB367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049687F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Aceste aspecte au fost clarificate în răspunsul la avizul Ministerului Justiție (supra în acest tabel).</w:t>
            </w:r>
          </w:p>
          <w:p w14:paraId="1DEBFDA8" w14:textId="77777777" w:rsidR="0072652F" w:rsidRDefault="0072652F">
            <w:pPr>
              <w:jc w:val="both"/>
              <w:rPr>
                <w:rFonts w:ascii="Times New Roman" w:eastAsia="Times New Roman" w:hAnsi="Times New Roman" w:cs="Times New Roman"/>
              </w:rPr>
            </w:pPr>
          </w:p>
        </w:tc>
      </w:tr>
      <w:tr w:rsidR="0072652F" w14:paraId="2C01A6D0" w14:textId="77777777">
        <w:trPr>
          <w:trHeight w:val="240"/>
        </w:trPr>
        <w:tc>
          <w:tcPr>
            <w:tcW w:w="480" w:type="dxa"/>
            <w:vMerge/>
          </w:tcPr>
          <w:p w14:paraId="150C912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E2A644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B5609F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0EC83457" w14:textId="77777777"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rPr>
              <w:t xml:space="preserve">·    Propunerea de modificare a </w:t>
            </w:r>
            <w:r>
              <w:rPr>
                <w:rFonts w:ascii="Times New Roman" w:eastAsia="Times New Roman" w:hAnsi="Times New Roman" w:cs="Times New Roman"/>
                <w:b/>
                <w:bCs/>
              </w:rPr>
              <w:t>art. 183 alin. (2)</w:t>
            </w:r>
            <w:r>
              <w:rPr>
                <w:rFonts w:ascii="Times New Roman" w:eastAsia="Times New Roman" w:hAnsi="Times New Roman" w:cs="Times New Roman"/>
              </w:rPr>
              <w:t xml:space="preserve"> la fel ridică semne de întrebare. Expresia „</w:t>
            </w:r>
            <w:r>
              <w:rPr>
                <w:rFonts w:ascii="Times New Roman" w:eastAsia="Times New Roman" w:hAnsi="Times New Roman" w:cs="Times New Roman"/>
                <w:i/>
                <w:iCs/>
              </w:rPr>
              <w:t>sunt opozabile terților</w:t>
            </w:r>
            <w:r>
              <w:rPr>
                <w:rFonts w:ascii="Times New Roman" w:eastAsia="Times New Roman" w:hAnsi="Times New Roman" w:cs="Times New Roman"/>
              </w:rPr>
              <w:t>” este înlocuită cu „</w:t>
            </w:r>
            <w:r>
              <w:rPr>
                <w:rFonts w:ascii="Times New Roman" w:eastAsia="Times New Roman" w:hAnsi="Times New Roman" w:cs="Times New Roman"/>
                <w:i/>
                <w:iCs/>
              </w:rPr>
              <w:t>produc efecte juridice</w:t>
            </w:r>
            <w:r>
              <w:rPr>
                <w:rFonts w:ascii="Times New Roman" w:eastAsia="Times New Roman" w:hAnsi="Times New Roman" w:cs="Times New Roman"/>
              </w:rPr>
              <w:t>”. Această schimbare nu este doar redacțională. Opozabilitatea față de terți și producerea efectelor juridice nu sunt noțiuni identice. Noua formulare poate crea incertitudine privind momentul de la care actele persoanei juridice produc efecte între membri, față de persoana juridică și față de terți. Se recomandă păstrarea noțiunii de opozabilitate sau explicarea expresă a efectelor vizate.</w:t>
            </w:r>
          </w:p>
        </w:tc>
        <w:tc>
          <w:tcPr>
            <w:tcW w:w="5505" w:type="dxa"/>
          </w:tcPr>
          <w:p w14:paraId="318C97D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79AAE43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Aceste aspecte au fost clarificate în răspunsul la avizul Ministerului Justiție (supra în acest tabel).</w:t>
            </w:r>
          </w:p>
        </w:tc>
      </w:tr>
      <w:tr w:rsidR="0072652F" w14:paraId="3F9053F5" w14:textId="77777777">
        <w:trPr>
          <w:trHeight w:val="240"/>
        </w:trPr>
        <w:tc>
          <w:tcPr>
            <w:tcW w:w="480" w:type="dxa"/>
            <w:vMerge/>
          </w:tcPr>
          <w:p w14:paraId="5669403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ED1893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67892FB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14F920B5" w14:textId="77777777"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Modificarea </w:t>
            </w:r>
            <w:r>
              <w:rPr>
                <w:rFonts w:ascii="Times New Roman" w:eastAsia="Times New Roman" w:hAnsi="Times New Roman" w:cs="Times New Roman"/>
                <w:b/>
                <w:bCs/>
              </w:rPr>
              <w:t>art. 228</w:t>
            </w:r>
            <w:r>
              <w:rPr>
                <w:rFonts w:ascii="Times New Roman" w:eastAsia="Times New Roman" w:hAnsi="Times New Roman" w:cs="Times New Roman"/>
              </w:rPr>
              <w:t xml:space="preserve"> este, în principiu, utilă, deoarece obligă lichidatorul să asigure publicitatea lichidării și să informeze creditorii cunoscuți. Totuși, norma trebuie clarificată sub aspect procedural. Sintagma „</w:t>
            </w:r>
            <w:r>
              <w:rPr>
                <w:rFonts w:ascii="Times New Roman" w:eastAsia="Times New Roman" w:hAnsi="Times New Roman" w:cs="Times New Roman"/>
                <w:i/>
                <w:iCs/>
              </w:rPr>
              <w:t>să solicite efectuarea publicității în registrul de stat al persoanelor juridice, în condițiile legii</w:t>
            </w:r>
            <w:r>
              <w:rPr>
                <w:rFonts w:ascii="Times New Roman" w:eastAsia="Times New Roman" w:hAnsi="Times New Roman" w:cs="Times New Roman"/>
              </w:rPr>
              <w:t xml:space="preserve">” este generală și nu indică termenul în care lichidatorul trebuie să depună solicitarea, ce documente se anexează și de când începe să curgă termenul pentru înaintarea creanțelor. De asemenea, textul prevede termenul de 15 zile pentru </w:t>
            </w:r>
            <w:r>
              <w:rPr>
                <w:rFonts w:ascii="Times New Roman" w:eastAsia="Times New Roman" w:hAnsi="Times New Roman" w:cs="Times New Roman"/>
              </w:rPr>
              <w:lastRenderedPageBreak/>
              <w:t>informarea creditorilor cunoscuți, dar nu precizează forma informării și dovada transmiterii notificării. Se recomandă clarificarea termenului de solicitare a publicității, a momentului de la care curge termenul pentru creanțe și a modului de notificare a creditorilor cunoscuți.</w:t>
            </w:r>
          </w:p>
        </w:tc>
        <w:tc>
          <w:tcPr>
            <w:tcW w:w="5505" w:type="dxa"/>
          </w:tcPr>
          <w:p w14:paraId="3468785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26DCE75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03A2B5C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Aceste aspecte au fost clarificate în răspunsul la avizul Ministerului Justiție (supra în acest tabel).</w:t>
            </w:r>
          </w:p>
          <w:p w14:paraId="1423E18B" w14:textId="77777777" w:rsidR="0072652F" w:rsidRDefault="0072652F">
            <w:pPr>
              <w:jc w:val="both"/>
              <w:rPr>
                <w:rFonts w:ascii="Times New Roman" w:eastAsia="Times New Roman" w:hAnsi="Times New Roman" w:cs="Times New Roman"/>
              </w:rPr>
            </w:pPr>
          </w:p>
        </w:tc>
      </w:tr>
      <w:tr w:rsidR="0072652F" w14:paraId="06AEB059" w14:textId="77777777">
        <w:trPr>
          <w:trHeight w:val="240"/>
        </w:trPr>
        <w:tc>
          <w:tcPr>
            <w:tcW w:w="480" w:type="dxa"/>
            <w:vMerge/>
          </w:tcPr>
          <w:p w14:paraId="1EF1BC44"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AD0438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62BAC50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32250EC9" w14:textId="77777777"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Modificarea </w:t>
            </w:r>
            <w:r>
              <w:rPr>
                <w:rFonts w:ascii="Times New Roman" w:eastAsia="Times New Roman" w:hAnsi="Times New Roman" w:cs="Times New Roman"/>
                <w:b/>
                <w:bCs/>
              </w:rPr>
              <w:t>art. 295</w:t>
            </w:r>
            <w:r>
              <w:rPr>
                <w:rFonts w:ascii="Times New Roman" w:eastAsia="Times New Roman" w:hAnsi="Times New Roman" w:cs="Times New Roman"/>
              </w:rPr>
              <w:t xml:space="preserve"> urmărește să responsabilizeze persoana juridică ce exercită controlul asupra unei alte persoane juridice, mai ales în situații de criză sau administrare prejudiciabilă. La alin. (2), noțiunea de „</w:t>
            </w:r>
            <w:r>
              <w:rPr>
                <w:rFonts w:ascii="Times New Roman" w:eastAsia="Times New Roman" w:hAnsi="Times New Roman" w:cs="Times New Roman"/>
                <w:i/>
                <w:iCs/>
              </w:rPr>
              <w:t>datorii nestinse născute după punctul de criză</w:t>
            </w:r>
            <w:r>
              <w:rPr>
                <w:rFonts w:ascii="Times New Roman" w:eastAsia="Times New Roman" w:hAnsi="Times New Roman" w:cs="Times New Roman"/>
              </w:rPr>
              <w:t>” trebuie clarificată. Nu este suficient de clar cum se stabilește „</w:t>
            </w:r>
            <w:r>
              <w:rPr>
                <w:rFonts w:ascii="Times New Roman" w:eastAsia="Times New Roman" w:hAnsi="Times New Roman" w:cs="Times New Roman"/>
                <w:i/>
                <w:iCs/>
              </w:rPr>
              <w:t>punctul de criză</w:t>
            </w:r>
            <w:r>
              <w:rPr>
                <w:rFonts w:ascii="Times New Roman" w:eastAsia="Times New Roman" w:hAnsi="Times New Roman" w:cs="Times New Roman"/>
              </w:rPr>
              <w:t>”, cine îl determină și de la ce dată exactă începe răspunderea persoanei care exercită controlul. Fără aceste precizări, norma poate fi aplicată diferit de la caz la caz. La alin. (2¹), expresiile „</w:t>
            </w:r>
            <w:r>
              <w:rPr>
                <w:rFonts w:ascii="Times New Roman" w:eastAsia="Times New Roman" w:hAnsi="Times New Roman" w:cs="Times New Roman"/>
                <w:i/>
                <w:iCs/>
              </w:rPr>
              <w:t>interesul grupului</w:t>
            </w:r>
            <w:r>
              <w:rPr>
                <w:rFonts w:ascii="Times New Roman" w:eastAsia="Times New Roman" w:hAnsi="Times New Roman" w:cs="Times New Roman"/>
              </w:rPr>
              <w:t>” și „</w:t>
            </w:r>
            <w:r>
              <w:rPr>
                <w:rFonts w:ascii="Times New Roman" w:eastAsia="Times New Roman" w:hAnsi="Times New Roman" w:cs="Times New Roman"/>
                <w:i/>
                <w:iCs/>
              </w:rPr>
              <w:t>instrucțiuni dăunătoare</w:t>
            </w:r>
            <w:r>
              <w:rPr>
                <w:rFonts w:ascii="Times New Roman" w:eastAsia="Times New Roman" w:hAnsi="Times New Roman" w:cs="Times New Roman"/>
              </w:rPr>
              <w:t>” sunt prea generale. Nu este clar ce înseamnă interesul grupului, cine îl apreciază și ce tip de instrucțiuni pot fi considerate dăunătoare. Această formulare poate crea riscuri pentru grupurile de societăți, deoarece deciziile economice obișnuite pot fi ulterior reinterpretate ca fiind contrare interesului societății controlate. Se recomandă definirea noțiunilor „</w:t>
            </w:r>
            <w:r>
              <w:rPr>
                <w:rFonts w:ascii="Times New Roman" w:eastAsia="Times New Roman" w:hAnsi="Times New Roman" w:cs="Times New Roman"/>
                <w:i/>
                <w:iCs/>
              </w:rPr>
              <w:t>punct de criză</w:t>
            </w:r>
            <w:r>
              <w:rPr>
                <w:rFonts w:ascii="Times New Roman" w:eastAsia="Times New Roman" w:hAnsi="Times New Roman" w:cs="Times New Roman"/>
              </w:rPr>
              <w:t>”, „</w:t>
            </w:r>
            <w:r>
              <w:rPr>
                <w:rFonts w:ascii="Times New Roman" w:eastAsia="Times New Roman" w:hAnsi="Times New Roman" w:cs="Times New Roman"/>
                <w:i/>
                <w:iCs/>
              </w:rPr>
              <w:t>interesul grupului</w:t>
            </w:r>
            <w:r>
              <w:rPr>
                <w:rFonts w:ascii="Times New Roman" w:eastAsia="Times New Roman" w:hAnsi="Times New Roman" w:cs="Times New Roman"/>
              </w:rPr>
              <w:t>” și „</w:t>
            </w:r>
            <w:r>
              <w:rPr>
                <w:rFonts w:ascii="Times New Roman" w:eastAsia="Times New Roman" w:hAnsi="Times New Roman" w:cs="Times New Roman"/>
                <w:i/>
                <w:iCs/>
              </w:rPr>
              <w:t>instrucțiuni dăunătoare</w:t>
            </w:r>
            <w:r>
              <w:rPr>
                <w:rFonts w:ascii="Times New Roman" w:eastAsia="Times New Roman" w:hAnsi="Times New Roman" w:cs="Times New Roman"/>
              </w:rPr>
              <w:t>”, precum și stabilirea condițiilor clare în care persoana juridică ce exercită controlul răspunde pentru datoriile persoanei juridice controlate.</w:t>
            </w:r>
          </w:p>
        </w:tc>
        <w:tc>
          <w:tcPr>
            <w:tcW w:w="5505" w:type="dxa"/>
          </w:tcPr>
          <w:p w14:paraId="52B4F0D0"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02873375" w14:textId="77777777" w:rsidR="0072652F" w:rsidRDefault="0072652F">
            <w:pPr>
              <w:jc w:val="both"/>
              <w:rPr>
                <w:rFonts w:ascii="Times New Roman" w:eastAsia="Times New Roman" w:hAnsi="Times New Roman" w:cs="Times New Roman"/>
              </w:rPr>
            </w:pPr>
          </w:p>
          <w:p w14:paraId="17CDC57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Aceste aspecte au fost clarificate în răspunsul la avizul Ministerului Justiție (supra în acest tabel).</w:t>
            </w:r>
          </w:p>
          <w:p w14:paraId="4C1CC497" w14:textId="77777777" w:rsidR="0072652F" w:rsidRDefault="0072652F">
            <w:pPr>
              <w:jc w:val="both"/>
              <w:rPr>
                <w:rFonts w:ascii="Times New Roman" w:eastAsia="Times New Roman" w:hAnsi="Times New Roman" w:cs="Times New Roman"/>
              </w:rPr>
            </w:pPr>
          </w:p>
        </w:tc>
      </w:tr>
      <w:tr w:rsidR="0072652F" w14:paraId="4E4FEE02" w14:textId="77777777">
        <w:trPr>
          <w:trHeight w:val="240"/>
        </w:trPr>
        <w:tc>
          <w:tcPr>
            <w:tcW w:w="480" w:type="dxa"/>
            <w:vMerge/>
          </w:tcPr>
          <w:p w14:paraId="76AFF17D"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56D03A3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0D56999E"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Art. IV. – Legea nr. 220/2007 privind înregistrarea de stat a persoanelor juridice și a întreprinzătorilor individuali</w:t>
            </w:r>
          </w:p>
        </w:tc>
      </w:tr>
      <w:tr w:rsidR="0072652F" w14:paraId="5105C81D" w14:textId="77777777">
        <w:trPr>
          <w:trHeight w:val="240"/>
        </w:trPr>
        <w:tc>
          <w:tcPr>
            <w:tcW w:w="480" w:type="dxa"/>
            <w:vMerge/>
          </w:tcPr>
          <w:p w14:paraId="6B6A91A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2618B3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232723B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2F90D4E8" w14:textId="77777777"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14"/>
                <w:szCs w:val="14"/>
              </w:rPr>
              <w:t xml:space="preserve"> </w:t>
            </w:r>
            <w:r>
              <w:rPr>
                <w:rFonts w:ascii="Times New Roman" w:eastAsia="Times New Roman" w:hAnsi="Times New Roman" w:cs="Times New Roman"/>
                <w:b/>
                <w:bCs/>
              </w:rPr>
              <w:t>La p.5</w:t>
            </w:r>
            <w:r>
              <w:rPr>
                <w:rFonts w:ascii="Times New Roman" w:eastAsia="Times New Roman" w:hAnsi="Times New Roman" w:cs="Times New Roman"/>
              </w:rPr>
              <w:t>, proiectul prevede completarea articolului 4</w:t>
            </w:r>
            <w:r>
              <w:rPr>
                <w:rFonts w:ascii="Times New Roman" w:eastAsia="Times New Roman" w:hAnsi="Times New Roman" w:cs="Times New Roman"/>
                <w:b/>
                <w:bCs/>
              </w:rPr>
              <w:t xml:space="preserve"> </w:t>
            </w:r>
            <w:r>
              <w:rPr>
                <w:rFonts w:ascii="Times New Roman" w:eastAsia="Times New Roman" w:hAnsi="Times New Roman" w:cs="Times New Roman"/>
              </w:rPr>
              <w:t>din Legea nr. 220/2007 privind înregistrarea de stat a persoanelor juridice și a întreprinzătorilor individuali cu alineatul (1</w:t>
            </w:r>
            <w:r>
              <w:rPr>
                <w:rFonts w:ascii="Times New Roman" w:eastAsia="Times New Roman" w:hAnsi="Times New Roman" w:cs="Times New Roman"/>
                <w:vertAlign w:val="superscript"/>
              </w:rPr>
              <w:t>2</w:t>
            </w:r>
            <w:r>
              <w:rPr>
                <w:rFonts w:ascii="Times New Roman" w:eastAsia="Times New Roman" w:hAnsi="Times New Roman" w:cs="Times New Roman"/>
              </w:rPr>
              <w:t>) cu următorul cuprins: „(1</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Pentru acordarea de către organul înregistrării de stat, la cerere, a serviciilor conexe înregistrării de stat se percepe o taxă în mărimea și modul prevăzute de Guvern.”. Menționăm, că anexa la Legea nr. 220/2007 prevede taxele pentru înregistrarea de stat </w:t>
            </w:r>
            <w:proofErr w:type="spellStart"/>
            <w:r>
              <w:rPr>
                <w:rFonts w:ascii="Times New Roman" w:eastAsia="Times New Roman" w:hAnsi="Times New Roman" w:cs="Times New Roman"/>
              </w:rPr>
              <w:t>şi</w:t>
            </w:r>
            <w:proofErr w:type="spellEnd"/>
            <w:r>
              <w:rPr>
                <w:rFonts w:ascii="Times New Roman" w:eastAsia="Times New Roman" w:hAnsi="Times New Roman" w:cs="Times New Roman"/>
              </w:rPr>
              <w:t xml:space="preserve"> serviciile prestate de Agenția Servicii Publice. Proiectul prevede excluderea unor poziții din această anexă pentru a fi stabilite la nivel de Guvern. Abordarea respectivă va diminua din nivelul de previzibilitate a reglementării, în special previzibilitatea cheltuielilor. Nota de fundamentare doar menționează modificările, fără a oferi informații, care ar argumenta abordarea respectivă și se recomandă prezentarea informației referitor la acest aspect.</w:t>
            </w:r>
          </w:p>
        </w:tc>
        <w:tc>
          <w:tcPr>
            <w:tcW w:w="5505" w:type="dxa"/>
          </w:tcPr>
          <w:p w14:paraId="62448412"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798BA4C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7D3DDC0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Aceste aspecte au fost clarificate în răspunsul la avizul Ministerului Justiție (supra în acest tabel).</w:t>
            </w:r>
          </w:p>
          <w:p w14:paraId="492FFCE5" w14:textId="77777777" w:rsidR="0072652F" w:rsidRDefault="0072652F">
            <w:pPr>
              <w:jc w:val="both"/>
              <w:rPr>
                <w:rFonts w:ascii="Times New Roman" w:eastAsia="Times New Roman" w:hAnsi="Times New Roman" w:cs="Times New Roman"/>
              </w:rPr>
            </w:pPr>
          </w:p>
        </w:tc>
      </w:tr>
      <w:tr w:rsidR="0072652F" w14:paraId="6BF5F9DD" w14:textId="77777777">
        <w:trPr>
          <w:trHeight w:val="240"/>
        </w:trPr>
        <w:tc>
          <w:tcPr>
            <w:tcW w:w="480" w:type="dxa"/>
            <w:vMerge/>
          </w:tcPr>
          <w:p w14:paraId="65DAE217"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920793B"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0DD77CF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1EE2C45D" w14:textId="1E5CED23"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p.8</w:t>
            </w:r>
            <w:r>
              <w:rPr>
                <w:rFonts w:ascii="Times New Roman" w:eastAsia="Times New Roman" w:hAnsi="Times New Roman" w:cs="Times New Roman"/>
              </w:rPr>
              <w:t xml:space="preserve">, proiectul prevede modificarea literei c) alineatul (1) al articolului 8, fiind prevăzut că documentele pentru înregistrarea de stat se perfectează în limba română </w:t>
            </w:r>
            <w:r w:rsidR="00396F81">
              <w:rPr>
                <w:rFonts w:ascii="Times New Roman" w:eastAsia="Times New Roman" w:hAnsi="Times New Roman" w:cs="Times New Roman"/>
              </w:rPr>
              <w:t>și</w:t>
            </w:r>
            <w:r>
              <w:rPr>
                <w:rFonts w:ascii="Times New Roman" w:eastAsia="Times New Roman" w:hAnsi="Times New Roman" w:cs="Times New Roman"/>
              </w:rPr>
              <w:t xml:space="preserve"> </w:t>
            </w:r>
            <w:r>
              <w:rPr>
                <w:rFonts w:ascii="Times New Roman" w:eastAsia="Times New Roman" w:hAnsi="Times New Roman" w:cs="Times New Roman"/>
                <w:i/>
                <w:iCs/>
              </w:rPr>
              <w:t xml:space="preserve">fie se expediază organului înregistrării de stat pe suport de hârtie, prin scrisoare recomandată. Actul de constituire al persoanei juridice, actul adițional privind modificarea actului de constituire al persoanei juridice sau, după caz, regulamentul sucursalei se autentifică </w:t>
            </w:r>
            <w:r>
              <w:rPr>
                <w:rFonts w:ascii="Times New Roman" w:eastAsia="Times New Roman" w:hAnsi="Times New Roman" w:cs="Times New Roman"/>
                <w:i/>
                <w:iCs/>
              </w:rPr>
              <w:lastRenderedPageBreak/>
              <w:t>notarial, iar cererea de înregistrare și celelalte documente se legalizează notarial</w:t>
            </w:r>
            <w:r>
              <w:rPr>
                <w:rFonts w:ascii="Times New Roman" w:eastAsia="Times New Roman" w:hAnsi="Times New Roman" w:cs="Times New Roman"/>
              </w:rPr>
              <w:t xml:space="preserve">. Redacția actuală a literei c) prevede că documentele fie se expediază organului înregistrării de stat pe suport de hârtie, prin scrisoare recomandată. Autentificarea notarială și legalizarea notarială necesită costuri adiționale și se recomandă de argumentat în Nota de fundamentare abordarea respectivă, odată ce la literele a) și b) implicarea notarului nu este prevăzută. </w:t>
            </w:r>
          </w:p>
        </w:tc>
        <w:tc>
          <w:tcPr>
            <w:tcW w:w="5505" w:type="dxa"/>
          </w:tcPr>
          <w:p w14:paraId="7C93DE1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Precizare.</w:t>
            </w:r>
          </w:p>
          <w:p w14:paraId="4FBB8B3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Norma se referă doar la depunerea actelor prin poștă ordinară (scrisoare recomandată), caz în care pentru ASP este dificil de a verifica identitatea și semnăturile persoanelor. Acest mod de depunere încă este permis de lege, dar este marginal.</w:t>
            </w:r>
          </w:p>
          <w:p w14:paraId="68D9AB9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1992A3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Nota de fundamentare a fost actualizată.</w:t>
            </w:r>
          </w:p>
        </w:tc>
      </w:tr>
      <w:tr w:rsidR="0072652F" w14:paraId="55B5CD32" w14:textId="77777777">
        <w:trPr>
          <w:trHeight w:val="240"/>
        </w:trPr>
        <w:tc>
          <w:tcPr>
            <w:tcW w:w="480" w:type="dxa"/>
            <w:vMerge/>
          </w:tcPr>
          <w:p w14:paraId="567F8AB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5F9AEC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06B1E9E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7266D0A1" w14:textId="61CA0D92"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p.10</w:t>
            </w:r>
            <w:r>
              <w:rPr>
                <w:rFonts w:ascii="Times New Roman" w:eastAsia="Times New Roman" w:hAnsi="Times New Roman" w:cs="Times New Roman"/>
              </w:rPr>
              <w:t xml:space="preserve">, proiectul prevede o nouă redacția a alineatului (7) articolul 9: </w:t>
            </w:r>
            <w:r>
              <w:rPr>
                <w:rFonts w:ascii="Times New Roman" w:eastAsia="Times New Roman" w:hAnsi="Times New Roman" w:cs="Times New Roman"/>
                <w:i/>
                <w:iCs/>
              </w:rPr>
              <w:t xml:space="preserve">„(7) Până la înregistrarea persoanei juridice, organul înregistrării de stat verifică denumirea acesteia sub aspectul disponibilității și </w:t>
            </w:r>
            <w:proofErr w:type="spellStart"/>
            <w:r>
              <w:rPr>
                <w:rFonts w:ascii="Times New Roman" w:eastAsia="Times New Roman" w:hAnsi="Times New Roman" w:cs="Times New Roman"/>
                <w:i/>
                <w:iCs/>
              </w:rPr>
              <w:t>distinctivității</w:t>
            </w:r>
            <w:proofErr w:type="spellEnd"/>
            <w:r>
              <w:rPr>
                <w:rFonts w:ascii="Times New Roman" w:eastAsia="Times New Roman" w:hAnsi="Times New Roman" w:cs="Times New Roman"/>
                <w:i/>
                <w:iCs/>
              </w:rPr>
              <w:t>. În cazul în care documentele pentru înregistrarea de stat se depun de către solicitant în condițiile art. 8 alin. (1) lit. a) sau c), solicitantul este obligat să verifice disponibilitatea denumirii până la depunerea efectivă a documentelor</w:t>
            </w:r>
            <w:r>
              <w:rPr>
                <w:rFonts w:ascii="Times New Roman" w:eastAsia="Times New Roman" w:hAnsi="Times New Roman" w:cs="Times New Roman"/>
              </w:rPr>
              <w:t xml:space="preserve">.”. Redacția actuală a alineatului (7) prevede, că până la înregistrarea persoanei juridice, organul înregistrării de stat verifică denumirea acesteia sub aspectul disponibilității, </w:t>
            </w:r>
            <w:proofErr w:type="spellStart"/>
            <w:r>
              <w:rPr>
                <w:rFonts w:ascii="Times New Roman" w:eastAsia="Times New Roman" w:hAnsi="Times New Roman" w:cs="Times New Roman"/>
              </w:rPr>
              <w:t>distinctivităţii</w:t>
            </w:r>
            <w:proofErr w:type="spellEnd"/>
            <w:r>
              <w:rPr>
                <w:rFonts w:ascii="Times New Roman" w:eastAsia="Times New Roman" w:hAnsi="Times New Roman" w:cs="Times New Roman"/>
              </w:rPr>
              <w:t xml:space="preserve"> </w:t>
            </w:r>
            <w:r w:rsidR="00396F81">
              <w:rPr>
                <w:rFonts w:ascii="Times New Roman" w:eastAsia="Times New Roman" w:hAnsi="Times New Roman" w:cs="Times New Roman"/>
              </w:rPr>
              <w:t>și</w:t>
            </w:r>
            <w:r>
              <w:rPr>
                <w:rFonts w:ascii="Times New Roman" w:eastAsia="Times New Roman" w:hAnsi="Times New Roman" w:cs="Times New Roman"/>
              </w:rPr>
              <w:t xml:space="preserve"> al corectitudinii lingvistice. Se recomandă de prezentat în Nota de fundamentare informații, care ar argumenta excluderea verificării denumirii sub aspectul corectitudinii lingvistice și dacă această modificare nu ar obliga solicitantul în prealabil să exercite procedura respectivă. Totodată, de argumentat și includerea </w:t>
            </w:r>
            <w:r>
              <w:rPr>
                <w:rFonts w:ascii="Times New Roman" w:eastAsia="Times New Roman" w:hAnsi="Times New Roman" w:cs="Times New Roman"/>
              </w:rPr>
              <w:lastRenderedPageBreak/>
              <w:t xml:space="preserve">obligației pentru solicitant de a verifica disponibilitatea denumirii în condițiile prevăzute la litera c) alin. (1) al art. 8. În acest context, menționăm că proiectul prevede completarea alineatului (11) cu litera g), fiind prevăzut că </w:t>
            </w:r>
            <w:r>
              <w:rPr>
                <w:rFonts w:ascii="Times New Roman" w:eastAsia="Times New Roman" w:hAnsi="Times New Roman" w:cs="Times New Roman"/>
                <w:i/>
                <w:iCs/>
              </w:rPr>
              <w:t>se interzice înregistrarea unei denumiri care: g) nu corespunde cerințelor lingvistice</w:t>
            </w:r>
            <w:r>
              <w:rPr>
                <w:rFonts w:ascii="Times New Roman" w:eastAsia="Times New Roman" w:hAnsi="Times New Roman" w:cs="Times New Roman"/>
              </w:rPr>
              <w:t xml:space="preserve">. Cumulativ, aceste propuneri de modificare a articolului 9 pot crea situații de interpretări, conform cărora toți solicitanții vor fi obligați să verifice disponibilitatea denumirii până la depunerea efectivă a documentelor, fapt ce va crea o procedură și costuri adiționale. </w:t>
            </w:r>
          </w:p>
        </w:tc>
        <w:tc>
          <w:tcPr>
            <w:tcW w:w="5505" w:type="dxa"/>
          </w:tcPr>
          <w:p w14:paraId="6D5E938B"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604F1A6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Din proiectul de lege s-a înlăturat excluderea verificării denumirii sub aspectul corectitudinii lingvistice.</w:t>
            </w:r>
          </w:p>
        </w:tc>
      </w:tr>
      <w:tr w:rsidR="0072652F" w14:paraId="526A76C3" w14:textId="77777777">
        <w:trPr>
          <w:trHeight w:val="240"/>
        </w:trPr>
        <w:tc>
          <w:tcPr>
            <w:tcW w:w="480" w:type="dxa"/>
            <w:vMerge/>
          </w:tcPr>
          <w:p w14:paraId="3A8DCBD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6CD18DF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3E3FD93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327C7AA1" w14:textId="1F999966"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rPr>
              <w:t xml:space="preserve"> La p.12</w:t>
            </w:r>
            <w:r>
              <w:rPr>
                <w:rFonts w:ascii="Times New Roman" w:eastAsia="Times New Roman" w:hAnsi="Times New Roman" w:cs="Times New Roman"/>
              </w:rPr>
              <w:t>, proiectul prevede abrogarea alineatului (2</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 articolului 11. Alineatul respectiv prevede, că </w:t>
            </w:r>
            <w:r>
              <w:rPr>
                <w:rFonts w:ascii="Times New Roman" w:eastAsia="Times New Roman" w:hAnsi="Times New Roman" w:cs="Times New Roman"/>
                <w:i/>
                <w:iCs/>
              </w:rPr>
              <w:t xml:space="preserve">în cadrul procedurii înregistrării de stat, organul înregistrării de stat va efectua procesul de înregistrare (luare la </w:t>
            </w:r>
            <w:r w:rsidR="00396F81">
              <w:rPr>
                <w:rFonts w:ascii="Times New Roman" w:eastAsia="Times New Roman" w:hAnsi="Times New Roman" w:cs="Times New Roman"/>
                <w:i/>
                <w:iCs/>
              </w:rPr>
              <w:t>evidență</w:t>
            </w:r>
            <w:r>
              <w:rPr>
                <w:rFonts w:ascii="Times New Roman" w:eastAsia="Times New Roman" w:hAnsi="Times New Roman" w:cs="Times New Roman"/>
                <w:i/>
                <w:iCs/>
              </w:rPr>
              <w:t xml:space="preserve">) fiscală, statistică, medicală </w:t>
            </w:r>
            <w:r w:rsidR="00396F81">
              <w:rPr>
                <w:rFonts w:ascii="Times New Roman" w:eastAsia="Times New Roman" w:hAnsi="Times New Roman" w:cs="Times New Roman"/>
                <w:i/>
                <w:iCs/>
              </w:rPr>
              <w:t>și</w:t>
            </w:r>
            <w:r>
              <w:rPr>
                <w:rFonts w:ascii="Times New Roman" w:eastAsia="Times New Roman" w:hAnsi="Times New Roman" w:cs="Times New Roman"/>
                <w:i/>
                <w:iCs/>
              </w:rPr>
              <w:t xml:space="preserve"> socială a persoanei juridice prin transmitere </w:t>
            </w:r>
            <w:r w:rsidR="00396F81">
              <w:rPr>
                <w:rFonts w:ascii="Times New Roman" w:eastAsia="Times New Roman" w:hAnsi="Times New Roman" w:cs="Times New Roman"/>
                <w:i/>
                <w:iCs/>
              </w:rPr>
              <w:t>autorităților</w:t>
            </w:r>
            <w:r>
              <w:rPr>
                <w:rFonts w:ascii="Times New Roman" w:eastAsia="Times New Roman" w:hAnsi="Times New Roman" w:cs="Times New Roman"/>
                <w:i/>
                <w:iCs/>
              </w:rPr>
              <w:t xml:space="preserve"> vizate, în format electronic, a datelor privind înregistrarea acesteia prevăzute la art.33 alin.(1), cu eliberarea pentru persoana juridică a </w:t>
            </w:r>
            <w:r w:rsidR="00396F81">
              <w:rPr>
                <w:rFonts w:ascii="Times New Roman" w:eastAsia="Times New Roman" w:hAnsi="Times New Roman" w:cs="Times New Roman"/>
                <w:i/>
                <w:iCs/>
              </w:rPr>
              <w:t>înștiințării</w:t>
            </w:r>
            <w:r>
              <w:rPr>
                <w:rFonts w:ascii="Times New Roman" w:eastAsia="Times New Roman" w:hAnsi="Times New Roman" w:cs="Times New Roman"/>
                <w:i/>
                <w:iCs/>
              </w:rPr>
              <w:t xml:space="preserve"> respective</w:t>
            </w:r>
            <w:r>
              <w:rPr>
                <w:rFonts w:ascii="Times New Roman" w:eastAsia="Times New Roman" w:hAnsi="Times New Roman" w:cs="Times New Roman"/>
              </w:rPr>
              <w:t xml:space="preserve">. Astfel, solicitanții vor fi dezavantajați prin modificările respective și abordarea respectivă nu se acceptă. Totodată, la alineatul (4) proiectul prevede modificări, conform cărora </w:t>
            </w:r>
            <w:r>
              <w:rPr>
                <w:rFonts w:ascii="Times New Roman" w:eastAsia="Times New Roman" w:hAnsi="Times New Roman" w:cs="Times New Roman"/>
                <w:i/>
                <w:iCs/>
              </w:rPr>
              <w:t xml:space="preserve">după înregistrare, organul înregistrării de stat publică în Buletinul electronic, </w:t>
            </w:r>
            <w:r>
              <w:rPr>
                <w:rFonts w:ascii="Times New Roman" w:eastAsia="Times New Roman" w:hAnsi="Times New Roman" w:cs="Times New Roman"/>
                <w:b/>
                <w:bCs/>
                <w:i/>
                <w:iCs/>
              </w:rPr>
              <w:t>pe cheltuiala solicitantului</w:t>
            </w:r>
            <w:r>
              <w:rPr>
                <w:rFonts w:ascii="Times New Roman" w:eastAsia="Times New Roman" w:hAnsi="Times New Roman" w:cs="Times New Roman"/>
                <w:i/>
                <w:iCs/>
              </w:rPr>
              <w:t>, informații despre persoana juridică înregistrată, care cuprind</w:t>
            </w:r>
            <w:r>
              <w:rPr>
                <w:rFonts w:ascii="Times New Roman" w:eastAsia="Times New Roman" w:hAnsi="Times New Roman" w:cs="Times New Roman"/>
              </w:rPr>
              <w:t xml:space="preserve">: ... mai departe după text, care de asemenea vor </w:t>
            </w:r>
            <w:r>
              <w:rPr>
                <w:rFonts w:ascii="Times New Roman" w:eastAsia="Times New Roman" w:hAnsi="Times New Roman" w:cs="Times New Roman"/>
              </w:rPr>
              <w:lastRenderedPageBreak/>
              <w:t>genera costuri pentru solicitant. Menționăm, că și la p. 24 este prevăzută publicarea în Buletinul electronic pe cheltuiala solicitantului.</w:t>
            </w:r>
          </w:p>
        </w:tc>
        <w:tc>
          <w:tcPr>
            <w:tcW w:w="5505" w:type="dxa"/>
          </w:tcPr>
          <w:p w14:paraId="6C794B0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0441266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Proiectul de lege a fost ajustat.</w:t>
            </w:r>
          </w:p>
        </w:tc>
      </w:tr>
      <w:tr w:rsidR="0072652F" w14:paraId="1C74FD93" w14:textId="77777777">
        <w:trPr>
          <w:trHeight w:val="240"/>
        </w:trPr>
        <w:tc>
          <w:tcPr>
            <w:tcW w:w="480" w:type="dxa"/>
            <w:vMerge/>
          </w:tcPr>
          <w:p w14:paraId="595AE5A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F2987E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474F2D9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4393D131" w14:textId="77777777"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rPr>
              <w:t>La p.13</w:t>
            </w:r>
            <w:r>
              <w:rPr>
                <w:rFonts w:ascii="Times New Roman" w:eastAsia="Times New Roman" w:hAnsi="Times New Roman" w:cs="Times New Roman"/>
              </w:rPr>
              <w:t>, proiectul prevede modificarea literei b) alinatul (3</w:t>
            </w:r>
            <w:r>
              <w:rPr>
                <w:rFonts w:ascii="Times New Roman" w:eastAsia="Times New Roman" w:hAnsi="Times New Roman" w:cs="Times New Roman"/>
                <w:vertAlign w:val="superscript"/>
              </w:rPr>
              <w:t>1</w:t>
            </w:r>
            <w:r>
              <w:rPr>
                <w:rFonts w:ascii="Times New Roman" w:eastAsia="Times New Roman" w:hAnsi="Times New Roman" w:cs="Times New Roman"/>
              </w:rPr>
              <w:t>) al articolului 12, fiind prevăzut că se depune copia actului de constituire a persoanei juridice străine tradus în limba română, legalizat în modul stabilit de lege. Prevederile respective necesită concretizate referitor la modul stabilit de lege și ce se legalizează – traducerea sau copia. Recomandare valabilă și pentru propunerea de modificare a lit. d).</w:t>
            </w:r>
          </w:p>
        </w:tc>
        <w:tc>
          <w:tcPr>
            <w:tcW w:w="5505" w:type="dxa"/>
          </w:tcPr>
          <w:p w14:paraId="18CD238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Precizare.</w:t>
            </w:r>
          </w:p>
          <w:p w14:paraId="10D822D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Lit. b) urmează tiparul existent al literei c). Cerințele sunt identice: actele emise de autoritățile altui stat se supun formalităților de recunoaștere în R. Moldova (apostila sau </w:t>
            </w:r>
            <w:proofErr w:type="spellStart"/>
            <w:r>
              <w:rPr>
                <w:rFonts w:ascii="Times New Roman" w:eastAsia="Times New Roman" w:hAnsi="Times New Roman" w:cs="Times New Roman"/>
              </w:rPr>
              <w:t>supralegalizare</w:t>
            </w:r>
            <w:proofErr w:type="spellEnd"/>
            <w:r>
              <w:rPr>
                <w:rFonts w:ascii="Times New Roman" w:eastAsia="Times New Roman" w:hAnsi="Times New Roman" w:cs="Times New Roman"/>
              </w:rPr>
              <w:t>, cu excepția când tratatele internaționale prevăd o scutire, cum ar fi tratatul de asistență în materie civilă cu România).</w:t>
            </w:r>
          </w:p>
          <w:p w14:paraId="4EBD928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Completare din normă se referă la faptul că traducerea, dacă este necesară (dacă actul nu este deja în limba română), este legalizată conform legii.</w:t>
            </w:r>
          </w:p>
          <w:p w14:paraId="59AB51F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Nota de fundamentare a fost completată.</w:t>
            </w:r>
          </w:p>
        </w:tc>
      </w:tr>
      <w:tr w:rsidR="0072652F" w14:paraId="36C612D4" w14:textId="77777777">
        <w:trPr>
          <w:trHeight w:val="240"/>
        </w:trPr>
        <w:tc>
          <w:tcPr>
            <w:tcW w:w="480" w:type="dxa"/>
            <w:vMerge/>
          </w:tcPr>
          <w:p w14:paraId="4F30BFC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C39104E"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43334D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4B7FC26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rPr>
              <w:t>La p.25</w:t>
            </w:r>
            <w:r>
              <w:rPr>
                <w:rFonts w:ascii="Times New Roman" w:eastAsia="Times New Roman" w:hAnsi="Times New Roman" w:cs="Times New Roman"/>
              </w:rPr>
              <w:t xml:space="preserve"> proiectul prevede modificări, conform cărora la articolul 26 în cuprinsul articolului, textul „3 zile” se substituie cu textul „14 zile”. Se recomandă de argumentat în Nota de fundamentare majorarea termenelor respective.</w:t>
            </w:r>
          </w:p>
        </w:tc>
        <w:tc>
          <w:tcPr>
            <w:tcW w:w="5505" w:type="dxa"/>
          </w:tcPr>
          <w:p w14:paraId="7F5295A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1E44218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Modificarea a fost exclusă.</w:t>
            </w:r>
          </w:p>
        </w:tc>
      </w:tr>
      <w:tr w:rsidR="0072652F" w14:paraId="07BBAF5C" w14:textId="77777777">
        <w:trPr>
          <w:trHeight w:val="240"/>
        </w:trPr>
        <w:tc>
          <w:tcPr>
            <w:tcW w:w="480" w:type="dxa"/>
            <w:vMerge/>
          </w:tcPr>
          <w:p w14:paraId="67CD14F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41AB6D8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6894B2CC"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2B9C1A2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La p.34</w:t>
            </w:r>
            <w:r>
              <w:rPr>
                <w:rFonts w:ascii="Times New Roman" w:eastAsia="Times New Roman" w:hAnsi="Times New Roman" w:cs="Times New Roman"/>
              </w:rPr>
              <w:t>, alineatul (2</w:t>
            </w:r>
            <w:r>
              <w:rPr>
                <w:rFonts w:ascii="Times New Roman" w:eastAsia="Times New Roman" w:hAnsi="Times New Roman" w:cs="Times New Roman"/>
                <w:vertAlign w:val="superscript"/>
              </w:rPr>
              <w:t>4</w:t>
            </w:r>
            <w:r>
              <w:rPr>
                <w:rFonts w:ascii="Times New Roman" w:eastAsia="Times New Roman" w:hAnsi="Times New Roman" w:cs="Times New Roman"/>
              </w:rPr>
              <w:t xml:space="preserve">) al articolului 34 prevede, că </w:t>
            </w:r>
            <w:r>
              <w:rPr>
                <w:rFonts w:ascii="Times New Roman" w:eastAsia="Times New Roman" w:hAnsi="Times New Roman" w:cs="Times New Roman"/>
                <w:i/>
                <w:iCs/>
              </w:rPr>
              <w:t>exemplarele deciziilor adoptate de organul înregistrării de stat, precum și informația din Registrul de stat se eliberează în toate cazurile în format electronic, cu respectarea, după caz, a prevederilor Legii nr.124/2022 privind identificarea electronică și serviciile de încredere, cu excepția cazurilor în care eliberarea originalului actului pe suport de hârtie este cerută de solicitant sau impusă de prevederile actelor normative</w:t>
            </w:r>
            <w:r>
              <w:rPr>
                <w:rFonts w:ascii="Times New Roman" w:eastAsia="Times New Roman" w:hAnsi="Times New Roman" w:cs="Times New Roman"/>
              </w:rPr>
              <w:t xml:space="preserve">. Pentru a nu admite situații de conflict, se recomandă de substituit cuvintele „prevederile actelor </w:t>
            </w:r>
            <w:r>
              <w:rPr>
                <w:rFonts w:ascii="Times New Roman" w:eastAsia="Times New Roman" w:hAnsi="Times New Roman" w:cs="Times New Roman"/>
              </w:rPr>
              <w:lastRenderedPageBreak/>
              <w:t xml:space="preserve">normative” cu cuvântul „lege”. Totodată, prevederile alineatului (3) stabilesc, că </w:t>
            </w:r>
            <w:r>
              <w:rPr>
                <w:rFonts w:ascii="Times New Roman" w:eastAsia="Times New Roman" w:hAnsi="Times New Roman" w:cs="Times New Roman"/>
                <w:i/>
                <w:iCs/>
              </w:rPr>
              <w:t>termenul eliberării informației din Registrul de stat, din partea cu acces public din dosarul de evidență și din actele de constituire este de 3 zile lucrătoare de la data adresării solicitantului</w:t>
            </w:r>
            <w:r>
              <w:rPr>
                <w:rFonts w:ascii="Times New Roman" w:eastAsia="Times New Roman" w:hAnsi="Times New Roman" w:cs="Times New Roman"/>
              </w:rPr>
              <w:t xml:space="preserve">. Se recomandă de micșorat termenul respectiv în cazul eliberării informației în format electronic. </w:t>
            </w:r>
          </w:p>
          <w:p w14:paraId="1EA3D5B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rPr>
              <w:t xml:space="preserve">[2] De asemenea, și prevederile alineatului (4), conform cărora </w:t>
            </w:r>
            <w:r>
              <w:rPr>
                <w:rFonts w:ascii="Times New Roman" w:eastAsia="Times New Roman" w:hAnsi="Times New Roman" w:cs="Times New Roman"/>
                <w:i/>
                <w:iCs/>
              </w:rPr>
              <w:t>prețul copiilor și extraselor eliberate din Registrul de stat nu va depăși costul administrativ al acestora,</w:t>
            </w:r>
            <w:r>
              <w:rPr>
                <w:rFonts w:ascii="Times New Roman" w:eastAsia="Times New Roman" w:hAnsi="Times New Roman" w:cs="Times New Roman"/>
              </w:rPr>
              <w:t xml:space="preserve"> pot crea situații de interpretări diferite și necesită a fi concretizate. </w:t>
            </w:r>
          </w:p>
        </w:tc>
        <w:tc>
          <w:tcPr>
            <w:tcW w:w="5505" w:type="dxa"/>
          </w:tcPr>
          <w:p w14:paraId="0E4A598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Nu se acceptă.</w:t>
            </w:r>
          </w:p>
          <w:p w14:paraId="555A0CB3" w14:textId="77777777" w:rsidR="0072652F" w:rsidRDefault="0072652F">
            <w:pPr>
              <w:pBdr>
                <w:top w:val="nil"/>
                <w:left w:val="nil"/>
                <w:bottom w:val="nil"/>
                <w:right w:val="nil"/>
                <w:between w:val="nil"/>
              </w:pBdr>
              <w:jc w:val="both"/>
              <w:rPr>
                <w:rFonts w:ascii="Times New Roman" w:eastAsia="Times New Roman" w:hAnsi="Times New Roman" w:cs="Times New Roman"/>
                <w:b/>
                <w:bCs/>
              </w:rPr>
            </w:pPr>
          </w:p>
          <w:p w14:paraId="7AA61BB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Formularea urmează textul în vigoare la moment. Nu este funcția acestui alineat să stabilească când se permite de a cere exemplare în formă scrisă, fiind doar o normă de blanchetă.</w:t>
            </w:r>
          </w:p>
          <w:p w14:paraId="51835DB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7AFA5C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 xml:space="preserve">Precizare. </w:t>
            </w:r>
          </w:p>
          <w:p w14:paraId="68778AC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D13B2B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Formularea urmează textul Directivei și se regăsește deja în art. 34 alin. (4) din Legea nr. 220/2007.</w:t>
            </w:r>
          </w:p>
        </w:tc>
      </w:tr>
      <w:tr w:rsidR="0072652F" w14:paraId="10706DAE" w14:textId="77777777">
        <w:trPr>
          <w:trHeight w:val="240"/>
        </w:trPr>
        <w:tc>
          <w:tcPr>
            <w:tcW w:w="480" w:type="dxa"/>
            <w:vMerge/>
          </w:tcPr>
          <w:p w14:paraId="46431B9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786280E"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0BB5D6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4485" w:type="dxa"/>
          </w:tcPr>
          <w:p w14:paraId="7EFB1AB8" w14:textId="77777777" w:rsidR="0072652F" w:rsidRDefault="00000000">
            <w:pPr>
              <w:ind w:hanging="360"/>
              <w:jc w:val="both"/>
              <w:rPr>
                <w:rFonts w:ascii="Times New Roman" w:eastAsia="Times New Roman" w:hAnsi="Times New Roman" w:cs="Times New Roman"/>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rPr>
              <w:t>La p.36</w:t>
            </w:r>
            <w:r>
              <w:rPr>
                <w:rFonts w:ascii="Times New Roman" w:eastAsia="Times New Roman" w:hAnsi="Times New Roman" w:cs="Times New Roman"/>
              </w:rPr>
              <w:t xml:space="preserve">, litera j) alineatul (3) al articolului 35 prevede, că </w:t>
            </w:r>
            <w:r>
              <w:rPr>
                <w:rFonts w:ascii="Times New Roman" w:eastAsia="Times New Roman" w:hAnsi="Times New Roman" w:cs="Times New Roman"/>
                <w:i/>
                <w:iCs/>
              </w:rPr>
              <w:t>organul înregistrării de stat eliberează certificatul prealabil de transformare transfrontalieră, de fuziune transfrontalieră sau de divizare transfrontalieră privind societățile cu răspundere limitată autohtone</w:t>
            </w:r>
            <w:r>
              <w:rPr>
                <w:rFonts w:ascii="Times New Roman" w:eastAsia="Times New Roman" w:hAnsi="Times New Roman" w:cs="Times New Roman"/>
              </w:rPr>
              <w:t>. Prevederile respective vor crea un act permisiv și se recomandă de argumentat în Nota de fundamentare necesitatea acestuia.</w:t>
            </w:r>
          </w:p>
        </w:tc>
        <w:tc>
          <w:tcPr>
            <w:tcW w:w="5505" w:type="dxa"/>
          </w:tcPr>
          <w:p w14:paraId="023D110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ia act.</w:t>
            </w:r>
          </w:p>
          <w:p w14:paraId="7BC35A6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Problema va fi examinată în detaliu cu ocazia avizării proiectului de Lege privind reorganizarea transfrontalieră a societăților comerciale.</w:t>
            </w:r>
          </w:p>
        </w:tc>
      </w:tr>
      <w:tr w:rsidR="0072652F" w14:paraId="544D2090" w14:textId="77777777">
        <w:trPr>
          <w:trHeight w:val="240"/>
        </w:trPr>
        <w:tc>
          <w:tcPr>
            <w:tcW w:w="480" w:type="dxa"/>
            <w:vMerge/>
          </w:tcPr>
          <w:p w14:paraId="442C563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3F584E7"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2CF87FD7" w14:textId="77777777" w:rsidR="0072652F" w:rsidRDefault="00000000">
            <w:pPr>
              <w:widowControl w:val="0"/>
              <w:tabs>
                <w:tab w:val="left" w:pos="4253"/>
              </w:tabs>
              <w:spacing w:line="360" w:lineRule="auto"/>
              <w:ind w:firstLine="851"/>
              <w:jc w:val="both"/>
              <w:rPr>
                <w:rFonts w:ascii="Times New Roman" w:eastAsia="Times New Roman" w:hAnsi="Times New Roman" w:cs="Times New Roman"/>
                <w:b/>
                <w:bCs/>
              </w:rPr>
            </w:pPr>
            <w:r>
              <w:rPr>
                <w:rFonts w:ascii="Times New Roman" w:eastAsia="Times New Roman" w:hAnsi="Times New Roman" w:cs="Times New Roman"/>
                <w:b/>
                <w:bCs/>
              </w:rPr>
              <w:t xml:space="preserve">Art. VI. </w:t>
            </w:r>
            <w:r>
              <w:rPr>
                <w:rFonts w:ascii="Times New Roman" w:eastAsia="Times New Roman" w:hAnsi="Times New Roman" w:cs="Times New Roman"/>
              </w:rPr>
              <w:t xml:space="preserve">– Codul contravențional al Republicii Moldova nr. 218/2008 </w:t>
            </w:r>
          </w:p>
        </w:tc>
      </w:tr>
      <w:tr w:rsidR="0072652F" w14:paraId="1FEBA43A" w14:textId="77777777">
        <w:trPr>
          <w:trHeight w:val="280"/>
        </w:trPr>
        <w:tc>
          <w:tcPr>
            <w:tcW w:w="480" w:type="dxa"/>
            <w:vMerge/>
          </w:tcPr>
          <w:p w14:paraId="2DE71CC4"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64746A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476D1D2D" w14:textId="77777777" w:rsidR="0072652F" w:rsidRDefault="00000000">
            <w:pPr>
              <w:widowControl w:val="0"/>
              <w:tabs>
                <w:tab w:val="left" w:pos="4253"/>
              </w:tabs>
              <w:spacing w:line="360" w:lineRule="auto"/>
              <w:ind w:firstLine="851"/>
              <w:jc w:val="both"/>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400511E7"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[1] Modificarea propusă la </w:t>
            </w:r>
            <w:r>
              <w:rPr>
                <w:rFonts w:ascii="Times New Roman" w:eastAsia="Times New Roman" w:hAnsi="Times New Roman" w:cs="Times New Roman"/>
                <w:b/>
                <w:bCs/>
              </w:rPr>
              <w:t>art. 263/4</w:t>
            </w:r>
            <w:r>
              <w:rPr>
                <w:rFonts w:ascii="Times New Roman" w:eastAsia="Times New Roman" w:hAnsi="Times New Roman" w:cs="Times New Roman"/>
              </w:rPr>
              <w:t xml:space="preserve"> din Codul contravențional prevede sancțiuni pentru prezentarea unor date „</w:t>
            </w:r>
            <w:r>
              <w:rPr>
                <w:rFonts w:ascii="Times New Roman" w:eastAsia="Times New Roman" w:hAnsi="Times New Roman" w:cs="Times New Roman"/>
                <w:i/>
                <w:iCs/>
              </w:rPr>
              <w:t>neveridice, incomplete sau incorecte</w:t>
            </w:r>
            <w:r>
              <w:rPr>
                <w:rFonts w:ascii="Times New Roman" w:eastAsia="Times New Roman" w:hAnsi="Times New Roman" w:cs="Times New Roman"/>
              </w:rPr>
              <w:t xml:space="preserve">”, precum și neactualizarea informației, fără a distinge între prezentarea intenționată a unor date false, omisiunile esențiale, erorile materiale, greșelile tehnice sau neactualizările </w:t>
            </w:r>
            <w:r>
              <w:rPr>
                <w:rFonts w:ascii="Times New Roman" w:eastAsia="Times New Roman" w:hAnsi="Times New Roman" w:cs="Times New Roman"/>
              </w:rPr>
              <w:lastRenderedPageBreak/>
              <w:t>neintenționate. În această redacție, o simplă eroare formală poate fi sancționată similar unei conduite frauduloase, ceea ce poate conduce la aplicarea disproporționată a răspunderii contravenționale.</w:t>
            </w:r>
          </w:p>
          <w:p w14:paraId="1D8C9A7F" w14:textId="12634A7C" w:rsidR="0072652F" w:rsidRDefault="00000000">
            <w:pPr>
              <w:jc w:val="both"/>
              <w:rPr>
                <w:rFonts w:ascii="Times New Roman" w:eastAsia="Times New Roman" w:hAnsi="Times New Roman" w:cs="Times New Roman"/>
              </w:rPr>
            </w:pPr>
            <w:r>
              <w:rPr>
                <w:rFonts w:ascii="Times New Roman" w:eastAsia="Times New Roman" w:hAnsi="Times New Roman" w:cs="Times New Roman"/>
              </w:rPr>
              <w:t>[2] Cuantumul amenzilor propuse este ridicat și nu este suficient justificat. Nu</w:t>
            </w:r>
            <w:r w:rsidR="00396F81">
              <w:rPr>
                <w:rFonts w:ascii="Times New Roman" w:eastAsia="Times New Roman" w:hAnsi="Times New Roman" w:cs="Times New Roman"/>
              </w:rPr>
              <w:t xml:space="preserve"> este</w:t>
            </w:r>
            <w:r>
              <w:rPr>
                <w:rFonts w:ascii="Times New Roman" w:eastAsia="Times New Roman" w:hAnsi="Times New Roman" w:cs="Times New Roman"/>
              </w:rPr>
              <w:t xml:space="preserve"> clar de ce faptele vizate trebuie sancționate anume cu amendă de la 300 la 800 unități convenționale pentru persoana fizică sau persoana cu funcție de răspundere și de la 1000 la 1500 unități convenționale pentru persoana juridică. Lipsa unei justificări clare a acestor limite poate crea percepția unei sancțiuni arbitrare, mai ales în cazul ÎMM.</w:t>
            </w:r>
          </w:p>
          <w:p w14:paraId="360FA9D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[3] Totodată, sancționarea neactualizării informației este problematică.  Norma contravențională face trimitere la obligații din alte acte normative, însă, în legile sectoriale termene clare de actualizare nu se prevăd. Dacă termenul nu este clar stabilit în legea materială, persoana nu poate prevedea cu certitudine momentul de la care fapta devine contravenție. Se recomandă corelarea sancțiunii cu obligațiile materiale din Legea nr. 220/2007, Legea nr. 1134/1997, Legea nr. 135/2007 și Codul civil, astfel încât fiecare obligație sancționată să aibă un termen clar de executare.</w:t>
            </w:r>
          </w:p>
          <w:p w14:paraId="11F4782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[4] Se stabilește sancțiune pentru neindicarea informațiilor obligatorii în actele unilaterale și pentru nepublicarea acestora pe pagina web proprie. Aceste obligații sunt formulate larg în legile sectoriale, în special prin utilizarea expresiilor „</w:t>
            </w:r>
            <w:r>
              <w:rPr>
                <w:rFonts w:ascii="Times New Roman" w:eastAsia="Times New Roman" w:hAnsi="Times New Roman" w:cs="Times New Roman"/>
                <w:i/>
                <w:iCs/>
              </w:rPr>
              <w:t>acte unilaterale</w:t>
            </w:r>
            <w:r>
              <w:rPr>
                <w:rFonts w:ascii="Times New Roman" w:eastAsia="Times New Roman" w:hAnsi="Times New Roman" w:cs="Times New Roman"/>
              </w:rPr>
              <w:t>” și „</w:t>
            </w:r>
            <w:r>
              <w:rPr>
                <w:rFonts w:ascii="Times New Roman" w:eastAsia="Times New Roman" w:hAnsi="Times New Roman" w:cs="Times New Roman"/>
                <w:i/>
                <w:iCs/>
              </w:rPr>
              <w:t xml:space="preserve">în </w:t>
            </w:r>
            <w:r>
              <w:rPr>
                <w:rFonts w:ascii="Times New Roman" w:eastAsia="Times New Roman" w:hAnsi="Times New Roman" w:cs="Times New Roman"/>
                <w:i/>
                <w:iCs/>
              </w:rPr>
              <w:lastRenderedPageBreak/>
              <w:t>orice alt format</w:t>
            </w:r>
            <w:r>
              <w:rPr>
                <w:rFonts w:ascii="Times New Roman" w:eastAsia="Times New Roman" w:hAnsi="Times New Roman" w:cs="Times New Roman"/>
              </w:rPr>
              <w:t>”. În lipsa unei delimitări clare, pot fi sancționate inclusiv comunicări curente, e-mailuri, notificări automate sau alte mesaje fără relevanță juridică substanțială</w:t>
            </w:r>
          </w:p>
        </w:tc>
        <w:tc>
          <w:tcPr>
            <w:tcW w:w="5505" w:type="dxa"/>
          </w:tcPr>
          <w:p w14:paraId="6AB3179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Nu se acceptă.</w:t>
            </w:r>
          </w:p>
          <w:p w14:paraId="739D9D87"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0B1266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Prevederile criticate se regăsesc în textul în vigoare.</w:t>
            </w:r>
          </w:p>
          <w:p w14:paraId="271BEA1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4F0E4B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Problema vinovăției este reglementată detaliat de art. 10 al Codului contravențional.</w:t>
            </w:r>
          </w:p>
          <w:p w14:paraId="58838D85"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9D916B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284A07F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Sancțiunea de la alin. (1), amendă de la 300 la 800 unități convenționale pentru persoana fizică sau persoana cu funcție de răspundere și de la 1000 la 1500 unități convenționale pentru persoana juridică, este prevăzută în textul în vigoare a articolului.</w:t>
            </w:r>
          </w:p>
          <w:p w14:paraId="3B201DC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A23BBC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[3] </w:t>
            </w:r>
            <w:r>
              <w:rPr>
                <w:rFonts w:ascii="Times New Roman" w:eastAsia="Times New Roman" w:hAnsi="Times New Roman" w:cs="Times New Roman"/>
                <w:b/>
                <w:bCs/>
              </w:rPr>
              <w:t>Nu se acceptă.</w:t>
            </w:r>
          </w:p>
          <w:p w14:paraId="27E7A2A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Obligațiile de publicitate introduse prin prezentul proiect de lege și sancționate de acest articol al Codului contravențional au termene clare. De regulă, ele sunt de 30 de zile din data evenimentului.</w:t>
            </w:r>
          </w:p>
          <w:p w14:paraId="7C56AC1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2414D1A3"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[4] </w:t>
            </w:r>
            <w:r>
              <w:rPr>
                <w:rFonts w:ascii="Times New Roman" w:eastAsia="Times New Roman" w:hAnsi="Times New Roman" w:cs="Times New Roman"/>
                <w:b/>
                <w:bCs/>
              </w:rPr>
              <w:t>Se acceptă.</w:t>
            </w:r>
          </w:p>
          <w:p w14:paraId="4DBB279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 pentru a introduce conceptul autonom de „scrisori comerciale”, cu prevederi certe și explicații detaliate în Nota de fundamentare (a se vedea de asemenea supra).</w:t>
            </w:r>
          </w:p>
        </w:tc>
      </w:tr>
      <w:tr w:rsidR="0072652F" w14:paraId="4B1A0B7F" w14:textId="77777777">
        <w:trPr>
          <w:trHeight w:val="240"/>
        </w:trPr>
        <w:tc>
          <w:tcPr>
            <w:tcW w:w="480" w:type="dxa"/>
            <w:vMerge w:val="restart"/>
          </w:tcPr>
          <w:p w14:paraId="2E08180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14</w:t>
            </w:r>
          </w:p>
        </w:tc>
        <w:tc>
          <w:tcPr>
            <w:tcW w:w="1530" w:type="dxa"/>
            <w:vMerge w:val="restart"/>
          </w:tcPr>
          <w:p w14:paraId="078E2E38"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Asociația Obștească „</w:t>
            </w:r>
            <w:proofErr w:type="spellStart"/>
            <w:r>
              <w:rPr>
                <w:rFonts w:ascii="Times New Roman" w:eastAsia="Times New Roman" w:hAnsi="Times New Roman" w:cs="Times New Roman"/>
                <w:b/>
                <w:bCs/>
              </w:rPr>
              <w:t>Moldinsolv</w:t>
            </w:r>
            <w:proofErr w:type="spellEnd"/>
            <w:r>
              <w:rPr>
                <w:rFonts w:ascii="Times New Roman" w:eastAsia="Times New Roman" w:hAnsi="Times New Roman" w:cs="Times New Roman"/>
                <w:b/>
                <w:bCs/>
              </w:rPr>
              <w:t>",</w:t>
            </w:r>
          </w:p>
        </w:tc>
        <w:tc>
          <w:tcPr>
            <w:tcW w:w="11790" w:type="dxa"/>
            <w:gridSpan w:val="3"/>
          </w:tcPr>
          <w:p w14:paraId="748FC8DF" w14:textId="77777777" w:rsidR="0072652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Art. IV. – Legea nr. 220/2007 privind înregistrarea de stat a persoanelor juridice și a întreprinzătorilor individuali</w:t>
            </w:r>
          </w:p>
        </w:tc>
      </w:tr>
      <w:tr w:rsidR="0072652F" w14:paraId="4BEDDE05" w14:textId="77777777">
        <w:trPr>
          <w:trHeight w:val="240"/>
        </w:trPr>
        <w:tc>
          <w:tcPr>
            <w:tcW w:w="480" w:type="dxa"/>
            <w:vMerge/>
          </w:tcPr>
          <w:p w14:paraId="4137E3F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1831A352"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43534EC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4485" w:type="dxa"/>
          </w:tcPr>
          <w:p w14:paraId="6E02789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Pct. 31</w:t>
            </w:r>
            <w:r>
              <w:rPr>
                <w:rFonts w:ascii="Times New Roman" w:eastAsia="Times New Roman" w:hAnsi="Times New Roman" w:cs="Times New Roman"/>
                <w:color w:val="000000"/>
              </w:rPr>
              <w:t xml:space="preserve"> se propune următoarea modificare: </w:t>
            </w:r>
          </w:p>
          <w:p w14:paraId="6FD9378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Articolul 33:</w:t>
            </w:r>
          </w:p>
          <w:p w14:paraId="7B3548C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alineatul (1) va avea următorul </w:t>
            </w:r>
          </w:p>
          <w:p w14:paraId="463606C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cuprins: </w:t>
            </w:r>
          </w:p>
          <w:p w14:paraId="21AF16A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În Registrul de stat al persoanelor juridice se înscriu următoarele date despre persoana juridică: </w:t>
            </w:r>
          </w:p>
          <w:p w14:paraId="5505B38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denumirea completă și prescurtată în limba română; </w:t>
            </w:r>
          </w:p>
          <w:p w14:paraId="56C5233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 denumirea sucursalei; </w:t>
            </w:r>
          </w:p>
          <w:p w14:paraId="63E5321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 forma juridică de organizare; </w:t>
            </w:r>
          </w:p>
          <w:p w14:paraId="6ABFD49A"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data înregistrării și numărul de </w:t>
            </w:r>
          </w:p>
          <w:p w14:paraId="5C4C0AE2"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identificare de stat; </w:t>
            </w:r>
          </w:p>
          <w:p w14:paraId="6C4A725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 identificatorul EUID – în cazul </w:t>
            </w:r>
          </w:p>
          <w:p w14:paraId="7F125A0F"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societății autohtone; </w:t>
            </w:r>
          </w:p>
          <w:p w14:paraId="7E15F07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 sediul (adresa poștală, numărul </w:t>
            </w:r>
          </w:p>
          <w:p w14:paraId="2AB6677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de telefon, adresa electronică), inclusiv al sucursalelor;</w:t>
            </w:r>
          </w:p>
          <w:p w14:paraId="32ACD5B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 indicarea calității de persoană juridică (da/ nu); h) modalitatea constituirii (creată sau reorganizată) și datele despre succesiunea de drept; i) genurile de activitate și durata activității, inclusiv a sucursalelor; j) numele, prenumele, numărul de identificare de stat al persoanei fizice, domiciliul, numărul de telefon ale fondatorilor (asociaților) și administratorului – persoane fizice, numărul de identificare de stat, data înregistrării și </w:t>
            </w:r>
            <w:r>
              <w:rPr>
                <w:rFonts w:ascii="Times New Roman" w:eastAsia="Times New Roman" w:hAnsi="Times New Roman" w:cs="Times New Roman"/>
                <w:color w:val="000000"/>
              </w:rPr>
              <w:lastRenderedPageBreak/>
              <w:t>sediul (adresa poștală, numărul de telefon, adresa electronică) ale fondatorilor (asociaților) – persoane juridice; k) țara de origine a fondatorilor (asociaților);</w:t>
            </w:r>
          </w:p>
          <w:p w14:paraId="2B8EB26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 termenul pentru care este desemnat persoana cu funcție de conducere; </w:t>
            </w:r>
          </w:p>
          <w:p w14:paraId="1C5E0D3B"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 împuternicirile conducătorului sucursalei; </w:t>
            </w:r>
          </w:p>
          <w:p w14:paraId="5F2E49A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 numele, prenumele, data nașterii, numărul de identificare de stat al persoanei fizice, domiciliul beneficiarului efectiv/beneficiarilor efectivi, țara de reședință, cetățenia, detalii privind interesele generatoare de beneficii deținute, astfel cum este prevăzut în Legea nr. 308/2017 cu privire la prevenirea și combaterea spălării banilor și finanțării terorismului; </w:t>
            </w:r>
          </w:p>
          <w:p w14:paraId="0DCD695D"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tipul de proprietate și sursa de finanțare; </w:t>
            </w:r>
          </w:p>
          <w:p w14:paraId="1C4FBD6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 mărimea capitalului social și a cotelor de participare ale fondatorilor (asociaților); </w:t>
            </w:r>
          </w:p>
          <w:p w14:paraId="3A21B6C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q) date privind situațiile </w:t>
            </w:r>
          </w:p>
          <w:p w14:paraId="3A6D465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financiare anuale(pentru societățile </w:t>
            </w:r>
          </w:p>
          <w:p w14:paraId="0D300F8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comerciale)- baza datelor furnizate de </w:t>
            </w:r>
          </w:p>
          <w:p w14:paraId="07CFC5E5"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Biroul Național de Statistică </w:t>
            </w:r>
          </w:p>
          <w:p w14:paraId="48E7A999"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color w:val="EE0000"/>
              </w:rPr>
              <w:t>[1] r)</w:t>
            </w:r>
            <w:r>
              <w:rPr>
                <w:rFonts w:ascii="Times New Roman" w:eastAsia="Times New Roman" w:hAnsi="Times New Roman" w:cs="Times New Roman"/>
                <w:color w:val="000000"/>
              </w:rPr>
              <w:t xml:space="preserve"> datele privind numirea, încetarea funcției, numele și prenumele sau denumirea, numărul de identificare de stat ale administratorului fiduciar și/sau </w:t>
            </w:r>
            <w:r>
              <w:rPr>
                <w:rFonts w:ascii="Times New Roman" w:eastAsia="Times New Roman" w:hAnsi="Times New Roman" w:cs="Times New Roman"/>
                <w:strike/>
                <w:color w:val="000000"/>
              </w:rPr>
              <w:t>ale administratorului insolvabilității</w:t>
            </w:r>
            <w:r>
              <w:rPr>
                <w:rFonts w:ascii="Times New Roman" w:eastAsia="Times New Roman" w:hAnsi="Times New Roman" w:cs="Times New Roman"/>
                <w:color w:val="000000"/>
              </w:rPr>
              <w:t xml:space="preserve"> </w:t>
            </w:r>
            <w:r>
              <w:rPr>
                <w:rFonts w:ascii="Times New Roman" w:eastAsia="Times New Roman" w:hAnsi="Times New Roman" w:cs="Times New Roman"/>
                <w:color w:val="EE0000"/>
              </w:rPr>
              <w:t xml:space="preserve">numele administratorului autorizat, adresa și codul fiscal al biroului acestuia </w:t>
            </w:r>
            <w:r>
              <w:rPr>
                <w:rFonts w:ascii="Times New Roman" w:eastAsia="Times New Roman" w:hAnsi="Times New Roman" w:cs="Times New Roman"/>
                <w:color w:val="000000"/>
              </w:rPr>
              <w:t>desemnați de instanța de judecată</w:t>
            </w:r>
            <w:r>
              <w:rPr>
                <w:rFonts w:ascii="Times New Roman" w:eastAsia="Times New Roman" w:hAnsi="Times New Roman" w:cs="Times New Roman"/>
                <w:b/>
                <w:bCs/>
                <w:color w:val="000000"/>
              </w:rPr>
              <w:t xml:space="preserve">; </w:t>
            </w:r>
          </w:p>
          <w:p w14:paraId="7A623064"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 datele privind numirea, încetarea funcției, numele și prenumele sau denumirea, numărul de identificare de </w:t>
            </w:r>
          </w:p>
          <w:p w14:paraId="23E7560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stat al persoanei cu funcție de conducere și, în cazurile prevăzute de lege, ale persoanei cu funcție de control;</w:t>
            </w:r>
          </w:p>
          <w:p w14:paraId="7CDD15F3"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t) data înregistrării modificărilor operate în actele de constituire, esența modificărilor;</w:t>
            </w:r>
          </w:p>
          <w:p w14:paraId="489FF454" w14:textId="77777777" w:rsidR="0072652F" w:rsidRDefault="00000000">
            <w:pPr>
              <w:pBdr>
                <w:top w:val="nil"/>
                <w:left w:val="nil"/>
                <w:bottom w:val="nil"/>
                <w:right w:val="nil"/>
                <w:between w:val="nil"/>
              </w:pBdr>
              <w:jc w:val="both"/>
              <w:rPr>
                <w:rFonts w:ascii="Times New Roman" w:eastAsia="Times New Roman" w:hAnsi="Times New Roman" w:cs="Times New Roman"/>
                <w:color w:val="EE0000"/>
              </w:rPr>
            </w:pPr>
            <w:r>
              <w:rPr>
                <w:rFonts w:ascii="Times New Roman" w:eastAsia="Times New Roman" w:hAnsi="Times New Roman" w:cs="Times New Roman"/>
                <w:color w:val="000000"/>
              </w:rPr>
              <w:t xml:space="preserve"> u) date cu privire la </w:t>
            </w:r>
            <w:r>
              <w:rPr>
                <w:rFonts w:ascii="Times New Roman" w:eastAsia="Times New Roman" w:hAnsi="Times New Roman" w:cs="Times New Roman"/>
                <w:strike/>
                <w:color w:val="000000"/>
              </w:rPr>
              <w:t>începerea, suspendarea sau încheierea procedurii de reorganizare, cu privire la intentarea procesului de insolvabilitate, cu privire la aplicarea procedurii planului sau cu privire la dizolvare, prevăzute de legislație</w:t>
            </w:r>
            <w:r>
              <w:rPr>
                <w:rFonts w:ascii="Times New Roman" w:eastAsia="Times New Roman" w:hAnsi="Times New Roman" w:cs="Times New Roman"/>
                <w:color w:val="000000"/>
              </w:rPr>
              <w:t xml:space="preserve"> </w:t>
            </w:r>
            <w:r>
              <w:rPr>
                <w:rFonts w:ascii="Times New Roman" w:eastAsia="Times New Roman" w:hAnsi="Times New Roman" w:cs="Times New Roman"/>
                <w:color w:val="EE0000"/>
              </w:rPr>
              <w:t>acte judecătorești privind: admiterea spre examinare a cererilor introductive și instituirea perioadei de observație, intentarea procedurii de insolvabilitate, intentarea procedurii de restructurare, intentarea procedurii de aplicare a planului, intentarea procedurii accelerate de restructurare, intentarea procedurii de faliment cât și date despre încetarea acestor proceduri.</w:t>
            </w:r>
          </w:p>
          <w:p w14:paraId="3B6D077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 date cu privire la suspendarea și reluarea activității; </w:t>
            </w:r>
          </w:p>
          <w:p w14:paraId="60C44EF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interdicțiile aplicate, după caz, de instanțele de judecată, de executorii judecătorești sau de alte autorități abilitate; </w:t>
            </w:r>
          </w:p>
          <w:p w14:paraId="6616922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x) modul de încetare a existenței (prin reorganizare, lichidare sau radiere din Registrul de stat în temeiul deciziei din oficiu a organului înregistrării de stat);</w:t>
            </w:r>
          </w:p>
          <w:p w14:paraId="0AF0D681"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y) date despre lichidator – numele, prenumele, numărul de identificare de stat al persoanei fizice; </w:t>
            </w:r>
          </w:p>
          <w:p w14:paraId="5461D686"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date cu privire la persoanele juridice pasive și inactive; </w:t>
            </w:r>
          </w:p>
          <w:p w14:paraId="486FAD58"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notările în legătură cu drepturile înregistrate cuprinse în Registrul de stat, conform art. 435 din Codul civil</w:t>
            </w:r>
          </w:p>
          <w:p w14:paraId="7F59DA90"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nr.1107/2002 și alte acte normative; </w:t>
            </w:r>
          </w:p>
          <w:p w14:paraId="3522BF1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informația privind registratorul societății – pentru societățile pe acțiuni; </w:t>
            </w:r>
          </w:p>
          <w:p w14:paraId="1109F46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numele, prenumele și funcția persoanei care a efectuat înregistrarea.”</w:t>
            </w:r>
          </w:p>
          <w:p w14:paraId="45F2EB57"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la alineatul (2):</w:t>
            </w:r>
          </w:p>
          <w:p w14:paraId="133B381C"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 la literele a) și c</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cuvântul „(IDNP)” se exclude;</w:t>
            </w:r>
          </w:p>
          <w:p w14:paraId="61E432EE"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 litera d) se abrogă. </w:t>
            </w:r>
          </w:p>
          <w:p w14:paraId="0A82CD79" w14:textId="77777777" w:rsidR="0072652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3) alineatul (4) se abrogă.</w:t>
            </w:r>
          </w:p>
        </w:tc>
        <w:tc>
          <w:tcPr>
            <w:tcW w:w="5505" w:type="dxa"/>
          </w:tcPr>
          <w:p w14:paraId="57115BD8"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Se acceptă.</w:t>
            </w:r>
          </w:p>
          <w:p w14:paraId="4FFD52D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p w14:paraId="44601F7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6A39010"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 xml:space="preserve">[2] </w:t>
            </w:r>
            <w:r>
              <w:rPr>
                <w:rFonts w:ascii="Times New Roman" w:eastAsia="Times New Roman" w:hAnsi="Times New Roman" w:cs="Times New Roman"/>
                <w:b/>
                <w:bCs/>
              </w:rPr>
              <w:t>Nu se acceptă.</w:t>
            </w:r>
          </w:p>
          <w:p w14:paraId="3BDA975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Obiectul înregistrării este faptul juridic. Actele judecătorești menționate constituie temei al înregistrării.</w:t>
            </w:r>
          </w:p>
        </w:tc>
      </w:tr>
      <w:tr w:rsidR="0072652F" w14:paraId="73DB61D7" w14:textId="77777777">
        <w:trPr>
          <w:trHeight w:val="280"/>
        </w:trPr>
        <w:tc>
          <w:tcPr>
            <w:tcW w:w="480" w:type="dxa"/>
            <w:vMerge w:val="restart"/>
          </w:tcPr>
          <w:p w14:paraId="7F6B3CB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15</w:t>
            </w:r>
          </w:p>
        </w:tc>
        <w:tc>
          <w:tcPr>
            <w:tcW w:w="1530" w:type="dxa"/>
            <w:vMerge w:val="restart"/>
          </w:tcPr>
          <w:p w14:paraId="5005C6B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Asociației Patronale „Camera de Comerț Americană din Moldova”</w:t>
            </w:r>
          </w:p>
        </w:tc>
        <w:tc>
          <w:tcPr>
            <w:tcW w:w="11790" w:type="dxa"/>
            <w:gridSpan w:val="3"/>
          </w:tcPr>
          <w:p w14:paraId="08A66E1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sz w:val="28"/>
                <w:szCs w:val="28"/>
              </w:rPr>
              <w:t xml:space="preserve">Art. I. – Legea nr. 1134/1997 privind societățile pe acțiuni </w:t>
            </w:r>
          </w:p>
        </w:tc>
      </w:tr>
      <w:tr w:rsidR="0072652F" w14:paraId="77D261D4" w14:textId="77777777">
        <w:trPr>
          <w:trHeight w:val="240"/>
        </w:trPr>
        <w:tc>
          <w:tcPr>
            <w:tcW w:w="480" w:type="dxa"/>
            <w:vMerge/>
          </w:tcPr>
          <w:p w14:paraId="4245795B"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E4D627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79C730D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69AA92F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Pct.3</w:t>
            </w:r>
            <w:r>
              <w:rPr>
                <w:rFonts w:ascii="Times New Roman" w:eastAsia="Times New Roman" w:hAnsi="Times New Roman" w:cs="Times New Roman"/>
              </w:rPr>
              <w:t xml:space="preserve"> </w:t>
            </w:r>
          </w:p>
          <w:p w14:paraId="4FD59B6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Art. 8  alin. (5) și (6)</w:t>
            </w:r>
          </w:p>
          <w:p w14:paraId="50B7675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cazul băncilor, un membru al organului de conducere nu își poate exercita funcția înainte de aprobarea BNM. Noul art. 8 alin. (5) adaugă o a doua condiție constitutivă — înregistrarea în RSPJ. Astfel apare o disonanță în cazul în care se obține aprobarea BNM, dar înregistrarea ASP întârzie sau nu este posibilă de efectuat în termeni restrânși, banca rămânând formal fără organ valabil mandatat.</w:t>
            </w:r>
          </w:p>
          <w:p w14:paraId="2703E21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propune completarea normei cu următorul text:</w:t>
            </w:r>
          </w:p>
          <w:p w14:paraId="5B05B817"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i/>
                <w:iCs/>
              </w:rPr>
              <w:t xml:space="preserve">„Pentru bănci și alte entități supuse aprobării prealabile potrivit normelor speciale, înregistrarea de stat a calității de persoană cu funcție de conducere sau de control se efectuează numai în baza și ulterior aprobării emise de autoritatea de supraveghere competentă, fără a aduce </w:t>
            </w:r>
            <w:r>
              <w:rPr>
                <w:rFonts w:ascii="Times New Roman" w:eastAsia="Times New Roman" w:hAnsi="Times New Roman" w:cs="Times New Roman"/>
                <w:i/>
                <w:iCs/>
              </w:rPr>
              <w:lastRenderedPageBreak/>
              <w:t>atingere prevederilor Legii nr. 202/2017 și competențelor Băncii Naționale a Moldovei. Mandatul nu poate începe înainte de obținerea aprobării respective."</w:t>
            </w:r>
          </w:p>
        </w:tc>
        <w:tc>
          <w:tcPr>
            <w:tcW w:w="5505" w:type="dxa"/>
          </w:tcPr>
          <w:p w14:paraId="0574307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5574CEA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Cele două formalități sunt compatibile. Verificarea BNM este o formalitate pentru integritate și corespundere cu criteriile sectoriale, pe când înregistrarea în RSPJ se face pentru a informa și proteja terții. În plus, noua reglementare îmbunătățește situația acestor persoane cu funcție de conducere, deoarece specifică faptul că mandatul începe din data înregistrării în RSPJ, iar nu din momentul numirii.</w:t>
            </w:r>
          </w:p>
          <w:p w14:paraId="7D27B83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Este cunoscută problema că, deoarece procedura de aprobare a BNM durează câteva luni, persoana numită în funcție pierde această perioadă a mandatului. În noua reglementare mandatul (și începutul calculului termenului mandatului) începe din data înregistrării în RSPJ.</w:t>
            </w:r>
          </w:p>
        </w:tc>
      </w:tr>
      <w:tr w:rsidR="0072652F" w14:paraId="5C0F05A0" w14:textId="77777777">
        <w:trPr>
          <w:trHeight w:val="240"/>
        </w:trPr>
        <w:tc>
          <w:tcPr>
            <w:tcW w:w="480" w:type="dxa"/>
            <w:vMerge/>
          </w:tcPr>
          <w:p w14:paraId="5CFFF20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61F50C0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0DB2A55"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42F3C4C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sz w:val="28"/>
                <w:szCs w:val="28"/>
              </w:rPr>
              <w:t>Pct. 7.</w:t>
            </w:r>
            <w:r>
              <w:rPr>
                <w:rFonts w:ascii="Times New Roman" w:eastAsia="Times New Roman" w:hAnsi="Times New Roman" w:cs="Times New Roman"/>
                <w:b/>
                <w:bCs/>
              </w:rPr>
              <w:t xml:space="preserve"> </w:t>
            </w:r>
          </w:p>
          <w:p w14:paraId="1CD13EE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Art. 46 alin (7)</w:t>
            </w:r>
          </w:p>
          <w:p w14:paraId="2267866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rPr>
              <w:t>S</w:t>
            </w:r>
            <w:r>
              <w:rPr>
                <w:rFonts w:ascii="Times New Roman" w:eastAsia="Times New Roman" w:hAnsi="Times New Roman" w:cs="Times New Roman"/>
              </w:rPr>
              <w:t>e propune expunerea art. 46 (7) în următoarea redacție:</w:t>
            </w:r>
          </w:p>
          <w:p w14:paraId="789CE141" w14:textId="77777777" w:rsidR="0072652F" w:rsidRDefault="00000000">
            <w:pPr>
              <w:jc w:val="both"/>
              <w:rPr>
                <w:rFonts w:ascii="Times New Roman" w:eastAsia="Times New Roman" w:hAnsi="Times New Roman" w:cs="Times New Roman"/>
                <w:i/>
                <w:iCs/>
              </w:rPr>
            </w:pPr>
            <w:r>
              <w:rPr>
                <w:rFonts w:ascii="Times New Roman" w:eastAsia="Times New Roman" w:hAnsi="Times New Roman" w:cs="Times New Roman"/>
                <w:i/>
                <w:iCs/>
              </w:rPr>
              <w:t xml:space="preserve">„(7) Dacă partea </w:t>
            </w:r>
            <w:proofErr w:type="spellStart"/>
            <w:r>
              <w:rPr>
                <w:rFonts w:ascii="Times New Roman" w:eastAsia="Times New Roman" w:hAnsi="Times New Roman" w:cs="Times New Roman"/>
                <w:i/>
                <w:iCs/>
              </w:rPr>
              <w:t>nevărsată</w:t>
            </w:r>
            <w:proofErr w:type="spellEnd"/>
            <w:r>
              <w:rPr>
                <w:rFonts w:ascii="Times New Roman" w:eastAsia="Times New Roman" w:hAnsi="Times New Roman" w:cs="Times New Roman"/>
                <w:i/>
                <w:iCs/>
              </w:rPr>
              <w:t xml:space="preserve"> a capitalului social nu este reflectată în activele bilanțului contabil, cuantumul respectiv se deduce din cuantumul capitalului social menționat la alin. (5) lit. c).”</w:t>
            </w:r>
          </w:p>
          <w:p w14:paraId="357A7CC4" w14:textId="77777777" w:rsidR="0072652F" w:rsidRDefault="0072652F">
            <w:pPr>
              <w:jc w:val="both"/>
              <w:rPr>
                <w:rFonts w:ascii="Times New Roman" w:eastAsia="Times New Roman" w:hAnsi="Times New Roman" w:cs="Times New Roman"/>
                <w:i/>
                <w:iCs/>
              </w:rPr>
            </w:pPr>
          </w:p>
          <w:p w14:paraId="37113250" w14:textId="105D2A7B"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Conform art. 46 alin. (5), „Societatea nu este în drept să ia </w:t>
            </w:r>
            <w:r w:rsidR="00396F81">
              <w:rPr>
                <w:rFonts w:ascii="Times New Roman" w:eastAsia="Times New Roman" w:hAnsi="Times New Roman" w:cs="Times New Roman"/>
              </w:rPr>
              <w:t>hotărâre</w:t>
            </w:r>
            <w:r>
              <w:rPr>
                <w:rFonts w:ascii="Times New Roman" w:eastAsia="Times New Roman" w:hAnsi="Times New Roman" w:cs="Times New Roman"/>
              </w:rPr>
              <w:t xml:space="preserve"> cu privire la plata dividendelor:</w:t>
            </w:r>
          </w:p>
          <w:p w14:paraId="29C3E90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w:t>
            </w:r>
          </w:p>
          <w:p w14:paraId="5BCE78D8" w14:textId="0C961F0F"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„c) dacă valoarea activelor nete, conform situațiilor financiare elaborate la data adoptării respectivei hotărâri, este mai mică </w:t>
            </w:r>
            <w:r w:rsidR="00396F81">
              <w:rPr>
                <w:rFonts w:ascii="Times New Roman" w:eastAsia="Times New Roman" w:hAnsi="Times New Roman" w:cs="Times New Roman"/>
              </w:rPr>
              <w:t>decât</w:t>
            </w:r>
            <w:r>
              <w:rPr>
                <w:rFonts w:ascii="Times New Roman" w:eastAsia="Times New Roman" w:hAnsi="Times New Roman" w:cs="Times New Roman"/>
              </w:rPr>
              <w:t xml:space="preserve"> capitalul ei social sau va deveni mai mică în urma plății dividendelor;”</w:t>
            </w:r>
          </w:p>
          <w:p w14:paraId="1AFEDA2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De asemenea, pentru bănci, distribuirea profitului este suplimentar restrânsă de cadrul prudențial: cerința amortizoarelor combinate de capital și restricțiile privind distribuirile (suma maximă distribuibilă), precum și măsurile dispuse de BNM în temeiul Legii nr. 202/2017 și al reglementărilor BNM privind amortizoarele de capital. Testul activelor nete din art. 46 alin. (5)–(7) nu epuizează condițiile de distribuire aplicabile băncilor.</w:t>
            </w:r>
          </w:p>
          <w:p w14:paraId="3E02C76E"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Se propune completarea art. 46 cu un alineat nou, precum:</w:t>
            </w:r>
          </w:p>
          <w:p w14:paraId="0BA99D9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i/>
                <w:iCs/>
              </w:rPr>
              <w:t>„În cazul băncilor, prezentul articol se aplică fără a aduce atingere restricțiilor privind distribuirile prevăzute de Legea nr. 202/2017 privind activitatea băncilor și de actele normative ale Băncii Naționale a Moldovei.”</w:t>
            </w:r>
          </w:p>
        </w:tc>
        <w:tc>
          <w:tcPr>
            <w:tcW w:w="5505" w:type="dxa"/>
          </w:tcPr>
          <w:p w14:paraId="050F0FB6"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[1] </w:t>
            </w:r>
            <w:r>
              <w:rPr>
                <w:rFonts w:ascii="Times New Roman" w:eastAsia="Times New Roman" w:hAnsi="Times New Roman" w:cs="Times New Roman"/>
                <w:b/>
                <w:bCs/>
              </w:rPr>
              <w:t>Precizare.</w:t>
            </w:r>
          </w:p>
          <w:p w14:paraId="2DDA5D8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Modificarea art. 46 alin. (7) a fost în baza avizului CNPF.</w:t>
            </w:r>
          </w:p>
          <w:p w14:paraId="2D430EE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09EE43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 Nu se acceptă.</w:t>
            </w:r>
          </w:p>
          <w:p w14:paraId="6AA521D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Fiind o normă specială și o restricție adițională, norma menționată în aviz se aplică de plin drept (cf. art. 1 alin. (4) din Legea nr. 1134/1997).</w:t>
            </w:r>
          </w:p>
        </w:tc>
      </w:tr>
      <w:tr w:rsidR="0072652F" w14:paraId="76FD587A" w14:textId="77777777">
        <w:trPr>
          <w:trHeight w:val="240"/>
        </w:trPr>
        <w:tc>
          <w:tcPr>
            <w:tcW w:w="480" w:type="dxa"/>
            <w:vMerge/>
          </w:tcPr>
          <w:p w14:paraId="4757A0FE"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7C8104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2124819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108CD1A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Pct. 9.</w:t>
            </w:r>
          </w:p>
          <w:p w14:paraId="0554C6CC"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Art. 60, alin. (3)</w:t>
            </w:r>
          </w:p>
          <w:p w14:paraId="205B37A2"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Considerăm că aceeași cerință ar trebui să se aplice și transformării naționale, conform art. 60 alin. (2) lit. e), care prevede că asemenea hotărâre se adoptă „ unanim de către acționarii ce reprezintă întregul capital social al societății, în cazul în care se decide transformarea societății potrivit art. 97.”</w:t>
            </w:r>
          </w:p>
        </w:tc>
        <w:tc>
          <w:tcPr>
            <w:tcW w:w="5505" w:type="dxa"/>
          </w:tcPr>
          <w:p w14:paraId="66720C2E"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404A21B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Acest aspect a fost discutat cu CNPF, care a contextul istoric al excluderii limitei de asociați la SRL și protecția acționarilor SA prin păstrarea cerinței de vot unanim.  Directiva transpusă prin prezentul proiect de lege nu interzice cerința de vot unanim din textul de lege în vigoare.</w:t>
            </w:r>
          </w:p>
        </w:tc>
      </w:tr>
      <w:tr w:rsidR="0072652F" w14:paraId="3AEE7652" w14:textId="77777777">
        <w:trPr>
          <w:trHeight w:val="280"/>
        </w:trPr>
        <w:tc>
          <w:tcPr>
            <w:tcW w:w="480" w:type="dxa"/>
            <w:vMerge/>
          </w:tcPr>
          <w:p w14:paraId="7038341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732FBE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39F65A2E"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sz w:val="28"/>
                <w:szCs w:val="28"/>
              </w:rPr>
              <w:t xml:space="preserve">Art. II. – Codul civil al Republicii Moldova nr. 1107/2002 </w:t>
            </w:r>
          </w:p>
        </w:tc>
      </w:tr>
      <w:tr w:rsidR="0072652F" w14:paraId="6C6270AA" w14:textId="77777777">
        <w:trPr>
          <w:trHeight w:val="240"/>
        </w:trPr>
        <w:tc>
          <w:tcPr>
            <w:tcW w:w="480" w:type="dxa"/>
            <w:vMerge/>
          </w:tcPr>
          <w:p w14:paraId="693DF8E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983DE2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22EEB5F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3AC7B439"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Pct. 20.</w:t>
            </w:r>
          </w:p>
          <w:p w14:paraId="1A59D357"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 xml:space="preserve">Art. 253 alin. (8) </w:t>
            </w:r>
          </w:p>
          <w:p w14:paraId="030D61EA"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Considerăm că cerința respectivă nu ar trebui să se aplice actului de primire-predare încheiat în cadrul reorganizării. Un asemenea act vizează nu doar bunul imobil, dar întregul patrimoniu al societății, iar notarul nu are posibilitatea de a confirma dreptul de proprietate a societății asupra acestuia.</w:t>
            </w:r>
          </w:p>
        </w:tc>
        <w:tc>
          <w:tcPr>
            <w:tcW w:w="5505" w:type="dxa"/>
          </w:tcPr>
          <w:p w14:paraId="3371EF0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34ECA38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Norma nu se referă la reorganizarea (transfer </w:t>
            </w:r>
            <w:proofErr w:type="spellStart"/>
            <w:r>
              <w:rPr>
                <w:rFonts w:ascii="Times New Roman" w:eastAsia="Times New Roman" w:hAnsi="Times New Roman" w:cs="Times New Roman"/>
                <w:i/>
                <w:iCs/>
              </w:rPr>
              <w:t>mortis</w:t>
            </w:r>
            <w:proofErr w:type="spellEnd"/>
            <w:r>
              <w:rPr>
                <w:rFonts w:ascii="Times New Roman" w:eastAsia="Times New Roman" w:hAnsi="Times New Roman" w:cs="Times New Roman"/>
                <w:i/>
                <w:iCs/>
              </w:rPr>
              <w:t xml:space="preserve"> causa</w:t>
            </w:r>
            <w:r>
              <w:rPr>
                <w:rFonts w:ascii="Times New Roman" w:eastAsia="Times New Roman" w:hAnsi="Times New Roman" w:cs="Times New Roman"/>
              </w:rPr>
              <w:t xml:space="preserve">), ci la transmiterea ca aport a unui bun particular (transfer </w:t>
            </w:r>
            <w:r>
              <w:rPr>
                <w:rFonts w:ascii="Times New Roman" w:eastAsia="Times New Roman" w:hAnsi="Times New Roman" w:cs="Times New Roman"/>
                <w:i/>
                <w:iCs/>
              </w:rPr>
              <w:t xml:space="preserve">inter </w:t>
            </w:r>
            <w:proofErr w:type="spellStart"/>
            <w:r>
              <w:rPr>
                <w:rFonts w:ascii="Times New Roman" w:eastAsia="Times New Roman" w:hAnsi="Times New Roman" w:cs="Times New Roman"/>
                <w:i/>
                <w:iCs/>
              </w:rPr>
              <w:t>vivos</w:t>
            </w:r>
            <w:proofErr w:type="spellEnd"/>
            <w:r>
              <w:rPr>
                <w:rFonts w:ascii="Times New Roman" w:eastAsia="Times New Roman" w:hAnsi="Times New Roman" w:cs="Times New Roman"/>
              </w:rPr>
              <w:t xml:space="preserve">, prin act juridic). </w:t>
            </w:r>
          </w:p>
          <w:p w14:paraId="754A9921"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9E1897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schimb, proiectul de lege a fost ajutat, precizându-se la art. 206 că actul de transmitere în caz de reorganizare nu trebuie autentificat notarial, care dacă activul transmis cuprinde un bun imobil. Soluția este coerentă cu art. 425 Cod civil.</w:t>
            </w:r>
          </w:p>
        </w:tc>
      </w:tr>
      <w:tr w:rsidR="0072652F" w14:paraId="585F9F91" w14:textId="77777777">
        <w:trPr>
          <w:trHeight w:val="240"/>
        </w:trPr>
        <w:tc>
          <w:tcPr>
            <w:tcW w:w="480" w:type="dxa"/>
            <w:vMerge/>
          </w:tcPr>
          <w:p w14:paraId="178927F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3CDF78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0F9DF1FA"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3958C7E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Pct. 21. </w:t>
            </w:r>
          </w:p>
          <w:p w14:paraId="1DFAD39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Art. 295 alin. 2¹</w:t>
            </w:r>
          </w:p>
          <w:p w14:paraId="3A93674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Considerăm această normă confuză și care pare să încalce principiul limitării răspunderii membrilor pentru datoriile societății.</w:t>
            </w:r>
          </w:p>
        </w:tc>
        <w:tc>
          <w:tcPr>
            <w:tcW w:w="5505" w:type="dxa"/>
          </w:tcPr>
          <w:p w14:paraId="43EDBD19"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127C4BA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Reglementarea actuală deja prevede răspunderea membrilor persoanei juridice în caz de abuz de control. Anume reglementarea actuală are o confuzie pe care proiectul de lege îl înlătură, așa cum s-a arătat în Nota de fundamentare.</w:t>
            </w:r>
          </w:p>
          <w:p w14:paraId="456F7B98"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0E550F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Noua reglementare, din contra, protejează mai bine societatea-mamă, deoarece o protejează de răspundere dacă „a acționat în interesul grupului”.</w:t>
            </w:r>
          </w:p>
        </w:tc>
      </w:tr>
      <w:tr w:rsidR="0072652F" w14:paraId="166F39C6" w14:textId="77777777">
        <w:trPr>
          <w:trHeight w:val="280"/>
        </w:trPr>
        <w:tc>
          <w:tcPr>
            <w:tcW w:w="480" w:type="dxa"/>
            <w:vMerge/>
          </w:tcPr>
          <w:p w14:paraId="6779725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9244654"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3FAACC5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sz w:val="28"/>
                <w:szCs w:val="28"/>
              </w:rPr>
              <w:t xml:space="preserve">Art. III. – Legea nr. 135/2007 privind societățile cu răspundere limitată </w:t>
            </w:r>
          </w:p>
        </w:tc>
      </w:tr>
      <w:tr w:rsidR="0072652F" w14:paraId="53675AC4" w14:textId="77777777">
        <w:trPr>
          <w:trHeight w:val="240"/>
        </w:trPr>
        <w:tc>
          <w:tcPr>
            <w:tcW w:w="480" w:type="dxa"/>
            <w:vMerge/>
          </w:tcPr>
          <w:p w14:paraId="44080B9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3B07AB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24608B6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26D1E9B5"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Pct. 4.</w:t>
            </w:r>
          </w:p>
          <w:p w14:paraId="5DFF8A10"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 xml:space="preserve">Art. 9¹ alin. (1) </w:t>
            </w:r>
          </w:p>
          <w:p w14:paraId="2F60625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propune expunerea art. 9 alin. (1) în următoarea redacție:</w:t>
            </w:r>
          </w:p>
          <w:p w14:paraId="1FA8F42E" w14:textId="77777777" w:rsidR="0072652F" w:rsidRDefault="00000000">
            <w:pPr>
              <w:jc w:val="both"/>
              <w:rPr>
                <w:rFonts w:ascii="Times New Roman" w:eastAsia="Times New Roman" w:hAnsi="Times New Roman" w:cs="Times New Roman"/>
                <w:i/>
                <w:iCs/>
              </w:rPr>
            </w:pPr>
            <w:r>
              <w:rPr>
                <w:rFonts w:ascii="Times New Roman" w:eastAsia="Times New Roman" w:hAnsi="Times New Roman" w:cs="Times New Roman"/>
                <w:i/>
                <w:iCs/>
              </w:rPr>
              <w:t>„(1) Calitatea de membru al consiliului, de administrator, de cenzor sau de membru al comitetului de audit al societății se dobândește din data înregistrării persoanei în această calitate în registrul de stat al persoanelor juridice. Din aceeași dată începe să curgă termenul mandatului acestei persoane, dacă normele speciale nu stabilesc un alt moment sau o altă condiție pentru exercitarea funcției. ”</w:t>
            </w:r>
          </w:p>
          <w:p w14:paraId="2FAC3D0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În cazul unor SRL, entitățile au statut și de OCN, iar pentru anumite funcții, inclusiv cea de administrator, din care fac parte membru al consiliului, membru al organului executiv, conducător al sucursalei/oficiului secundar al organizației de creditare nebancară; exercitarea atribuțiilor este condiționată de procedura specială de luare de act de către BNM (art. 12 alin. (4) Legea 1/2018). Respectiv, pentru a evita suprapuneri sau interpretări contradictorii între norma generală din Legea SRL și reglementările speciale aplicabile OCN, ar fi potrivită includerea unei rezerve de tipul: „dacă normele speciale nu prevăd altfel.”</w:t>
            </w:r>
          </w:p>
        </w:tc>
        <w:tc>
          <w:tcPr>
            <w:tcW w:w="5505" w:type="dxa"/>
          </w:tcPr>
          <w:p w14:paraId="7DAD6DAF"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0155CB5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se vedea argumentarea supra privitor la Legea nr. 1134/1997.</w:t>
            </w:r>
          </w:p>
        </w:tc>
      </w:tr>
      <w:tr w:rsidR="0072652F" w14:paraId="5365A4C5" w14:textId="77777777">
        <w:trPr>
          <w:trHeight w:val="280"/>
        </w:trPr>
        <w:tc>
          <w:tcPr>
            <w:tcW w:w="480" w:type="dxa"/>
            <w:vMerge/>
          </w:tcPr>
          <w:p w14:paraId="3F1202F2"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107D8E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1517F6D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sz w:val="28"/>
                <w:szCs w:val="28"/>
              </w:rPr>
              <w:t xml:space="preserve">Art. IV. – Legea nr. 220/2007 privind înregistrarea de stat a persoanelor juridice și a întreprinzătorilor individuali </w:t>
            </w:r>
          </w:p>
        </w:tc>
      </w:tr>
      <w:tr w:rsidR="0072652F" w14:paraId="01C79998" w14:textId="77777777">
        <w:trPr>
          <w:trHeight w:val="240"/>
        </w:trPr>
        <w:tc>
          <w:tcPr>
            <w:tcW w:w="480" w:type="dxa"/>
            <w:vMerge/>
          </w:tcPr>
          <w:p w14:paraId="7D6EED6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2396B8CD"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683C5A6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6E65EC26"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Pct. 7.</w:t>
            </w:r>
          </w:p>
          <w:p w14:paraId="572164DD"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 xml:space="preserve">Art. 7 alin. (1)  lit. b¹) </w:t>
            </w:r>
          </w:p>
          <w:p w14:paraId="37276440" w14:textId="77777777" w:rsidR="0072652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b/>
                <w:bCs/>
              </w:rPr>
              <w:t>S</w:t>
            </w:r>
            <w:r>
              <w:rPr>
                <w:rFonts w:ascii="Times New Roman" w:eastAsia="Times New Roman" w:hAnsi="Times New Roman" w:cs="Times New Roman"/>
              </w:rPr>
              <w:t>e propune substituirea cuvântului „răspundere” cu „conducere”, deoarece la art. 2 este introdusă noțiunea de funcție de conducere.</w:t>
            </w:r>
          </w:p>
        </w:tc>
        <w:tc>
          <w:tcPr>
            <w:tcW w:w="5505" w:type="dxa"/>
          </w:tcPr>
          <w:p w14:paraId="7D3DCFA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Se acceptă.</w:t>
            </w:r>
          </w:p>
          <w:p w14:paraId="475422C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30568326" w14:textId="77777777">
        <w:trPr>
          <w:trHeight w:val="240"/>
        </w:trPr>
        <w:tc>
          <w:tcPr>
            <w:tcW w:w="480" w:type="dxa"/>
            <w:vMerge/>
          </w:tcPr>
          <w:p w14:paraId="615C1982"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254B8066"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C89904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2</w:t>
            </w:r>
          </w:p>
        </w:tc>
        <w:tc>
          <w:tcPr>
            <w:tcW w:w="4485" w:type="dxa"/>
          </w:tcPr>
          <w:p w14:paraId="24721CF0"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Pct.8. </w:t>
            </w:r>
          </w:p>
          <w:p w14:paraId="48CCEECA"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Art.8 alin. (1) lit. c)</w:t>
            </w:r>
          </w:p>
          <w:p w14:paraId="78F19FC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propune expunerea normei în următoarea redacție:</w:t>
            </w:r>
          </w:p>
          <w:p w14:paraId="688BCB24" w14:textId="77777777" w:rsidR="0072652F" w:rsidRDefault="00000000">
            <w:pPr>
              <w:jc w:val="both"/>
              <w:rPr>
                <w:rFonts w:ascii="Times New Roman" w:eastAsia="Times New Roman" w:hAnsi="Times New Roman" w:cs="Times New Roman"/>
                <w:i/>
                <w:iCs/>
              </w:rPr>
            </w:pPr>
            <w:r>
              <w:rPr>
                <w:rFonts w:ascii="Times New Roman" w:eastAsia="Times New Roman" w:hAnsi="Times New Roman" w:cs="Times New Roman"/>
                <w:i/>
                <w:iCs/>
              </w:rPr>
              <w:t>„c) fie se expediază organului înregistrării de stat pe suport de hârtie, prin scrisoare recomandată. Actul de constituire al persoanei juridice, actul adițional privind modificarea actului de constituire al persoanei juridice sau, după caz, regulamentul sucursalei se autentifică notarial, iar cererea de înregistrare și celelalte documente se legalizează notarial, cu excepția cazului prevăzut la art. 121 alin. (6).”;</w:t>
            </w:r>
          </w:p>
          <w:p w14:paraId="55FD1E49"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Redacția inițială a normei ar presupune că asemenea documente ar trebui să fie semnate în fața notarului, cu legalizarea semnăturii. Pentru declarațiile pe propria răspundere ale persoanelor cu funcții de conducere este prevăzută doar semnarea cu semnătură olografă sau electronică calificată. Dacă aceste persoane au reședința în străinătate, legalizarea semnăturii ar impune și </w:t>
            </w:r>
            <w:proofErr w:type="spellStart"/>
            <w:r>
              <w:rPr>
                <w:rFonts w:ascii="Times New Roman" w:eastAsia="Times New Roman" w:hAnsi="Times New Roman" w:cs="Times New Roman"/>
              </w:rPr>
              <w:t>apostilarea</w:t>
            </w:r>
            <w:proofErr w:type="spellEnd"/>
            <w:r>
              <w:rPr>
                <w:rFonts w:ascii="Times New Roman" w:eastAsia="Times New Roman" w:hAnsi="Times New Roman" w:cs="Times New Roman"/>
              </w:rPr>
              <w:t xml:space="preserve"> sau </w:t>
            </w:r>
            <w:proofErr w:type="spellStart"/>
            <w:r>
              <w:rPr>
                <w:rFonts w:ascii="Times New Roman" w:eastAsia="Times New Roman" w:hAnsi="Times New Roman" w:cs="Times New Roman"/>
              </w:rPr>
              <w:t>supralegalizarea</w:t>
            </w:r>
            <w:proofErr w:type="spellEnd"/>
            <w:r>
              <w:rPr>
                <w:rFonts w:ascii="Times New Roman" w:eastAsia="Times New Roman" w:hAnsi="Times New Roman" w:cs="Times New Roman"/>
              </w:rPr>
              <w:t xml:space="preserve"> declarației, ceea ce considerăm inoportun.</w:t>
            </w:r>
          </w:p>
        </w:tc>
        <w:tc>
          <w:tcPr>
            <w:tcW w:w="5505" w:type="dxa"/>
          </w:tcPr>
          <w:p w14:paraId="6A7FBA2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41161A2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Organul înregistrării de stat trebuie să aibă certitudinea privind identitatea și voința persoanei care a semnat declarația, inclusiv deoarece declarația falsă atrage răspunderea penală.</w:t>
            </w:r>
          </w:p>
          <w:p w14:paraId="07F620C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Atragem atenția că lit. c) se aplică doar pentru depunerea actelor prin scrisoare recomandată.</w:t>
            </w:r>
          </w:p>
          <w:p w14:paraId="085497F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cazul când se aplică lit. a) și b), formalitățile adiționale de la lit. c) nu se aplică. Respectiv, aceste formalități pot fi cu ușurință evitate, recurgând la altă procedură de depunere.</w:t>
            </w:r>
          </w:p>
        </w:tc>
      </w:tr>
      <w:tr w:rsidR="0072652F" w14:paraId="06716557" w14:textId="77777777">
        <w:trPr>
          <w:trHeight w:val="240"/>
        </w:trPr>
        <w:tc>
          <w:tcPr>
            <w:tcW w:w="480" w:type="dxa"/>
            <w:vMerge/>
          </w:tcPr>
          <w:p w14:paraId="01F206ED"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D005577"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0DB85E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3</w:t>
            </w:r>
          </w:p>
        </w:tc>
        <w:tc>
          <w:tcPr>
            <w:tcW w:w="4485" w:type="dxa"/>
          </w:tcPr>
          <w:p w14:paraId="10ABFCC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Pct.10</w:t>
            </w:r>
          </w:p>
          <w:p w14:paraId="310E2C2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Art. 9 alin. (7)</w:t>
            </w:r>
          </w:p>
          <w:p w14:paraId="07C17CD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propune expunerea art. 9 (7) în următoarea redacție:</w:t>
            </w:r>
          </w:p>
          <w:p w14:paraId="24DDEF76" w14:textId="77777777" w:rsidR="0072652F" w:rsidRDefault="00000000">
            <w:pPr>
              <w:jc w:val="both"/>
              <w:rPr>
                <w:rFonts w:ascii="Times New Roman" w:eastAsia="Times New Roman" w:hAnsi="Times New Roman" w:cs="Times New Roman"/>
                <w:i/>
                <w:iCs/>
              </w:rPr>
            </w:pPr>
            <w:r>
              <w:rPr>
                <w:rFonts w:ascii="Times New Roman" w:eastAsia="Times New Roman" w:hAnsi="Times New Roman" w:cs="Times New Roman"/>
                <w:i/>
                <w:iCs/>
              </w:rPr>
              <w:t xml:space="preserve">„(7) Până la înregistrarea persoanei juridice, organul înregistrării de stat verifică denumirea acesteia sub aspectul disponibilității și </w:t>
            </w:r>
            <w:proofErr w:type="spellStart"/>
            <w:r>
              <w:rPr>
                <w:rFonts w:ascii="Times New Roman" w:eastAsia="Times New Roman" w:hAnsi="Times New Roman" w:cs="Times New Roman"/>
                <w:i/>
                <w:iCs/>
              </w:rPr>
              <w:t>distinctivității</w:t>
            </w:r>
            <w:proofErr w:type="spellEnd"/>
            <w:r>
              <w:rPr>
                <w:rFonts w:ascii="Times New Roman" w:eastAsia="Times New Roman" w:hAnsi="Times New Roman" w:cs="Times New Roman"/>
                <w:i/>
                <w:iCs/>
              </w:rPr>
              <w:t>, inclusiv în raport cu mărcile naționale și internaționale protejate în Republica Moldova. În cazul în care documentele pentru înregistrarea de stat se depun de către solicitant în condițiile art. 8 alin. (1) lit. a) sau c), solicitantul este obligat să verifice disponibilitatea denumirii până la depunerea efectivă a documentelor.”;</w:t>
            </w:r>
          </w:p>
          <w:p w14:paraId="713848AC"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Considerăm că legislația actuală ar trebui să conțină și mecanisme care să prevină înregistrarea denumirilor care sunt identice sau similare cu mărcile naționale sau internaționale protejate pe teritoriul Republicii Moldova.</w:t>
            </w:r>
          </w:p>
        </w:tc>
        <w:tc>
          <w:tcPr>
            <w:tcW w:w="5505" w:type="dxa"/>
          </w:tcPr>
          <w:p w14:paraId="1748E14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61F71EC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Chestiunea semnalată, deși legitimă, nu poate fi soluționată prin mecanismul propus fără o examinare prealabilă aprofundată. Protecția conferită mărcii nu este una generală, ci este guvernată de principiul specialității, adică marca se bucură de protecție numai pentru produsele și serviciile pentru care a fost înregistrată (clasele Nisa), iar nu în toate domeniile de activitate. În consecință, un eventual conflict între denumirea persoanei juridice și o marcă protejată nu poate fi stabilit doar prin compararea semnelor, ci presupune și verificarea faptului dacă persoana juridică care va purta denumirea desfășoară o activitate în domeniile acoperite de înregistrarea mărcii. O asemenea apreciere excedează competența și capacitatea organului înregistrării de stat, fiind specifică examinării de fond realizate de autoritatea în domeniul proprietății intelectuale.</w:t>
            </w:r>
          </w:p>
          <w:p w14:paraId="6063DAA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1C750B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Din cele 5 jurisdicții UE studiate (RO, FR, GER, IT, EST) niciuna nu aplică un control </w:t>
            </w:r>
            <w:r>
              <w:rPr>
                <w:rFonts w:ascii="Times New Roman" w:eastAsia="Times New Roman" w:hAnsi="Times New Roman" w:cs="Times New Roman"/>
                <w:i/>
                <w:iCs/>
              </w:rPr>
              <w:t xml:space="preserve">ex ante </w:t>
            </w:r>
            <w:r>
              <w:rPr>
                <w:rFonts w:ascii="Times New Roman" w:eastAsia="Times New Roman" w:hAnsi="Times New Roman" w:cs="Times New Roman"/>
              </w:rPr>
              <w:t xml:space="preserve">a necorespunderii denumirii cu o marcă a terțului. Doar Codul comercial al Estoniei §12 interzice ca denumirea societății să conțină marca altei persoane protejată în Estonia fără acordul autentificat sau semnat digital al titularului. Dacă înscrierea denumirii cade între depunerea și înregistrarea unei mărci a altcuiva, titularul mărcii poate cere ulterior schimbarea denumirii, prioritatea fiind dată de ordinea cronologică. Este o interdicție legală plus mecanism </w:t>
            </w:r>
            <w:r>
              <w:rPr>
                <w:rFonts w:ascii="Times New Roman" w:eastAsia="Times New Roman" w:hAnsi="Times New Roman" w:cs="Times New Roman"/>
                <w:i/>
                <w:iCs/>
              </w:rPr>
              <w:t>ex post</w:t>
            </w:r>
            <w:r>
              <w:rPr>
                <w:rFonts w:ascii="Times New Roman" w:eastAsia="Times New Roman" w:hAnsi="Times New Roman" w:cs="Times New Roman"/>
              </w:rPr>
              <w:t>, nu o examinare substanțială de risc de confuzie făcută de registrator.</w:t>
            </w:r>
          </w:p>
        </w:tc>
      </w:tr>
      <w:tr w:rsidR="0072652F" w14:paraId="5DD317C2" w14:textId="77777777">
        <w:trPr>
          <w:trHeight w:val="240"/>
        </w:trPr>
        <w:tc>
          <w:tcPr>
            <w:tcW w:w="480" w:type="dxa"/>
            <w:vMerge/>
          </w:tcPr>
          <w:p w14:paraId="474965B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65CEFBC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09E289B"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4</w:t>
            </w:r>
          </w:p>
        </w:tc>
        <w:tc>
          <w:tcPr>
            <w:tcW w:w="4485" w:type="dxa"/>
          </w:tcPr>
          <w:p w14:paraId="5E88B34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Pct. 12. </w:t>
            </w:r>
          </w:p>
          <w:p w14:paraId="3D536784"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Art. 11 alin. (1) lit. a) prima liniuță</w:t>
            </w:r>
          </w:p>
          <w:p w14:paraId="43B704E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Considerăm oportun clarificarea normei în sensul în care verificarea nu ar trebui să </w:t>
            </w:r>
            <w:r>
              <w:rPr>
                <w:rFonts w:ascii="Times New Roman" w:eastAsia="Times New Roman" w:hAnsi="Times New Roman" w:cs="Times New Roman"/>
              </w:rPr>
              <w:lastRenderedPageBreak/>
              <w:t>presupună prezența fizică a persoanelor verificate.</w:t>
            </w:r>
          </w:p>
          <w:p w14:paraId="5F44C6FF"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5505" w:type="dxa"/>
          </w:tcPr>
          <w:p w14:paraId="6C9308BD"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5FC32E4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Nota de fundamentare a fost completată.</w:t>
            </w:r>
          </w:p>
        </w:tc>
      </w:tr>
      <w:tr w:rsidR="0072652F" w14:paraId="3E1870C0" w14:textId="77777777">
        <w:trPr>
          <w:trHeight w:val="240"/>
        </w:trPr>
        <w:tc>
          <w:tcPr>
            <w:tcW w:w="480" w:type="dxa"/>
            <w:vMerge/>
          </w:tcPr>
          <w:p w14:paraId="06434FA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5F52D1BE"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07454257"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5</w:t>
            </w:r>
          </w:p>
        </w:tc>
        <w:tc>
          <w:tcPr>
            <w:tcW w:w="4485" w:type="dxa"/>
          </w:tcPr>
          <w:p w14:paraId="070EAEB1"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Art. 7 alin. (1) lit. b¹) și art. 12¹ alin. (6)</w:t>
            </w:r>
          </w:p>
          <w:p w14:paraId="595080C9"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Persoanele cu funcții de conducere și funcțiile-cheie ale băncilor fac deja obiectul evaluării prealabile de adecvare și al aprobării BNM (art. 43 din Legea nr. 202/2017), care include verificarea reputației și a lipsei interdicțiilor. Declarația depusă la ASP dublează o verificare mai riguroasă, efectuată de autoritatea de supraveghere.</w:t>
            </w:r>
          </w:p>
          <w:p w14:paraId="0069799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Se propune ca, pentru persoanele a căror numire a fost aprobată sau confirmată de BNM, cerința art. 12¹ alin. (6) să se considere îndeplinită prin actul de aprobare al BNM sau, alternativ, să se prevadă că declarația se depune fără a aduce atingere procedurii speciale de aprobare prevăzute de Legea nr. 202/2017, pentru a nu institui o condiție de înregistrare suplimentară, neimpusă de Directivă.</w:t>
            </w:r>
          </w:p>
        </w:tc>
        <w:tc>
          <w:tcPr>
            <w:tcW w:w="5505" w:type="dxa"/>
          </w:tcPr>
          <w:p w14:paraId="696B204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4DC3008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Directiva nu prevede scutiri pentru persoanele cu funcție de conducere a băncilor. Verificarea este făcută de ASP din oficiu fără formalități adiționale față de cei vizați. În plus, ASP va avea acces la registrul BRIS și va fi obligat să îl verifice imediat înainte de efectuarea înregistrării. Rămâne neclar modul în care BNM va face aceasta.</w:t>
            </w:r>
          </w:p>
          <w:p w14:paraId="4CF7A84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400CF2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Chiar dacă BNM va aproba candidatul, dar ASP va identifica o interdicție din sursele prevăzute de Legea nr. 220/2007 în redacția proiectului de lege, ASP va fi obligată să refuze înregistrarea în RSPJ.</w:t>
            </w:r>
          </w:p>
        </w:tc>
      </w:tr>
      <w:tr w:rsidR="0072652F" w14:paraId="796B4689" w14:textId="77777777">
        <w:trPr>
          <w:trHeight w:val="240"/>
        </w:trPr>
        <w:tc>
          <w:tcPr>
            <w:tcW w:w="480" w:type="dxa"/>
            <w:vMerge/>
          </w:tcPr>
          <w:p w14:paraId="4AAA3E3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00214389"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7288ECD"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6</w:t>
            </w:r>
          </w:p>
        </w:tc>
        <w:tc>
          <w:tcPr>
            <w:tcW w:w="4485" w:type="dxa"/>
          </w:tcPr>
          <w:p w14:paraId="09FB1283"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Pct. 14.</w:t>
            </w:r>
          </w:p>
          <w:p w14:paraId="0001EAB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Art. 12¹ și art. 12² </w:t>
            </w:r>
          </w:p>
          <w:p w14:paraId="649714B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Pentru bănci, interdicția de a exercita funcții de conducere este impusă de BNM (art. 141 din Legea nr. 202/2017), iar băncilor nu li se aplică Legea insolvabilității nr. 149/2012 (art. 1 alin. (2)) – deci descalificarea reglementată prin proiect în baza Legii nr. 149/2012 nu vizează administratorii băncilor. Numirea și revocarea acestora sunt guvernate de Legea nr. 202/2017, BNM dispunând de instrumente specifice, inclusiv desemnarea administratorului temporar prin </w:t>
            </w:r>
            <w:r>
              <w:rPr>
                <w:rFonts w:ascii="Times New Roman" w:eastAsia="Times New Roman" w:hAnsi="Times New Roman" w:cs="Times New Roman"/>
              </w:rPr>
              <w:lastRenderedPageBreak/>
              <w:t>derogare. Încetarea de drept a mandatului și radierea din oficiu operate de ASP fără coordonare cu BNM pot lăsa o instituție supravegheată fără organe funcționale și pot genera conflict de competență.</w:t>
            </w:r>
          </w:p>
          <w:p w14:paraId="13022AB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propune ca mecanismul art. 12¹–12² să recunoască expres interdicțiile impuse de BNM drept temei al evidenței și al radierii pentru administratorii băncilor, iar ASP să fie obligată să notifice de îndată BNM cu privire la interdicțiile și radierile ce vizează persoane cu funcție de conducere ale unei bănci, măsurile aplicându-se fără a aduce atingere competențelor și măsurilor BNM.</w:t>
            </w:r>
          </w:p>
        </w:tc>
        <w:tc>
          <w:tcPr>
            <w:tcW w:w="5505" w:type="dxa"/>
          </w:tcPr>
          <w:p w14:paraId="552CB85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2FA7EA7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Instanța de insolvabilitate poate institui interdicții unei persoane (în legătură cu insolvabilitatea unei alte persoane juridice) care ulterior va ajunge candidat la o funcție într-o bancă.</w:t>
            </w:r>
          </w:p>
          <w:p w14:paraId="57DADEC6"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2A14254"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Competența BNM și de a impune sancțiuni persoanelor cu funcție de conducere  a băncilor, pentru încălcarea actelor normative sectoriale, nu se opune competenței altor organe (e.g. instanța de judecată într-un proces penal) de a impune interdicții conform legii. Dacă organul competent a introdus o interdicție care este legală și ea devine definitivă (executorie), ASP trebuie </w:t>
            </w:r>
            <w:r>
              <w:rPr>
                <w:rFonts w:ascii="Times New Roman" w:eastAsia="Times New Roman" w:hAnsi="Times New Roman" w:cs="Times New Roman"/>
              </w:rPr>
              <w:lastRenderedPageBreak/>
              <w:t>să o execute, deoarece nu există o normă care ar prevedea că alte autorități își exercită competența de a impune interdicții unei persoane (care ocupă funcția de conducere într-o bancă) doar cu aprobarea BNM. Această regulă ar institui un soi de imunitate neprevăzută de lege.</w:t>
            </w:r>
          </w:p>
          <w:p w14:paraId="7F7A2F4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D75DCA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Este irelevant că banca va rămâne fără această persoană de conducere în condițiile în care interdicția este impusă de o autoritate competentă în temeiul legii. Este responsabilitatea băncii afectate să ia măsurile corporative necesare pentru a asigura continuitatea conducerii și de a informa BNM despre acest eveniment.</w:t>
            </w:r>
          </w:p>
          <w:p w14:paraId="7D9E628E"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4037DFC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Potrivit Regulamentului BNM nr. 292/2018:</w:t>
            </w:r>
          </w:p>
          <w:p w14:paraId="3A90378C" w14:textId="0753169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 pct. 70, banca „informează Banca </w:t>
            </w:r>
            <w:r w:rsidR="00396F81">
              <w:rPr>
                <w:rFonts w:ascii="Times New Roman" w:eastAsia="Times New Roman" w:hAnsi="Times New Roman" w:cs="Times New Roman"/>
              </w:rPr>
              <w:t>Națională</w:t>
            </w:r>
            <w:r>
              <w:rPr>
                <w:rFonts w:ascii="Times New Roman" w:eastAsia="Times New Roman" w:hAnsi="Times New Roman" w:cs="Times New Roman"/>
              </w:rPr>
              <w:t xml:space="preserve"> a Moldovei în termen de cel mult 5 zile lucrătoare despre orice încetare/suspendare a raporturilor de muncă sau a mandatului cu indicarea temeiului legal </w:t>
            </w:r>
            <w:r w:rsidR="00396F81">
              <w:rPr>
                <w:rFonts w:ascii="Times New Roman" w:eastAsia="Times New Roman" w:hAnsi="Times New Roman" w:cs="Times New Roman"/>
              </w:rPr>
              <w:t>și</w:t>
            </w:r>
            <w:r>
              <w:rPr>
                <w:rFonts w:ascii="Times New Roman" w:eastAsia="Times New Roman" w:hAnsi="Times New Roman" w:cs="Times New Roman"/>
              </w:rPr>
              <w:t xml:space="preserve">/sau despre orice transfer din </w:t>
            </w:r>
            <w:r w:rsidR="00396F81">
              <w:rPr>
                <w:rFonts w:ascii="Times New Roman" w:eastAsia="Times New Roman" w:hAnsi="Times New Roman" w:cs="Times New Roman"/>
              </w:rPr>
              <w:t>funcție</w:t>
            </w:r>
            <w:r>
              <w:rPr>
                <w:rFonts w:ascii="Times New Roman" w:eastAsia="Times New Roman" w:hAnsi="Times New Roman" w:cs="Times New Roman"/>
              </w:rPr>
              <w:t xml:space="preserve">”, iar „în cazul membrului organului executiv </w:t>
            </w:r>
            <w:r w:rsidR="00396F81">
              <w:rPr>
                <w:rFonts w:ascii="Times New Roman" w:eastAsia="Times New Roman" w:hAnsi="Times New Roman" w:cs="Times New Roman"/>
              </w:rPr>
              <w:t>și</w:t>
            </w:r>
            <w:r>
              <w:rPr>
                <w:rFonts w:ascii="Times New Roman" w:eastAsia="Times New Roman" w:hAnsi="Times New Roman" w:cs="Times New Roman"/>
              </w:rPr>
              <w:t xml:space="preserve"> contabilului-</w:t>
            </w:r>
            <w:r w:rsidR="00396F81">
              <w:rPr>
                <w:rFonts w:ascii="Times New Roman" w:eastAsia="Times New Roman" w:hAnsi="Times New Roman" w:cs="Times New Roman"/>
              </w:rPr>
              <w:t>șef</w:t>
            </w:r>
            <w:r>
              <w:rPr>
                <w:rFonts w:ascii="Times New Roman" w:eastAsia="Times New Roman" w:hAnsi="Times New Roman" w:cs="Times New Roman"/>
              </w:rPr>
              <w:t xml:space="preserve"> al băncii, informarea (...) trebuie să fie realizată în termen de cel mult 2 zile lucrătoare”. Pentru un președinte (membru al organului executiv) termenul este deci de 2 zile lucrătoare;</w:t>
            </w:r>
          </w:p>
          <w:p w14:paraId="49AFCB6D" w14:textId="100D6AAF"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 pct. 73, banca „informează Banca </w:t>
            </w:r>
            <w:r w:rsidR="00396F81">
              <w:rPr>
                <w:rFonts w:ascii="Times New Roman" w:eastAsia="Times New Roman" w:hAnsi="Times New Roman" w:cs="Times New Roman"/>
              </w:rPr>
              <w:t>Națională</w:t>
            </w:r>
            <w:r>
              <w:rPr>
                <w:rFonts w:ascii="Times New Roman" w:eastAsia="Times New Roman" w:hAnsi="Times New Roman" w:cs="Times New Roman"/>
              </w:rPr>
              <w:t xml:space="preserve"> a Moldovei, în termen de cel mult 5 zile lucrătoare de la data la care organul de conducere competent a luat </w:t>
            </w:r>
            <w:r w:rsidR="00396F81">
              <w:rPr>
                <w:rFonts w:ascii="Times New Roman" w:eastAsia="Times New Roman" w:hAnsi="Times New Roman" w:cs="Times New Roman"/>
              </w:rPr>
              <w:t>cunoștință</w:t>
            </w:r>
            <w:r>
              <w:rPr>
                <w:rFonts w:ascii="Times New Roman" w:eastAsia="Times New Roman" w:hAnsi="Times New Roman" w:cs="Times New Roman"/>
              </w:rPr>
              <w:t xml:space="preserve"> de </w:t>
            </w:r>
            <w:r w:rsidR="00396F81">
              <w:rPr>
                <w:rFonts w:ascii="Times New Roman" w:eastAsia="Times New Roman" w:hAnsi="Times New Roman" w:cs="Times New Roman"/>
              </w:rPr>
              <w:t>informația</w:t>
            </w:r>
            <w:r>
              <w:rPr>
                <w:rFonts w:ascii="Times New Roman" w:eastAsia="Times New Roman" w:hAnsi="Times New Roman" w:cs="Times New Roman"/>
              </w:rPr>
              <w:t xml:space="preserve"> privind încetarea corespunderii persoanelor (...) </w:t>
            </w:r>
            <w:r w:rsidR="00396F81">
              <w:rPr>
                <w:rFonts w:ascii="Times New Roman" w:eastAsia="Times New Roman" w:hAnsi="Times New Roman" w:cs="Times New Roman"/>
              </w:rPr>
              <w:t>cerințelor</w:t>
            </w:r>
            <w:r>
              <w:rPr>
                <w:rFonts w:ascii="Times New Roman" w:eastAsia="Times New Roman" w:hAnsi="Times New Roman" w:cs="Times New Roman"/>
              </w:rPr>
              <w:t xml:space="preserve"> prezentului Regulament”. Interdicția sau radierea afectează cerințele de reputație/adecvare ale art. 43, deci constituie exact ipoteza de „încetare a corespunderii”.</w:t>
            </w:r>
          </w:p>
          <w:p w14:paraId="781BFF11"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51533A6" w14:textId="77777777" w:rsidR="0072652F" w:rsidRDefault="0072652F">
            <w:pPr>
              <w:pBdr>
                <w:top w:val="nil"/>
                <w:left w:val="nil"/>
                <w:bottom w:val="nil"/>
                <w:right w:val="nil"/>
                <w:between w:val="nil"/>
              </w:pBdr>
              <w:jc w:val="both"/>
              <w:rPr>
                <w:rFonts w:ascii="Times New Roman" w:eastAsia="Times New Roman" w:hAnsi="Times New Roman" w:cs="Times New Roman"/>
              </w:rPr>
            </w:pPr>
          </w:p>
        </w:tc>
      </w:tr>
      <w:tr w:rsidR="0072652F" w14:paraId="3772F7D2" w14:textId="77777777">
        <w:trPr>
          <w:trHeight w:val="240"/>
        </w:trPr>
        <w:tc>
          <w:tcPr>
            <w:tcW w:w="480" w:type="dxa"/>
            <w:vMerge/>
          </w:tcPr>
          <w:p w14:paraId="237DF0CE"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18BCC34"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5B25B7A9"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7</w:t>
            </w:r>
          </w:p>
        </w:tc>
        <w:tc>
          <w:tcPr>
            <w:tcW w:w="4485" w:type="dxa"/>
          </w:tcPr>
          <w:p w14:paraId="5103C741"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Pct.18</w:t>
            </w:r>
          </w:p>
          <w:p w14:paraId="18FFE1EE"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Art. 16 alin. (2²)</w:t>
            </w:r>
          </w:p>
          <w:p w14:paraId="2B8B2EB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Norma este utilă pentru bănci, dar eficacitatea ei depinde de corelarea cu aprobarea BNM. Pentru a evita vidul de guvernanță între hotărârea AGA/consiliului, aprobarea BNM și înregistrare (a se vedea propunerea la art. 8 alin. (5) din Legea nr. 1134/1997), data de la care produce efect înregistrarea numirii organelor unei bănci ar trebui să poată fi stabilită în corelare cu data aprobării BNM.</w:t>
            </w:r>
          </w:p>
          <w:p w14:paraId="158C18B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propune completarea art. 16 alin. (2²) cu o prevedere potrivit căreia, în cazul băncilor, data ulterioară a producerii efectului înregistrării poate fi corelată cu data aprobării prealabile a Băncii Naționale a Moldovei.</w:t>
            </w:r>
          </w:p>
        </w:tc>
        <w:tc>
          <w:tcPr>
            <w:tcW w:w="5505" w:type="dxa"/>
          </w:tcPr>
          <w:p w14:paraId="3A9D1672" w14:textId="77777777" w:rsidR="0072652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Norma a fost exclusă la insistența mai multor autorități care au prezentat avize.</w:t>
            </w:r>
          </w:p>
        </w:tc>
      </w:tr>
      <w:tr w:rsidR="0072652F" w14:paraId="7CAAAF76" w14:textId="77777777">
        <w:trPr>
          <w:trHeight w:val="240"/>
        </w:trPr>
        <w:tc>
          <w:tcPr>
            <w:tcW w:w="480" w:type="dxa"/>
            <w:vMerge/>
          </w:tcPr>
          <w:p w14:paraId="5099F60D"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3D81247E"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E61D27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8</w:t>
            </w:r>
          </w:p>
        </w:tc>
        <w:tc>
          <w:tcPr>
            <w:tcW w:w="4485" w:type="dxa"/>
          </w:tcPr>
          <w:p w14:paraId="29D3C6CB"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Pct. 31.</w:t>
            </w:r>
          </w:p>
          <w:p w14:paraId="3C7E2FF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Art. 33 alin. (1) lit. j)</w:t>
            </w:r>
          </w:p>
          <w:p w14:paraId="5003D95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Considerăm inoportun prezentarea numărului de telefon a subiecților vizați la lit. j), fiind o cerință excesivă prin prisma protecției vieții private, precum și prevenirii fraudelor, și nu ar trebui înregistrată de fiecare dată când asemenea persoană își schimbă numărul de telefon.</w:t>
            </w:r>
          </w:p>
          <w:p w14:paraId="3EB6F0E5"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Totodată, pentru bănci, structura acționariatului (deținerile calificate) și beneficiarii efectivi sunt aprobați și monitorizați de BNM (art. 45–46 din Legea nr. 202/2017), iar acțiunile sunt evidențiate la Depozitarul Central Unic al Valorilor Mobiliare (Legea nr. 234/2016), nu în RSPJ. </w:t>
            </w:r>
            <w:r>
              <w:rPr>
                <w:rFonts w:ascii="Times New Roman" w:eastAsia="Times New Roman" w:hAnsi="Times New Roman" w:cs="Times New Roman"/>
              </w:rPr>
              <w:lastRenderedPageBreak/>
              <w:t>Pentru a evita divergențe între datele publicate în RSPJ și evidențele BNM/DCU, precum și o dublă întreținere a datelor, este utilă o normă de corelare.</w:t>
            </w:r>
          </w:p>
          <w:p w14:paraId="0B4463C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Se propune ca, pentru bănci, datele privind acționariatul și beneficiarii efectivi publicate prin RSPJ să fie corelate cu – și, după caz, preluate din – datele aprobate de BNM și din registrul Depozitarului Central Unic.</w:t>
            </w:r>
          </w:p>
        </w:tc>
        <w:tc>
          <w:tcPr>
            <w:tcW w:w="5505" w:type="dxa"/>
          </w:tcPr>
          <w:p w14:paraId="59B5647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1EDB535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Formularea lit. j) este similară celei în vigoare. Nu este intenția proiectului de lege a înregistra acționarii în RSPJ. Lit. j) nu menționează acționarii. Din contra, se păstrează separat mențiunea privind registratorul societății.  Proiectul de lege a fost ajustat pentru a preciza excluderea acționarilor din societățile pe acțiuni.</w:t>
            </w:r>
          </w:p>
          <w:p w14:paraId="5F19EA7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00454668"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Excluderea datelor privind beneficiarii efectivi ai acțiunilor băncilor depășește prezentul proiect de lege.</w:t>
            </w:r>
          </w:p>
        </w:tc>
      </w:tr>
      <w:tr w:rsidR="0072652F" w14:paraId="6EFD2A63" w14:textId="77777777">
        <w:trPr>
          <w:trHeight w:val="240"/>
        </w:trPr>
        <w:tc>
          <w:tcPr>
            <w:tcW w:w="480" w:type="dxa"/>
            <w:vMerge/>
          </w:tcPr>
          <w:p w14:paraId="3B1A3E1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8CD337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733BB1F8"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9</w:t>
            </w:r>
          </w:p>
        </w:tc>
        <w:tc>
          <w:tcPr>
            <w:tcW w:w="4485" w:type="dxa"/>
          </w:tcPr>
          <w:p w14:paraId="54276636"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Pct. 31</w:t>
            </w:r>
          </w:p>
          <w:p w14:paraId="06890DD9"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Art. 33 alin. (1) lit. n)</w:t>
            </w:r>
          </w:p>
          <w:p w14:paraId="52E4E458"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Considerăm că data nașterii ca și informație prezentată este excesivă și încalcă principiul legislației privind protecția datelor cu caracter personal (principiul reducerii la minim a datelor), cât timp se colectează numărul de identificare de stat care permite identificarea persoanei.</w:t>
            </w:r>
          </w:p>
          <w:p w14:paraId="3218EBB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Totodată, se propune ca, pentru bănci, datele privind beneficiarii efectivi publicate prin RSPJ să fie corelate cu – și, după caz, preluate din – datele aprobate de BNM și din registrul Depozitarului Central Unic (a se vedea propunerea de mai sus).</w:t>
            </w:r>
          </w:p>
        </w:tc>
        <w:tc>
          <w:tcPr>
            <w:tcW w:w="5505" w:type="dxa"/>
          </w:tcPr>
          <w:p w14:paraId="0118C7D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2EB6771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Aceste date sunt colectate în mod tradițional, iar numeroase registre ale comerțului din statele membre UE le includ în registre pentru o mai bună identificare a persoanelor. Aceste date nu sunt include în partea cu acces public a RSPJ, respectiv rămân inaccesibile publicului.</w:t>
            </w:r>
          </w:p>
          <w:p w14:paraId="29028E5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21C33D4"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Corelarea datelor privind beneficiarii efectivi ai acțiunilor băncilor depășește prezentul proiect de lege.</w:t>
            </w:r>
          </w:p>
        </w:tc>
      </w:tr>
      <w:tr w:rsidR="0072652F" w14:paraId="33EB3D49" w14:textId="77777777">
        <w:trPr>
          <w:trHeight w:val="240"/>
        </w:trPr>
        <w:tc>
          <w:tcPr>
            <w:tcW w:w="480" w:type="dxa"/>
            <w:vMerge/>
          </w:tcPr>
          <w:p w14:paraId="014FFC5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74918B45"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0E98D03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10</w:t>
            </w:r>
          </w:p>
        </w:tc>
        <w:tc>
          <w:tcPr>
            <w:tcW w:w="4485" w:type="dxa"/>
          </w:tcPr>
          <w:p w14:paraId="17781CC1"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Pct. 31</w:t>
            </w:r>
          </w:p>
          <w:p w14:paraId="75F3E4FD"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 Art. 33 alin. (1) lit. o)</w:t>
            </w:r>
          </w:p>
          <w:p w14:paraId="28A4A5B0"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Considerăm oportun excluderea acestei litere, deoarece orice societate comercială deține patrimoniul său cu drept de proprietate privată. Nu este clară relevanța informației privind sursa de finanțare și gradul de detaliere necesar.</w:t>
            </w:r>
          </w:p>
        </w:tc>
        <w:tc>
          <w:tcPr>
            <w:tcW w:w="5505" w:type="dxa"/>
          </w:tcPr>
          <w:p w14:paraId="4F751A71"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Nu se acceptă.</w:t>
            </w:r>
          </w:p>
          <w:p w14:paraId="5A844228" w14:textId="77777777" w:rsidR="0072652F" w:rsidRDefault="0072652F">
            <w:pPr>
              <w:jc w:val="both"/>
              <w:rPr>
                <w:rFonts w:ascii="Times New Roman" w:eastAsia="Times New Roman" w:hAnsi="Times New Roman" w:cs="Times New Roman"/>
              </w:rPr>
            </w:pPr>
          </w:p>
          <w:p w14:paraId="1EEAE1F5" w14:textId="77777777" w:rsidR="0072652F" w:rsidRDefault="00000000">
            <w:pPr>
              <w:jc w:val="both"/>
              <w:rPr>
                <w:rFonts w:ascii="Times New Roman" w:eastAsia="Times New Roman" w:hAnsi="Times New Roman" w:cs="Times New Roman"/>
                <w:b/>
                <w:bCs/>
              </w:rPr>
            </w:pPr>
            <w:r>
              <w:rPr>
                <w:rFonts w:ascii="Times New Roman" w:eastAsia="Times New Roman" w:hAnsi="Times New Roman" w:cs="Times New Roman"/>
              </w:rPr>
              <w:t>Excluderea datelor respective depășește prezentul proiect de lege. Datele ar putea fi necesare în scopuri statistice.</w:t>
            </w:r>
          </w:p>
        </w:tc>
      </w:tr>
      <w:tr w:rsidR="0072652F" w14:paraId="65D4AB3F" w14:textId="77777777">
        <w:trPr>
          <w:trHeight w:val="240"/>
        </w:trPr>
        <w:tc>
          <w:tcPr>
            <w:tcW w:w="480" w:type="dxa"/>
            <w:vMerge/>
          </w:tcPr>
          <w:p w14:paraId="629AE5B8"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6B6BB9A1"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EBD4403"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11</w:t>
            </w:r>
          </w:p>
        </w:tc>
        <w:tc>
          <w:tcPr>
            <w:tcW w:w="4485" w:type="dxa"/>
          </w:tcPr>
          <w:p w14:paraId="5DE6D791"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 xml:space="preserve">Pct. 32 </w:t>
            </w:r>
          </w:p>
          <w:p w14:paraId="7BE8C384"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Articolul 33¹</w:t>
            </w:r>
          </w:p>
          <w:p w14:paraId="2BA1AA1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Se propune expunerea art. 33¹ în următoarea redacție:</w:t>
            </w:r>
          </w:p>
          <w:p w14:paraId="74074065"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„Articolul 33¹. Conținutul Registrului de stat privind sucursala persoanei juridice străine</w:t>
            </w:r>
          </w:p>
          <w:p w14:paraId="553E4F30"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(1) În Registrul de stat al persoanelor juridice se înscriu cel puțin următoarele date despre sucursala persoanei juridice străine:</w:t>
            </w:r>
          </w:p>
          <w:p w14:paraId="5270BEE0"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a) denumirea sucursalei, sediul și genurile ei de activitate;</w:t>
            </w:r>
          </w:p>
          <w:p w14:paraId="4A577A6E"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b) numărul de identificare de stat (IDNO) și, în cazul sucursalei societății străine dintr-un stat membru, identificatorul EUID;</w:t>
            </w:r>
          </w:p>
          <w:p w14:paraId="1900ACBF"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c) denumirea persoanei juridice străine, forma juridică de organizare, sediul și genul de activitate ale persoanei juridice și, după caz, cuantumul capitalului subscris, dacă aceste informații nu sunt furnizate în extrasele din registru în care este înregistrată persoana juridică străină sau actele de constituire depuse de persoana juridică străină la organul înregistrării de stat;</w:t>
            </w:r>
          </w:p>
          <w:p w14:paraId="49EFEC9C"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d) date privind numirea, încetarea funcției și numele, prenumele, numărul de identificare de stat al conducătorului sucursalei. În cazul în care sunt indicate mai multe persoane, faptul că ele acționează în mod individual sau împreună (consimțământul câtorva persoane sau al tuturor);</w:t>
            </w:r>
          </w:p>
          <w:p w14:paraId="1454F29E"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e) statul dreptul căruia guvernează persoana juridică străină;</w:t>
            </w:r>
          </w:p>
          <w:p w14:paraId="19EC57FD"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 xml:space="preserve">f) dacă conform legii naționale persoana juridică străină este supusă înregistrării, registrul în care ea este înregistrată și </w:t>
            </w:r>
            <w:r>
              <w:rPr>
                <w:rFonts w:ascii="Times New Roman" w:eastAsia="Times New Roman" w:hAnsi="Times New Roman" w:cs="Times New Roman"/>
                <w:i/>
                <w:iCs/>
              </w:rPr>
              <w:lastRenderedPageBreak/>
              <w:t>numărul de înregistrare al acesteia în registrul respectiv;</w:t>
            </w:r>
          </w:p>
          <w:p w14:paraId="1AF84E6B"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g) date privind numirea, încetarea funcției și numele, prenumele, numărul de identificare de stat al persoanelor care au competența de a angaja persoana juridică străină față de terți și de a o reprezenta în justiție ca organ constituit în temeiul legii sau ca membri ai unui astfel de organ. În cazul în care sunt indicate mai multe persoane, faptul că ele acționează în mod individual sau împreună (consimțământul câtorva persoane sau al tuturor);</w:t>
            </w:r>
          </w:p>
          <w:p w14:paraId="42E5199D"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h) dizolvarea persoanei juridice străine și date privind numirea, numele, prenumele, numărul de identificare de stat și competențele lichidatorilor, precum și finalizarea lichidării;</w:t>
            </w:r>
          </w:p>
          <w:p w14:paraId="6A148575"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i) procedura de insolvabilitate și orice proceduri similare care se aplică persoanei juridice străine;</w:t>
            </w:r>
          </w:p>
          <w:p w14:paraId="3050C926"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j) închiderea sucursalei.”</w:t>
            </w:r>
          </w:p>
        </w:tc>
        <w:tc>
          <w:tcPr>
            <w:tcW w:w="5505" w:type="dxa"/>
          </w:tcPr>
          <w:p w14:paraId="2641830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3A4BB32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Propunerea la lit. c) nu se acceptă, deoarece contravine cerinței Directivei. Informațiile din extrasul din </w:t>
            </w:r>
            <w:r>
              <w:rPr>
                <w:rFonts w:ascii="Times New Roman" w:eastAsia="Times New Roman" w:hAnsi="Times New Roman" w:cs="Times New Roman"/>
              </w:rPr>
              <w:lastRenderedPageBreak/>
              <w:t>străinătate depus la RSPJ este irelevant, deoarece el nu se publică în RSPJ, respectiv terții nu pot lua cunoștință de el.</w:t>
            </w:r>
          </w:p>
          <w:p w14:paraId="0524A754"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A33F1E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Propunerile la lit. d), e), g) și h) sunt acceptare, iar proiectul de lege a fost ajustat.</w:t>
            </w:r>
          </w:p>
        </w:tc>
      </w:tr>
      <w:tr w:rsidR="0072652F" w14:paraId="21FBF00E" w14:textId="77777777">
        <w:trPr>
          <w:trHeight w:val="240"/>
        </w:trPr>
        <w:tc>
          <w:tcPr>
            <w:tcW w:w="480" w:type="dxa"/>
            <w:vMerge/>
          </w:tcPr>
          <w:p w14:paraId="2ABA78CA"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4EB89C3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1B4F05F0"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12</w:t>
            </w:r>
          </w:p>
        </w:tc>
        <w:tc>
          <w:tcPr>
            <w:tcW w:w="4485" w:type="dxa"/>
          </w:tcPr>
          <w:p w14:paraId="41A394FD"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Pct.35</w:t>
            </w:r>
          </w:p>
          <w:p w14:paraId="3B978EB8" w14:textId="77777777" w:rsidR="0072652F"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rPr>
              <w:t>Articolul 34¹ alin. (2) pct.1) lit. h)</w:t>
            </w:r>
          </w:p>
          <w:p w14:paraId="404AF66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cazul societăților pe acțiuni — în special bănci — registrul acționarilor este ținut de Depozitarul Central Unic, iar acțiunile sunt valori mobiliare guvernate de Legea nr. 171/2012; structura de acționariat calificat este supusă aprobării BNM.</w:t>
            </w:r>
          </w:p>
          <w:p w14:paraId="16DB5A75"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Considerăm oportun ca la art. 34¹ din Legea nr. 220/2007, să se introducă clarificarea că, pentru societățile pe acțiuni se publică persoanele cu funcție de conducere și de control, iar evidența și publicitatea </w:t>
            </w:r>
            <w:r>
              <w:rPr>
                <w:rFonts w:ascii="Times New Roman" w:eastAsia="Times New Roman" w:hAnsi="Times New Roman" w:cs="Times New Roman"/>
              </w:rPr>
              <w:lastRenderedPageBreak/>
              <w:t>acționariatului rămân guvernate de Legea nr. 171/2012 și de regimul Depozitarului Central Unic.</w:t>
            </w:r>
          </w:p>
        </w:tc>
        <w:tc>
          <w:tcPr>
            <w:tcW w:w="5505" w:type="dxa"/>
          </w:tcPr>
          <w:p w14:paraId="782A0534"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7F169FC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de lege a fost ajustat.</w:t>
            </w:r>
          </w:p>
        </w:tc>
      </w:tr>
      <w:tr w:rsidR="0072652F" w14:paraId="2F1B35D8" w14:textId="77777777">
        <w:trPr>
          <w:trHeight w:val="280"/>
        </w:trPr>
        <w:tc>
          <w:tcPr>
            <w:tcW w:w="480" w:type="dxa"/>
            <w:vMerge/>
          </w:tcPr>
          <w:p w14:paraId="5935186F"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64F741E0"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1790" w:type="dxa"/>
            <w:gridSpan w:val="3"/>
          </w:tcPr>
          <w:p w14:paraId="7CA70942"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sz w:val="28"/>
                <w:szCs w:val="28"/>
              </w:rPr>
              <w:t xml:space="preserve">Art. VI. – Codul contravențional al Republicii Moldova nr. 218/2008 </w:t>
            </w:r>
          </w:p>
        </w:tc>
      </w:tr>
      <w:tr w:rsidR="0072652F" w14:paraId="0B5B1E81" w14:textId="77777777">
        <w:trPr>
          <w:trHeight w:val="240"/>
        </w:trPr>
        <w:tc>
          <w:tcPr>
            <w:tcW w:w="480" w:type="dxa"/>
            <w:vMerge/>
          </w:tcPr>
          <w:p w14:paraId="41ED6587"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530" w:type="dxa"/>
            <w:vMerge/>
          </w:tcPr>
          <w:p w14:paraId="4B5CBF83" w14:textId="77777777" w:rsidR="0072652F" w:rsidRDefault="0072652F">
            <w:pPr>
              <w:pBdr>
                <w:top w:val="nil"/>
                <w:left w:val="nil"/>
                <w:bottom w:val="nil"/>
                <w:right w:val="nil"/>
                <w:between w:val="nil"/>
              </w:pBdr>
              <w:jc w:val="center"/>
              <w:rPr>
                <w:rFonts w:ascii="Times New Roman" w:eastAsia="Times New Roman" w:hAnsi="Times New Roman" w:cs="Times New Roman"/>
                <w:b/>
                <w:bCs/>
                <w:color w:val="000000"/>
              </w:rPr>
            </w:pPr>
          </w:p>
        </w:tc>
        <w:tc>
          <w:tcPr>
            <w:tcW w:w="1800" w:type="dxa"/>
          </w:tcPr>
          <w:p w14:paraId="402BEBC4"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t>1</w:t>
            </w:r>
          </w:p>
        </w:tc>
        <w:tc>
          <w:tcPr>
            <w:tcW w:w="4485" w:type="dxa"/>
          </w:tcPr>
          <w:p w14:paraId="70009C9C"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Pct. 2</w:t>
            </w:r>
          </w:p>
          <w:p w14:paraId="628507C7"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t>Articolul 263</w:t>
            </w:r>
            <w:r>
              <w:rPr>
                <w:rFonts w:ascii="Times New Roman" w:eastAsia="Times New Roman" w:hAnsi="Times New Roman" w:cs="Times New Roman"/>
                <w:b/>
                <w:bCs/>
                <w:vertAlign w:val="superscript"/>
              </w:rPr>
              <w:t>4</w:t>
            </w:r>
            <w:r>
              <w:rPr>
                <w:rFonts w:ascii="Times New Roman" w:eastAsia="Times New Roman" w:hAnsi="Times New Roman" w:cs="Times New Roman"/>
                <w:b/>
                <w:bCs/>
              </w:rPr>
              <w:t xml:space="preserve"> </w:t>
            </w:r>
          </w:p>
          <w:p w14:paraId="248847E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Proiectul introduce noul articol 263⁴ în Codul contravențional, stabilind amenzi substanțiale pentru prezentarea de informații neveridice, incomplete sau incorecte, precum și pentru neprezentarea documentelor care urmează a fi supuse publicității prin intermediul Registrului de stat.</w:t>
            </w:r>
          </w:p>
          <w:p w14:paraId="1B3BC80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Considerăm că norma în redacție propusă prezintă următoarele neconformități și riscuri:</w:t>
            </w:r>
          </w:p>
          <w:p w14:paraId="5F769813"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Sancționarea erorilor de bună-credință, în absența unui mecanism de autocorectare. Termenul „Prezentarea” acoperă orice inexactitate, inclusiv eroarea de bună-credință corectabilă imediat. Or, finalitatea normei — integritatea datelor din Registru (în transpunerea art. 40 din Directivă) — este atinsă deopotrivă, poate chiar mai eficient, printr-un mecanism care stimulează corectarea promptă, în loc să sancționeze persoana care își remediază din proprie inițiativă eroarea. Proporționalitatea impune o cauză de neaplicare a sancțiunii în caz de autocorectare într-un termen rezonabil de la notificare.</w:t>
            </w:r>
          </w:p>
          <w:p w14:paraId="63B50CAF"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 Lipsa deținerii sau controlului asupra informației. Întrucât art. 17 alin. (1) lit. a) atașează răspunderea persoanei juridice de </w:t>
            </w:r>
            <w:r>
              <w:rPr>
                <w:rFonts w:ascii="Times New Roman" w:eastAsia="Times New Roman" w:hAnsi="Times New Roman" w:cs="Times New Roman"/>
              </w:rPr>
              <w:lastRenderedPageBreak/>
              <w:t>faptul obiectiv al neîndeplinirii obligației, iar „cazul fortuit” (art. 25) este prea îngust pentru a acoperi refuzul de cooperare al unor terți (ex. nerezidenți, fondatori străini), este necesar ca norma specială să operaționalizeze cerința vinovăției (art. 7) și să asigure previzibilitatea impusă de art. 1 alin. (2). Sancțiunea trebuie condiționată de faptul că documentele se aflau efectiv la dispoziția subiectului, puteau fi obținute din punct de vedere tehnic sau că subiectul nu a întreprins eforturile rezonabil necesare pentru obținerea lor.</w:t>
            </w:r>
          </w:p>
          <w:p w14:paraId="33B4721D"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Obligația de a menționa „capitalul social subscris și vărsat" pe scrisori/facturi/site, sub sancțiune contravențională, ar reprezenta o problemă pentru bănci: capitalul social statutar diferă de fondurile proprii reglementate și poate induce în eroare clientela privind soliditatea; conformarea pe documentele de masă (extrase, notificări automate, internet banking) este costisitoare.</w:t>
            </w:r>
          </w:p>
          <w:p w14:paraId="2C8A8287"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Ar fi necesară definirea/limitarea perimetrului „actelor unilaterale" pentru a exclude documentele tranzacționale automate de masă; introducerea unui termen de conformare rezonabil; corelarea cu cerințele de publicitate deja existente în sectorul bancar, pentru a evita dubla reglementare și dubla sancționare a aceleiași fapte.</w:t>
            </w:r>
          </w:p>
          <w:p w14:paraId="58BE2D2A"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2D77FF9"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Având în vedere cele menționate, se propune operarea următoarelor schimbări în proiectul de lege:</w:t>
            </w:r>
          </w:p>
          <w:p w14:paraId="70553385"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lastRenderedPageBreak/>
              <w:t>„Articolul 263⁴ Prezentarea informației neveridice, incomplete sau incorecte la înregistrarea de stat</w:t>
            </w:r>
          </w:p>
          <w:p w14:paraId="0FA65AC6"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(1) [Textul proiectului privind prezentarea unor date neveridice, incomplete sau incorecte rămâne neschimbat]</w:t>
            </w:r>
          </w:p>
          <w:p w14:paraId="7BF50F4E"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(2) Neîndeplinirea de către persoanele juridice, inclusiv sucursalele persoanelor juridice străine, a obligației de prezentare a documentelor prevăzute de lege care urmează a fi supuse publicității prin intermediul Registrului de stat [...], în situația în care documentele se aflau la dispoziția persoanei obligate, puteau fi obținute de aceasta sau persoana obligată nu a întreprins eforturile rezonabil necesare pentru obținerea lor, precum și neactualizarea informației respective, în cazul în care au intervenit modificări, se sancționează cu amendă de la 50 la 100 de unități convenționale aplicată persoanei fizice/persoanei cu funcție de răspundere, cu amendă de la 200 la 400 de unități convenționale aplicată persoanei juridice.</w:t>
            </w:r>
          </w:p>
          <w:p w14:paraId="03591814"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(3) [Textul proiectului privind actele unilaterale și pagina web rămâne neschimbat]</w:t>
            </w:r>
          </w:p>
          <w:p w14:paraId="0BFD6ABF"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(4) Faptele prevăzute la alin. (1) și (2) nu se sancționează dacă persoana corectează din proprie inițiativă datele ori prezintă documentele în termen de 15 zile de la notificarea organului înregistrării de stat, cu condiția ca inexactitatea sau omisiunea să nu fi cauzat un prejudiciu.”</w:t>
            </w:r>
          </w:p>
          <w:p w14:paraId="13F4CCB3"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15DA20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lastRenderedPageBreak/>
              <w:t>De asemenea, având în vedere că BNM are competența exclusivă de a aplica sancțiuni băncilor și persoanelor prevăzute la art. 43, în temeiul art. 141 din Legea nr. 202/2017 - faptul instituirii unui regim contravențional paralel, aplicabil acelorași fapte (date de înregistrare, publicitate, mențiuni obligatorii), riscă dubla sancționare (ne bis in idem) și conflictul de competență cu autoritatea de supraveghere.</w:t>
            </w:r>
          </w:p>
          <w:p w14:paraId="701EC14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66EAE5D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Se propune completarea art. 263⁴ cu mențiunea că, </w:t>
            </w:r>
          </w:p>
          <w:p w14:paraId="5C7F4EF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în cazul băncilor și al persoanelor prevăzute la art. 43 din Legea nr. 202/2017, articolul se aplică fără a aduce atingere competenței exclusive de sancționare a Băncii Naționale a Moldovei; pentru aceeași faptă nu pot fi aplicate cumulativ sancțiuni contravenționale și sancțiuni în temeiul Legii nr. 202/2017. </w:t>
            </w:r>
          </w:p>
          <w:p w14:paraId="1B05B4AC"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Subsidiar, se propune excluderea expresă a băncilor din domeniul de aplicare al normei, în privința faptelor sancționate de BNM (existând totodată înțelegerea că, competențe similare de sancționare a unor subiecți supravegheați, altele decât băncile, există și în alte norme speciale din legi – fapt care ar trebui de asemenea considerat de autori).</w:t>
            </w:r>
          </w:p>
        </w:tc>
        <w:tc>
          <w:tcPr>
            <w:tcW w:w="5505" w:type="dxa"/>
          </w:tcPr>
          <w:p w14:paraId="44F0FAE2"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6BD5861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Alin. (1) constituie, aproape integral, textul actual al normei. </w:t>
            </w:r>
          </w:p>
          <w:p w14:paraId="79871AD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Problema vinovăției se rezolvă conform prevederilor generale ale Codului contravențional.</w:t>
            </w:r>
          </w:p>
          <w:p w14:paraId="4F1CAFB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A8F1AEA"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Afirmația că art. 17 alin. (1) lit. a) din Codul contravențional „atașează răspunderea persoanei juridice de faptul obiectiv al neîndeplinirii obligației” este inexactă. Textul real condiționează răspunderea de faptul că persoana juridică „este vinovată de neîndeplinirea sau de îndeplinirea necorespunzătoare a dispozițiilor legii ce stabilesc obligații”. </w:t>
            </w:r>
          </w:p>
          <w:p w14:paraId="7F084564" w14:textId="77777777" w:rsidR="0072652F" w:rsidRDefault="0072652F">
            <w:pPr>
              <w:jc w:val="both"/>
              <w:rPr>
                <w:rFonts w:ascii="Times New Roman" w:eastAsia="Times New Roman" w:hAnsi="Times New Roman" w:cs="Times New Roman"/>
              </w:rPr>
            </w:pPr>
          </w:p>
          <w:p w14:paraId="7B5B0AFB"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Imprudența (art. 14 alin. (3) Cod contravențional) presupune că persoana „trebuia și putea” să prevadă ori să evite urmarea. Dacă un terț (nerezident, fondator străin) refuză să coopereze, iar persoana obligată a depus eforturile rezonabile și totuși nu a putut obține documentul, atunci lipsește latura subiectivă. Aici nu există nici intenție, nici imprudență. Fapta nici nu se constituie ca contravenție. Testul propus în aviz („documentele se aflau la dispoziție / puteau fi obținute / nu a întreprins eforturile rezonabile”) este deja conținut, ca rezultat logic, în noțiunea legală de vinovăție.</w:t>
            </w:r>
          </w:p>
          <w:p w14:paraId="6EC1308C" w14:textId="77777777" w:rsidR="0072652F" w:rsidRDefault="0072652F">
            <w:pPr>
              <w:jc w:val="both"/>
              <w:rPr>
                <w:rFonts w:ascii="Times New Roman" w:eastAsia="Times New Roman" w:hAnsi="Times New Roman" w:cs="Times New Roman"/>
              </w:rPr>
            </w:pPr>
          </w:p>
          <w:p w14:paraId="04706452"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Privitor la faptul că art. 25 Cod contravențional este „prea îngust", subliniem că argumentul confundă două instituții distincte. Lipsa vinovăției înlătură caracterul contravențional prin lipsa unui element constitutiv </w:t>
            </w:r>
            <w:r>
              <w:rPr>
                <w:rFonts w:ascii="Times New Roman" w:eastAsia="Times New Roman" w:hAnsi="Times New Roman" w:cs="Times New Roman"/>
              </w:rPr>
              <w:lastRenderedPageBreak/>
              <w:t>(latura subiectivă, art. 10 și 14), nu prin vreo cauză de înlăturare din art. 19-26. Nu este nevoie de „caz fortuit” atunci când fapta nu întrunește din start elementele contravenției. Filtrul principal este art. 10/14, nu art. 25, iar acel filtru e suficient de larg.</w:t>
            </w:r>
          </w:p>
          <w:p w14:paraId="66C56232"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3D551226"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Obligația de a menționa capitalul social a fost exclusă din proiectul de lege.</w:t>
            </w:r>
          </w:p>
          <w:p w14:paraId="03A60A8F"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13EFBFC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Noțiunea de acte unilaterale a fost substituită cu cea ce scrisori comerciale.</w:t>
            </w:r>
          </w:p>
          <w:p w14:paraId="6F9C249B"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543531D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se vedea răspunsurile supra la avizul Grupului de lucru  al Comisiei de stat pentru reglementarea activității de întreprinzător.</w:t>
            </w:r>
          </w:p>
          <w:p w14:paraId="17C4DACC" w14:textId="77777777" w:rsidR="0072652F" w:rsidRDefault="0072652F">
            <w:pPr>
              <w:pBdr>
                <w:top w:val="nil"/>
                <w:left w:val="nil"/>
                <w:bottom w:val="nil"/>
                <w:right w:val="nil"/>
                <w:between w:val="nil"/>
              </w:pBdr>
              <w:jc w:val="both"/>
              <w:rPr>
                <w:rFonts w:ascii="Times New Roman" w:eastAsia="Times New Roman" w:hAnsi="Times New Roman" w:cs="Times New Roman"/>
              </w:rPr>
            </w:pPr>
          </w:p>
          <w:p w14:paraId="760A7C9A"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Condiționările răspunderii din redacția nouă a alin. (2), propusă în aviz, nu îndeplinesc cerința Directivei de a asigura că societățile comerciale îndeplinesc publicitatea în termen. Faptul că persoana obligată se va autocorecta poate constitui o circumstanță atenuantă.</w:t>
            </w:r>
          </w:p>
        </w:tc>
      </w:tr>
      <w:tr w:rsidR="0072652F" w14:paraId="54297E2D" w14:textId="77777777">
        <w:tc>
          <w:tcPr>
            <w:tcW w:w="480" w:type="dxa"/>
          </w:tcPr>
          <w:p w14:paraId="41ADE666"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16</w:t>
            </w:r>
          </w:p>
        </w:tc>
        <w:tc>
          <w:tcPr>
            <w:tcW w:w="1530" w:type="dxa"/>
          </w:tcPr>
          <w:p w14:paraId="476C9EFC"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b/>
                <w:bCs/>
                <w:i/>
                <w:iCs/>
                <w:sz w:val="28"/>
                <w:szCs w:val="28"/>
              </w:rPr>
              <w:t>Elena Arapu</w:t>
            </w:r>
            <w:r>
              <w:rPr>
                <w:rFonts w:ascii="Times New Roman" w:eastAsia="Times New Roman" w:hAnsi="Times New Roman" w:cs="Times New Roman"/>
                <w:b/>
                <w:bCs/>
                <w:sz w:val="28"/>
                <w:szCs w:val="28"/>
              </w:rPr>
              <w:t xml:space="preserve">, </w:t>
            </w:r>
            <w:r>
              <w:rPr>
                <w:rFonts w:ascii="Times New Roman" w:eastAsia="Times New Roman" w:hAnsi="Times New Roman" w:cs="Times New Roman"/>
              </w:rPr>
              <w:t>asistent universitar în cadrul Departament</w:t>
            </w:r>
            <w:r>
              <w:rPr>
                <w:rFonts w:ascii="Times New Roman" w:eastAsia="Times New Roman" w:hAnsi="Times New Roman" w:cs="Times New Roman"/>
              </w:rPr>
              <w:lastRenderedPageBreak/>
              <w:t>ului Drept Privat Facultatea de Drept Universitatea de Stat din Moldova</w:t>
            </w:r>
          </w:p>
          <w:p w14:paraId="2D1C11C6"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Doctorandă în cadrul Școlii Doctorale Științe Juridice și Economice </w:t>
            </w:r>
          </w:p>
          <w:p w14:paraId="28E2A5CF"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Universitatea de Stat din Moldova</w:t>
            </w:r>
          </w:p>
          <w:p w14:paraId="19FFB79D" w14:textId="77777777" w:rsidR="0072652F" w:rsidRDefault="00000000">
            <w:pPr>
              <w:jc w:val="both"/>
              <w:rPr>
                <w:rFonts w:ascii="Times New Roman" w:eastAsia="Times New Roman" w:hAnsi="Times New Roman" w:cs="Times New Roman"/>
              </w:rPr>
            </w:pPr>
            <w:r>
              <w:rPr>
                <w:rFonts w:ascii="Times New Roman" w:eastAsia="Times New Roman" w:hAnsi="Times New Roman" w:cs="Times New Roman"/>
              </w:rPr>
              <w:t>Specialitatea - Drept Civil</w:t>
            </w:r>
          </w:p>
          <w:p w14:paraId="0233CB78" w14:textId="77777777" w:rsidR="0072652F" w:rsidRDefault="0072652F">
            <w:pPr>
              <w:pBdr>
                <w:top w:val="nil"/>
                <w:left w:val="nil"/>
                <w:bottom w:val="nil"/>
                <w:right w:val="nil"/>
                <w:between w:val="nil"/>
              </w:pBdr>
              <w:jc w:val="center"/>
              <w:rPr>
                <w:rFonts w:ascii="Times New Roman" w:eastAsia="Times New Roman" w:hAnsi="Times New Roman" w:cs="Times New Roman"/>
                <w:b/>
                <w:bCs/>
              </w:rPr>
            </w:pPr>
          </w:p>
        </w:tc>
        <w:tc>
          <w:tcPr>
            <w:tcW w:w="1800" w:type="dxa"/>
          </w:tcPr>
          <w:p w14:paraId="18116E5F" w14:textId="77777777" w:rsidR="0072652F" w:rsidRDefault="00000000">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1</w:t>
            </w:r>
          </w:p>
        </w:tc>
        <w:tc>
          <w:tcPr>
            <w:tcW w:w="4485" w:type="dxa"/>
          </w:tcPr>
          <w:p w14:paraId="6FC3F9B1"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Prin prezenta, îmi exprim susținerea față de Proiectul de L E G E pentru modificarea unor acte normative (anumite aspecte ale dreptului societăților comerciale)  care vizează inclusiv revizuirea dispozițiilor art. 525 alin. (1) al Codului Civil al RM, </w:t>
            </w:r>
            <w:r>
              <w:rPr>
                <w:rFonts w:ascii="Times New Roman" w:eastAsia="Times New Roman" w:hAnsi="Times New Roman" w:cs="Times New Roman"/>
              </w:rPr>
              <w:lastRenderedPageBreak/>
              <w:t>apreciind că intervenția legislativă propusă este oportună și necesară pentru asigurarea unei aplicări coerente și eficiente a normelor referitoare la protecția dobânditorului de bună-credință.</w:t>
            </w:r>
          </w:p>
          <w:p w14:paraId="4C4F0192"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procesul elaborării tezei de doctorat cu tema „Aplicarea bunei-credințe în dreptul de proprietate”, în urma unei cercetări aprofundate a cadrului normativ, doctrinar și jurisprudențial, am constatat că formularea actuală a art. 525 alin. (1) din Codul civil al Republicii Moldova, care face trimitere exclusivă la art. 524, limitează sfera de aplicare a acestei dispoziții și reduce potențialul său de valorificare în raport cu alte instituții juridice relevante.</w:t>
            </w:r>
          </w:p>
          <w:p w14:paraId="0DFC2B10"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În special, consider că standardul bunei-credințe reglementat de art. 525 alin. (1) este pertinent nu doar în contextul art. 524 din Codul civil, ci și în raport cu alte dispoziții legale, inclusiv art. 523 din Codul civil, care reglementează protecția dobânditorului unui drept înregistrat ce se încrede în datele registrului de publicitate cu efect constitutiv. În ambele situații este avut în vedere același criteriu al bunei-credințe și aceeași necesitate de protejare a încrederii legitime în informațiile furnizate de sistemul de publicitate.</w:t>
            </w:r>
          </w:p>
          <w:p w14:paraId="1E0CC34E"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Din această perspectivă, apreciem că modificarea propusă, prin extinderea referinței din art. 525 alin. (1) la „alte dispoziții legale relevante”, ar contribui la eliminarea unor incertitudini de interpretare, </w:t>
            </w:r>
            <w:r>
              <w:rPr>
                <w:rFonts w:ascii="Times New Roman" w:eastAsia="Times New Roman" w:hAnsi="Times New Roman" w:cs="Times New Roman"/>
              </w:rPr>
              <w:lastRenderedPageBreak/>
              <w:t>la uniformizarea practicii judiciare și la consolidarea securității raporturilor juridice.</w:t>
            </w:r>
          </w:p>
          <w:p w14:paraId="6AAD4D8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Textul propus:</w:t>
            </w:r>
          </w:p>
          <w:p w14:paraId="1584AEE8" w14:textId="77777777" w:rsidR="0072652F" w:rsidRDefault="00000000">
            <w:pPr>
              <w:pBdr>
                <w:top w:val="nil"/>
                <w:left w:val="nil"/>
                <w:bottom w:val="nil"/>
                <w:right w:val="nil"/>
                <w:between w:val="nil"/>
              </w:pBdr>
              <w:jc w:val="both"/>
              <w:rPr>
                <w:rFonts w:ascii="Times New Roman" w:eastAsia="Times New Roman" w:hAnsi="Times New Roman" w:cs="Times New Roman"/>
                <w:i/>
                <w:iCs/>
              </w:rPr>
            </w:pPr>
            <w:r>
              <w:rPr>
                <w:rFonts w:ascii="Times New Roman" w:eastAsia="Times New Roman" w:hAnsi="Times New Roman" w:cs="Times New Roman"/>
                <w:i/>
                <w:iCs/>
              </w:rPr>
              <w:t>„În sensul art. 524 și al altor dispoziții legale relevante...”</w:t>
            </w:r>
          </w:p>
          <w:p w14:paraId="1E36B2DB" w14:textId="77777777" w:rsidR="0072652F" w:rsidRDefault="0000000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Consider că adoptarea acestei modificări va asigura o valorificare mai adecvată a instituției bunei-credințe în materia drepturilor reale, va spori previzibilitatea aplicării normelor juridice și va contribui la protejarea eficientă a drepturilor și intereselor legitime ale participanților la circuitul civil.</w:t>
            </w:r>
          </w:p>
          <w:p w14:paraId="3378345B" w14:textId="77777777" w:rsidR="0072652F" w:rsidRDefault="00000000">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rPr>
              <w:t>În acest context, îmi exprim susținerea pentru promovarea și adoptarea proiectului de modificare menționat și îmi manifest disponibilitatea de a prezenta argumente suplimentare sau observații de specialitate care ar putea contribui la perfecționarea soluției legislative propuse.</w:t>
            </w:r>
          </w:p>
        </w:tc>
        <w:tc>
          <w:tcPr>
            <w:tcW w:w="5505" w:type="dxa"/>
          </w:tcPr>
          <w:p w14:paraId="257D54C3" w14:textId="77777777" w:rsidR="0072652F"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Se ia act.</w:t>
            </w:r>
          </w:p>
        </w:tc>
      </w:tr>
      <w:tr w:rsidR="005C3055" w14:paraId="318EB59D" w14:textId="77777777" w:rsidTr="00914AEF">
        <w:tc>
          <w:tcPr>
            <w:tcW w:w="13800" w:type="dxa"/>
            <w:gridSpan w:val="5"/>
          </w:tcPr>
          <w:p w14:paraId="7233353F" w14:textId="6ABAEECC" w:rsidR="005C3055" w:rsidRDefault="005C3055" w:rsidP="005C3055">
            <w:pPr>
              <w:pBdr>
                <w:top w:val="nil"/>
                <w:left w:val="nil"/>
                <w:bottom w:val="nil"/>
                <w:right w:val="nil"/>
                <w:between w:val="nil"/>
              </w:pBdr>
              <w:jc w:val="center"/>
              <w:rPr>
                <w:rFonts w:ascii="Times New Roman" w:eastAsia="Times New Roman" w:hAnsi="Times New Roman" w:cs="Times New Roman"/>
                <w:b/>
                <w:bCs/>
              </w:rPr>
            </w:pPr>
            <w:r w:rsidRPr="005C3055">
              <w:rPr>
                <w:rFonts w:ascii="Times New Roman" w:eastAsia="Times New Roman" w:hAnsi="Times New Roman" w:cs="Times New Roman"/>
                <w:b/>
                <w:bCs/>
              </w:rPr>
              <w:lastRenderedPageBreak/>
              <w:t>Expertizare</w:t>
            </w:r>
          </w:p>
        </w:tc>
      </w:tr>
      <w:tr w:rsidR="005C3055" w14:paraId="1FD5EFB2" w14:textId="77777777">
        <w:tc>
          <w:tcPr>
            <w:tcW w:w="480" w:type="dxa"/>
          </w:tcPr>
          <w:p w14:paraId="7703E990" w14:textId="2067F715" w:rsidR="005C3055" w:rsidRDefault="005C3055">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1530" w:type="dxa"/>
          </w:tcPr>
          <w:p w14:paraId="6C2421FC" w14:textId="2DA73103" w:rsidR="005C3055" w:rsidRPr="005C3055" w:rsidRDefault="005C3055">
            <w:pPr>
              <w:jc w:val="both"/>
              <w:rPr>
                <w:rFonts w:ascii="Times New Roman" w:eastAsia="Times New Roman" w:hAnsi="Times New Roman" w:cs="Times New Roman"/>
                <w:b/>
                <w:bCs/>
              </w:rPr>
            </w:pPr>
            <w:r w:rsidRPr="005C3055">
              <w:rPr>
                <w:rFonts w:ascii="Times New Roman" w:eastAsia="Times New Roman" w:hAnsi="Times New Roman" w:cs="Times New Roman"/>
                <w:b/>
                <w:bCs/>
              </w:rPr>
              <w:t>Ministerul Justiției</w:t>
            </w:r>
          </w:p>
        </w:tc>
        <w:tc>
          <w:tcPr>
            <w:tcW w:w="1800" w:type="dxa"/>
          </w:tcPr>
          <w:p w14:paraId="4138B74F" w14:textId="77777777" w:rsidR="005C3055" w:rsidRDefault="005C3055">
            <w:pPr>
              <w:pBdr>
                <w:top w:val="nil"/>
                <w:left w:val="nil"/>
                <w:bottom w:val="nil"/>
                <w:right w:val="nil"/>
                <w:between w:val="nil"/>
              </w:pBdr>
              <w:jc w:val="center"/>
              <w:rPr>
                <w:rFonts w:ascii="Times New Roman" w:eastAsia="Times New Roman" w:hAnsi="Times New Roman" w:cs="Times New Roman"/>
                <w:b/>
                <w:bCs/>
              </w:rPr>
            </w:pPr>
          </w:p>
        </w:tc>
        <w:tc>
          <w:tcPr>
            <w:tcW w:w="4485" w:type="dxa"/>
          </w:tcPr>
          <w:p w14:paraId="37DD27CB" w14:textId="77777777" w:rsidR="005C3055" w:rsidRDefault="005C3055">
            <w:pPr>
              <w:pBdr>
                <w:top w:val="nil"/>
                <w:left w:val="nil"/>
                <w:bottom w:val="nil"/>
                <w:right w:val="nil"/>
                <w:between w:val="nil"/>
              </w:pBdr>
              <w:jc w:val="both"/>
              <w:rPr>
                <w:rFonts w:ascii="Times New Roman" w:eastAsia="Times New Roman" w:hAnsi="Times New Roman" w:cs="Times New Roman"/>
              </w:rPr>
            </w:pPr>
          </w:p>
        </w:tc>
        <w:tc>
          <w:tcPr>
            <w:tcW w:w="5505" w:type="dxa"/>
          </w:tcPr>
          <w:p w14:paraId="3A4C6546" w14:textId="77777777" w:rsidR="005C3055" w:rsidRDefault="005C3055">
            <w:pPr>
              <w:pBdr>
                <w:top w:val="nil"/>
                <w:left w:val="nil"/>
                <w:bottom w:val="nil"/>
                <w:right w:val="nil"/>
                <w:between w:val="nil"/>
              </w:pBdr>
              <w:jc w:val="both"/>
              <w:rPr>
                <w:rFonts w:ascii="Times New Roman" w:eastAsia="Times New Roman" w:hAnsi="Times New Roman" w:cs="Times New Roman"/>
                <w:b/>
                <w:bCs/>
              </w:rPr>
            </w:pPr>
          </w:p>
        </w:tc>
      </w:tr>
      <w:tr w:rsidR="005C3055" w14:paraId="75F78A0E" w14:textId="77777777">
        <w:tc>
          <w:tcPr>
            <w:tcW w:w="480" w:type="dxa"/>
          </w:tcPr>
          <w:p w14:paraId="47010486" w14:textId="0210119E" w:rsidR="005C3055" w:rsidRDefault="005C3055">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1530" w:type="dxa"/>
          </w:tcPr>
          <w:p w14:paraId="0D176EA9" w14:textId="419736A4" w:rsidR="005C3055" w:rsidRPr="005C3055" w:rsidRDefault="005C3055" w:rsidP="005C3055">
            <w:pPr>
              <w:jc w:val="center"/>
              <w:rPr>
                <w:rFonts w:ascii="Times New Roman" w:eastAsia="Times New Roman" w:hAnsi="Times New Roman" w:cs="Times New Roman"/>
                <w:b/>
                <w:bCs/>
                <w:sz w:val="16"/>
                <w:szCs w:val="16"/>
              </w:rPr>
            </w:pPr>
            <w:r w:rsidRPr="005C3055">
              <w:rPr>
                <w:rFonts w:ascii="Times New Roman" w:eastAsia="Times New Roman" w:hAnsi="Times New Roman" w:cs="Times New Roman"/>
                <w:b/>
                <w:bCs/>
                <w:sz w:val="16"/>
                <w:szCs w:val="16"/>
              </w:rPr>
              <w:t>CENTRUL NAȚIONAL ANTICORUPȚIE</w:t>
            </w:r>
          </w:p>
        </w:tc>
        <w:tc>
          <w:tcPr>
            <w:tcW w:w="1800" w:type="dxa"/>
          </w:tcPr>
          <w:p w14:paraId="56FD0509" w14:textId="77777777" w:rsidR="005C3055" w:rsidRDefault="005C3055">
            <w:pPr>
              <w:pBdr>
                <w:top w:val="nil"/>
                <w:left w:val="nil"/>
                <w:bottom w:val="nil"/>
                <w:right w:val="nil"/>
                <w:between w:val="nil"/>
              </w:pBdr>
              <w:jc w:val="center"/>
              <w:rPr>
                <w:rFonts w:ascii="Times New Roman" w:eastAsia="Times New Roman" w:hAnsi="Times New Roman" w:cs="Times New Roman"/>
                <w:b/>
                <w:bCs/>
              </w:rPr>
            </w:pPr>
          </w:p>
        </w:tc>
        <w:tc>
          <w:tcPr>
            <w:tcW w:w="4485" w:type="dxa"/>
          </w:tcPr>
          <w:p w14:paraId="43B71A96" w14:textId="77777777" w:rsidR="005C3055" w:rsidRDefault="005C3055">
            <w:pPr>
              <w:pBdr>
                <w:top w:val="nil"/>
                <w:left w:val="nil"/>
                <w:bottom w:val="nil"/>
                <w:right w:val="nil"/>
                <w:between w:val="nil"/>
              </w:pBdr>
              <w:jc w:val="both"/>
              <w:rPr>
                <w:rFonts w:ascii="Times New Roman" w:eastAsia="Times New Roman" w:hAnsi="Times New Roman" w:cs="Times New Roman"/>
              </w:rPr>
            </w:pPr>
          </w:p>
        </w:tc>
        <w:tc>
          <w:tcPr>
            <w:tcW w:w="5505" w:type="dxa"/>
          </w:tcPr>
          <w:p w14:paraId="6283D10B" w14:textId="77777777" w:rsidR="005C3055" w:rsidRDefault="005C3055">
            <w:pPr>
              <w:pBdr>
                <w:top w:val="nil"/>
                <w:left w:val="nil"/>
                <w:bottom w:val="nil"/>
                <w:right w:val="nil"/>
                <w:between w:val="nil"/>
              </w:pBdr>
              <w:jc w:val="both"/>
              <w:rPr>
                <w:rFonts w:ascii="Times New Roman" w:eastAsia="Times New Roman" w:hAnsi="Times New Roman" w:cs="Times New Roman"/>
                <w:b/>
                <w:bCs/>
              </w:rPr>
            </w:pPr>
          </w:p>
        </w:tc>
      </w:tr>
      <w:tr w:rsidR="005C3055" w14:paraId="2D22D53A" w14:textId="77777777">
        <w:tc>
          <w:tcPr>
            <w:tcW w:w="480" w:type="dxa"/>
          </w:tcPr>
          <w:p w14:paraId="4FEE8188" w14:textId="0681F2DD" w:rsidR="005C3055" w:rsidRDefault="005C3055">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1530" w:type="dxa"/>
          </w:tcPr>
          <w:p w14:paraId="0BEC133B" w14:textId="254FAACD" w:rsidR="005C3055" w:rsidRPr="005C3055" w:rsidRDefault="005C3055" w:rsidP="005C3055">
            <w:pPr>
              <w:jc w:val="center"/>
              <w:rPr>
                <w:rFonts w:ascii="Times New Roman" w:eastAsia="Times New Roman" w:hAnsi="Times New Roman" w:cs="Times New Roman"/>
                <w:b/>
                <w:bCs/>
              </w:rPr>
            </w:pPr>
            <w:r w:rsidRPr="005C3055">
              <w:rPr>
                <w:rFonts w:ascii="Times New Roman" w:eastAsia="Times New Roman" w:hAnsi="Times New Roman" w:cs="Times New Roman"/>
                <w:b/>
                <w:bCs/>
              </w:rPr>
              <w:t>Ministerul Muncii și Protecției Sociale</w:t>
            </w:r>
          </w:p>
        </w:tc>
        <w:tc>
          <w:tcPr>
            <w:tcW w:w="1800" w:type="dxa"/>
          </w:tcPr>
          <w:p w14:paraId="7AAA6338" w14:textId="77777777" w:rsidR="005C3055" w:rsidRDefault="005C3055">
            <w:pPr>
              <w:pBdr>
                <w:top w:val="nil"/>
                <w:left w:val="nil"/>
                <w:bottom w:val="nil"/>
                <w:right w:val="nil"/>
                <w:between w:val="nil"/>
              </w:pBdr>
              <w:jc w:val="center"/>
              <w:rPr>
                <w:rFonts w:ascii="Times New Roman" w:eastAsia="Times New Roman" w:hAnsi="Times New Roman" w:cs="Times New Roman"/>
                <w:b/>
                <w:bCs/>
              </w:rPr>
            </w:pPr>
          </w:p>
        </w:tc>
        <w:tc>
          <w:tcPr>
            <w:tcW w:w="4485" w:type="dxa"/>
          </w:tcPr>
          <w:p w14:paraId="75AD62A9" w14:textId="5C0FA312" w:rsidR="005C3055" w:rsidRDefault="005C3055">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C</w:t>
            </w:r>
            <w:r w:rsidRPr="005C3055">
              <w:rPr>
                <w:rFonts w:ascii="Times New Roman" w:eastAsia="Times New Roman" w:hAnsi="Times New Roman" w:cs="Times New Roman"/>
              </w:rPr>
              <w:t>omunica lipsa de propuneri sau obiecții adiționale</w:t>
            </w:r>
          </w:p>
        </w:tc>
        <w:tc>
          <w:tcPr>
            <w:tcW w:w="5505" w:type="dxa"/>
          </w:tcPr>
          <w:p w14:paraId="17AEEF66" w14:textId="77777777" w:rsidR="005C3055" w:rsidRDefault="005C3055">
            <w:pPr>
              <w:pBdr>
                <w:top w:val="nil"/>
                <w:left w:val="nil"/>
                <w:bottom w:val="nil"/>
                <w:right w:val="nil"/>
                <w:between w:val="nil"/>
              </w:pBdr>
              <w:jc w:val="both"/>
              <w:rPr>
                <w:rFonts w:ascii="Times New Roman" w:eastAsia="Times New Roman" w:hAnsi="Times New Roman" w:cs="Times New Roman"/>
                <w:b/>
                <w:bCs/>
              </w:rPr>
            </w:pPr>
          </w:p>
        </w:tc>
      </w:tr>
      <w:tr w:rsidR="005C3055" w14:paraId="7C488E1E" w14:textId="77777777">
        <w:tc>
          <w:tcPr>
            <w:tcW w:w="480" w:type="dxa"/>
          </w:tcPr>
          <w:p w14:paraId="18A8D845" w14:textId="424EA9A1" w:rsidR="005C3055" w:rsidRDefault="005C3055">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1530" w:type="dxa"/>
          </w:tcPr>
          <w:p w14:paraId="207D81B8" w14:textId="04A911E6" w:rsidR="005C3055" w:rsidRPr="005C3055" w:rsidRDefault="005C3055" w:rsidP="005C3055">
            <w:pPr>
              <w:jc w:val="center"/>
              <w:rPr>
                <w:rFonts w:ascii="Times New Roman" w:eastAsia="Times New Roman" w:hAnsi="Times New Roman" w:cs="Times New Roman"/>
                <w:b/>
                <w:bCs/>
                <w:sz w:val="20"/>
                <w:szCs w:val="20"/>
              </w:rPr>
            </w:pPr>
            <w:r w:rsidRPr="005C3055">
              <w:rPr>
                <w:rFonts w:ascii="Times New Roman" w:eastAsia="Times New Roman" w:hAnsi="Times New Roman" w:cs="Times New Roman"/>
                <w:b/>
                <w:bCs/>
                <w:sz w:val="20"/>
                <w:szCs w:val="20"/>
              </w:rPr>
              <w:t>Ministerul Infrastructurii și Dezvoltării Regionale</w:t>
            </w:r>
          </w:p>
        </w:tc>
        <w:tc>
          <w:tcPr>
            <w:tcW w:w="1800" w:type="dxa"/>
          </w:tcPr>
          <w:p w14:paraId="09E64198" w14:textId="77777777" w:rsidR="005C3055" w:rsidRDefault="005C3055">
            <w:pPr>
              <w:pBdr>
                <w:top w:val="nil"/>
                <w:left w:val="nil"/>
                <w:bottom w:val="nil"/>
                <w:right w:val="nil"/>
                <w:between w:val="nil"/>
              </w:pBdr>
              <w:jc w:val="center"/>
              <w:rPr>
                <w:rFonts w:ascii="Times New Roman" w:eastAsia="Times New Roman" w:hAnsi="Times New Roman" w:cs="Times New Roman"/>
                <w:b/>
                <w:bCs/>
              </w:rPr>
            </w:pPr>
          </w:p>
        </w:tc>
        <w:tc>
          <w:tcPr>
            <w:tcW w:w="4485" w:type="dxa"/>
          </w:tcPr>
          <w:p w14:paraId="616F1E36" w14:textId="7B92C5A3" w:rsidR="005C3055" w:rsidRDefault="005C3055">
            <w:pPr>
              <w:pBdr>
                <w:top w:val="nil"/>
                <w:left w:val="nil"/>
                <w:bottom w:val="nil"/>
                <w:right w:val="nil"/>
                <w:between w:val="nil"/>
              </w:pBdr>
              <w:jc w:val="both"/>
              <w:rPr>
                <w:rFonts w:ascii="Times New Roman" w:eastAsia="Times New Roman" w:hAnsi="Times New Roman" w:cs="Times New Roman"/>
              </w:rPr>
            </w:pPr>
            <w:r w:rsidRPr="005C3055">
              <w:rPr>
                <w:rFonts w:ascii="Times New Roman" w:eastAsia="Times New Roman" w:hAnsi="Times New Roman" w:cs="Times New Roman"/>
              </w:rPr>
              <w:t xml:space="preserve">Ca urmare a examinării textului definitivat al proiectului de lege pentru modificarea unor acte normative (anumite aspecte ale dreptului societăților comerciale), număr unic 478/MDED/2026, precum și a faptul că la prima avizare (avizul nr.21-3078 din </w:t>
            </w:r>
            <w:r w:rsidRPr="005C3055">
              <w:rPr>
                <w:rFonts w:ascii="Times New Roman" w:eastAsia="Times New Roman" w:hAnsi="Times New Roman" w:cs="Times New Roman"/>
              </w:rPr>
              <w:lastRenderedPageBreak/>
              <w:t xml:space="preserve">04.06.2026) s-a comunicat lipsa de obiecții de propuneri conceptuale, fiind propusă doar unificarea reglementărilor prezentului proiect de lege cu proiectul de lege pentru modificarea unor acte normative (privind administrarea proprietății publice), cu numărul unic 240/MDED/2026 (propunere neacceptată însă de autor), în limitele competențelor funcționale, </w:t>
            </w:r>
            <w:r w:rsidRPr="005C3055">
              <w:rPr>
                <w:rFonts w:ascii="Times New Roman" w:eastAsia="Times New Roman" w:hAnsi="Times New Roman" w:cs="Times New Roman"/>
                <w:b/>
                <w:bCs/>
                <w:i/>
                <w:iCs/>
              </w:rPr>
              <w:t>comunicăm lipsa obiecțiilor.</w:t>
            </w:r>
          </w:p>
        </w:tc>
        <w:tc>
          <w:tcPr>
            <w:tcW w:w="5505" w:type="dxa"/>
          </w:tcPr>
          <w:p w14:paraId="7EE6EE15" w14:textId="77777777" w:rsidR="005C3055" w:rsidRDefault="005C3055">
            <w:pPr>
              <w:pBdr>
                <w:top w:val="nil"/>
                <w:left w:val="nil"/>
                <w:bottom w:val="nil"/>
                <w:right w:val="nil"/>
                <w:between w:val="nil"/>
              </w:pBdr>
              <w:jc w:val="both"/>
              <w:rPr>
                <w:rFonts w:ascii="Times New Roman" w:eastAsia="Times New Roman" w:hAnsi="Times New Roman" w:cs="Times New Roman"/>
                <w:b/>
                <w:bCs/>
              </w:rPr>
            </w:pPr>
          </w:p>
        </w:tc>
      </w:tr>
      <w:tr w:rsidR="005C3055" w14:paraId="03A06ABF" w14:textId="77777777">
        <w:tc>
          <w:tcPr>
            <w:tcW w:w="480" w:type="dxa"/>
          </w:tcPr>
          <w:p w14:paraId="09FBCB27" w14:textId="5ECE58CF" w:rsidR="005C3055" w:rsidRDefault="005C3055">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1530" w:type="dxa"/>
          </w:tcPr>
          <w:p w14:paraId="1BAD56DC" w14:textId="710835AC" w:rsidR="005C3055" w:rsidRPr="005C3055" w:rsidRDefault="005C3055" w:rsidP="005C3055">
            <w:pPr>
              <w:jc w:val="center"/>
              <w:rPr>
                <w:rFonts w:ascii="Times New Roman" w:eastAsia="Times New Roman" w:hAnsi="Times New Roman" w:cs="Times New Roman"/>
                <w:b/>
                <w:bCs/>
              </w:rPr>
            </w:pPr>
            <w:r w:rsidRPr="005C3055">
              <w:rPr>
                <w:rFonts w:ascii="Times New Roman" w:eastAsia="Times New Roman" w:hAnsi="Times New Roman" w:cs="Times New Roman"/>
                <w:b/>
                <w:bCs/>
              </w:rPr>
              <w:t>Centrul de Armonizare a Legislației (CS)</w:t>
            </w:r>
          </w:p>
        </w:tc>
        <w:tc>
          <w:tcPr>
            <w:tcW w:w="1800" w:type="dxa"/>
          </w:tcPr>
          <w:p w14:paraId="63EA0408" w14:textId="77777777" w:rsidR="005C3055" w:rsidRDefault="005C3055">
            <w:pPr>
              <w:pBdr>
                <w:top w:val="nil"/>
                <w:left w:val="nil"/>
                <w:bottom w:val="nil"/>
                <w:right w:val="nil"/>
                <w:between w:val="nil"/>
              </w:pBdr>
              <w:jc w:val="center"/>
              <w:rPr>
                <w:rFonts w:ascii="Times New Roman" w:eastAsia="Times New Roman" w:hAnsi="Times New Roman" w:cs="Times New Roman"/>
                <w:b/>
                <w:bCs/>
              </w:rPr>
            </w:pPr>
          </w:p>
        </w:tc>
        <w:tc>
          <w:tcPr>
            <w:tcW w:w="4485" w:type="dxa"/>
          </w:tcPr>
          <w:p w14:paraId="23A9A1C1" w14:textId="73E7A571" w:rsidR="005C3055" w:rsidRDefault="005C3055">
            <w:pPr>
              <w:pBdr>
                <w:top w:val="nil"/>
                <w:left w:val="nil"/>
                <w:bottom w:val="nil"/>
                <w:right w:val="nil"/>
                <w:between w:val="nil"/>
              </w:pBdr>
              <w:jc w:val="both"/>
              <w:rPr>
                <w:rFonts w:ascii="Times New Roman" w:eastAsia="Times New Roman" w:hAnsi="Times New Roman" w:cs="Times New Roman"/>
              </w:rPr>
            </w:pPr>
            <w:r w:rsidRPr="005C3055">
              <w:rPr>
                <w:rFonts w:ascii="Times New Roman" w:eastAsia="Times New Roman" w:hAnsi="Times New Roman" w:cs="Times New Roman"/>
              </w:rPr>
              <w:t xml:space="preserve">Se validează condiționat, în vederea înlăturării omisiunilor din proiectul de lege propus: Se vor exclude trimiterile directe la directiva (UE) 2017/1132, ori după caz se va înlocui cu trimiterile la actul național de transpunere, în speță: Art. IV ( modificarea Legii nr. 220/2007 privind înregistrarea de stat a persoanelor juridice și a întreprinzătorilor individuali) la pct. 3 ce vizează modificarea art. 3 și pct. 36 referitor la completarea u capitolul VIII1 art. 382 (2), art. 383 (1). Referitor la clauzele de armonizare atât a proiectului de lege cât și a Legii nr. 1134/1997 privind societățile pe acțiuni, a Codului civil al Republicii Moldova nr. 1107/2002, Legii nr. 135/2007 privind societățile cu răspundere limitată, Legii nr. 220/2007 privind înregistrarea de stat a persoanelor juridice și a întreprinzătorilor individuali, Legii insolvabilității nr. 149/2012, se propune următoarea redacție: “Prezenta lege transpune parțial Directiva (UE) 2017/1132 a Parlamentului European și a Consiliului din 14 iunie 2017 privind anumite aspecte </w:t>
            </w:r>
            <w:r w:rsidRPr="005C3055">
              <w:rPr>
                <w:rFonts w:ascii="Times New Roman" w:eastAsia="Times New Roman" w:hAnsi="Times New Roman" w:cs="Times New Roman"/>
              </w:rPr>
              <w:lastRenderedPageBreak/>
              <w:t>ale dreptului societăților comerciale, publicată în Jurnalul Oficial al Uniunii Europene L 169/46 din 30 iunie 2017, CELEX 32017L1132, astfel cum a fost modificată ultima dată prin Regulamentul (UE) 2021/23 al Parlamentului European și al Consiliului din 16 decembrie 2020 ”.</w:t>
            </w:r>
          </w:p>
        </w:tc>
        <w:tc>
          <w:tcPr>
            <w:tcW w:w="5505" w:type="dxa"/>
          </w:tcPr>
          <w:p w14:paraId="3DAF280E" w14:textId="77777777" w:rsidR="005C3055" w:rsidRDefault="005C3055">
            <w:pPr>
              <w:pBdr>
                <w:top w:val="nil"/>
                <w:left w:val="nil"/>
                <w:bottom w:val="nil"/>
                <w:right w:val="nil"/>
                <w:between w:val="nil"/>
              </w:pBdr>
              <w:jc w:val="both"/>
              <w:rPr>
                <w:rFonts w:ascii="Times New Roman" w:eastAsia="Times New Roman" w:hAnsi="Times New Roman" w:cs="Times New Roman"/>
                <w:b/>
                <w:bCs/>
              </w:rPr>
            </w:pPr>
          </w:p>
        </w:tc>
      </w:tr>
      <w:tr w:rsidR="005C3055" w14:paraId="39A61EA3" w14:textId="77777777">
        <w:tc>
          <w:tcPr>
            <w:tcW w:w="480" w:type="dxa"/>
          </w:tcPr>
          <w:p w14:paraId="4B5B2D9F" w14:textId="40224C8A" w:rsidR="005C3055" w:rsidRDefault="00337628">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1530" w:type="dxa"/>
          </w:tcPr>
          <w:p w14:paraId="03F1FF30" w14:textId="5D73A472" w:rsidR="005C3055" w:rsidRPr="00337628" w:rsidRDefault="00337628">
            <w:pPr>
              <w:jc w:val="both"/>
              <w:rPr>
                <w:rFonts w:ascii="Times New Roman" w:eastAsia="Times New Roman" w:hAnsi="Times New Roman" w:cs="Times New Roman"/>
                <w:b/>
                <w:bCs/>
              </w:rPr>
            </w:pPr>
            <w:r w:rsidRPr="00337628">
              <w:rPr>
                <w:rFonts w:ascii="Times New Roman" w:eastAsia="Times New Roman" w:hAnsi="Times New Roman" w:cs="Times New Roman"/>
                <w:b/>
                <w:bCs/>
              </w:rPr>
              <w:t>Ministerul Energiei</w:t>
            </w:r>
          </w:p>
        </w:tc>
        <w:tc>
          <w:tcPr>
            <w:tcW w:w="1800" w:type="dxa"/>
          </w:tcPr>
          <w:p w14:paraId="75D7806B" w14:textId="77777777" w:rsidR="005C3055" w:rsidRDefault="005C3055">
            <w:pPr>
              <w:pBdr>
                <w:top w:val="nil"/>
                <w:left w:val="nil"/>
                <w:bottom w:val="nil"/>
                <w:right w:val="nil"/>
                <w:between w:val="nil"/>
              </w:pBdr>
              <w:jc w:val="center"/>
              <w:rPr>
                <w:rFonts w:ascii="Times New Roman" w:eastAsia="Times New Roman" w:hAnsi="Times New Roman" w:cs="Times New Roman"/>
                <w:b/>
                <w:bCs/>
              </w:rPr>
            </w:pPr>
          </w:p>
        </w:tc>
        <w:tc>
          <w:tcPr>
            <w:tcW w:w="4485" w:type="dxa"/>
          </w:tcPr>
          <w:p w14:paraId="39C8A418" w14:textId="77777777"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Potrivit prevederilor art. 39 alin. (1) din Legea nr. 100/2017 cu privire la actele</w:t>
            </w:r>
          </w:p>
          <w:p w14:paraId="614BF5C6" w14:textId="77777777"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normative, autorul proiectului actului normativ studiază obiecțiile, propunerile și</w:t>
            </w:r>
          </w:p>
          <w:p w14:paraId="3A208A97" w14:textId="77777777"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recomandările prezentate în cadrul avizării și consultării publice, constatările și</w:t>
            </w:r>
          </w:p>
          <w:p w14:paraId="0D719EA5" w14:textId="77777777"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concluziile rapoartelor de expertiză și decide cu privire la acceptarea totală sau parțială</w:t>
            </w:r>
          </w:p>
          <w:p w14:paraId="5ADFE6F9" w14:textId="77777777"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ori cu privire la respingerea acestora, cu motivarea, în sinteză, a deciziei.</w:t>
            </w:r>
          </w:p>
          <w:p w14:paraId="5AACBFCA" w14:textId="77777777"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Deși, potrivit notei de fundamentare ,,Proiectul de lege face parte din categoria</w:t>
            </w:r>
          </w:p>
          <w:p w14:paraId="3046805A" w14:textId="77777777"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actelor normative elaborate și aprobate în scopul armonizării legislației naționale cu</w:t>
            </w:r>
          </w:p>
          <w:p w14:paraId="0BD179A6" w14:textId="2EE8C82B"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legislația Uniunii Europene.” evidențiem că, prevederile Directivei urmează să fie</w:t>
            </w:r>
            <w:r>
              <w:rPr>
                <w:rFonts w:ascii="Times New Roman" w:eastAsia="Times New Roman" w:hAnsi="Times New Roman" w:cs="Times New Roman"/>
              </w:rPr>
              <w:t xml:space="preserve"> </w:t>
            </w:r>
            <w:r w:rsidRPr="00337628">
              <w:rPr>
                <w:rFonts w:ascii="Times New Roman" w:eastAsia="Times New Roman" w:hAnsi="Times New Roman" w:cs="Times New Roman"/>
              </w:rPr>
              <w:t>transpuse într-o manieră care să asigure integrarea lor coerentă și armonioasă în cadrul</w:t>
            </w:r>
            <w:r>
              <w:rPr>
                <w:rFonts w:ascii="Times New Roman" w:eastAsia="Times New Roman" w:hAnsi="Times New Roman" w:cs="Times New Roman"/>
              </w:rPr>
              <w:t xml:space="preserve"> </w:t>
            </w:r>
            <w:r w:rsidRPr="00337628">
              <w:rPr>
                <w:rFonts w:ascii="Times New Roman" w:eastAsia="Times New Roman" w:hAnsi="Times New Roman" w:cs="Times New Roman"/>
              </w:rPr>
              <w:t>normativ național.</w:t>
            </w:r>
          </w:p>
          <w:p w14:paraId="14E61AE7" w14:textId="40FE287D"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În acest context, având în vedere scopul procedurii de avizare, precum și</w:t>
            </w:r>
            <w:r>
              <w:rPr>
                <w:rFonts w:ascii="Times New Roman" w:eastAsia="Times New Roman" w:hAnsi="Times New Roman" w:cs="Times New Roman"/>
              </w:rPr>
              <w:t xml:space="preserve"> </w:t>
            </w:r>
            <w:r w:rsidRPr="00337628">
              <w:rPr>
                <w:rFonts w:ascii="Times New Roman" w:eastAsia="Times New Roman" w:hAnsi="Times New Roman" w:cs="Times New Roman"/>
              </w:rPr>
              <w:t>imperativul adaptării și integrării corespunzătoare a prevederilor Directivei în</w:t>
            </w:r>
            <w:r>
              <w:rPr>
                <w:rFonts w:ascii="Times New Roman" w:eastAsia="Times New Roman" w:hAnsi="Times New Roman" w:cs="Times New Roman"/>
              </w:rPr>
              <w:t xml:space="preserve"> </w:t>
            </w:r>
            <w:r w:rsidRPr="00337628">
              <w:rPr>
                <w:rFonts w:ascii="Times New Roman" w:eastAsia="Times New Roman" w:hAnsi="Times New Roman" w:cs="Times New Roman"/>
              </w:rPr>
              <w:t>legislația națională, se consideră că, argumentele prezentate de autor în tabelul de</w:t>
            </w:r>
            <w:r>
              <w:rPr>
                <w:rFonts w:ascii="Times New Roman" w:eastAsia="Times New Roman" w:hAnsi="Times New Roman" w:cs="Times New Roman"/>
              </w:rPr>
              <w:t xml:space="preserve"> </w:t>
            </w:r>
            <w:r w:rsidRPr="00337628">
              <w:rPr>
                <w:rFonts w:ascii="Times New Roman" w:eastAsia="Times New Roman" w:hAnsi="Times New Roman" w:cs="Times New Roman"/>
              </w:rPr>
              <w:t>sinteză necesită fundamentate prin raportare la pertinența și temeinicia obiecțiilor</w:t>
            </w:r>
            <w:r>
              <w:rPr>
                <w:rFonts w:ascii="Times New Roman" w:eastAsia="Times New Roman" w:hAnsi="Times New Roman" w:cs="Times New Roman"/>
              </w:rPr>
              <w:t xml:space="preserve"> </w:t>
            </w:r>
            <w:r w:rsidRPr="00337628">
              <w:rPr>
                <w:rFonts w:ascii="Times New Roman" w:eastAsia="Times New Roman" w:hAnsi="Times New Roman" w:cs="Times New Roman"/>
              </w:rPr>
              <w:t xml:space="preserve">formulate de participanții la procesul de avizare și nu </w:t>
            </w:r>
            <w:r w:rsidRPr="00337628">
              <w:rPr>
                <w:rFonts w:ascii="Times New Roman" w:eastAsia="Times New Roman" w:hAnsi="Times New Roman" w:cs="Times New Roman"/>
              </w:rPr>
              <w:lastRenderedPageBreak/>
              <w:t>exclusiv prin trimitere expresă</w:t>
            </w:r>
            <w:r>
              <w:rPr>
                <w:rFonts w:ascii="Times New Roman" w:eastAsia="Times New Roman" w:hAnsi="Times New Roman" w:cs="Times New Roman"/>
              </w:rPr>
              <w:t xml:space="preserve"> </w:t>
            </w:r>
            <w:r w:rsidRPr="00337628">
              <w:rPr>
                <w:rFonts w:ascii="Times New Roman" w:eastAsia="Times New Roman" w:hAnsi="Times New Roman" w:cs="Times New Roman"/>
              </w:rPr>
              <w:t>la textul Directivei.</w:t>
            </w:r>
          </w:p>
          <w:p w14:paraId="33DDE375" w14:textId="57A0B698" w:rsidR="00337628" w:rsidRPr="00337628"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Ținând cont de aspectele expuse supra, Ministerul Energiei comunică că,</w:t>
            </w:r>
            <w:r>
              <w:rPr>
                <w:rFonts w:ascii="Times New Roman" w:eastAsia="Times New Roman" w:hAnsi="Times New Roman" w:cs="Times New Roman"/>
              </w:rPr>
              <w:t xml:space="preserve"> </w:t>
            </w:r>
            <w:r w:rsidRPr="00337628">
              <w:rPr>
                <w:rFonts w:ascii="Times New Roman" w:eastAsia="Times New Roman" w:hAnsi="Times New Roman" w:cs="Times New Roman"/>
              </w:rPr>
              <w:t>proiectul de lege pentru modificarea unor acte normative (anumite aspecte ale</w:t>
            </w:r>
          </w:p>
          <w:p w14:paraId="67667A9C" w14:textId="626BDC57" w:rsidR="005C3055" w:rsidRDefault="00337628" w:rsidP="00337628">
            <w:pPr>
              <w:pBdr>
                <w:top w:val="nil"/>
                <w:left w:val="nil"/>
                <w:bottom w:val="nil"/>
                <w:right w:val="nil"/>
                <w:between w:val="nil"/>
              </w:pBdr>
              <w:jc w:val="both"/>
              <w:rPr>
                <w:rFonts w:ascii="Times New Roman" w:eastAsia="Times New Roman" w:hAnsi="Times New Roman" w:cs="Times New Roman"/>
              </w:rPr>
            </w:pPr>
            <w:r w:rsidRPr="00337628">
              <w:rPr>
                <w:rFonts w:ascii="Times New Roman" w:eastAsia="Times New Roman" w:hAnsi="Times New Roman" w:cs="Times New Roman"/>
              </w:rPr>
              <w:t xml:space="preserve">dreptului societăților comerciale) </w:t>
            </w:r>
            <w:r w:rsidRPr="00337628">
              <w:rPr>
                <w:rFonts w:ascii="Times New Roman" w:eastAsia="Times New Roman" w:hAnsi="Times New Roman" w:cs="Times New Roman"/>
                <w:b/>
                <w:bCs/>
                <w:i/>
                <w:iCs/>
              </w:rPr>
              <w:t>poate fi promovat.</w:t>
            </w:r>
          </w:p>
        </w:tc>
        <w:tc>
          <w:tcPr>
            <w:tcW w:w="5505" w:type="dxa"/>
          </w:tcPr>
          <w:p w14:paraId="617AA8AF" w14:textId="77777777" w:rsidR="005C3055" w:rsidRDefault="005C3055">
            <w:pPr>
              <w:pBdr>
                <w:top w:val="nil"/>
                <w:left w:val="nil"/>
                <w:bottom w:val="nil"/>
                <w:right w:val="nil"/>
                <w:between w:val="nil"/>
              </w:pBdr>
              <w:jc w:val="both"/>
              <w:rPr>
                <w:rFonts w:ascii="Times New Roman" w:eastAsia="Times New Roman" w:hAnsi="Times New Roman" w:cs="Times New Roman"/>
                <w:b/>
                <w:bCs/>
              </w:rPr>
            </w:pPr>
          </w:p>
        </w:tc>
      </w:tr>
      <w:tr w:rsidR="00B24464" w14:paraId="2BBA7051" w14:textId="77777777" w:rsidTr="00F876B0">
        <w:tc>
          <w:tcPr>
            <w:tcW w:w="480" w:type="dxa"/>
          </w:tcPr>
          <w:p w14:paraId="25E01C3E" w14:textId="51DC2603" w:rsidR="00B24464" w:rsidRDefault="00B24464">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1530" w:type="dxa"/>
          </w:tcPr>
          <w:p w14:paraId="21A82ECC" w14:textId="087EBA9E" w:rsidR="00B24464" w:rsidRPr="00B24464" w:rsidRDefault="00B24464">
            <w:pPr>
              <w:jc w:val="both"/>
              <w:rPr>
                <w:rFonts w:ascii="Times New Roman" w:eastAsia="Times New Roman" w:hAnsi="Times New Roman" w:cs="Times New Roman"/>
                <w:b/>
                <w:bCs/>
              </w:rPr>
            </w:pPr>
            <w:r w:rsidRPr="00B24464">
              <w:rPr>
                <w:rFonts w:ascii="Times New Roman" w:eastAsia="Times New Roman" w:hAnsi="Times New Roman" w:cs="Times New Roman"/>
                <w:b/>
                <w:bCs/>
              </w:rPr>
              <w:t>Agenția Servicii Publice</w:t>
            </w:r>
          </w:p>
        </w:tc>
        <w:tc>
          <w:tcPr>
            <w:tcW w:w="11790" w:type="dxa"/>
            <w:gridSpan w:val="3"/>
          </w:tcPr>
          <w:p w14:paraId="505A1A94" w14:textId="00838E19" w:rsidR="00B24464" w:rsidRDefault="00B24464">
            <w:pPr>
              <w:pBdr>
                <w:top w:val="nil"/>
                <w:left w:val="nil"/>
                <w:bottom w:val="nil"/>
                <w:right w:val="nil"/>
                <w:between w:val="nil"/>
              </w:pBdr>
              <w:jc w:val="both"/>
              <w:rPr>
                <w:rFonts w:ascii="Times New Roman" w:eastAsia="Times New Roman" w:hAnsi="Times New Roman" w:cs="Times New Roman"/>
                <w:b/>
                <w:bCs/>
              </w:rPr>
            </w:pPr>
            <w:r w:rsidRPr="00B24464">
              <w:rPr>
                <w:rFonts w:ascii="Times New Roman" w:eastAsia="Times New Roman" w:hAnsi="Times New Roman" w:cs="Times New Roman"/>
                <w:b/>
                <w:bCs/>
              </w:rPr>
              <w:t>La Art. I. – Legea nr. 1134/1997 privind societățile pe acțiuni</w:t>
            </w:r>
          </w:p>
        </w:tc>
      </w:tr>
      <w:tr w:rsidR="00B24464" w14:paraId="56C1B280" w14:textId="77777777">
        <w:tc>
          <w:tcPr>
            <w:tcW w:w="480" w:type="dxa"/>
          </w:tcPr>
          <w:p w14:paraId="7359F065" w14:textId="77777777" w:rsidR="00B24464" w:rsidRDefault="00B24464">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C6835F8" w14:textId="77777777" w:rsidR="00B24464" w:rsidRPr="00B24464" w:rsidRDefault="00B24464">
            <w:pPr>
              <w:jc w:val="both"/>
              <w:rPr>
                <w:rFonts w:ascii="Times New Roman" w:eastAsia="Times New Roman" w:hAnsi="Times New Roman" w:cs="Times New Roman"/>
                <w:b/>
                <w:bCs/>
              </w:rPr>
            </w:pPr>
          </w:p>
        </w:tc>
        <w:tc>
          <w:tcPr>
            <w:tcW w:w="1800" w:type="dxa"/>
          </w:tcPr>
          <w:p w14:paraId="24EB5EDC" w14:textId="54DBCC8B" w:rsidR="00B24464" w:rsidRDefault="007338AE">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4485" w:type="dxa"/>
          </w:tcPr>
          <w:p w14:paraId="74A2E9BF" w14:textId="434339E9" w:rsidR="00B24464"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b/>
                <w:bCs/>
              </w:rPr>
              <w:t>La pct. 15, la articolul 93 alineatul (7)</w:t>
            </w:r>
            <w:r w:rsidRPr="007338AE">
              <w:rPr>
                <w:rFonts w:ascii="Times New Roman" w:eastAsia="Times New Roman" w:hAnsi="Times New Roman" w:cs="Times New Roman"/>
              </w:rPr>
              <w:t>, în primul enunț cuvintele „prin registrul</w:t>
            </w:r>
            <w:r>
              <w:rPr>
                <w:rFonts w:ascii="Times New Roman" w:eastAsia="Times New Roman" w:hAnsi="Times New Roman" w:cs="Times New Roman"/>
              </w:rPr>
              <w:t xml:space="preserve"> </w:t>
            </w:r>
            <w:r w:rsidRPr="007338AE">
              <w:rPr>
                <w:rFonts w:ascii="Times New Roman" w:eastAsia="Times New Roman" w:hAnsi="Times New Roman" w:cs="Times New Roman"/>
              </w:rPr>
              <w:t>de stat al persoanelor juridice” de substituit cu cuvintele „pe pagina web al</w:t>
            </w:r>
            <w:r>
              <w:rPr>
                <w:rFonts w:ascii="Times New Roman" w:eastAsia="Times New Roman" w:hAnsi="Times New Roman" w:cs="Times New Roman"/>
              </w:rPr>
              <w:t xml:space="preserve"> </w:t>
            </w:r>
            <w:r w:rsidRPr="007338AE">
              <w:rPr>
                <w:rFonts w:ascii="Times New Roman" w:eastAsia="Times New Roman" w:hAnsi="Times New Roman" w:cs="Times New Roman"/>
              </w:rPr>
              <w:t>organului înregistrării de stat”, din motivul că proiectul contractului de fuziune</w:t>
            </w:r>
            <w:r>
              <w:rPr>
                <w:rFonts w:ascii="Times New Roman" w:eastAsia="Times New Roman" w:hAnsi="Times New Roman" w:cs="Times New Roman"/>
              </w:rPr>
              <w:t xml:space="preserve"> </w:t>
            </w:r>
            <w:r w:rsidRPr="007338AE">
              <w:rPr>
                <w:rFonts w:ascii="Times New Roman" w:eastAsia="Times New Roman" w:hAnsi="Times New Roman" w:cs="Times New Roman"/>
              </w:rPr>
              <w:t>urmează să fie aprobat la adunarea generală la o dată ulterioară, însă Registrul de</w:t>
            </w:r>
            <w:r>
              <w:rPr>
                <w:rFonts w:ascii="Times New Roman" w:eastAsia="Times New Roman" w:hAnsi="Times New Roman" w:cs="Times New Roman"/>
              </w:rPr>
              <w:t xml:space="preserve"> </w:t>
            </w:r>
            <w:r w:rsidRPr="007338AE">
              <w:rPr>
                <w:rFonts w:ascii="Times New Roman" w:eastAsia="Times New Roman" w:hAnsi="Times New Roman" w:cs="Times New Roman"/>
              </w:rPr>
              <w:t>stat are rolul de a stoca și atesta opozabilitatea unor acte juridice definitive, deja</w:t>
            </w:r>
            <w:r>
              <w:rPr>
                <w:rFonts w:ascii="Times New Roman" w:eastAsia="Times New Roman" w:hAnsi="Times New Roman" w:cs="Times New Roman"/>
              </w:rPr>
              <w:t xml:space="preserve"> </w:t>
            </w:r>
            <w:r w:rsidRPr="007338AE">
              <w:rPr>
                <w:rFonts w:ascii="Times New Roman" w:eastAsia="Times New Roman" w:hAnsi="Times New Roman" w:cs="Times New Roman"/>
              </w:rPr>
              <w:t>aprobate. Proiectul contractului nu produce încă efecte juridice de reorganizare,</w:t>
            </w:r>
            <w:r>
              <w:rPr>
                <w:rFonts w:ascii="Times New Roman" w:eastAsia="Times New Roman" w:hAnsi="Times New Roman" w:cs="Times New Roman"/>
              </w:rPr>
              <w:t xml:space="preserve"> </w:t>
            </w:r>
            <w:r w:rsidRPr="007338AE">
              <w:rPr>
                <w:rFonts w:ascii="Times New Roman" w:eastAsia="Times New Roman" w:hAnsi="Times New Roman" w:cs="Times New Roman"/>
              </w:rPr>
              <w:t>dar necesită o afișare publică pentru informarea terților.</w:t>
            </w:r>
          </w:p>
        </w:tc>
        <w:tc>
          <w:tcPr>
            <w:tcW w:w="5505" w:type="dxa"/>
          </w:tcPr>
          <w:p w14:paraId="28EE3DB3" w14:textId="77777777" w:rsidR="00B24464" w:rsidRDefault="00B24464">
            <w:pPr>
              <w:pBdr>
                <w:top w:val="nil"/>
                <w:left w:val="nil"/>
                <w:bottom w:val="nil"/>
                <w:right w:val="nil"/>
                <w:between w:val="nil"/>
              </w:pBdr>
              <w:jc w:val="both"/>
              <w:rPr>
                <w:rFonts w:ascii="Times New Roman" w:eastAsia="Times New Roman" w:hAnsi="Times New Roman" w:cs="Times New Roman"/>
                <w:b/>
                <w:bCs/>
              </w:rPr>
            </w:pPr>
          </w:p>
        </w:tc>
      </w:tr>
      <w:tr w:rsidR="007338AE" w14:paraId="3ED868B0" w14:textId="77777777" w:rsidTr="004119CF">
        <w:tc>
          <w:tcPr>
            <w:tcW w:w="480" w:type="dxa"/>
          </w:tcPr>
          <w:p w14:paraId="38990206" w14:textId="77777777" w:rsidR="007338AE" w:rsidRDefault="007338AE">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60EF66E9" w14:textId="77777777" w:rsidR="007338AE" w:rsidRPr="00B24464" w:rsidRDefault="007338AE">
            <w:pPr>
              <w:jc w:val="both"/>
              <w:rPr>
                <w:rFonts w:ascii="Times New Roman" w:eastAsia="Times New Roman" w:hAnsi="Times New Roman" w:cs="Times New Roman"/>
                <w:b/>
                <w:bCs/>
              </w:rPr>
            </w:pPr>
          </w:p>
        </w:tc>
        <w:tc>
          <w:tcPr>
            <w:tcW w:w="11790" w:type="dxa"/>
            <w:gridSpan w:val="3"/>
          </w:tcPr>
          <w:p w14:paraId="5749A1FE" w14:textId="41057AF2" w:rsidR="007338AE" w:rsidRDefault="007338AE">
            <w:pPr>
              <w:pBdr>
                <w:top w:val="nil"/>
                <w:left w:val="nil"/>
                <w:bottom w:val="nil"/>
                <w:right w:val="nil"/>
                <w:between w:val="nil"/>
              </w:pBdr>
              <w:jc w:val="both"/>
              <w:rPr>
                <w:rFonts w:ascii="Times New Roman" w:eastAsia="Times New Roman" w:hAnsi="Times New Roman" w:cs="Times New Roman"/>
                <w:b/>
                <w:bCs/>
              </w:rPr>
            </w:pPr>
            <w:r w:rsidRPr="007338AE">
              <w:rPr>
                <w:rFonts w:ascii="Times New Roman" w:eastAsia="Times New Roman" w:hAnsi="Times New Roman" w:cs="Times New Roman"/>
                <w:b/>
                <w:bCs/>
              </w:rPr>
              <w:t>La Art. II. – Codul civil al Republicii Moldova nr. 1107/2002</w:t>
            </w:r>
          </w:p>
        </w:tc>
      </w:tr>
      <w:tr w:rsidR="00B24464" w14:paraId="475DAA21" w14:textId="77777777">
        <w:tc>
          <w:tcPr>
            <w:tcW w:w="480" w:type="dxa"/>
          </w:tcPr>
          <w:p w14:paraId="57C7D736" w14:textId="77777777" w:rsidR="00B24464" w:rsidRDefault="00B24464">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8981560" w14:textId="77777777" w:rsidR="00B24464" w:rsidRPr="00B24464" w:rsidRDefault="00B24464">
            <w:pPr>
              <w:jc w:val="both"/>
              <w:rPr>
                <w:rFonts w:ascii="Times New Roman" w:eastAsia="Times New Roman" w:hAnsi="Times New Roman" w:cs="Times New Roman"/>
                <w:b/>
                <w:bCs/>
              </w:rPr>
            </w:pPr>
          </w:p>
        </w:tc>
        <w:tc>
          <w:tcPr>
            <w:tcW w:w="1800" w:type="dxa"/>
          </w:tcPr>
          <w:p w14:paraId="6D78C6C9" w14:textId="362BC894" w:rsidR="00B24464" w:rsidRDefault="007338AE">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4485" w:type="dxa"/>
          </w:tcPr>
          <w:p w14:paraId="4D6EEEBA" w14:textId="5817B1F0" w:rsidR="00B24464"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Se propune de exclus </w:t>
            </w:r>
            <w:r w:rsidRPr="007338AE">
              <w:rPr>
                <w:rFonts w:ascii="Times New Roman" w:eastAsia="Times New Roman" w:hAnsi="Times New Roman" w:cs="Times New Roman"/>
                <w:b/>
                <w:bCs/>
              </w:rPr>
              <w:t>pct. 12</w:t>
            </w:r>
            <w:r w:rsidRPr="007338AE">
              <w:rPr>
                <w:rFonts w:ascii="Times New Roman" w:eastAsia="Times New Roman" w:hAnsi="Times New Roman" w:cs="Times New Roman"/>
              </w:rPr>
              <w:t xml:space="preserve"> din proiect cu păstrarea redacției actuale a</w:t>
            </w:r>
            <w:r>
              <w:rPr>
                <w:rFonts w:ascii="Times New Roman" w:eastAsia="Times New Roman" w:hAnsi="Times New Roman" w:cs="Times New Roman"/>
              </w:rPr>
              <w:t xml:space="preserve"> </w:t>
            </w:r>
            <w:r w:rsidRPr="007338AE">
              <w:rPr>
                <w:rFonts w:ascii="Times New Roman" w:eastAsia="Times New Roman" w:hAnsi="Times New Roman" w:cs="Times New Roman"/>
              </w:rPr>
              <w:t>normelor. Publicarea avizului despre lichidarea unei persoane juridice nu este o</w:t>
            </w:r>
            <w:r>
              <w:rPr>
                <w:rFonts w:ascii="Times New Roman" w:eastAsia="Times New Roman" w:hAnsi="Times New Roman" w:cs="Times New Roman"/>
              </w:rPr>
              <w:t xml:space="preserve"> </w:t>
            </w:r>
            <w:r w:rsidRPr="007338AE">
              <w:rPr>
                <w:rFonts w:ascii="Times New Roman" w:eastAsia="Times New Roman" w:hAnsi="Times New Roman" w:cs="Times New Roman"/>
              </w:rPr>
              <w:t>formalitate birocratică, ci o cerință esențială pentru protecția terților și asigurarea</w:t>
            </w:r>
            <w:r>
              <w:rPr>
                <w:rFonts w:ascii="Times New Roman" w:eastAsia="Times New Roman" w:hAnsi="Times New Roman" w:cs="Times New Roman"/>
              </w:rPr>
              <w:t xml:space="preserve"> </w:t>
            </w:r>
            <w:r w:rsidRPr="007338AE">
              <w:rPr>
                <w:rFonts w:ascii="Times New Roman" w:eastAsia="Times New Roman" w:hAnsi="Times New Roman" w:cs="Times New Roman"/>
              </w:rPr>
              <w:t>transparenței. Creditorii trebuie să afle că entitatea intră în lichidare pentru a-și</w:t>
            </w:r>
            <w:r>
              <w:rPr>
                <w:rFonts w:ascii="Times New Roman" w:eastAsia="Times New Roman" w:hAnsi="Times New Roman" w:cs="Times New Roman"/>
              </w:rPr>
              <w:t xml:space="preserve"> </w:t>
            </w:r>
            <w:r w:rsidRPr="007338AE">
              <w:rPr>
                <w:rFonts w:ascii="Times New Roman" w:eastAsia="Times New Roman" w:hAnsi="Times New Roman" w:cs="Times New Roman"/>
              </w:rPr>
              <w:t>putea revendica creanțele. Publicarea avizului declanșează, de obicei, termenul</w:t>
            </w:r>
            <w:r>
              <w:rPr>
                <w:rFonts w:ascii="Times New Roman" w:eastAsia="Times New Roman" w:hAnsi="Times New Roman" w:cs="Times New Roman"/>
              </w:rPr>
              <w:t xml:space="preserve"> </w:t>
            </w:r>
            <w:r w:rsidRPr="007338AE">
              <w:rPr>
                <w:rFonts w:ascii="Times New Roman" w:eastAsia="Times New Roman" w:hAnsi="Times New Roman" w:cs="Times New Roman"/>
              </w:rPr>
              <w:t xml:space="preserve">legal în care aceștia pot </w:t>
            </w:r>
            <w:r w:rsidRPr="007338AE">
              <w:rPr>
                <w:rFonts w:ascii="Times New Roman" w:eastAsia="Times New Roman" w:hAnsi="Times New Roman" w:cs="Times New Roman"/>
              </w:rPr>
              <w:lastRenderedPageBreak/>
              <w:t>depune cereri. Nu doar creditorii, ci și partenerii</w:t>
            </w:r>
            <w:r>
              <w:rPr>
                <w:rFonts w:ascii="Times New Roman" w:eastAsia="Times New Roman" w:hAnsi="Times New Roman" w:cs="Times New Roman"/>
              </w:rPr>
              <w:t xml:space="preserve"> </w:t>
            </w:r>
            <w:r w:rsidRPr="007338AE">
              <w:rPr>
                <w:rFonts w:ascii="Times New Roman" w:eastAsia="Times New Roman" w:hAnsi="Times New Roman" w:cs="Times New Roman"/>
              </w:rPr>
              <w:t>contractuali, angajații sau alte persoane interesate trebuie să fie informați, pentru a</w:t>
            </w:r>
            <w:r>
              <w:rPr>
                <w:rFonts w:ascii="Times New Roman" w:eastAsia="Times New Roman" w:hAnsi="Times New Roman" w:cs="Times New Roman"/>
              </w:rPr>
              <w:t xml:space="preserve"> </w:t>
            </w:r>
            <w:r w:rsidRPr="007338AE">
              <w:rPr>
                <w:rFonts w:ascii="Times New Roman" w:eastAsia="Times New Roman" w:hAnsi="Times New Roman" w:cs="Times New Roman"/>
              </w:rPr>
              <w:t>evita prejudicii (de exemplu, încheierea unor contracte cu o entitate care urmează</w:t>
            </w:r>
            <w:r>
              <w:rPr>
                <w:rFonts w:ascii="Times New Roman" w:eastAsia="Times New Roman" w:hAnsi="Times New Roman" w:cs="Times New Roman"/>
              </w:rPr>
              <w:t xml:space="preserve"> </w:t>
            </w:r>
            <w:r w:rsidRPr="007338AE">
              <w:rPr>
                <w:rFonts w:ascii="Times New Roman" w:eastAsia="Times New Roman" w:hAnsi="Times New Roman" w:cs="Times New Roman"/>
              </w:rPr>
              <w:t>să dispară). De asemenea, prin publicitate, se reduce riscul ca lichidarea să fie</w:t>
            </w:r>
            <w:r>
              <w:rPr>
                <w:rFonts w:ascii="Times New Roman" w:eastAsia="Times New Roman" w:hAnsi="Times New Roman" w:cs="Times New Roman"/>
              </w:rPr>
              <w:t xml:space="preserve"> </w:t>
            </w:r>
            <w:r w:rsidRPr="007338AE">
              <w:rPr>
                <w:rFonts w:ascii="Times New Roman" w:eastAsia="Times New Roman" w:hAnsi="Times New Roman" w:cs="Times New Roman"/>
              </w:rPr>
              <w:t>utilizată pentru a evita plata datoriilor sau pentru a prejudicia anumite persoane</w:t>
            </w:r>
          </w:p>
        </w:tc>
        <w:tc>
          <w:tcPr>
            <w:tcW w:w="5505" w:type="dxa"/>
          </w:tcPr>
          <w:p w14:paraId="33C92A04" w14:textId="77777777" w:rsidR="00B24464" w:rsidRDefault="00B24464">
            <w:pPr>
              <w:pBdr>
                <w:top w:val="nil"/>
                <w:left w:val="nil"/>
                <w:bottom w:val="nil"/>
                <w:right w:val="nil"/>
                <w:between w:val="nil"/>
              </w:pBdr>
              <w:jc w:val="both"/>
              <w:rPr>
                <w:rFonts w:ascii="Times New Roman" w:eastAsia="Times New Roman" w:hAnsi="Times New Roman" w:cs="Times New Roman"/>
                <w:b/>
                <w:bCs/>
              </w:rPr>
            </w:pPr>
          </w:p>
        </w:tc>
      </w:tr>
      <w:tr w:rsidR="007338AE" w14:paraId="427FD43A" w14:textId="77777777" w:rsidTr="00F84E15">
        <w:tc>
          <w:tcPr>
            <w:tcW w:w="480" w:type="dxa"/>
          </w:tcPr>
          <w:p w14:paraId="182F954D" w14:textId="77777777" w:rsidR="007338AE" w:rsidRDefault="007338AE">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47F5FCB" w14:textId="77777777" w:rsidR="007338AE" w:rsidRPr="00B24464" w:rsidRDefault="007338AE">
            <w:pPr>
              <w:jc w:val="both"/>
              <w:rPr>
                <w:rFonts w:ascii="Times New Roman" w:eastAsia="Times New Roman" w:hAnsi="Times New Roman" w:cs="Times New Roman"/>
                <w:b/>
                <w:bCs/>
              </w:rPr>
            </w:pPr>
          </w:p>
        </w:tc>
        <w:tc>
          <w:tcPr>
            <w:tcW w:w="11790" w:type="dxa"/>
            <w:gridSpan w:val="3"/>
          </w:tcPr>
          <w:p w14:paraId="169A8F80" w14:textId="3AC6B6F0" w:rsidR="007338AE" w:rsidRDefault="007338AE">
            <w:pPr>
              <w:pBdr>
                <w:top w:val="nil"/>
                <w:left w:val="nil"/>
                <w:bottom w:val="nil"/>
                <w:right w:val="nil"/>
                <w:between w:val="nil"/>
              </w:pBdr>
              <w:jc w:val="both"/>
              <w:rPr>
                <w:rFonts w:ascii="Times New Roman" w:eastAsia="Times New Roman" w:hAnsi="Times New Roman" w:cs="Times New Roman"/>
                <w:b/>
                <w:bCs/>
              </w:rPr>
            </w:pPr>
            <w:r w:rsidRPr="007338AE">
              <w:rPr>
                <w:rFonts w:ascii="Times New Roman" w:eastAsia="Times New Roman" w:hAnsi="Times New Roman" w:cs="Times New Roman"/>
                <w:b/>
                <w:bCs/>
              </w:rPr>
              <w:t>La Art. III. – Legea nr. 135/2007 privind societățile cu răspundere limitată</w:t>
            </w:r>
          </w:p>
        </w:tc>
      </w:tr>
      <w:tr w:rsidR="00B24464" w14:paraId="2C9FDC50" w14:textId="77777777">
        <w:tc>
          <w:tcPr>
            <w:tcW w:w="480" w:type="dxa"/>
          </w:tcPr>
          <w:p w14:paraId="166C731E" w14:textId="77777777" w:rsidR="00B24464" w:rsidRDefault="00B24464">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59890AAE" w14:textId="77777777" w:rsidR="00B24464" w:rsidRPr="00B24464" w:rsidRDefault="00B24464">
            <w:pPr>
              <w:jc w:val="both"/>
              <w:rPr>
                <w:rFonts w:ascii="Times New Roman" w:eastAsia="Times New Roman" w:hAnsi="Times New Roman" w:cs="Times New Roman"/>
                <w:b/>
                <w:bCs/>
              </w:rPr>
            </w:pPr>
          </w:p>
        </w:tc>
        <w:tc>
          <w:tcPr>
            <w:tcW w:w="1800" w:type="dxa"/>
          </w:tcPr>
          <w:p w14:paraId="796BABAB" w14:textId="0CF452C3" w:rsidR="00B24464" w:rsidRDefault="007338AE">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4485" w:type="dxa"/>
          </w:tcPr>
          <w:p w14:paraId="32A5C5FE" w14:textId="6F3F15D9" w:rsidR="00B24464"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Se propune excluderea </w:t>
            </w:r>
            <w:r w:rsidRPr="007338AE">
              <w:rPr>
                <w:rFonts w:ascii="Times New Roman" w:eastAsia="Times New Roman" w:hAnsi="Times New Roman" w:cs="Times New Roman"/>
                <w:b/>
                <w:bCs/>
              </w:rPr>
              <w:t>pct. 7</w:t>
            </w:r>
            <w:r w:rsidRPr="007338AE">
              <w:rPr>
                <w:rFonts w:ascii="Times New Roman" w:eastAsia="Times New Roman" w:hAnsi="Times New Roman" w:cs="Times New Roman"/>
              </w:rPr>
              <w:t xml:space="preserve"> din proiect, deoarece abrogarea alin. (2) din</w:t>
            </w:r>
            <w:r>
              <w:rPr>
                <w:rFonts w:ascii="Times New Roman" w:eastAsia="Times New Roman" w:hAnsi="Times New Roman" w:cs="Times New Roman"/>
              </w:rPr>
              <w:t xml:space="preserve"> </w:t>
            </w:r>
            <w:r w:rsidRPr="007338AE">
              <w:rPr>
                <w:rFonts w:ascii="Times New Roman" w:eastAsia="Times New Roman" w:hAnsi="Times New Roman" w:cs="Times New Roman"/>
              </w:rPr>
              <w:t>art. 59 va cauza blocaje decizionale și paraliza activitatea societății, precum și</w:t>
            </w:r>
            <w:r>
              <w:rPr>
                <w:rFonts w:ascii="Times New Roman" w:eastAsia="Times New Roman" w:hAnsi="Times New Roman" w:cs="Times New Roman"/>
              </w:rPr>
              <w:t xml:space="preserve"> </w:t>
            </w:r>
            <w:r w:rsidRPr="007338AE">
              <w:rPr>
                <w:rFonts w:ascii="Times New Roman" w:eastAsia="Times New Roman" w:hAnsi="Times New Roman" w:cs="Times New Roman"/>
              </w:rPr>
              <w:t>interpretări diferite la aplicarea normelor. În cazul abrogării alin. (2), nu sunt</w:t>
            </w:r>
            <w:r>
              <w:rPr>
                <w:rFonts w:ascii="Times New Roman" w:eastAsia="Times New Roman" w:hAnsi="Times New Roman" w:cs="Times New Roman"/>
              </w:rPr>
              <w:t xml:space="preserve"> </w:t>
            </w:r>
            <w:r w:rsidRPr="007338AE">
              <w:rPr>
                <w:rFonts w:ascii="Times New Roman" w:eastAsia="Times New Roman" w:hAnsi="Times New Roman" w:cs="Times New Roman"/>
              </w:rPr>
              <w:t>justificate nici celelalte norme ale art. 59.</w:t>
            </w:r>
          </w:p>
        </w:tc>
        <w:tc>
          <w:tcPr>
            <w:tcW w:w="5505" w:type="dxa"/>
          </w:tcPr>
          <w:p w14:paraId="1CA97951" w14:textId="77777777" w:rsidR="00B24464" w:rsidRDefault="00B24464">
            <w:pPr>
              <w:pBdr>
                <w:top w:val="nil"/>
                <w:left w:val="nil"/>
                <w:bottom w:val="nil"/>
                <w:right w:val="nil"/>
                <w:between w:val="nil"/>
              </w:pBdr>
              <w:jc w:val="both"/>
              <w:rPr>
                <w:rFonts w:ascii="Times New Roman" w:eastAsia="Times New Roman" w:hAnsi="Times New Roman" w:cs="Times New Roman"/>
                <w:b/>
                <w:bCs/>
              </w:rPr>
            </w:pPr>
          </w:p>
        </w:tc>
      </w:tr>
      <w:tr w:rsidR="007338AE" w14:paraId="70AD24FF" w14:textId="77777777" w:rsidTr="00A06EFD">
        <w:tc>
          <w:tcPr>
            <w:tcW w:w="480" w:type="dxa"/>
          </w:tcPr>
          <w:p w14:paraId="2ADD03A2" w14:textId="77777777" w:rsidR="007338AE" w:rsidRDefault="007338AE">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BE11E83" w14:textId="77777777" w:rsidR="007338AE" w:rsidRPr="00B24464" w:rsidRDefault="007338AE">
            <w:pPr>
              <w:jc w:val="both"/>
              <w:rPr>
                <w:rFonts w:ascii="Times New Roman" w:eastAsia="Times New Roman" w:hAnsi="Times New Roman" w:cs="Times New Roman"/>
                <w:b/>
                <w:bCs/>
              </w:rPr>
            </w:pPr>
          </w:p>
        </w:tc>
        <w:tc>
          <w:tcPr>
            <w:tcW w:w="11790" w:type="dxa"/>
            <w:gridSpan w:val="3"/>
          </w:tcPr>
          <w:p w14:paraId="13D515AC" w14:textId="396D05C1" w:rsidR="007338AE" w:rsidRDefault="007338AE" w:rsidP="007338AE">
            <w:pPr>
              <w:pBdr>
                <w:top w:val="nil"/>
                <w:left w:val="nil"/>
                <w:bottom w:val="nil"/>
                <w:right w:val="nil"/>
                <w:between w:val="nil"/>
              </w:pBdr>
              <w:rPr>
                <w:rFonts w:ascii="Times New Roman" w:eastAsia="Times New Roman" w:hAnsi="Times New Roman" w:cs="Times New Roman"/>
                <w:b/>
                <w:bCs/>
              </w:rPr>
            </w:pPr>
            <w:r w:rsidRPr="007338AE">
              <w:rPr>
                <w:rFonts w:ascii="Times New Roman" w:eastAsia="Times New Roman" w:hAnsi="Times New Roman" w:cs="Times New Roman"/>
                <w:b/>
                <w:bCs/>
              </w:rPr>
              <w:t>La Art. IV. – Legea nr. 220/2007 privind înregistrarea de stat a persoanelor</w:t>
            </w:r>
            <w:r>
              <w:rPr>
                <w:rFonts w:ascii="Times New Roman" w:eastAsia="Times New Roman" w:hAnsi="Times New Roman" w:cs="Times New Roman"/>
                <w:b/>
                <w:bCs/>
              </w:rPr>
              <w:t xml:space="preserve"> </w:t>
            </w:r>
            <w:r w:rsidRPr="007338AE">
              <w:rPr>
                <w:rFonts w:ascii="Times New Roman" w:eastAsia="Times New Roman" w:hAnsi="Times New Roman" w:cs="Times New Roman"/>
                <w:b/>
                <w:bCs/>
              </w:rPr>
              <w:t>juridice și a întreprinzătorilor individuali</w:t>
            </w:r>
          </w:p>
        </w:tc>
      </w:tr>
      <w:tr w:rsidR="00B24464" w14:paraId="357782CA" w14:textId="77777777">
        <w:tc>
          <w:tcPr>
            <w:tcW w:w="480" w:type="dxa"/>
          </w:tcPr>
          <w:p w14:paraId="494D1EF7" w14:textId="77777777" w:rsidR="00B24464" w:rsidRDefault="00B24464">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EA9D15C" w14:textId="77777777" w:rsidR="00B24464" w:rsidRPr="00B24464" w:rsidRDefault="00B24464">
            <w:pPr>
              <w:jc w:val="both"/>
              <w:rPr>
                <w:rFonts w:ascii="Times New Roman" w:eastAsia="Times New Roman" w:hAnsi="Times New Roman" w:cs="Times New Roman"/>
                <w:b/>
                <w:bCs/>
              </w:rPr>
            </w:pPr>
          </w:p>
        </w:tc>
        <w:tc>
          <w:tcPr>
            <w:tcW w:w="1800" w:type="dxa"/>
          </w:tcPr>
          <w:p w14:paraId="43D171EA" w14:textId="26829621" w:rsidR="00B24464" w:rsidRDefault="007338AE">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4485" w:type="dxa"/>
          </w:tcPr>
          <w:p w14:paraId="550C0063" w14:textId="5B4A0BE2" w:rsidR="00B24464"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La </w:t>
            </w:r>
            <w:r w:rsidRPr="007338AE">
              <w:rPr>
                <w:rFonts w:ascii="Times New Roman" w:eastAsia="Times New Roman" w:hAnsi="Times New Roman" w:cs="Times New Roman"/>
                <w:b/>
                <w:bCs/>
              </w:rPr>
              <w:t>pct. 8, articolul 8 alin. (1) lit. a)</w:t>
            </w:r>
            <w:r w:rsidRPr="007338AE">
              <w:rPr>
                <w:rFonts w:ascii="Times New Roman" w:eastAsia="Times New Roman" w:hAnsi="Times New Roman" w:cs="Times New Roman"/>
              </w:rPr>
              <w:t xml:space="preserve"> se propune substituirea sintagmei</w:t>
            </w:r>
            <w:r>
              <w:rPr>
                <w:rFonts w:ascii="Times New Roman" w:eastAsia="Times New Roman" w:hAnsi="Times New Roman" w:cs="Times New Roman"/>
              </w:rPr>
              <w:t xml:space="preserve"> </w:t>
            </w:r>
            <w:r w:rsidRPr="00A0389D">
              <w:rPr>
                <w:rFonts w:ascii="Times New Roman" w:eastAsia="Times New Roman" w:hAnsi="Times New Roman" w:cs="Times New Roman"/>
                <w:i/>
                <w:iCs/>
              </w:rPr>
              <w:t>„prin intermediul Portalului guvernamental integrat EVO”</w:t>
            </w:r>
            <w:r w:rsidRPr="007338AE">
              <w:rPr>
                <w:rFonts w:ascii="Times New Roman" w:eastAsia="Times New Roman" w:hAnsi="Times New Roman" w:cs="Times New Roman"/>
              </w:rPr>
              <w:t xml:space="preserve"> cu sintagma </w:t>
            </w:r>
            <w:r w:rsidRPr="00A0389D">
              <w:rPr>
                <w:rFonts w:ascii="Times New Roman" w:eastAsia="Times New Roman" w:hAnsi="Times New Roman" w:cs="Times New Roman"/>
                <w:i/>
                <w:iCs/>
              </w:rPr>
              <w:t>„în format electronic”</w:t>
            </w:r>
            <w:r w:rsidRPr="007338AE">
              <w:rPr>
                <w:rFonts w:ascii="Times New Roman" w:eastAsia="Times New Roman" w:hAnsi="Times New Roman" w:cs="Times New Roman"/>
              </w:rPr>
              <w:t>. Această propunere este justificată de faptul că serviciul poate fi</w:t>
            </w:r>
            <w:r>
              <w:rPr>
                <w:rFonts w:ascii="Times New Roman" w:eastAsia="Times New Roman" w:hAnsi="Times New Roman" w:cs="Times New Roman"/>
              </w:rPr>
              <w:t xml:space="preserve"> </w:t>
            </w:r>
            <w:r w:rsidRPr="007338AE">
              <w:rPr>
                <w:rFonts w:ascii="Times New Roman" w:eastAsia="Times New Roman" w:hAnsi="Times New Roman" w:cs="Times New Roman"/>
              </w:rPr>
              <w:t>accesat atât prin intermediul Portalului guvernamental integrat EVO, cât și prin</w:t>
            </w:r>
            <w:r>
              <w:rPr>
                <w:rFonts w:ascii="Times New Roman" w:eastAsia="Times New Roman" w:hAnsi="Times New Roman" w:cs="Times New Roman"/>
              </w:rPr>
              <w:t xml:space="preserve"> </w:t>
            </w:r>
            <w:r w:rsidRPr="007338AE">
              <w:rPr>
                <w:rFonts w:ascii="Times New Roman" w:eastAsia="Times New Roman" w:hAnsi="Times New Roman" w:cs="Times New Roman"/>
              </w:rPr>
              <w:t>accesarea directă a adresei (URL) a serviciului electronic. Totodată,</w:t>
            </w:r>
            <w:r>
              <w:rPr>
                <w:rFonts w:ascii="Times New Roman" w:eastAsia="Times New Roman" w:hAnsi="Times New Roman" w:cs="Times New Roman"/>
              </w:rPr>
              <w:t xml:space="preserve"> </w:t>
            </w:r>
            <w:r w:rsidRPr="007338AE">
              <w:rPr>
                <w:rFonts w:ascii="Times New Roman" w:eastAsia="Times New Roman" w:hAnsi="Times New Roman" w:cs="Times New Roman"/>
              </w:rPr>
              <w:t>reglementarea exclusivă a accesării prin intermediul Portalului EVO poate crea</w:t>
            </w:r>
            <w:r>
              <w:rPr>
                <w:rFonts w:ascii="Times New Roman" w:eastAsia="Times New Roman" w:hAnsi="Times New Roman" w:cs="Times New Roman"/>
              </w:rPr>
              <w:t xml:space="preserve"> </w:t>
            </w:r>
            <w:r w:rsidRPr="007338AE">
              <w:rPr>
                <w:rFonts w:ascii="Times New Roman" w:eastAsia="Times New Roman" w:hAnsi="Times New Roman" w:cs="Times New Roman"/>
              </w:rPr>
              <w:t>dependență de disponibilitatea acestuia, astfel încât eventualele</w:t>
            </w:r>
            <w:r>
              <w:rPr>
                <w:rFonts w:ascii="Times New Roman" w:eastAsia="Times New Roman" w:hAnsi="Times New Roman" w:cs="Times New Roman"/>
              </w:rPr>
              <w:t xml:space="preserve"> </w:t>
            </w:r>
            <w:r w:rsidRPr="007338AE">
              <w:rPr>
                <w:rFonts w:ascii="Times New Roman" w:eastAsia="Times New Roman" w:hAnsi="Times New Roman" w:cs="Times New Roman"/>
              </w:rPr>
              <w:t xml:space="preserve">indisponibilități tehnice ale portalului ar putea conduce la </w:t>
            </w:r>
            <w:r w:rsidRPr="007338AE">
              <w:rPr>
                <w:rFonts w:ascii="Times New Roman" w:eastAsia="Times New Roman" w:hAnsi="Times New Roman" w:cs="Times New Roman"/>
              </w:rPr>
              <w:lastRenderedPageBreak/>
              <w:t>imposibilitatea accesării</w:t>
            </w:r>
            <w:r>
              <w:rPr>
                <w:rFonts w:ascii="Times New Roman" w:eastAsia="Times New Roman" w:hAnsi="Times New Roman" w:cs="Times New Roman"/>
              </w:rPr>
              <w:t xml:space="preserve"> </w:t>
            </w:r>
            <w:r w:rsidRPr="007338AE">
              <w:rPr>
                <w:rFonts w:ascii="Times New Roman" w:eastAsia="Times New Roman" w:hAnsi="Times New Roman" w:cs="Times New Roman"/>
              </w:rPr>
              <w:t>serviciului, deși acesta este funcțional.</w:t>
            </w:r>
          </w:p>
        </w:tc>
        <w:tc>
          <w:tcPr>
            <w:tcW w:w="5505" w:type="dxa"/>
          </w:tcPr>
          <w:p w14:paraId="4877C2C3" w14:textId="77777777" w:rsidR="00B24464" w:rsidRDefault="00B24464">
            <w:pPr>
              <w:pBdr>
                <w:top w:val="nil"/>
                <w:left w:val="nil"/>
                <w:bottom w:val="nil"/>
                <w:right w:val="nil"/>
                <w:between w:val="nil"/>
              </w:pBdr>
              <w:jc w:val="both"/>
              <w:rPr>
                <w:rFonts w:ascii="Times New Roman" w:eastAsia="Times New Roman" w:hAnsi="Times New Roman" w:cs="Times New Roman"/>
                <w:b/>
                <w:bCs/>
              </w:rPr>
            </w:pPr>
          </w:p>
        </w:tc>
      </w:tr>
      <w:tr w:rsidR="00B24464" w14:paraId="6325449E" w14:textId="77777777">
        <w:tc>
          <w:tcPr>
            <w:tcW w:w="480" w:type="dxa"/>
          </w:tcPr>
          <w:p w14:paraId="4E8010D9" w14:textId="77777777" w:rsidR="00B24464" w:rsidRDefault="00B24464">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2133FD5" w14:textId="77777777" w:rsidR="00B24464" w:rsidRPr="00B24464" w:rsidRDefault="00B24464">
            <w:pPr>
              <w:jc w:val="both"/>
              <w:rPr>
                <w:rFonts w:ascii="Times New Roman" w:eastAsia="Times New Roman" w:hAnsi="Times New Roman" w:cs="Times New Roman"/>
                <w:b/>
                <w:bCs/>
              </w:rPr>
            </w:pPr>
          </w:p>
        </w:tc>
        <w:tc>
          <w:tcPr>
            <w:tcW w:w="1800" w:type="dxa"/>
          </w:tcPr>
          <w:p w14:paraId="5784908A" w14:textId="0CB9EDE6" w:rsidR="00B24464" w:rsidRDefault="007338AE">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4485" w:type="dxa"/>
          </w:tcPr>
          <w:p w14:paraId="13A9E6E3" w14:textId="435255BF" w:rsidR="00B24464" w:rsidRPr="007338AE" w:rsidRDefault="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hAnsi="Times New Roman" w:cs="Times New Roman"/>
              </w:rPr>
              <w:t xml:space="preserve">La </w:t>
            </w:r>
            <w:r w:rsidRPr="007338AE">
              <w:rPr>
                <w:rFonts w:ascii="Times New Roman" w:hAnsi="Times New Roman" w:cs="Times New Roman"/>
                <w:b/>
                <w:bCs/>
              </w:rPr>
              <w:t>pct. 12, art. 11</w:t>
            </w:r>
            <w:r w:rsidRPr="007338AE">
              <w:rPr>
                <w:rFonts w:ascii="Times New Roman" w:hAnsi="Times New Roman" w:cs="Times New Roman"/>
                <w:b/>
                <w:bCs/>
                <w:vertAlign w:val="superscript"/>
              </w:rPr>
              <w:t>1</w:t>
            </w:r>
            <w:r w:rsidRPr="007338AE">
              <w:rPr>
                <w:rFonts w:ascii="Times New Roman" w:hAnsi="Times New Roman" w:cs="Times New Roman"/>
                <w:b/>
                <w:bCs/>
              </w:rPr>
              <w:t xml:space="preserve"> alin. (1),</w:t>
            </w:r>
            <w:r w:rsidRPr="007338AE">
              <w:rPr>
                <w:rFonts w:ascii="Times New Roman" w:hAnsi="Times New Roman" w:cs="Times New Roman"/>
              </w:rPr>
              <w:t xml:space="preserve"> la liniuțele unu și doi se propune de descris în ce constă procesul de verificare a identității solicitanților și a capacității juridice sau se propune expunerea acestora similar normelor stipulate la art. 12-14 din Legea nr. 246/2018 privind procedura notarială.</w:t>
            </w:r>
          </w:p>
        </w:tc>
        <w:tc>
          <w:tcPr>
            <w:tcW w:w="5505" w:type="dxa"/>
          </w:tcPr>
          <w:p w14:paraId="780B4364" w14:textId="77777777" w:rsidR="00B24464" w:rsidRDefault="00B24464">
            <w:pPr>
              <w:pBdr>
                <w:top w:val="nil"/>
                <w:left w:val="nil"/>
                <w:bottom w:val="nil"/>
                <w:right w:val="nil"/>
                <w:between w:val="nil"/>
              </w:pBdr>
              <w:jc w:val="both"/>
              <w:rPr>
                <w:rFonts w:ascii="Times New Roman" w:eastAsia="Times New Roman" w:hAnsi="Times New Roman" w:cs="Times New Roman"/>
                <w:b/>
                <w:bCs/>
              </w:rPr>
            </w:pPr>
          </w:p>
        </w:tc>
      </w:tr>
      <w:tr w:rsidR="00B24464" w14:paraId="233E34CC" w14:textId="77777777">
        <w:tc>
          <w:tcPr>
            <w:tcW w:w="480" w:type="dxa"/>
          </w:tcPr>
          <w:p w14:paraId="3523BBAE" w14:textId="77777777" w:rsidR="00B24464" w:rsidRDefault="00B24464">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36E3E411" w14:textId="77777777" w:rsidR="00B24464" w:rsidRPr="00B24464" w:rsidRDefault="00B24464">
            <w:pPr>
              <w:jc w:val="both"/>
              <w:rPr>
                <w:rFonts w:ascii="Times New Roman" w:eastAsia="Times New Roman" w:hAnsi="Times New Roman" w:cs="Times New Roman"/>
                <w:b/>
                <w:bCs/>
              </w:rPr>
            </w:pPr>
          </w:p>
        </w:tc>
        <w:tc>
          <w:tcPr>
            <w:tcW w:w="1800" w:type="dxa"/>
          </w:tcPr>
          <w:p w14:paraId="5FB1428E" w14:textId="48B059B3" w:rsidR="00B24464" w:rsidRDefault="007338AE">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4485" w:type="dxa"/>
          </w:tcPr>
          <w:p w14:paraId="2A64B704" w14:textId="77777777" w:rsidR="00B24464"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La </w:t>
            </w:r>
            <w:r w:rsidRPr="007338AE">
              <w:rPr>
                <w:rFonts w:ascii="Times New Roman" w:eastAsia="Times New Roman" w:hAnsi="Times New Roman" w:cs="Times New Roman"/>
                <w:b/>
                <w:bCs/>
              </w:rPr>
              <w:t>pct. 14, la articolul 12</w:t>
            </w:r>
            <w:r w:rsidRPr="007338AE">
              <w:rPr>
                <w:rFonts w:ascii="Times New Roman" w:eastAsia="Times New Roman" w:hAnsi="Times New Roman" w:cs="Times New Roman"/>
                <w:b/>
                <w:bCs/>
                <w:vertAlign w:val="superscript"/>
              </w:rPr>
              <w:t>1</w:t>
            </w:r>
            <w:r w:rsidRPr="007338AE">
              <w:rPr>
                <w:rFonts w:ascii="Times New Roman" w:eastAsia="Times New Roman" w:hAnsi="Times New Roman" w:cs="Times New Roman"/>
              </w:rPr>
              <w:t>:</w:t>
            </w:r>
          </w:p>
          <w:p w14:paraId="6AD53867" w14:textId="77777777" w:rsidR="007338AE" w:rsidRPr="007338AE"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 în denumirea articolului, cuvintele </w:t>
            </w:r>
            <w:r w:rsidRPr="007338AE">
              <w:rPr>
                <w:rFonts w:ascii="Times New Roman" w:eastAsia="Times New Roman" w:hAnsi="Times New Roman" w:cs="Times New Roman"/>
                <w:i/>
                <w:iCs/>
              </w:rPr>
              <w:t>„Colectarea, stocarea”</w:t>
            </w:r>
            <w:r w:rsidRPr="007338AE">
              <w:rPr>
                <w:rFonts w:ascii="Times New Roman" w:eastAsia="Times New Roman" w:hAnsi="Times New Roman" w:cs="Times New Roman"/>
              </w:rPr>
              <w:t xml:space="preserve"> de substituit cu</w:t>
            </w:r>
          </w:p>
          <w:p w14:paraId="7E3A5EE7" w14:textId="44901A4E" w:rsidR="007338AE" w:rsidRPr="007338AE"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cuvintele </w:t>
            </w:r>
            <w:r w:rsidRPr="007338AE">
              <w:rPr>
                <w:rFonts w:ascii="Times New Roman" w:eastAsia="Times New Roman" w:hAnsi="Times New Roman" w:cs="Times New Roman"/>
                <w:i/>
                <w:iCs/>
              </w:rPr>
              <w:t>„Înscrierea în Registrul de stat”</w:t>
            </w:r>
            <w:r w:rsidRPr="007338AE">
              <w:rPr>
                <w:rFonts w:ascii="Times New Roman" w:eastAsia="Times New Roman" w:hAnsi="Times New Roman" w:cs="Times New Roman"/>
              </w:rPr>
              <w:t>, deoarece în atribuțiile organului</w:t>
            </w:r>
            <w:r>
              <w:rPr>
                <w:rFonts w:ascii="Times New Roman" w:eastAsia="Times New Roman" w:hAnsi="Times New Roman" w:cs="Times New Roman"/>
              </w:rPr>
              <w:t xml:space="preserve"> </w:t>
            </w:r>
            <w:r w:rsidRPr="007338AE">
              <w:rPr>
                <w:rFonts w:ascii="Times New Roman" w:eastAsia="Times New Roman" w:hAnsi="Times New Roman" w:cs="Times New Roman"/>
              </w:rPr>
              <w:t>înregistrării de stat intră doar asigurarea publicității legale a datelor din Registrul</w:t>
            </w:r>
            <w:r>
              <w:rPr>
                <w:rFonts w:ascii="Times New Roman" w:eastAsia="Times New Roman" w:hAnsi="Times New Roman" w:cs="Times New Roman"/>
              </w:rPr>
              <w:t xml:space="preserve"> </w:t>
            </w:r>
            <w:r w:rsidRPr="007338AE">
              <w:rPr>
                <w:rFonts w:ascii="Times New Roman" w:eastAsia="Times New Roman" w:hAnsi="Times New Roman" w:cs="Times New Roman"/>
              </w:rPr>
              <w:t>de stat, nu și efectuarea colectării autonome privind interdicțiile aplicate de către</w:t>
            </w:r>
            <w:r>
              <w:rPr>
                <w:rFonts w:ascii="Times New Roman" w:eastAsia="Times New Roman" w:hAnsi="Times New Roman" w:cs="Times New Roman"/>
              </w:rPr>
              <w:t xml:space="preserve"> </w:t>
            </w:r>
            <w:r w:rsidRPr="007338AE">
              <w:rPr>
                <w:rFonts w:ascii="Times New Roman" w:eastAsia="Times New Roman" w:hAnsi="Times New Roman" w:cs="Times New Roman"/>
              </w:rPr>
              <w:t>alte autorități.</w:t>
            </w:r>
          </w:p>
          <w:p w14:paraId="2057C47F" w14:textId="77777777" w:rsidR="007338AE" w:rsidRPr="007338AE"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 </w:t>
            </w:r>
            <w:r w:rsidRPr="007338AE">
              <w:rPr>
                <w:rFonts w:ascii="Times New Roman" w:eastAsia="Times New Roman" w:hAnsi="Times New Roman" w:cs="Times New Roman"/>
                <w:b/>
                <w:bCs/>
              </w:rPr>
              <w:t>la alineatul (2)</w:t>
            </w:r>
            <w:r w:rsidRPr="007338AE">
              <w:rPr>
                <w:rFonts w:ascii="Times New Roman" w:eastAsia="Times New Roman" w:hAnsi="Times New Roman" w:cs="Times New Roman"/>
              </w:rPr>
              <w:t>:</w:t>
            </w:r>
          </w:p>
          <w:p w14:paraId="3326D938" w14:textId="4546989C" w:rsidR="007338AE" w:rsidRPr="007338AE"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t xml:space="preserve"> cuvintele </w:t>
            </w:r>
            <w:r w:rsidRPr="007338AE">
              <w:rPr>
                <w:rFonts w:ascii="Times New Roman" w:eastAsia="Times New Roman" w:hAnsi="Times New Roman" w:cs="Times New Roman"/>
                <w:i/>
                <w:iCs/>
              </w:rPr>
              <w:t>„colectează și stochează date privind interdicțiile impuse conform legii în măsura în care aceste date”</w:t>
            </w:r>
            <w:r w:rsidRPr="007338AE">
              <w:rPr>
                <w:rFonts w:ascii="Times New Roman" w:eastAsia="Times New Roman" w:hAnsi="Times New Roman" w:cs="Times New Roman"/>
              </w:rPr>
              <w:t xml:space="preserve"> de substituit cu cuvintele </w:t>
            </w:r>
            <w:r w:rsidRPr="007338AE">
              <w:rPr>
                <w:rFonts w:ascii="Times New Roman" w:eastAsia="Times New Roman" w:hAnsi="Times New Roman" w:cs="Times New Roman"/>
                <w:i/>
                <w:iCs/>
              </w:rPr>
              <w:t>„înscrie în Registrul de stat interdicțiile impuse conform legii care”,</w:t>
            </w:r>
            <w:r w:rsidRPr="007338AE">
              <w:rPr>
                <w:rFonts w:ascii="Times New Roman" w:eastAsia="Times New Roman" w:hAnsi="Times New Roman" w:cs="Times New Roman"/>
              </w:rPr>
              <w:t xml:space="preserve"> din motivele expuse supra.</w:t>
            </w:r>
          </w:p>
          <w:p w14:paraId="2A952ACD" w14:textId="258C509B" w:rsidR="007338AE" w:rsidRPr="007338AE" w:rsidRDefault="007338AE" w:rsidP="007338AE">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b/>
                <w:bCs/>
              </w:rPr>
              <w:t>litera b)</w:t>
            </w:r>
            <w:r w:rsidRPr="007338AE">
              <w:rPr>
                <w:rFonts w:ascii="Times New Roman" w:eastAsia="Times New Roman" w:hAnsi="Times New Roman" w:cs="Times New Roman"/>
              </w:rPr>
              <w:t xml:space="preserve">, se propune de completat cu textul </w:t>
            </w:r>
            <w:r w:rsidRPr="007338AE">
              <w:rPr>
                <w:rFonts w:ascii="Times New Roman" w:eastAsia="Times New Roman" w:hAnsi="Times New Roman" w:cs="Times New Roman"/>
                <w:i/>
                <w:iCs/>
              </w:rPr>
              <w:t>„și remise spre cunoștință organului înregistrării de stat”,</w:t>
            </w:r>
            <w:r w:rsidRPr="007338AE">
              <w:rPr>
                <w:rFonts w:ascii="Times New Roman" w:eastAsia="Times New Roman" w:hAnsi="Times New Roman" w:cs="Times New Roman"/>
              </w:rPr>
              <w:t xml:space="preserve"> deoarece transmiterea interdicțiilor către organul</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înregistrării de stat trebuie pusă în competența autorităților care le instituie. În caz</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contrar, se propune să fie enumerate exhaustiv deciziile căror instituții urmează a fi</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monitorizate de către organul înregistrării de stat.</w:t>
            </w:r>
          </w:p>
          <w:p w14:paraId="2E532E62" w14:textId="2B50A1C4" w:rsidR="007338AE" w:rsidRDefault="007338AE" w:rsidP="00A0389D">
            <w:pPr>
              <w:pBdr>
                <w:top w:val="nil"/>
                <w:left w:val="nil"/>
                <w:bottom w:val="nil"/>
                <w:right w:val="nil"/>
                <w:between w:val="nil"/>
              </w:pBdr>
              <w:jc w:val="both"/>
              <w:rPr>
                <w:rFonts w:ascii="Times New Roman" w:eastAsia="Times New Roman" w:hAnsi="Times New Roman" w:cs="Times New Roman"/>
              </w:rPr>
            </w:pPr>
            <w:r w:rsidRPr="007338AE">
              <w:rPr>
                <w:rFonts w:ascii="Times New Roman" w:eastAsia="Times New Roman" w:hAnsi="Times New Roman" w:cs="Times New Roman"/>
              </w:rPr>
              <w:lastRenderedPageBreak/>
              <w:t>Se propune reformularea articolului, întrucât redactarea actuală</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 xml:space="preserve">utilizează sintagmele </w:t>
            </w:r>
            <w:r w:rsidRPr="00A0389D">
              <w:rPr>
                <w:rFonts w:ascii="Times New Roman" w:eastAsia="Times New Roman" w:hAnsi="Times New Roman" w:cs="Times New Roman"/>
                <w:i/>
                <w:iCs/>
              </w:rPr>
              <w:t>„colectează și stochează”,</w:t>
            </w:r>
            <w:r w:rsidRPr="007338AE">
              <w:rPr>
                <w:rFonts w:ascii="Times New Roman" w:eastAsia="Times New Roman" w:hAnsi="Times New Roman" w:cs="Times New Roman"/>
              </w:rPr>
              <w:t xml:space="preserve"> care nu corespund modului de</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funcționare al organului înregistrării de stat. În exercitarea atribuțiilor sale, organul</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înregistrării de stat nu colectează și nu constituie un sistem propriu de stocare a</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datelor privind interdicțiile, ci utilizează informațiile puse la dispoziție de</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autoritățile competente și asigură respectarea acestora în procesul de înregistrare de</w:t>
            </w:r>
            <w:r w:rsidR="00A0389D">
              <w:rPr>
                <w:rFonts w:ascii="Times New Roman" w:eastAsia="Times New Roman" w:hAnsi="Times New Roman" w:cs="Times New Roman"/>
              </w:rPr>
              <w:t xml:space="preserve"> </w:t>
            </w:r>
            <w:r w:rsidRPr="007338AE">
              <w:rPr>
                <w:rFonts w:ascii="Times New Roman" w:eastAsia="Times New Roman" w:hAnsi="Times New Roman" w:cs="Times New Roman"/>
              </w:rPr>
              <w:t>stat.</w:t>
            </w:r>
          </w:p>
        </w:tc>
        <w:tc>
          <w:tcPr>
            <w:tcW w:w="5505" w:type="dxa"/>
          </w:tcPr>
          <w:p w14:paraId="4827358D" w14:textId="77777777" w:rsidR="00B24464" w:rsidRDefault="00B24464">
            <w:pPr>
              <w:pBdr>
                <w:top w:val="nil"/>
                <w:left w:val="nil"/>
                <w:bottom w:val="nil"/>
                <w:right w:val="nil"/>
                <w:between w:val="nil"/>
              </w:pBdr>
              <w:jc w:val="both"/>
              <w:rPr>
                <w:rFonts w:ascii="Times New Roman" w:eastAsia="Times New Roman" w:hAnsi="Times New Roman" w:cs="Times New Roman"/>
                <w:b/>
                <w:bCs/>
              </w:rPr>
            </w:pPr>
          </w:p>
        </w:tc>
      </w:tr>
      <w:tr w:rsidR="00B24464" w14:paraId="0DBFE4DF" w14:textId="77777777">
        <w:tc>
          <w:tcPr>
            <w:tcW w:w="480" w:type="dxa"/>
          </w:tcPr>
          <w:p w14:paraId="7F2716E6" w14:textId="77777777" w:rsidR="00B24464" w:rsidRDefault="00B24464">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19A6650D" w14:textId="77777777" w:rsidR="00B24464" w:rsidRPr="00B24464" w:rsidRDefault="00B24464">
            <w:pPr>
              <w:jc w:val="both"/>
              <w:rPr>
                <w:rFonts w:ascii="Times New Roman" w:eastAsia="Times New Roman" w:hAnsi="Times New Roman" w:cs="Times New Roman"/>
                <w:b/>
                <w:bCs/>
              </w:rPr>
            </w:pPr>
          </w:p>
        </w:tc>
        <w:tc>
          <w:tcPr>
            <w:tcW w:w="1800" w:type="dxa"/>
          </w:tcPr>
          <w:p w14:paraId="1F7F61FE" w14:textId="1989B1FC" w:rsidR="00B24464" w:rsidRDefault="00724E7B">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4485" w:type="dxa"/>
          </w:tcPr>
          <w:p w14:paraId="09E7DD45" w14:textId="77777777" w:rsidR="00724E7B" w:rsidRPr="00724E7B" w:rsidRDefault="00724E7B" w:rsidP="00724E7B">
            <w:pPr>
              <w:pBdr>
                <w:top w:val="nil"/>
                <w:left w:val="nil"/>
                <w:bottom w:val="nil"/>
                <w:right w:val="nil"/>
                <w:between w:val="nil"/>
              </w:pBdr>
              <w:jc w:val="both"/>
              <w:rPr>
                <w:rFonts w:ascii="Times New Roman" w:eastAsia="Times New Roman" w:hAnsi="Times New Roman" w:cs="Times New Roman"/>
                <w:b/>
                <w:bCs/>
              </w:rPr>
            </w:pPr>
            <w:r w:rsidRPr="00724E7B">
              <w:rPr>
                <w:rFonts w:ascii="Times New Roman" w:eastAsia="Times New Roman" w:hAnsi="Times New Roman" w:cs="Times New Roman"/>
                <w:b/>
                <w:bCs/>
              </w:rPr>
              <w:t>La pct. 15, la articolul 13 alineatul (1) litera e):</w:t>
            </w:r>
          </w:p>
          <w:p w14:paraId="35BED258" w14:textId="59ABAEEE" w:rsidR="00724E7B" w:rsidRPr="00724E7B"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 xml:space="preserve"> - cuvintele </w:t>
            </w:r>
            <w:r w:rsidRPr="00724E7B">
              <w:rPr>
                <w:rFonts w:ascii="Times New Roman" w:eastAsia="Times New Roman" w:hAnsi="Times New Roman" w:cs="Times New Roman"/>
                <w:i/>
                <w:iCs/>
              </w:rPr>
              <w:t xml:space="preserve">„deținute de organul înregistrării de stat” </w:t>
            </w:r>
            <w:r w:rsidRPr="00724E7B">
              <w:rPr>
                <w:rFonts w:ascii="Times New Roman" w:eastAsia="Times New Roman" w:hAnsi="Times New Roman" w:cs="Times New Roman"/>
              </w:rPr>
              <w:t>de substituit cu</w:t>
            </w:r>
            <w:r>
              <w:rPr>
                <w:rFonts w:ascii="Times New Roman" w:eastAsia="Times New Roman" w:hAnsi="Times New Roman" w:cs="Times New Roman"/>
              </w:rPr>
              <w:t xml:space="preserve"> </w:t>
            </w:r>
            <w:r w:rsidRPr="00724E7B">
              <w:rPr>
                <w:rFonts w:ascii="Times New Roman" w:eastAsia="Times New Roman" w:hAnsi="Times New Roman" w:cs="Times New Roman"/>
              </w:rPr>
              <w:t xml:space="preserve">cuvintele </w:t>
            </w:r>
            <w:r w:rsidRPr="00724E7B">
              <w:rPr>
                <w:rFonts w:ascii="Times New Roman" w:eastAsia="Times New Roman" w:hAnsi="Times New Roman" w:cs="Times New Roman"/>
                <w:i/>
                <w:iCs/>
              </w:rPr>
              <w:t>„înscrise în Registrul de stat</w:t>
            </w:r>
            <w:r>
              <w:rPr>
                <w:rFonts w:ascii="Times New Roman" w:eastAsia="Times New Roman" w:hAnsi="Times New Roman" w:cs="Times New Roman"/>
              </w:rPr>
              <w:t>”</w:t>
            </w:r>
            <w:r w:rsidRPr="00724E7B">
              <w:rPr>
                <w:rFonts w:ascii="Times New Roman" w:eastAsia="Times New Roman" w:hAnsi="Times New Roman" w:cs="Times New Roman"/>
              </w:rPr>
              <w:t>, din considerentele expuse supra.</w:t>
            </w:r>
          </w:p>
          <w:p w14:paraId="74DEFE93" w14:textId="0226DAA6" w:rsidR="00B24464"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 xml:space="preserve">- </w:t>
            </w:r>
            <w:r w:rsidRPr="00724E7B">
              <w:rPr>
                <w:rFonts w:ascii="Times New Roman" w:eastAsia="Times New Roman" w:hAnsi="Times New Roman" w:cs="Times New Roman"/>
                <w:b/>
                <w:bCs/>
              </w:rPr>
              <w:t>punctul 3</w:t>
            </w:r>
            <w:r w:rsidRPr="00724E7B">
              <w:rPr>
                <w:rFonts w:ascii="Times New Roman" w:eastAsia="Times New Roman" w:hAnsi="Times New Roman" w:cs="Times New Roman"/>
              </w:rPr>
              <w:t xml:space="preserve"> se propune de completat cu cuvintele </w:t>
            </w:r>
            <w:r w:rsidRPr="00724E7B">
              <w:rPr>
                <w:rFonts w:ascii="Times New Roman" w:eastAsia="Times New Roman" w:hAnsi="Times New Roman" w:cs="Times New Roman"/>
                <w:i/>
                <w:iCs/>
              </w:rPr>
              <w:t>„în cazul în care se solicită înstrăinarea participațiunii vizate”</w:t>
            </w:r>
            <w:r w:rsidRPr="00724E7B">
              <w:rPr>
                <w:rFonts w:ascii="Times New Roman" w:eastAsia="Times New Roman" w:hAnsi="Times New Roman" w:cs="Times New Roman"/>
              </w:rPr>
              <w:t>, pentru evitarea cazurilor de refuz în înregistrare</w:t>
            </w:r>
            <w:r>
              <w:rPr>
                <w:rFonts w:ascii="Times New Roman" w:eastAsia="Times New Roman" w:hAnsi="Times New Roman" w:cs="Times New Roman"/>
              </w:rPr>
              <w:t xml:space="preserve"> </w:t>
            </w:r>
            <w:r w:rsidRPr="00724E7B">
              <w:rPr>
                <w:rFonts w:ascii="Times New Roman" w:eastAsia="Times New Roman" w:hAnsi="Times New Roman" w:cs="Times New Roman"/>
              </w:rPr>
              <w:t>în cazul în care se solicită înregistrarea altor modificări de ex.: denumirii,</w:t>
            </w:r>
            <w:r>
              <w:rPr>
                <w:rFonts w:ascii="Times New Roman" w:eastAsia="Times New Roman" w:hAnsi="Times New Roman" w:cs="Times New Roman"/>
              </w:rPr>
              <w:t xml:space="preserve"> </w:t>
            </w:r>
            <w:r w:rsidRPr="00724E7B">
              <w:rPr>
                <w:rFonts w:ascii="Times New Roman" w:eastAsia="Times New Roman" w:hAnsi="Times New Roman" w:cs="Times New Roman"/>
              </w:rPr>
              <w:t xml:space="preserve">administratorului </w:t>
            </w:r>
            <w:proofErr w:type="spellStart"/>
            <w:r w:rsidRPr="00724E7B">
              <w:rPr>
                <w:rFonts w:ascii="Times New Roman" w:eastAsia="Times New Roman" w:hAnsi="Times New Roman" w:cs="Times New Roman"/>
              </w:rPr>
              <w:t>ş.a</w:t>
            </w:r>
            <w:proofErr w:type="spellEnd"/>
            <w:r w:rsidRPr="00724E7B">
              <w:rPr>
                <w:rFonts w:ascii="Times New Roman" w:eastAsia="Times New Roman" w:hAnsi="Times New Roman" w:cs="Times New Roman"/>
              </w:rPr>
              <w:t>.</w:t>
            </w:r>
          </w:p>
        </w:tc>
        <w:tc>
          <w:tcPr>
            <w:tcW w:w="5505" w:type="dxa"/>
          </w:tcPr>
          <w:p w14:paraId="29D93B2D" w14:textId="77777777" w:rsidR="00B24464" w:rsidRDefault="00B24464">
            <w:pPr>
              <w:pBdr>
                <w:top w:val="nil"/>
                <w:left w:val="nil"/>
                <w:bottom w:val="nil"/>
                <w:right w:val="nil"/>
                <w:between w:val="nil"/>
              </w:pBdr>
              <w:jc w:val="both"/>
              <w:rPr>
                <w:rFonts w:ascii="Times New Roman" w:eastAsia="Times New Roman" w:hAnsi="Times New Roman" w:cs="Times New Roman"/>
                <w:b/>
                <w:bCs/>
              </w:rPr>
            </w:pPr>
          </w:p>
        </w:tc>
      </w:tr>
      <w:tr w:rsidR="007338AE" w14:paraId="172B7DDC" w14:textId="77777777">
        <w:tc>
          <w:tcPr>
            <w:tcW w:w="480" w:type="dxa"/>
          </w:tcPr>
          <w:p w14:paraId="1D0E1D3A" w14:textId="77777777" w:rsidR="007338AE" w:rsidRDefault="007338AE">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1840B5E" w14:textId="77777777" w:rsidR="007338AE" w:rsidRPr="00B24464" w:rsidRDefault="007338AE">
            <w:pPr>
              <w:jc w:val="both"/>
              <w:rPr>
                <w:rFonts w:ascii="Times New Roman" w:eastAsia="Times New Roman" w:hAnsi="Times New Roman" w:cs="Times New Roman"/>
                <w:b/>
                <w:bCs/>
              </w:rPr>
            </w:pPr>
          </w:p>
        </w:tc>
        <w:tc>
          <w:tcPr>
            <w:tcW w:w="1800" w:type="dxa"/>
          </w:tcPr>
          <w:p w14:paraId="01B4F210" w14:textId="279EBD9D" w:rsidR="007338AE" w:rsidRDefault="00724E7B">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4485" w:type="dxa"/>
          </w:tcPr>
          <w:p w14:paraId="15B70C48" w14:textId="252E33C8" w:rsidR="007338AE"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b/>
                <w:bCs/>
              </w:rPr>
              <w:t>La pct.17 din proiect, la art. 15</w:t>
            </w:r>
            <w:r w:rsidRPr="00724E7B">
              <w:rPr>
                <w:rFonts w:ascii="Times New Roman" w:eastAsia="Times New Roman" w:hAnsi="Times New Roman" w:cs="Times New Roman"/>
                <w:b/>
                <w:bCs/>
                <w:vertAlign w:val="superscript"/>
              </w:rPr>
              <w:t>1</w:t>
            </w:r>
            <w:r w:rsidRPr="00724E7B">
              <w:rPr>
                <w:rFonts w:ascii="Times New Roman" w:eastAsia="Times New Roman" w:hAnsi="Times New Roman" w:cs="Times New Roman"/>
                <w:b/>
                <w:bCs/>
              </w:rPr>
              <w:t xml:space="preserve"> alin. (2), litera f)</w:t>
            </w:r>
            <w:r w:rsidRPr="00724E7B">
              <w:rPr>
                <w:rFonts w:ascii="Times New Roman" w:eastAsia="Times New Roman" w:hAnsi="Times New Roman" w:cs="Times New Roman"/>
              </w:rPr>
              <w:t xml:space="preserve"> de exclus din</w:t>
            </w:r>
            <w:r>
              <w:rPr>
                <w:rFonts w:ascii="Times New Roman" w:eastAsia="Times New Roman" w:hAnsi="Times New Roman" w:cs="Times New Roman"/>
              </w:rPr>
              <w:t xml:space="preserve"> </w:t>
            </w:r>
            <w:r w:rsidRPr="00724E7B">
              <w:rPr>
                <w:rFonts w:ascii="Times New Roman" w:eastAsia="Times New Roman" w:hAnsi="Times New Roman" w:cs="Times New Roman"/>
              </w:rPr>
              <w:t>considerentele expuse la Art. I. din prezentul aviz.</w:t>
            </w:r>
          </w:p>
        </w:tc>
        <w:tc>
          <w:tcPr>
            <w:tcW w:w="5505" w:type="dxa"/>
          </w:tcPr>
          <w:p w14:paraId="2A5EF00A" w14:textId="77777777" w:rsidR="007338AE" w:rsidRDefault="007338AE">
            <w:pPr>
              <w:pBdr>
                <w:top w:val="nil"/>
                <w:left w:val="nil"/>
                <w:bottom w:val="nil"/>
                <w:right w:val="nil"/>
                <w:between w:val="nil"/>
              </w:pBdr>
              <w:jc w:val="both"/>
              <w:rPr>
                <w:rFonts w:ascii="Times New Roman" w:eastAsia="Times New Roman" w:hAnsi="Times New Roman" w:cs="Times New Roman"/>
                <w:b/>
                <w:bCs/>
              </w:rPr>
            </w:pPr>
          </w:p>
        </w:tc>
      </w:tr>
      <w:tr w:rsidR="007338AE" w14:paraId="41F95CC8" w14:textId="77777777">
        <w:tc>
          <w:tcPr>
            <w:tcW w:w="480" w:type="dxa"/>
          </w:tcPr>
          <w:p w14:paraId="5EB8E5BA" w14:textId="77777777" w:rsidR="007338AE" w:rsidRDefault="007338AE">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652054E" w14:textId="77777777" w:rsidR="007338AE" w:rsidRPr="00B24464" w:rsidRDefault="007338AE">
            <w:pPr>
              <w:jc w:val="both"/>
              <w:rPr>
                <w:rFonts w:ascii="Times New Roman" w:eastAsia="Times New Roman" w:hAnsi="Times New Roman" w:cs="Times New Roman"/>
                <w:b/>
                <w:bCs/>
              </w:rPr>
            </w:pPr>
          </w:p>
        </w:tc>
        <w:tc>
          <w:tcPr>
            <w:tcW w:w="1800" w:type="dxa"/>
          </w:tcPr>
          <w:p w14:paraId="43A28163" w14:textId="78854509" w:rsidR="007338AE" w:rsidRDefault="00724E7B">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4485" w:type="dxa"/>
          </w:tcPr>
          <w:p w14:paraId="4ADE9217" w14:textId="77777777" w:rsidR="00724E7B" w:rsidRPr="00724E7B" w:rsidRDefault="00724E7B" w:rsidP="00724E7B">
            <w:pPr>
              <w:pBdr>
                <w:top w:val="nil"/>
                <w:left w:val="nil"/>
                <w:bottom w:val="nil"/>
                <w:right w:val="nil"/>
                <w:between w:val="nil"/>
              </w:pBdr>
              <w:jc w:val="both"/>
              <w:rPr>
                <w:rFonts w:ascii="Times New Roman" w:eastAsia="Times New Roman" w:hAnsi="Times New Roman" w:cs="Times New Roman"/>
                <w:b/>
                <w:bCs/>
              </w:rPr>
            </w:pPr>
            <w:r w:rsidRPr="00724E7B">
              <w:rPr>
                <w:rFonts w:ascii="Times New Roman" w:eastAsia="Times New Roman" w:hAnsi="Times New Roman" w:cs="Times New Roman"/>
                <w:b/>
                <w:bCs/>
              </w:rPr>
              <w:t>La pct. 30, la articolul 33 alineatul (1):</w:t>
            </w:r>
          </w:p>
          <w:p w14:paraId="64486888" w14:textId="05EFD977" w:rsidR="00724E7B" w:rsidRPr="00724E7B"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 xml:space="preserve">- </w:t>
            </w:r>
            <w:r w:rsidRPr="00724E7B">
              <w:rPr>
                <w:rFonts w:ascii="Times New Roman" w:eastAsia="Times New Roman" w:hAnsi="Times New Roman" w:cs="Times New Roman"/>
                <w:b/>
                <w:bCs/>
              </w:rPr>
              <w:t>la litera u)</w:t>
            </w:r>
            <w:r w:rsidRPr="00724E7B">
              <w:rPr>
                <w:rFonts w:ascii="Times New Roman" w:eastAsia="Times New Roman" w:hAnsi="Times New Roman" w:cs="Times New Roman"/>
              </w:rPr>
              <w:t xml:space="preserve"> cuvintele </w:t>
            </w:r>
            <w:r w:rsidRPr="00724E7B">
              <w:rPr>
                <w:rFonts w:ascii="Times New Roman" w:eastAsia="Times New Roman" w:hAnsi="Times New Roman" w:cs="Times New Roman"/>
                <w:i/>
                <w:iCs/>
              </w:rPr>
              <w:t>„suspendarea sau”</w:t>
            </w:r>
            <w:r w:rsidRPr="00724E7B">
              <w:rPr>
                <w:rFonts w:ascii="Times New Roman" w:eastAsia="Times New Roman" w:hAnsi="Times New Roman" w:cs="Times New Roman"/>
              </w:rPr>
              <w:t xml:space="preserve"> se propune de exclus, deoarece</w:t>
            </w:r>
            <w:r>
              <w:rPr>
                <w:rFonts w:ascii="Times New Roman" w:eastAsia="Times New Roman" w:hAnsi="Times New Roman" w:cs="Times New Roman"/>
              </w:rPr>
              <w:t xml:space="preserve"> </w:t>
            </w:r>
            <w:r w:rsidRPr="00724E7B">
              <w:rPr>
                <w:rFonts w:ascii="Times New Roman" w:eastAsia="Times New Roman" w:hAnsi="Times New Roman" w:cs="Times New Roman"/>
              </w:rPr>
              <w:t xml:space="preserve">legislația în vigoare nu prevede așa procedură ca </w:t>
            </w:r>
            <w:r w:rsidRPr="00724E7B">
              <w:rPr>
                <w:rFonts w:ascii="Times New Roman" w:eastAsia="Times New Roman" w:hAnsi="Times New Roman" w:cs="Times New Roman"/>
                <w:i/>
                <w:iCs/>
              </w:rPr>
              <w:t>„suspendarea reorganizării”.</w:t>
            </w:r>
          </w:p>
          <w:p w14:paraId="4C4A9D23" w14:textId="405DE753" w:rsidR="007338AE"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 xml:space="preserve">- </w:t>
            </w:r>
            <w:r w:rsidRPr="00724E7B">
              <w:rPr>
                <w:rFonts w:ascii="Times New Roman" w:eastAsia="Times New Roman" w:hAnsi="Times New Roman" w:cs="Times New Roman"/>
                <w:b/>
                <w:bCs/>
              </w:rPr>
              <w:t>litera y)</w:t>
            </w:r>
            <w:r w:rsidRPr="00724E7B">
              <w:rPr>
                <w:rFonts w:ascii="Times New Roman" w:eastAsia="Times New Roman" w:hAnsi="Times New Roman" w:cs="Times New Roman"/>
              </w:rPr>
              <w:t xml:space="preserve"> se propune de completat cu textul </w:t>
            </w:r>
            <w:r w:rsidRPr="00724E7B">
              <w:rPr>
                <w:rFonts w:ascii="Times New Roman" w:eastAsia="Times New Roman" w:hAnsi="Times New Roman" w:cs="Times New Roman"/>
                <w:i/>
                <w:iCs/>
              </w:rPr>
              <w:t>„(sau, dacă există, codul fiscal al</w:t>
            </w:r>
            <w:r>
              <w:rPr>
                <w:rFonts w:ascii="Times New Roman" w:eastAsia="Times New Roman" w:hAnsi="Times New Roman" w:cs="Times New Roman"/>
                <w:i/>
                <w:iCs/>
              </w:rPr>
              <w:t xml:space="preserve"> </w:t>
            </w:r>
            <w:r w:rsidRPr="00724E7B">
              <w:rPr>
                <w:rFonts w:ascii="Times New Roman" w:eastAsia="Times New Roman" w:hAnsi="Times New Roman" w:cs="Times New Roman"/>
                <w:i/>
                <w:iCs/>
              </w:rPr>
              <w:t xml:space="preserve">formei de </w:t>
            </w:r>
            <w:r w:rsidRPr="00724E7B">
              <w:rPr>
                <w:rFonts w:ascii="Times New Roman" w:eastAsia="Times New Roman" w:hAnsi="Times New Roman" w:cs="Times New Roman"/>
                <w:i/>
                <w:iCs/>
              </w:rPr>
              <w:lastRenderedPageBreak/>
              <w:t>exercitare a profesiei)”,</w:t>
            </w:r>
            <w:r w:rsidRPr="00724E7B">
              <w:rPr>
                <w:rFonts w:ascii="Times New Roman" w:eastAsia="Times New Roman" w:hAnsi="Times New Roman" w:cs="Times New Roman"/>
              </w:rPr>
              <w:t xml:space="preserve"> deoarece funcția de lichidator poate fi exercitată</w:t>
            </w:r>
            <w:r>
              <w:rPr>
                <w:rFonts w:ascii="Times New Roman" w:eastAsia="Times New Roman" w:hAnsi="Times New Roman" w:cs="Times New Roman"/>
              </w:rPr>
              <w:t xml:space="preserve"> </w:t>
            </w:r>
            <w:r w:rsidRPr="00724E7B">
              <w:rPr>
                <w:rFonts w:ascii="Times New Roman" w:eastAsia="Times New Roman" w:hAnsi="Times New Roman" w:cs="Times New Roman"/>
              </w:rPr>
              <w:t>și de către administratori autorizați.</w:t>
            </w:r>
          </w:p>
        </w:tc>
        <w:tc>
          <w:tcPr>
            <w:tcW w:w="5505" w:type="dxa"/>
          </w:tcPr>
          <w:p w14:paraId="657B3050" w14:textId="77777777" w:rsidR="007338AE" w:rsidRDefault="007338AE">
            <w:pPr>
              <w:pBdr>
                <w:top w:val="nil"/>
                <w:left w:val="nil"/>
                <w:bottom w:val="nil"/>
                <w:right w:val="nil"/>
                <w:between w:val="nil"/>
              </w:pBdr>
              <w:jc w:val="both"/>
              <w:rPr>
                <w:rFonts w:ascii="Times New Roman" w:eastAsia="Times New Roman" w:hAnsi="Times New Roman" w:cs="Times New Roman"/>
                <w:b/>
                <w:bCs/>
              </w:rPr>
            </w:pPr>
          </w:p>
        </w:tc>
      </w:tr>
      <w:tr w:rsidR="007338AE" w14:paraId="419BAFF4" w14:textId="77777777">
        <w:tc>
          <w:tcPr>
            <w:tcW w:w="480" w:type="dxa"/>
          </w:tcPr>
          <w:p w14:paraId="7474D1E7" w14:textId="77777777" w:rsidR="007338AE" w:rsidRDefault="007338AE">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0A584FA" w14:textId="77777777" w:rsidR="007338AE" w:rsidRPr="00B24464" w:rsidRDefault="007338AE">
            <w:pPr>
              <w:jc w:val="both"/>
              <w:rPr>
                <w:rFonts w:ascii="Times New Roman" w:eastAsia="Times New Roman" w:hAnsi="Times New Roman" w:cs="Times New Roman"/>
                <w:b/>
                <w:bCs/>
              </w:rPr>
            </w:pPr>
          </w:p>
        </w:tc>
        <w:tc>
          <w:tcPr>
            <w:tcW w:w="1800" w:type="dxa"/>
          </w:tcPr>
          <w:p w14:paraId="28EB409D" w14:textId="6D8042A0" w:rsidR="007338AE" w:rsidRDefault="00724E7B">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4485" w:type="dxa"/>
          </w:tcPr>
          <w:p w14:paraId="4AF56AB4" w14:textId="0DCEDED2" w:rsidR="00724E7B" w:rsidRPr="00724E7B"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Se propune de exclus modi</w:t>
            </w:r>
            <w:r>
              <w:rPr>
                <w:rFonts w:ascii="Times New Roman" w:eastAsia="Times New Roman" w:hAnsi="Times New Roman" w:cs="Times New Roman"/>
              </w:rPr>
              <w:t>fi</w:t>
            </w:r>
            <w:r w:rsidRPr="00724E7B">
              <w:rPr>
                <w:rFonts w:ascii="Times New Roman" w:eastAsia="Times New Roman" w:hAnsi="Times New Roman" w:cs="Times New Roman"/>
              </w:rPr>
              <w:t xml:space="preserve">cările care vizează </w:t>
            </w:r>
            <w:r w:rsidRPr="00724E7B">
              <w:rPr>
                <w:rFonts w:ascii="Times New Roman" w:eastAsia="Times New Roman" w:hAnsi="Times New Roman" w:cs="Times New Roman"/>
                <w:b/>
                <w:bCs/>
              </w:rPr>
              <w:t>alinatul (2) literele a) și c</w:t>
            </w:r>
            <w:r w:rsidRPr="00724E7B">
              <w:rPr>
                <w:rFonts w:ascii="Times New Roman" w:eastAsia="Times New Roman" w:hAnsi="Times New Roman" w:cs="Times New Roman"/>
                <w:b/>
                <w:bCs/>
                <w:vertAlign w:val="superscript"/>
              </w:rPr>
              <w:t>1</w:t>
            </w:r>
            <w:r w:rsidRPr="00724E7B">
              <w:rPr>
                <w:rFonts w:ascii="Times New Roman" w:eastAsia="Times New Roman" w:hAnsi="Times New Roman" w:cs="Times New Roman"/>
                <w:b/>
                <w:bCs/>
              </w:rPr>
              <w:t xml:space="preserve">) </w:t>
            </w:r>
            <w:r w:rsidRPr="00724E7B">
              <w:rPr>
                <w:rFonts w:ascii="Times New Roman" w:eastAsia="Times New Roman" w:hAnsi="Times New Roman" w:cs="Times New Roman"/>
              </w:rPr>
              <w:t>cu</w:t>
            </w:r>
            <w:r>
              <w:rPr>
                <w:rFonts w:ascii="Times New Roman" w:eastAsia="Times New Roman" w:hAnsi="Times New Roman" w:cs="Times New Roman"/>
              </w:rPr>
              <w:t xml:space="preserve"> </w:t>
            </w:r>
            <w:r w:rsidRPr="00724E7B">
              <w:rPr>
                <w:rFonts w:ascii="Times New Roman" w:eastAsia="Times New Roman" w:hAnsi="Times New Roman" w:cs="Times New Roman"/>
              </w:rPr>
              <w:t>păstrarea redacției actuale a normelor din următoarele considerente.</w:t>
            </w:r>
          </w:p>
          <w:p w14:paraId="7A4271ED" w14:textId="10668932" w:rsidR="00724E7B" w:rsidRPr="00724E7B"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Potrivit pct. 25.1 din H.G. 236/06.05.2026 pentru aprobarea Conceptului</w:t>
            </w:r>
            <w:r>
              <w:rPr>
                <w:rFonts w:ascii="Times New Roman" w:eastAsia="Times New Roman" w:hAnsi="Times New Roman" w:cs="Times New Roman"/>
              </w:rPr>
              <w:t xml:space="preserve"> </w:t>
            </w:r>
            <w:r w:rsidRPr="00724E7B">
              <w:rPr>
                <w:rFonts w:ascii="Times New Roman" w:eastAsia="Times New Roman" w:hAnsi="Times New Roman" w:cs="Times New Roman"/>
              </w:rPr>
              <w:t>Sistemului informațional "Registrul de stat al populației" și a Regulamentului</w:t>
            </w:r>
            <w:r>
              <w:rPr>
                <w:rFonts w:ascii="Times New Roman" w:eastAsia="Times New Roman" w:hAnsi="Times New Roman" w:cs="Times New Roman"/>
              </w:rPr>
              <w:t xml:space="preserve"> </w:t>
            </w:r>
            <w:r w:rsidRPr="00724E7B">
              <w:rPr>
                <w:rFonts w:ascii="Times New Roman" w:eastAsia="Times New Roman" w:hAnsi="Times New Roman" w:cs="Times New Roman"/>
              </w:rPr>
              <w:t>privind modul de tinere a Registrului de stat al populației: ”indicele de bază de</w:t>
            </w:r>
            <w:r>
              <w:rPr>
                <w:rFonts w:ascii="Times New Roman" w:eastAsia="Times New Roman" w:hAnsi="Times New Roman" w:cs="Times New Roman"/>
              </w:rPr>
              <w:t xml:space="preserve"> </w:t>
            </w:r>
            <w:r w:rsidRPr="00724E7B">
              <w:rPr>
                <w:rFonts w:ascii="Times New Roman" w:eastAsia="Times New Roman" w:hAnsi="Times New Roman" w:cs="Times New Roman"/>
              </w:rPr>
              <w:t>identificare a obiectului informațional "Persoana fizică" este numărul de</w:t>
            </w:r>
            <w:r>
              <w:rPr>
                <w:rFonts w:ascii="Times New Roman" w:eastAsia="Times New Roman" w:hAnsi="Times New Roman" w:cs="Times New Roman"/>
              </w:rPr>
              <w:t xml:space="preserve"> </w:t>
            </w:r>
            <w:r w:rsidRPr="00724E7B">
              <w:rPr>
                <w:rFonts w:ascii="Times New Roman" w:eastAsia="Times New Roman" w:hAnsi="Times New Roman" w:cs="Times New Roman"/>
              </w:rPr>
              <w:t>identificare de stat al persoanei fizice, specificat conform uzanțelor internaționale</w:t>
            </w:r>
            <w:r>
              <w:rPr>
                <w:rFonts w:ascii="Times New Roman" w:eastAsia="Times New Roman" w:hAnsi="Times New Roman" w:cs="Times New Roman"/>
              </w:rPr>
              <w:t xml:space="preserve"> </w:t>
            </w:r>
            <w:r w:rsidRPr="00724E7B">
              <w:rPr>
                <w:rFonts w:ascii="Times New Roman" w:eastAsia="Times New Roman" w:hAnsi="Times New Roman" w:cs="Times New Roman"/>
              </w:rPr>
              <w:t xml:space="preserve">ca abreviere a sintagmei în limba engleză </w:t>
            </w:r>
            <w:r w:rsidRPr="00965219">
              <w:rPr>
                <w:rFonts w:ascii="Times New Roman" w:eastAsia="Times New Roman" w:hAnsi="Times New Roman" w:cs="Times New Roman"/>
                <w:lang w:val="it-IT"/>
              </w:rPr>
              <w:t xml:space="preserve">Identification Number of Person – </w:t>
            </w:r>
            <w:r w:rsidRPr="00724E7B">
              <w:rPr>
                <w:rFonts w:ascii="Times New Roman" w:eastAsia="Times New Roman" w:hAnsi="Times New Roman" w:cs="Times New Roman"/>
              </w:rPr>
              <w:t>IDNP,</w:t>
            </w:r>
            <w:r>
              <w:rPr>
                <w:rFonts w:ascii="Times New Roman" w:eastAsia="Times New Roman" w:hAnsi="Times New Roman" w:cs="Times New Roman"/>
              </w:rPr>
              <w:t xml:space="preserve"> </w:t>
            </w:r>
            <w:r w:rsidRPr="00724E7B">
              <w:rPr>
                <w:rFonts w:ascii="Times New Roman" w:eastAsia="Times New Roman" w:hAnsi="Times New Roman" w:cs="Times New Roman"/>
              </w:rPr>
              <w:t>format din 13 cifre.</w:t>
            </w:r>
          </w:p>
          <w:p w14:paraId="556A6AD7" w14:textId="0E0D44FA" w:rsidR="00724E7B" w:rsidRPr="00724E7B"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Mai mult ca atât, în prezent, în cadrul Sistemului Informațional RSUD este</w:t>
            </w:r>
            <w:r>
              <w:rPr>
                <w:rFonts w:ascii="Times New Roman" w:eastAsia="Times New Roman" w:hAnsi="Times New Roman" w:cs="Times New Roman"/>
              </w:rPr>
              <w:t xml:space="preserve"> </w:t>
            </w:r>
            <w:r w:rsidRPr="00724E7B">
              <w:rPr>
                <w:rFonts w:ascii="Times New Roman" w:eastAsia="Times New Roman" w:hAnsi="Times New Roman" w:cs="Times New Roman"/>
              </w:rPr>
              <w:t>implementată o restricție tehnică potrivit căreia desemnarea unei persoane</w:t>
            </w:r>
            <w:r>
              <w:rPr>
                <w:rFonts w:ascii="Times New Roman" w:eastAsia="Times New Roman" w:hAnsi="Times New Roman" w:cs="Times New Roman"/>
              </w:rPr>
              <w:t xml:space="preserve"> </w:t>
            </w:r>
            <w:r w:rsidRPr="00724E7B">
              <w:rPr>
                <w:rFonts w:ascii="Times New Roman" w:eastAsia="Times New Roman" w:hAnsi="Times New Roman" w:cs="Times New Roman"/>
              </w:rPr>
              <w:t>în calitate de administrator este condiționată de indicarea unui IDNP valid. Această</w:t>
            </w:r>
            <w:r>
              <w:rPr>
                <w:rFonts w:ascii="Times New Roman" w:eastAsia="Times New Roman" w:hAnsi="Times New Roman" w:cs="Times New Roman"/>
              </w:rPr>
              <w:t xml:space="preserve"> </w:t>
            </w:r>
            <w:r w:rsidRPr="00724E7B">
              <w:rPr>
                <w:rFonts w:ascii="Times New Roman" w:eastAsia="Times New Roman" w:hAnsi="Times New Roman" w:cs="Times New Roman"/>
              </w:rPr>
              <w:t>cerință rezultă din specificul atribuțiilor administratorului și din necesitatea</w:t>
            </w:r>
            <w:r>
              <w:rPr>
                <w:rFonts w:ascii="Times New Roman" w:eastAsia="Times New Roman" w:hAnsi="Times New Roman" w:cs="Times New Roman"/>
              </w:rPr>
              <w:t xml:space="preserve"> </w:t>
            </w:r>
            <w:r w:rsidRPr="00724E7B">
              <w:rPr>
                <w:rFonts w:ascii="Times New Roman" w:eastAsia="Times New Roman" w:hAnsi="Times New Roman" w:cs="Times New Roman"/>
              </w:rPr>
              <w:t>interacțiunii acestuia cu platformele și serviciile electronice guvernamentale</w:t>
            </w:r>
            <w:r>
              <w:rPr>
                <w:rFonts w:ascii="Times New Roman" w:eastAsia="Times New Roman" w:hAnsi="Times New Roman" w:cs="Times New Roman"/>
              </w:rPr>
              <w:t xml:space="preserve"> </w:t>
            </w:r>
            <w:r w:rsidRPr="00724E7B">
              <w:rPr>
                <w:rFonts w:ascii="Times New Roman" w:eastAsia="Times New Roman" w:hAnsi="Times New Roman" w:cs="Times New Roman"/>
              </w:rPr>
              <w:t>utilizate în procesul de administrare și raportare a activității persoanei juridice.</w:t>
            </w:r>
          </w:p>
          <w:p w14:paraId="144C81EF" w14:textId="3598728D" w:rsidR="00724E7B" w:rsidRPr="00724E7B"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În particular, administratorul utilizează, printre altele: cabinetul electronic</w:t>
            </w:r>
            <w:r>
              <w:rPr>
                <w:rFonts w:ascii="Times New Roman" w:eastAsia="Times New Roman" w:hAnsi="Times New Roman" w:cs="Times New Roman"/>
              </w:rPr>
              <w:t xml:space="preserve"> </w:t>
            </w:r>
            <w:r w:rsidRPr="00724E7B">
              <w:rPr>
                <w:rFonts w:ascii="Times New Roman" w:eastAsia="Times New Roman" w:hAnsi="Times New Roman" w:cs="Times New Roman"/>
              </w:rPr>
              <w:t xml:space="preserve">al persoanei juridice; ghișeul unic de raportare </w:t>
            </w:r>
            <w:r w:rsidRPr="00724E7B">
              <w:rPr>
                <w:rFonts w:ascii="Times New Roman" w:eastAsia="Times New Roman" w:hAnsi="Times New Roman" w:cs="Times New Roman"/>
              </w:rPr>
              <w:lastRenderedPageBreak/>
              <w:t>al Serviciului Fiscal de Stat; alte</w:t>
            </w:r>
            <w:r>
              <w:rPr>
                <w:rFonts w:ascii="Times New Roman" w:eastAsia="Times New Roman" w:hAnsi="Times New Roman" w:cs="Times New Roman"/>
              </w:rPr>
              <w:t xml:space="preserve"> </w:t>
            </w:r>
            <w:r w:rsidRPr="00724E7B">
              <w:rPr>
                <w:rFonts w:ascii="Times New Roman" w:eastAsia="Times New Roman" w:hAnsi="Times New Roman" w:cs="Times New Roman"/>
              </w:rPr>
              <w:t>servicii electronice destinate raportării sau schimbului de informații cu Serviciul</w:t>
            </w:r>
            <w:r>
              <w:rPr>
                <w:rFonts w:ascii="Times New Roman" w:eastAsia="Times New Roman" w:hAnsi="Times New Roman" w:cs="Times New Roman"/>
              </w:rPr>
              <w:t xml:space="preserve"> </w:t>
            </w:r>
            <w:r w:rsidRPr="00724E7B">
              <w:rPr>
                <w:rFonts w:ascii="Times New Roman" w:eastAsia="Times New Roman" w:hAnsi="Times New Roman" w:cs="Times New Roman"/>
              </w:rPr>
              <w:t>Fiscal de Stat, Casa Națională de Asigurări Sociale, Biroul Național de Statistică și</w:t>
            </w:r>
            <w:r>
              <w:rPr>
                <w:rFonts w:ascii="Times New Roman" w:eastAsia="Times New Roman" w:hAnsi="Times New Roman" w:cs="Times New Roman"/>
              </w:rPr>
              <w:t xml:space="preserve"> </w:t>
            </w:r>
            <w:r w:rsidRPr="00724E7B">
              <w:rPr>
                <w:rFonts w:ascii="Times New Roman" w:eastAsia="Times New Roman" w:hAnsi="Times New Roman" w:cs="Times New Roman"/>
              </w:rPr>
              <w:t>alte autorități competente.</w:t>
            </w:r>
          </w:p>
          <w:p w14:paraId="641AA00C" w14:textId="5BE5120F" w:rsidR="007338AE" w:rsidRDefault="00724E7B" w:rsidP="00724E7B">
            <w:pPr>
              <w:pBdr>
                <w:top w:val="nil"/>
                <w:left w:val="nil"/>
                <w:bottom w:val="nil"/>
                <w:right w:val="nil"/>
                <w:between w:val="nil"/>
              </w:pBdr>
              <w:jc w:val="both"/>
              <w:rPr>
                <w:rFonts w:ascii="Times New Roman" w:eastAsia="Times New Roman" w:hAnsi="Times New Roman" w:cs="Times New Roman"/>
              </w:rPr>
            </w:pPr>
            <w:r w:rsidRPr="00724E7B">
              <w:rPr>
                <w:rFonts w:ascii="Times New Roman" w:eastAsia="Times New Roman" w:hAnsi="Times New Roman" w:cs="Times New Roman"/>
              </w:rPr>
              <w:t>Accesul la aceste sisteme informaționale se realizează prin intermediul</w:t>
            </w:r>
            <w:r>
              <w:rPr>
                <w:rFonts w:ascii="Times New Roman" w:eastAsia="Times New Roman" w:hAnsi="Times New Roman" w:cs="Times New Roman"/>
              </w:rPr>
              <w:t xml:space="preserve"> </w:t>
            </w:r>
            <w:r w:rsidRPr="00724E7B">
              <w:rPr>
                <w:rFonts w:ascii="Times New Roman" w:eastAsia="Times New Roman" w:hAnsi="Times New Roman" w:cs="Times New Roman"/>
              </w:rPr>
              <w:t xml:space="preserve">serviciului guvernamental de autentificare electronică </w:t>
            </w:r>
            <w:proofErr w:type="spellStart"/>
            <w:r w:rsidRPr="00724E7B">
              <w:rPr>
                <w:rFonts w:ascii="Times New Roman" w:eastAsia="Times New Roman" w:hAnsi="Times New Roman" w:cs="Times New Roman"/>
              </w:rPr>
              <w:t>MPass</w:t>
            </w:r>
            <w:proofErr w:type="spellEnd"/>
            <w:r w:rsidRPr="00724E7B">
              <w:rPr>
                <w:rFonts w:ascii="Times New Roman" w:eastAsia="Times New Roman" w:hAnsi="Times New Roman" w:cs="Times New Roman"/>
              </w:rPr>
              <w:t>, care</w:t>
            </w:r>
            <w:r>
              <w:rPr>
                <w:rFonts w:ascii="Times New Roman" w:eastAsia="Times New Roman" w:hAnsi="Times New Roman" w:cs="Times New Roman"/>
              </w:rPr>
              <w:t xml:space="preserve"> </w:t>
            </w:r>
            <w:r w:rsidRPr="00724E7B">
              <w:rPr>
                <w:rFonts w:ascii="Times New Roman" w:eastAsia="Times New Roman" w:hAnsi="Times New Roman" w:cs="Times New Roman"/>
              </w:rPr>
              <w:t>presupune identificarea univocă a persoanei prin IDNP. În aceste condiții,</w:t>
            </w:r>
            <w:r>
              <w:rPr>
                <w:rFonts w:ascii="Times New Roman" w:eastAsia="Times New Roman" w:hAnsi="Times New Roman" w:cs="Times New Roman"/>
              </w:rPr>
              <w:t xml:space="preserve"> </w:t>
            </w:r>
            <w:r w:rsidRPr="00724E7B">
              <w:rPr>
                <w:rFonts w:ascii="Times New Roman" w:eastAsia="Times New Roman" w:hAnsi="Times New Roman" w:cs="Times New Roman"/>
              </w:rPr>
              <w:t>obligativitatea indicării IDNP pentru administrator reprezintă o cerință</w:t>
            </w:r>
            <w:r>
              <w:rPr>
                <w:rFonts w:ascii="Times New Roman" w:eastAsia="Times New Roman" w:hAnsi="Times New Roman" w:cs="Times New Roman"/>
              </w:rPr>
              <w:t xml:space="preserve"> </w:t>
            </w:r>
            <w:r w:rsidRPr="00724E7B">
              <w:rPr>
                <w:rFonts w:ascii="Times New Roman" w:eastAsia="Times New Roman" w:hAnsi="Times New Roman" w:cs="Times New Roman"/>
              </w:rPr>
              <w:t>tehnică necesară pentru asigurarea funcționalității mecanismelor de autentificare și</w:t>
            </w:r>
            <w:r>
              <w:rPr>
                <w:rFonts w:ascii="Times New Roman" w:eastAsia="Times New Roman" w:hAnsi="Times New Roman" w:cs="Times New Roman"/>
              </w:rPr>
              <w:t xml:space="preserve"> </w:t>
            </w:r>
            <w:r w:rsidRPr="00724E7B">
              <w:rPr>
                <w:rFonts w:ascii="Times New Roman" w:eastAsia="Times New Roman" w:hAnsi="Times New Roman" w:cs="Times New Roman"/>
              </w:rPr>
              <w:t>a interoperabilității cu infrastructura digitală guvernamentală, precum și pentru</w:t>
            </w:r>
            <w:r>
              <w:rPr>
                <w:rFonts w:ascii="Times New Roman" w:eastAsia="Times New Roman" w:hAnsi="Times New Roman" w:cs="Times New Roman"/>
              </w:rPr>
              <w:t xml:space="preserve"> </w:t>
            </w:r>
            <w:r w:rsidRPr="00724E7B">
              <w:rPr>
                <w:rFonts w:ascii="Times New Roman" w:eastAsia="Times New Roman" w:hAnsi="Times New Roman" w:cs="Times New Roman"/>
              </w:rPr>
              <w:t>exercitarea efectivă a atribuțiilor administratorului în raport cu autoritățile publice.</w:t>
            </w:r>
          </w:p>
        </w:tc>
        <w:tc>
          <w:tcPr>
            <w:tcW w:w="5505" w:type="dxa"/>
          </w:tcPr>
          <w:p w14:paraId="6C7AE478" w14:textId="77777777" w:rsidR="007338AE" w:rsidRDefault="007338AE">
            <w:pPr>
              <w:pBdr>
                <w:top w:val="nil"/>
                <w:left w:val="nil"/>
                <w:bottom w:val="nil"/>
                <w:right w:val="nil"/>
                <w:between w:val="nil"/>
              </w:pBdr>
              <w:jc w:val="both"/>
              <w:rPr>
                <w:rFonts w:ascii="Times New Roman" w:eastAsia="Times New Roman" w:hAnsi="Times New Roman" w:cs="Times New Roman"/>
                <w:b/>
                <w:bCs/>
              </w:rPr>
            </w:pPr>
          </w:p>
        </w:tc>
      </w:tr>
      <w:tr w:rsidR="00724E7B" w14:paraId="6FB265B1" w14:textId="77777777">
        <w:tc>
          <w:tcPr>
            <w:tcW w:w="480" w:type="dxa"/>
          </w:tcPr>
          <w:p w14:paraId="7C69815C" w14:textId="77777777" w:rsidR="00724E7B" w:rsidRDefault="00724E7B">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7694AF9D" w14:textId="77777777" w:rsidR="00724E7B" w:rsidRPr="00B24464" w:rsidRDefault="00724E7B">
            <w:pPr>
              <w:jc w:val="both"/>
              <w:rPr>
                <w:rFonts w:ascii="Times New Roman" w:eastAsia="Times New Roman" w:hAnsi="Times New Roman" w:cs="Times New Roman"/>
                <w:b/>
                <w:bCs/>
              </w:rPr>
            </w:pPr>
          </w:p>
        </w:tc>
        <w:tc>
          <w:tcPr>
            <w:tcW w:w="1800" w:type="dxa"/>
          </w:tcPr>
          <w:p w14:paraId="41220A5A" w14:textId="0874F7FB" w:rsidR="00724E7B" w:rsidRDefault="0086041A">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8</w:t>
            </w:r>
          </w:p>
        </w:tc>
        <w:tc>
          <w:tcPr>
            <w:tcW w:w="4485" w:type="dxa"/>
          </w:tcPr>
          <w:p w14:paraId="239CBDA0" w14:textId="290D6A71" w:rsidR="0086041A" w:rsidRPr="0086041A" w:rsidRDefault="0086041A" w:rsidP="0086041A">
            <w:pPr>
              <w:pBdr>
                <w:top w:val="nil"/>
                <w:left w:val="nil"/>
                <w:bottom w:val="nil"/>
                <w:right w:val="nil"/>
                <w:between w:val="nil"/>
              </w:pBdr>
              <w:jc w:val="both"/>
              <w:rPr>
                <w:rFonts w:ascii="Times New Roman" w:eastAsia="Times New Roman" w:hAnsi="Times New Roman" w:cs="Times New Roman"/>
              </w:rPr>
            </w:pPr>
            <w:r w:rsidRPr="0086041A">
              <w:rPr>
                <w:rFonts w:ascii="Times New Roman" w:eastAsia="Times New Roman" w:hAnsi="Times New Roman" w:cs="Times New Roman"/>
              </w:rPr>
              <w:t xml:space="preserve">Se propune la </w:t>
            </w:r>
            <w:r w:rsidRPr="0086041A">
              <w:rPr>
                <w:rFonts w:ascii="Times New Roman" w:eastAsia="Times New Roman" w:hAnsi="Times New Roman" w:cs="Times New Roman"/>
                <w:b/>
                <w:bCs/>
              </w:rPr>
              <w:t>alineatului (1) al articolul 36</w:t>
            </w:r>
            <w:r w:rsidRPr="0086041A">
              <w:rPr>
                <w:rFonts w:ascii="Times New Roman" w:eastAsia="Times New Roman" w:hAnsi="Times New Roman" w:cs="Times New Roman"/>
              </w:rPr>
              <w:t xml:space="preserve"> de exclus cuvântul </w:t>
            </w:r>
            <w:r>
              <w:rPr>
                <w:rFonts w:ascii="Times New Roman" w:eastAsia="Times New Roman" w:hAnsi="Times New Roman" w:cs="Times New Roman"/>
                <w:i/>
                <w:iCs/>
              </w:rPr>
              <w:t>„</w:t>
            </w:r>
            <w:r w:rsidRPr="0086041A">
              <w:rPr>
                <w:rFonts w:ascii="Times New Roman" w:eastAsia="Times New Roman" w:hAnsi="Times New Roman" w:cs="Times New Roman"/>
                <w:i/>
                <w:iCs/>
              </w:rPr>
              <w:t>teritoriale”.</w:t>
            </w:r>
          </w:p>
          <w:p w14:paraId="40205F58" w14:textId="34C52869" w:rsidR="0086041A" w:rsidRPr="0086041A" w:rsidRDefault="0086041A" w:rsidP="0086041A">
            <w:pPr>
              <w:pBdr>
                <w:top w:val="nil"/>
                <w:left w:val="nil"/>
                <w:bottom w:val="nil"/>
                <w:right w:val="nil"/>
                <w:between w:val="nil"/>
              </w:pBdr>
              <w:jc w:val="both"/>
              <w:rPr>
                <w:rFonts w:ascii="Times New Roman" w:eastAsia="Times New Roman" w:hAnsi="Times New Roman" w:cs="Times New Roman"/>
              </w:rPr>
            </w:pPr>
            <w:r w:rsidRPr="0086041A">
              <w:rPr>
                <w:rFonts w:ascii="Times New Roman" w:eastAsia="Times New Roman" w:hAnsi="Times New Roman" w:cs="Times New Roman"/>
              </w:rPr>
              <w:t>În acest sens menționăm că potrivit modificărilor operate prin Legea nr.133/2018</w:t>
            </w:r>
            <w:r>
              <w:rPr>
                <w:rFonts w:ascii="Times New Roman" w:eastAsia="Times New Roman" w:hAnsi="Times New Roman" w:cs="Times New Roman"/>
              </w:rPr>
              <w:t xml:space="preserve"> </w:t>
            </w:r>
            <w:r w:rsidRPr="0086041A">
              <w:rPr>
                <w:rFonts w:ascii="Times New Roman" w:eastAsia="Times New Roman" w:hAnsi="Times New Roman" w:cs="Times New Roman"/>
              </w:rPr>
              <w:t>privind modernizarea Codului civil, a fost exclus principiul teritorial la</w:t>
            </w:r>
            <w:r>
              <w:rPr>
                <w:rFonts w:ascii="Times New Roman" w:eastAsia="Times New Roman" w:hAnsi="Times New Roman" w:cs="Times New Roman"/>
              </w:rPr>
              <w:t xml:space="preserve"> </w:t>
            </w:r>
            <w:r w:rsidRPr="0086041A">
              <w:rPr>
                <w:rFonts w:ascii="Times New Roman" w:eastAsia="Times New Roman" w:hAnsi="Times New Roman" w:cs="Times New Roman"/>
              </w:rPr>
              <w:t>înregistrarea persoanelor juridice. Înregistrarea de stat a persoanelor juridice,</w:t>
            </w:r>
            <w:r>
              <w:rPr>
                <w:rFonts w:ascii="Times New Roman" w:eastAsia="Times New Roman" w:hAnsi="Times New Roman" w:cs="Times New Roman"/>
              </w:rPr>
              <w:t xml:space="preserve"> </w:t>
            </w:r>
            <w:r w:rsidRPr="0086041A">
              <w:rPr>
                <w:rFonts w:ascii="Times New Roman" w:eastAsia="Times New Roman" w:hAnsi="Times New Roman" w:cs="Times New Roman"/>
              </w:rPr>
              <w:t>sucursalelor acestora și a întreprinzătorilor individuali, se efectuează în cadrul</w:t>
            </w:r>
            <w:r>
              <w:rPr>
                <w:rFonts w:ascii="Times New Roman" w:eastAsia="Times New Roman" w:hAnsi="Times New Roman" w:cs="Times New Roman"/>
              </w:rPr>
              <w:t xml:space="preserve"> </w:t>
            </w:r>
            <w:r w:rsidRPr="0086041A">
              <w:rPr>
                <w:rFonts w:ascii="Times New Roman" w:eastAsia="Times New Roman" w:hAnsi="Times New Roman" w:cs="Times New Roman"/>
              </w:rPr>
              <w:t>centrelor multifuncționale ale Agenției Servicii Publice, indiferent de locul aflării</w:t>
            </w:r>
            <w:r>
              <w:rPr>
                <w:rFonts w:ascii="Times New Roman" w:eastAsia="Times New Roman" w:hAnsi="Times New Roman" w:cs="Times New Roman"/>
              </w:rPr>
              <w:t xml:space="preserve"> </w:t>
            </w:r>
            <w:r w:rsidRPr="0086041A">
              <w:rPr>
                <w:rFonts w:ascii="Times New Roman" w:eastAsia="Times New Roman" w:hAnsi="Times New Roman" w:cs="Times New Roman"/>
              </w:rPr>
              <w:t>sediului acestora. Totodată, în vederea digitalizării serviciilor publice, a fost lansat</w:t>
            </w:r>
            <w:r>
              <w:rPr>
                <w:rFonts w:ascii="Times New Roman" w:eastAsia="Times New Roman" w:hAnsi="Times New Roman" w:cs="Times New Roman"/>
              </w:rPr>
              <w:t xml:space="preserve"> </w:t>
            </w:r>
            <w:r w:rsidRPr="0086041A">
              <w:rPr>
                <w:rFonts w:ascii="Times New Roman" w:eastAsia="Times New Roman" w:hAnsi="Times New Roman" w:cs="Times New Roman"/>
              </w:rPr>
              <w:t xml:space="preserve">noul Sistem Informațional ”Registrul de stat al unităților </w:t>
            </w:r>
            <w:r w:rsidRPr="0086041A">
              <w:rPr>
                <w:rFonts w:ascii="Times New Roman" w:eastAsia="Times New Roman" w:hAnsi="Times New Roman" w:cs="Times New Roman"/>
              </w:rPr>
              <w:lastRenderedPageBreak/>
              <w:t>de drept”. Astfel, pe</w:t>
            </w:r>
            <w:r>
              <w:rPr>
                <w:rFonts w:ascii="Times New Roman" w:eastAsia="Times New Roman" w:hAnsi="Times New Roman" w:cs="Times New Roman"/>
              </w:rPr>
              <w:t xml:space="preserve"> </w:t>
            </w:r>
            <w:r w:rsidRPr="0086041A">
              <w:rPr>
                <w:rFonts w:ascii="Times New Roman" w:eastAsia="Times New Roman" w:hAnsi="Times New Roman" w:cs="Times New Roman"/>
              </w:rPr>
              <w:t xml:space="preserve">platforma </w:t>
            </w:r>
            <w:hyperlink r:id="rId9" w:history="1">
              <w:r w:rsidRPr="00AC55E7">
                <w:rPr>
                  <w:rStyle w:val="Hyperlink"/>
                  <w:rFonts w:ascii="Times New Roman" w:eastAsia="Times New Roman" w:hAnsi="Times New Roman" w:cs="Times New Roman"/>
                </w:rPr>
                <w:t>https://rsud.asp.gov.md/</w:t>
              </w:r>
            </w:hyperlink>
            <w:r w:rsidRPr="0086041A">
              <w:rPr>
                <w:rFonts w:ascii="Times New Roman" w:eastAsia="Times New Roman" w:hAnsi="Times New Roman" w:cs="Times New Roman"/>
              </w:rPr>
              <w:t>,</w:t>
            </w:r>
            <w:r>
              <w:rPr>
                <w:rFonts w:ascii="Times New Roman" w:eastAsia="Times New Roman" w:hAnsi="Times New Roman" w:cs="Times New Roman"/>
              </w:rPr>
              <w:t xml:space="preserve"> </w:t>
            </w:r>
            <w:r w:rsidRPr="0086041A">
              <w:rPr>
                <w:rFonts w:ascii="Times New Roman" w:eastAsia="Times New Roman" w:hAnsi="Times New Roman" w:cs="Times New Roman"/>
              </w:rPr>
              <w:t>la moment, este posibilă depunerea online atât</w:t>
            </w:r>
            <w:r>
              <w:rPr>
                <w:rFonts w:ascii="Times New Roman" w:eastAsia="Times New Roman" w:hAnsi="Times New Roman" w:cs="Times New Roman"/>
              </w:rPr>
              <w:t xml:space="preserve"> </w:t>
            </w:r>
            <w:r w:rsidRPr="0086041A">
              <w:rPr>
                <w:rFonts w:ascii="Times New Roman" w:eastAsia="Times New Roman" w:hAnsi="Times New Roman" w:cs="Times New Roman"/>
              </w:rPr>
              <w:t>a cererilor privind înregistrarea de stat a persoanelor juridice și a întreprinzătorilor</w:t>
            </w:r>
            <w:r>
              <w:rPr>
                <w:rFonts w:ascii="Times New Roman" w:eastAsia="Times New Roman" w:hAnsi="Times New Roman" w:cs="Times New Roman"/>
              </w:rPr>
              <w:t xml:space="preserve"> </w:t>
            </w:r>
            <w:r w:rsidRPr="0086041A">
              <w:rPr>
                <w:rFonts w:ascii="Times New Roman" w:eastAsia="Times New Roman" w:hAnsi="Times New Roman" w:cs="Times New Roman"/>
              </w:rPr>
              <w:t>individuali, c</w:t>
            </w:r>
            <w:r>
              <w:rPr>
                <w:rFonts w:ascii="Times New Roman" w:eastAsia="Times New Roman" w:hAnsi="Times New Roman" w:cs="Times New Roman"/>
              </w:rPr>
              <w:t>â</w:t>
            </w:r>
            <w:r w:rsidRPr="0086041A">
              <w:rPr>
                <w:rFonts w:ascii="Times New Roman" w:eastAsia="Times New Roman" w:hAnsi="Times New Roman" w:cs="Times New Roman"/>
              </w:rPr>
              <w:t>t și a cererilor privind serviciile conexe înregistrării. Excluderea</w:t>
            </w:r>
            <w:r>
              <w:rPr>
                <w:rFonts w:ascii="Times New Roman" w:eastAsia="Times New Roman" w:hAnsi="Times New Roman" w:cs="Times New Roman"/>
              </w:rPr>
              <w:t xml:space="preserve"> </w:t>
            </w:r>
            <w:r w:rsidRPr="0086041A">
              <w:rPr>
                <w:rFonts w:ascii="Times New Roman" w:eastAsia="Times New Roman" w:hAnsi="Times New Roman" w:cs="Times New Roman"/>
              </w:rPr>
              <w:t>acestei prevederi va contribui la eliminarea unor norme cu caracter descriptiv, care</w:t>
            </w:r>
            <w:r>
              <w:rPr>
                <w:rFonts w:ascii="Times New Roman" w:eastAsia="Times New Roman" w:hAnsi="Times New Roman" w:cs="Times New Roman"/>
              </w:rPr>
              <w:t xml:space="preserve"> </w:t>
            </w:r>
            <w:r w:rsidRPr="0086041A">
              <w:rPr>
                <w:rFonts w:ascii="Times New Roman" w:eastAsia="Times New Roman" w:hAnsi="Times New Roman" w:cs="Times New Roman"/>
              </w:rPr>
              <w:t>nu reglementează drepturi sau obligații, și va evita consacrarea în lege a unor</w:t>
            </w:r>
            <w:r>
              <w:rPr>
                <w:rFonts w:ascii="Times New Roman" w:eastAsia="Times New Roman" w:hAnsi="Times New Roman" w:cs="Times New Roman"/>
              </w:rPr>
              <w:t xml:space="preserve"> </w:t>
            </w:r>
            <w:r w:rsidRPr="0086041A">
              <w:rPr>
                <w:rFonts w:ascii="Times New Roman" w:eastAsia="Times New Roman" w:hAnsi="Times New Roman" w:cs="Times New Roman"/>
              </w:rPr>
              <w:t>aspecte ce țin de organizarea internă a organului înregistrării de stat, asigurând</w:t>
            </w:r>
            <w:r>
              <w:rPr>
                <w:rFonts w:ascii="Times New Roman" w:eastAsia="Times New Roman" w:hAnsi="Times New Roman" w:cs="Times New Roman"/>
              </w:rPr>
              <w:t xml:space="preserve"> </w:t>
            </w:r>
            <w:r w:rsidRPr="0086041A">
              <w:rPr>
                <w:rFonts w:ascii="Times New Roman" w:eastAsia="Times New Roman" w:hAnsi="Times New Roman" w:cs="Times New Roman"/>
              </w:rPr>
              <w:t>flexibilitate organizatorică prin reglementarea aspectelor respective prin acte</w:t>
            </w:r>
            <w:r>
              <w:rPr>
                <w:rFonts w:ascii="Times New Roman" w:eastAsia="Times New Roman" w:hAnsi="Times New Roman" w:cs="Times New Roman"/>
              </w:rPr>
              <w:t xml:space="preserve"> </w:t>
            </w:r>
          </w:p>
          <w:p w14:paraId="51F40353" w14:textId="089F775E" w:rsidR="00724E7B" w:rsidRDefault="0086041A" w:rsidP="0086041A">
            <w:pPr>
              <w:pBdr>
                <w:top w:val="nil"/>
                <w:left w:val="nil"/>
                <w:bottom w:val="nil"/>
                <w:right w:val="nil"/>
                <w:between w:val="nil"/>
              </w:pBdr>
              <w:jc w:val="both"/>
              <w:rPr>
                <w:rFonts w:ascii="Times New Roman" w:eastAsia="Times New Roman" w:hAnsi="Times New Roman" w:cs="Times New Roman"/>
              </w:rPr>
            </w:pPr>
            <w:r w:rsidRPr="0086041A">
              <w:rPr>
                <w:rFonts w:ascii="Times New Roman" w:eastAsia="Times New Roman" w:hAnsi="Times New Roman" w:cs="Times New Roman"/>
              </w:rPr>
              <w:t>normative interne, în conformitate cu principiile bunei administrări și ale</w:t>
            </w:r>
            <w:r>
              <w:rPr>
                <w:rFonts w:ascii="Times New Roman" w:eastAsia="Times New Roman" w:hAnsi="Times New Roman" w:cs="Times New Roman"/>
              </w:rPr>
              <w:t xml:space="preserve"> </w:t>
            </w:r>
            <w:r w:rsidRPr="0086041A">
              <w:rPr>
                <w:rFonts w:ascii="Times New Roman" w:eastAsia="Times New Roman" w:hAnsi="Times New Roman" w:cs="Times New Roman"/>
              </w:rPr>
              <w:t>autonomiei organizaționale.</w:t>
            </w:r>
          </w:p>
        </w:tc>
        <w:tc>
          <w:tcPr>
            <w:tcW w:w="5505" w:type="dxa"/>
          </w:tcPr>
          <w:p w14:paraId="19305ED2" w14:textId="77777777" w:rsidR="00724E7B" w:rsidRDefault="00724E7B">
            <w:pPr>
              <w:pBdr>
                <w:top w:val="nil"/>
                <w:left w:val="nil"/>
                <w:bottom w:val="nil"/>
                <w:right w:val="nil"/>
                <w:between w:val="nil"/>
              </w:pBdr>
              <w:jc w:val="both"/>
              <w:rPr>
                <w:rFonts w:ascii="Times New Roman" w:eastAsia="Times New Roman" w:hAnsi="Times New Roman" w:cs="Times New Roman"/>
                <w:b/>
                <w:bCs/>
              </w:rPr>
            </w:pPr>
          </w:p>
        </w:tc>
      </w:tr>
      <w:tr w:rsidR="00724E7B" w14:paraId="2BB6EF13" w14:textId="77777777">
        <w:tc>
          <w:tcPr>
            <w:tcW w:w="480" w:type="dxa"/>
          </w:tcPr>
          <w:p w14:paraId="050FED7A" w14:textId="77777777" w:rsidR="00724E7B" w:rsidRDefault="00724E7B">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4F160C07" w14:textId="77777777" w:rsidR="00724E7B" w:rsidRPr="00B24464" w:rsidRDefault="00724E7B">
            <w:pPr>
              <w:jc w:val="both"/>
              <w:rPr>
                <w:rFonts w:ascii="Times New Roman" w:eastAsia="Times New Roman" w:hAnsi="Times New Roman" w:cs="Times New Roman"/>
                <w:b/>
                <w:bCs/>
              </w:rPr>
            </w:pPr>
          </w:p>
        </w:tc>
        <w:tc>
          <w:tcPr>
            <w:tcW w:w="1800" w:type="dxa"/>
          </w:tcPr>
          <w:p w14:paraId="1BD856EA" w14:textId="68B30FF0" w:rsidR="00724E7B" w:rsidRDefault="0086041A">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9</w:t>
            </w:r>
          </w:p>
        </w:tc>
        <w:tc>
          <w:tcPr>
            <w:tcW w:w="4485" w:type="dxa"/>
          </w:tcPr>
          <w:p w14:paraId="558B17D6" w14:textId="26AA1800" w:rsidR="00724E7B" w:rsidRDefault="0086041A" w:rsidP="0086041A">
            <w:pPr>
              <w:pBdr>
                <w:top w:val="nil"/>
                <w:left w:val="nil"/>
                <w:bottom w:val="nil"/>
                <w:right w:val="nil"/>
                <w:between w:val="nil"/>
              </w:pBdr>
              <w:jc w:val="both"/>
              <w:rPr>
                <w:rFonts w:ascii="Times New Roman" w:eastAsia="Times New Roman" w:hAnsi="Times New Roman" w:cs="Times New Roman"/>
              </w:rPr>
            </w:pPr>
            <w:r w:rsidRPr="0086041A">
              <w:rPr>
                <w:rFonts w:ascii="Times New Roman" w:eastAsia="Times New Roman" w:hAnsi="Times New Roman" w:cs="Times New Roman"/>
                <w:b/>
                <w:bCs/>
              </w:rPr>
              <w:t>La poziția 3.1.5</w:t>
            </w:r>
            <w:r w:rsidRPr="0086041A">
              <w:rPr>
                <w:rFonts w:ascii="Times New Roman" w:eastAsia="Times New Roman" w:hAnsi="Times New Roman" w:cs="Times New Roman"/>
              </w:rPr>
              <w:t xml:space="preserve"> din Nota de fundamentare la proiect se propune de exclus</w:t>
            </w:r>
            <w:r>
              <w:rPr>
                <w:rFonts w:ascii="Times New Roman" w:eastAsia="Times New Roman" w:hAnsi="Times New Roman" w:cs="Times New Roman"/>
              </w:rPr>
              <w:t xml:space="preserve"> </w:t>
            </w:r>
            <w:r w:rsidRPr="0086041A">
              <w:rPr>
                <w:rFonts w:ascii="Times New Roman" w:eastAsia="Times New Roman" w:hAnsi="Times New Roman" w:cs="Times New Roman"/>
              </w:rPr>
              <w:t>pct.7, deoarece în proiect se propune modificarea art. 182 alin. (7) și art. 183 alin.</w:t>
            </w:r>
            <w:r>
              <w:rPr>
                <w:rFonts w:ascii="Times New Roman" w:eastAsia="Times New Roman" w:hAnsi="Times New Roman" w:cs="Times New Roman"/>
              </w:rPr>
              <w:t xml:space="preserve"> </w:t>
            </w:r>
            <w:r w:rsidRPr="0086041A">
              <w:rPr>
                <w:rFonts w:ascii="Times New Roman" w:eastAsia="Times New Roman" w:hAnsi="Times New Roman" w:cs="Times New Roman"/>
              </w:rPr>
              <w:t>(5) din Codul civil, prin care publicarea avizelor privind modificarea denumirii și</w:t>
            </w:r>
            <w:r>
              <w:rPr>
                <w:rFonts w:ascii="Times New Roman" w:eastAsia="Times New Roman" w:hAnsi="Times New Roman" w:cs="Times New Roman"/>
              </w:rPr>
              <w:t xml:space="preserve"> </w:t>
            </w:r>
            <w:r w:rsidRPr="0086041A">
              <w:rPr>
                <w:rFonts w:ascii="Times New Roman" w:eastAsia="Times New Roman" w:hAnsi="Times New Roman" w:cs="Times New Roman"/>
              </w:rPr>
              <w:t>sediului persoanei juridice se efectuează pe pagina web oficială a organului</w:t>
            </w:r>
            <w:r>
              <w:rPr>
                <w:rFonts w:ascii="Times New Roman" w:eastAsia="Times New Roman" w:hAnsi="Times New Roman" w:cs="Times New Roman"/>
              </w:rPr>
              <w:t xml:space="preserve"> </w:t>
            </w:r>
            <w:r w:rsidRPr="0086041A">
              <w:rPr>
                <w:rFonts w:ascii="Times New Roman" w:eastAsia="Times New Roman" w:hAnsi="Times New Roman" w:cs="Times New Roman"/>
              </w:rPr>
              <w:t>înregistrării de stat.</w:t>
            </w:r>
          </w:p>
        </w:tc>
        <w:tc>
          <w:tcPr>
            <w:tcW w:w="5505" w:type="dxa"/>
          </w:tcPr>
          <w:p w14:paraId="541E5BDC" w14:textId="77777777" w:rsidR="00724E7B" w:rsidRDefault="00724E7B">
            <w:pPr>
              <w:pBdr>
                <w:top w:val="nil"/>
                <w:left w:val="nil"/>
                <w:bottom w:val="nil"/>
                <w:right w:val="nil"/>
                <w:between w:val="nil"/>
              </w:pBdr>
              <w:jc w:val="both"/>
              <w:rPr>
                <w:rFonts w:ascii="Times New Roman" w:eastAsia="Times New Roman" w:hAnsi="Times New Roman" w:cs="Times New Roman"/>
                <w:b/>
                <w:bCs/>
              </w:rPr>
            </w:pPr>
          </w:p>
        </w:tc>
      </w:tr>
      <w:tr w:rsidR="00724E7B" w14:paraId="7D69DA0A" w14:textId="77777777">
        <w:tc>
          <w:tcPr>
            <w:tcW w:w="480" w:type="dxa"/>
          </w:tcPr>
          <w:p w14:paraId="7361128C" w14:textId="77777777" w:rsidR="00724E7B" w:rsidRDefault="00724E7B">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6E1188F5" w14:textId="5B9150BD" w:rsidR="00724E7B" w:rsidRPr="00DD7D07" w:rsidRDefault="00DD7D07" w:rsidP="00DD7D07">
            <w:pPr>
              <w:jc w:val="center"/>
              <w:rPr>
                <w:rFonts w:ascii="Times New Roman" w:eastAsia="Times New Roman" w:hAnsi="Times New Roman" w:cs="Times New Roman"/>
                <w:b/>
                <w:bCs/>
                <w:sz w:val="20"/>
                <w:szCs w:val="20"/>
              </w:rPr>
            </w:pPr>
            <w:r w:rsidRPr="00DD7D07">
              <w:rPr>
                <w:rFonts w:ascii="Times New Roman" w:eastAsia="Times New Roman" w:hAnsi="Times New Roman" w:cs="Times New Roman"/>
                <w:b/>
                <w:bCs/>
                <w:sz w:val="20"/>
                <w:szCs w:val="20"/>
              </w:rPr>
              <w:t>Uniunea Administratorilor Autorizați din Moldova (UAAM),</w:t>
            </w:r>
          </w:p>
        </w:tc>
        <w:tc>
          <w:tcPr>
            <w:tcW w:w="1800" w:type="dxa"/>
          </w:tcPr>
          <w:p w14:paraId="31C001D6" w14:textId="77777777" w:rsidR="00724E7B" w:rsidRDefault="00724E7B">
            <w:pPr>
              <w:pBdr>
                <w:top w:val="nil"/>
                <w:left w:val="nil"/>
                <w:bottom w:val="nil"/>
                <w:right w:val="nil"/>
                <w:between w:val="nil"/>
              </w:pBdr>
              <w:jc w:val="center"/>
              <w:rPr>
                <w:rFonts w:ascii="Times New Roman" w:eastAsia="Times New Roman" w:hAnsi="Times New Roman" w:cs="Times New Roman"/>
                <w:b/>
                <w:bCs/>
              </w:rPr>
            </w:pPr>
          </w:p>
        </w:tc>
        <w:tc>
          <w:tcPr>
            <w:tcW w:w="4485" w:type="dxa"/>
          </w:tcPr>
          <w:p w14:paraId="32B87FD5" w14:textId="682C190C"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Uniunea Administratorilor Autorizați din Moldova (UAAM), examinând proiectul de lege pentru</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modificarea unor acte normative (anumite aspecte ale dreptului societăților comerciale), număr unic</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478/MDED/2026, susține, în principiu, obiectivele de sporire a transparenței, accesibilității și exactității</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informațiilor cuprinse în Registrul de stat al persoanelor juridice.</w:t>
            </w:r>
          </w:p>
          <w:p w14:paraId="13401379" w14:textId="377861E7" w:rsidR="00724E7B"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lastRenderedPageBreak/>
              <w:t xml:space="preserve">Totodată, în partea ce ține de art. </w:t>
            </w:r>
            <w:r w:rsidRPr="00B80FF5">
              <w:rPr>
                <w:rFonts w:ascii="Times New Roman" w:eastAsia="Times New Roman" w:hAnsi="Times New Roman" w:cs="Times New Roman"/>
                <w:b/>
                <w:bCs/>
              </w:rPr>
              <w:t>IV pct. 31</w:t>
            </w:r>
            <w:r w:rsidRPr="00CC641D">
              <w:rPr>
                <w:rFonts w:ascii="Times New Roman" w:eastAsia="Times New Roman" w:hAnsi="Times New Roman" w:cs="Times New Roman"/>
              </w:rPr>
              <w:t xml:space="preserve"> din proiect, prin care se propune o nouă redacție a </w:t>
            </w:r>
            <w:r w:rsidRPr="00B80FF5">
              <w:rPr>
                <w:rFonts w:ascii="Times New Roman" w:eastAsia="Times New Roman" w:hAnsi="Times New Roman" w:cs="Times New Roman"/>
                <w:b/>
                <w:bCs/>
              </w:rPr>
              <w:t>art.</w:t>
            </w:r>
            <w:r w:rsidR="00B80FF5" w:rsidRPr="00B80FF5">
              <w:rPr>
                <w:rFonts w:ascii="Times New Roman" w:eastAsia="Times New Roman" w:hAnsi="Times New Roman" w:cs="Times New Roman"/>
                <w:b/>
                <w:bCs/>
              </w:rPr>
              <w:t xml:space="preserve"> </w:t>
            </w:r>
            <w:r w:rsidRPr="00B80FF5">
              <w:rPr>
                <w:rFonts w:ascii="Times New Roman" w:eastAsia="Times New Roman" w:hAnsi="Times New Roman" w:cs="Times New Roman"/>
                <w:b/>
                <w:bCs/>
              </w:rPr>
              <w:t>33 alin. (1)</w:t>
            </w:r>
            <w:r w:rsidRPr="00CC641D">
              <w:rPr>
                <w:rFonts w:ascii="Times New Roman" w:eastAsia="Times New Roman" w:hAnsi="Times New Roman" w:cs="Times New Roman"/>
              </w:rPr>
              <w:t xml:space="preserve"> din Legea nr. 220/2007 privind înregistrarea de stat a persoanelor juridice și a întreprinzătorilor</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individuali, considerăm necesare unele precizări pentru ca Registrul de stat să reflecte fără echivoc atât</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etapa concretă a procesului de insolvabilitate, cât și funcția exercitată de administratorul autorizat</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desemnat de instanță.</w:t>
            </w:r>
          </w:p>
          <w:p w14:paraId="3D132168" w14:textId="66F0A11A"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Claritatea acestor informații are importanță practică directă pentru creditori, partenerii contractuali,</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autorități și alte persoane interesate, deoarece întinderea atribuțiilor organelor statutare ale debitorului și</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ale administratorului autorizat diferă în funcție de etapa procedurală și de mandatul concret exercitat.</w:t>
            </w:r>
          </w:p>
          <w:p w14:paraId="21F562A8" w14:textId="77777777"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UAAM formulează următoarele propuneri:</w:t>
            </w:r>
          </w:p>
          <w:p w14:paraId="0BC43542" w14:textId="079CF3D0"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 indicarea distinctă a funcției administratorului autorizat: administrator provizoriu, administrator al</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insolvabilității sau lichidator;</w:t>
            </w:r>
          </w:p>
          <w:p w14:paraId="7236116D" w14:textId="24275A64"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 înscrierea datelor profesionale ale biroului în cadrul căruia activează administratorul autorizat,</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concomitent cu păstrarea identificării persoanei desemnate de instanță;</w:t>
            </w:r>
          </w:p>
          <w:p w14:paraId="15DF0AD9" w14:textId="2BC1B181"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 enumerarea expresă a actelor și etapelor relevante ale procesului de insolvabilitate, inclusiv perioada</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de observație, restructurarea, executarea planului, restructurarea accelerată și falimentul;</w:t>
            </w:r>
          </w:p>
          <w:p w14:paraId="7DAFF65C" w14:textId="218272B6"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lastRenderedPageBreak/>
              <w:t>• utilizarea consecventă a terminologiei din Legea insolvabilității nr. 149/2012 și din Legea nr.</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161/2014 cu privire la administratorii autorizați.</w:t>
            </w:r>
          </w:p>
          <w:p w14:paraId="3F9566A2" w14:textId="77777777" w:rsid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Redacțiile propuse și argumentele aferente sunt prezentate în anexa la prezentul aviz.</w:t>
            </w:r>
          </w:p>
          <w:p w14:paraId="14F30C88" w14:textId="4A8F31A0" w:rsidR="00CC641D"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rPr>
              <w:t xml:space="preserve">În concluzie, UAAM </w:t>
            </w:r>
            <w:r w:rsidRPr="00B80FF5">
              <w:rPr>
                <w:rFonts w:ascii="Times New Roman" w:eastAsia="Times New Roman" w:hAnsi="Times New Roman" w:cs="Times New Roman"/>
                <w:b/>
                <w:bCs/>
                <w:i/>
                <w:iCs/>
              </w:rPr>
              <w:t>susține promovarea proiectului</w:t>
            </w:r>
            <w:r w:rsidRPr="00CC641D">
              <w:rPr>
                <w:rFonts w:ascii="Times New Roman" w:eastAsia="Times New Roman" w:hAnsi="Times New Roman" w:cs="Times New Roman"/>
              </w:rPr>
              <w:t xml:space="preserve"> cu luarea în considerare a propunerilor</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formulate, care vor contribui la o evidență exactă, actuală și inteligibilă a situației juridice a debitorilor</w:t>
            </w:r>
            <w:r w:rsidR="00B80FF5">
              <w:rPr>
                <w:rFonts w:ascii="Times New Roman" w:eastAsia="Times New Roman" w:hAnsi="Times New Roman" w:cs="Times New Roman"/>
              </w:rPr>
              <w:t xml:space="preserve"> </w:t>
            </w:r>
            <w:r w:rsidRPr="00CC641D">
              <w:rPr>
                <w:rFonts w:ascii="Times New Roman" w:eastAsia="Times New Roman" w:hAnsi="Times New Roman" w:cs="Times New Roman"/>
              </w:rPr>
              <w:t>aflați în proces de insolvabilitate.</w:t>
            </w:r>
          </w:p>
          <w:p w14:paraId="36E6B3BF" w14:textId="13AC51F9" w:rsidR="00CC641D" w:rsidRPr="00CC641D" w:rsidRDefault="00CC641D" w:rsidP="00CC641D">
            <w:pPr>
              <w:pBdr>
                <w:top w:val="nil"/>
                <w:left w:val="nil"/>
                <w:bottom w:val="nil"/>
                <w:right w:val="nil"/>
                <w:between w:val="nil"/>
              </w:pBdr>
              <w:jc w:val="both"/>
              <w:rPr>
                <w:rFonts w:ascii="Times New Roman" w:eastAsia="Times New Roman" w:hAnsi="Times New Roman" w:cs="Times New Roman"/>
                <w:b/>
                <w:bCs/>
              </w:rPr>
            </w:pPr>
            <w:r w:rsidRPr="00CC641D">
              <w:rPr>
                <w:rFonts w:ascii="Times New Roman" w:eastAsia="Times New Roman" w:hAnsi="Times New Roman" w:cs="Times New Roman"/>
                <w:b/>
                <w:bCs/>
              </w:rPr>
              <w:t>Propunerea UAAM</w:t>
            </w:r>
          </w:p>
          <w:p w14:paraId="129EB9EB" w14:textId="77777777" w:rsidR="00CC641D" w:rsidRPr="00CC641D" w:rsidRDefault="00CC641D" w:rsidP="00CC641D">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b/>
                <w:bCs/>
              </w:rPr>
              <w:t>Litera r)</w:t>
            </w:r>
            <w:r w:rsidRPr="00CC641D">
              <w:rPr>
                <w:rFonts w:ascii="Times New Roman" w:eastAsia="Times New Roman" w:hAnsi="Times New Roman" w:cs="Times New Roman"/>
              </w:rPr>
              <w:t xml:space="preserve"> se propune în următoarea redacție:</w:t>
            </w:r>
          </w:p>
          <w:p w14:paraId="20ED5183" w14:textId="764B7A25" w:rsidR="00CC641D" w:rsidRPr="00B80FF5" w:rsidRDefault="00CC641D" w:rsidP="00CC641D">
            <w:pPr>
              <w:pBdr>
                <w:top w:val="nil"/>
                <w:left w:val="nil"/>
                <w:bottom w:val="nil"/>
                <w:right w:val="nil"/>
                <w:between w:val="nil"/>
              </w:pBdr>
              <w:jc w:val="both"/>
              <w:rPr>
                <w:rFonts w:ascii="Times New Roman" w:eastAsia="Times New Roman" w:hAnsi="Times New Roman" w:cs="Times New Roman"/>
                <w:i/>
                <w:iCs/>
              </w:rPr>
            </w:pPr>
            <w:r w:rsidRPr="00B80FF5">
              <w:rPr>
                <w:rFonts w:ascii="Times New Roman" w:eastAsia="Times New Roman" w:hAnsi="Times New Roman" w:cs="Times New Roman"/>
                <w:i/>
                <w:iCs/>
              </w:rPr>
              <w:t>„r) datele privind numirea, substituirea, destituirea și încetarea funcției</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administratorului fiduciar, inclusiv numele și prenumele sau denumirea și</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numărul de identificare de stat al acestuia; datele privind desemnarea,</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substituirea, destituirea și încetarea mandatului administratorului autorizat în</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procesul de insolvabilitate, cu indicarea funcției exercitate – administrator</w:t>
            </w:r>
          </w:p>
          <w:p w14:paraId="59407776" w14:textId="14A69FE8" w:rsidR="00CC641D" w:rsidRPr="00B80FF5" w:rsidRDefault="00CC641D" w:rsidP="00CC641D">
            <w:pPr>
              <w:pBdr>
                <w:top w:val="nil"/>
                <w:left w:val="nil"/>
                <w:bottom w:val="nil"/>
                <w:right w:val="nil"/>
                <w:between w:val="nil"/>
              </w:pBdr>
              <w:jc w:val="both"/>
              <w:rPr>
                <w:rFonts w:ascii="Times New Roman" w:eastAsia="Times New Roman" w:hAnsi="Times New Roman" w:cs="Times New Roman"/>
                <w:i/>
                <w:iCs/>
              </w:rPr>
            </w:pPr>
            <w:r w:rsidRPr="00B80FF5">
              <w:rPr>
                <w:rFonts w:ascii="Times New Roman" w:eastAsia="Times New Roman" w:hAnsi="Times New Roman" w:cs="Times New Roman"/>
                <w:i/>
                <w:iCs/>
              </w:rPr>
              <w:t>provizoriu, administrator al insolvabilității sau lichidator –, a numelui și</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prenumelui, a numărului de identificare de stat, a numărului autorizației și a</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datelor profesionale ale biroului în cadrul căruia activează, inclusiv</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denumirea, sediul, telefonul, adresa electronică și, după caz, numărul de</w:t>
            </w:r>
            <w:r w:rsidR="00B80FF5" w:rsidRPr="00B80FF5">
              <w:rPr>
                <w:rFonts w:ascii="Times New Roman" w:eastAsia="Times New Roman" w:hAnsi="Times New Roman" w:cs="Times New Roman"/>
                <w:i/>
                <w:iCs/>
              </w:rPr>
              <w:t xml:space="preserve"> </w:t>
            </w:r>
            <w:r w:rsidRPr="00B80FF5">
              <w:rPr>
                <w:rFonts w:ascii="Times New Roman" w:eastAsia="Times New Roman" w:hAnsi="Times New Roman" w:cs="Times New Roman"/>
                <w:i/>
                <w:iCs/>
              </w:rPr>
              <w:t>identificare de stat;”</w:t>
            </w:r>
          </w:p>
          <w:p w14:paraId="4DAC1A54" w14:textId="77777777" w:rsidR="00CC641D" w:rsidRPr="00B80FF5" w:rsidRDefault="00CC641D" w:rsidP="00CC641D">
            <w:pPr>
              <w:pBdr>
                <w:top w:val="nil"/>
                <w:left w:val="nil"/>
                <w:bottom w:val="nil"/>
                <w:right w:val="nil"/>
                <w:between w:val="nil"/>
              </w:pBdr>
              <w:jc w:val="both"/>
              <w:rPr>
                <w:rFonts w:ascii="Times New Roman" w:eastAsia="Times New Roman" w:hAnsi="Times New Roman" w:cs="Times New Roman"/>
              </w:rPr>
            </w:pPr>
            <w:r w:rsidRPr="00CC641D">
              <w:rPr>
                <w:rFonts w:ascii="Times New Roman" w:eastAsia="Times New Roman" w:hAnsi="Times New Roman" w:cs="Times New Roman"/>
                <w:b/>
                <w:bCs/>
              </w:rPr>
              <w:t>Argumentare:</w:t>
            </w:r>
            <w:r>
              <w:rPr>
                <w:rFonts w:ascii="Times New Roman" w:eastAsia="Times New Roman" w:hAnsi="Times New Roman" w:cs="Times New Roman"/>
                <w:b/>
                <w:bCs/>
              </w:rPr>
              <w:t xml:space="preserve"> </w:t>
            </w:r>
            <w:r w:rsidRPr="00B80FF5">
              <w:rPr>
                <w:rFonts w:ascii="Times New Roman" w:eastAsia="Times New Roman" w:hAnsi="Times New Roman" w:cs="Times New Roman"/>
              </w:rPr>
              <w:t>Sintagma generică „administratorul insolvabilității” nu acoperă</w:t>
            </w:r>
          </w:p>
          <w:p w14:paraId="778F9700" w14:textId="14D7695B" w:rsidR="00CC641D" w:rsidRPr="00B80FF5" w:rsidRDefault="00CC641D" w:rsidP="00CC641D">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rPr>
              <w:t>toate funcțiile pe care administratorul autorizat le poate exercita</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 xml:space="preserve">în cadrul </w:t>
            </w:r>
            <w:r w:rsidRPr="00B80FF5">
              <w:rPr>
                <w:rFonts w:ascii="Times New Roman" w:eastAsia="Times New Roman" w:hAnsi="Times New Roman" w:cs="Times New Roman"/>
              </w:rPr>
              <w:lastRenderedPageBreak/>
              <w:t>procesului: administrator provizoriu, administrator al</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insolvabilității și lichidator.</w:t>
            </w:r>
          </w:p>
          <w:p w14:paraId="47ACE7E4" w14:textId="74A24C18" w:rsidR="00CC641D" w:rsidRPr="00B80FF5" w:rsidRDefault="00CC641D" w:rsidP="00CC641D">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rPr>
              <w:t>Funcția concretă trebuie indicată distinct, deoarece</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competențele și efectele asupra administrării debitorului diferă</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de la o etapă la alta.</w:t>
            </w:r>
          </w:p>
          <w:p w14:paraId="794850D4" w14:textId="299893EC" w:rsidR="00CC641D" w:rsidRPr="00B80FF5" w:rsidRDefault="00CC641D" w:rsidP="00CC641D">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rPr>
              <w:t>Administratorul autorizat este persoana desemnată de instanță și</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răspunde personal pentru activitatea profesională; de aceea</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identitatea sa nu trebuie eliminată din registru. În același timp,</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pentru comunicarea profesională și protejarea datelor private,</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este necesară afișarea datelor biroului în care activează, iar nu a</w:t>
            </w:r>
            <w:r w:rsidR="00B80FF5">
              <w:rPr>
                <w:rFonts w:ascii="Times New Roman" w:eastAsia="Times New Roman" w:hAnsi="Times New Roman" w:cs="Times New Roman"/>
              </w:rPr>
              <w:t xml:space="preserve"> </w:t>
            </w:r>
            <w:r w:rsidRPr="00B80FF5">
              <w:rPr>
                <w:rFonts w:ascii="Times New Roman" w:eastAsia="Times New Roman" w:hAnsi="Times New Roman" w:cs="Times New Roman"/>
              </w:rPr>
              <w:t>domiciliului sau a datelor personale de contact.</w:t>
            </w:r>
          </w:p>
          <w:p w14:paraId="6DC9675D" w14:textId="77777777" w:rsidR="00CC641D" w:rsidRPr="00B80FF5" w:rsidRDefault="00CC641D" w:rsidP="00CC641D">
            <w:pPr>
              <w:pBdr>
                <w:top w:val="nil"/>
                <w:left w:val="nil"/>
                <w:bottom w:val="nil"/>
                <w:right w:val="nil"/>
                <w:between w:val="nil"/>
              </w:pBdr>
              <w:jc w:val="both"/>
              <w:rPr>
                <w:rFonts w:ascii="Times New Roman" w:eastAsia="Times New Roman" w:hAnsi="Times New Roman" w:cs="Times New Roman"/>
              </w:rPr>
            </w:pPr>
          </w:p>
          <w:p w14:paraId="35557CD2" w14:textId="77777777" w:rsidR="00B80FF5" w:rsidRPr="00B80FF5" w:rsidRDefault="00B80FF5" w:rsidP="00B80FF5">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b/>
                <w:bCs/>
              </w:rPr>
              <w:t xml:space="preserve">Litera u) </w:t>
            </w:r>
            <w:r w:rsidRPr="00B80FF5">
              <w:rPr>
                <w:rFonts w:ascii="Times New Roman" w:eastAsia="Times New Roman" w:hAnsi="Times New Roman" w:cs="Times New Roman"/>
              </w:rPr>
              <w:t>se propune în următoarea redacție:</w:t>
            </w:r>
          </w:p>
          <w:p w14:paraId="75AA7831" w14:textId="1CBA9F5D" w:rsidR="00CC641D" w:rsidRPr="00B80FF5" w:rsidRDefault="00B80FF5" w:rsidP="00B80FF5">
            <w:pPr>
              <w:pBdr>
                <w:top w:val="nil"/>
                <w:left w:val="nil"/>
                <w:bottom w:val="nil"/>
                <w:right w:val="nil"/>
                <w:between w:val="nil"/>
              </w:pBdr>
              <w:jc w:val="both"/>
              <w:rPr>
                <w:rFonts w:ascii="Times New Roman" w:eastAsia="Times New Roman" w:hAnsi="Times New Roman" w:cs="Times New Roman"/>
                <w:i/>
                <w:iCs/>
              </w:rPr>
            </w:pPr>
            <w:r w:rsidRPr="00B80FF5">
              <w:rPr>
                <w:rFonts w:ascii="Times New Roman" w:eastAsia="Times New Roman" w:hAnsi="Times New Roman" w:cs="Times New Roman"/>
                <w:i/>
                <w:iCs/>
              </w:rPr>
              <w:t>„u) datele privind actele judecătorești referitoare la: admiterea spre examinare</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a cererii introductive și instituirea perioadei de observație; intentarea</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procesului de insolvabilitate; intentarea procedurii de restructurare;</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confirmarea planului procedurii de restructurare și trecerea la executarea</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acestuia; intentarea procedurii accelerate de restructurare și confirmarea</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planului acesteia; intentarea procedurii falimentului; suspendarea, reluarea</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sau încetarea procesului de insolvabilitate ori a procedurilor menționate, cu</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indicarea datei și numărului actului judecătoresc, a instanței care l-a emis și a</w:t>
            </w:r>
            <w:r>
              <w:rPr>
                <w:rFonts w:ascii="Times New Roman" w:eastAsia="Times New Roman" w:hAnsi="Times New Roman" w:cs="Times New Roman"/>
                <w:i/>
                <w:iCs/>
              </w:rPr>
              <w:t xml:space="preserve"> </w:t>
            </w:r>
            <w:r w:rsidRPr="00B80FF5">
              <w:rPr>
                <w:rFonts w:ascii="Times New Roman" w:eastAsia="Times New Roman" w:hAnsi="Times New Roman" w:cs="Times New Roman"/>
                <w:i/>
                <w:iCs/>
              </w:rPr>
              <w:t>datei producerii efectelor;”</w:t>
            </w:r>
          </w:p>
          <w:p w14:paraId="1F53B3A1" w14:textId="62E71FC2" w:rsidR="00B80FF5" w:rsidRPr="00B80FF5" w:rsidRDefault="00B80FF5" w:rsidP="00B80FF5">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b/>
                <w:bCs/>
              </w:rPr>
              <w:t>Argumentare</w:t>
            </w:r>
            <w:r>
              <w:rPr>
                <w:rFonts w:ascii="Times New Roman" w:eastAsia="Times New Roman" w:hAnsi="Times New Roman" w:cs="Times New Roman"/>
                <w:b/>
                <w:bCs/>
              </w:rPr>
              <w:t xml:space="preserve">: </w:t>
            </w:r>
            <w:r w:rsidRPr="00B80FF5">
              <w:rPr>
                <w:rFonts w:ascii="Times New Roman" w:eastAsia="Times New Roman" w:hAnsi="Times New Roman" w:cs="Times New Roman"/>
              </w:rPr>
              <w:t>Redacția proiectului este prea generală și nu permite</w:t>
            </w:r>
            <w:r>
              <w:rPr>
                <w:rFonts w:ascii="Times New Roman" w:eastAsia="Times New Roman" w:hAnsi="Times New Roman" w:cs="Times New Roman"/>
              </w:rPr>
              <w:t xml:space="preserve"> </w:t>
            </w:r>
            <w:r w:rsidRPr="00B80FF5">
              <w:rPr>
                <w:rFonts w:ascii="Times New Roman" w:eastAsia="Times New Roman" w:hAnsi="Times New Roman" w:cs="Times New Roman"/>
              </w:rPr>
              <w:t xml:space="preserve">identificarea </w:t>
            </w:r>
            <w:r w:rsidRPr="00B80FF5">
              <w:rPr>
                <w:rFonts w:ascii="Times New Roman" w:eastAsia="Times New Roman" w:hAnsi="Times New Roman" w:cs="Times New Roman"/>
              </w:rPr>
              <w:lastRenderedPageBreak/>
              <w:t>precisă a etapei în care se află debitorul. În special,</w:t>
            </w:r>
            <w:r>
              <w:rPr>
                <w:rFonts w:ascii="Times New Roman" w:eastAsia="Times New Roman" w:hAnsi="Times New Roman" w:cs="Times New Roman"/>
              </w:rPr>
              <w:t xml:space="preserve"> </w:t>
            </w:r>
            <w:r w:rsidRPr="00B80FF5">
              <w:rPr>
                <w:rFonts w:ascii="Times New Roman" w:eastAsia="Times New Roman" w:hAnsi="Times New Roman" w:cs="Times New Roman"/>
              </w:rPr>
              <w:t>nu sunt reflectate expres perioada de observație, procedura de</w:t>
            </w:r>
            <w:r>
              <w:rPr>
                <w:rFonts w:ascii="Times New Roman" w:eastAsia="Times New Roman" w:hAnsi="Times New Roman" w:cs="Times New Roman"/>
              </w:rPr>
              <w:t xml:space="preserve"> </w:t>
            </w:r>
            <w:r w:rsidRPr="00B80FF5">
              <w:rPr>
                <w:rFonts w:ascii="Times New Roman" w:eastAsia="Times New Roman" w:hAnsi="Times New Roman" w:cs="Times New Roman"/>
              </w:rPr>
              <w:t>restructurare, executarea planului, procedura accelerată de</w:t>
            </w:r>
          </w:p>
          <w:p w14:paraId="691EE6BA" w14:textId="77777777" w:rsidR="00B80FF5" w:rsidRPr="00B80FF5" w:rsidRDefault="00B80FF5" w:rsidP="00B80FF5">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rPr>
              <w:t>restructurare și falimentul.</w:t>
            </w:r>
          </w:p>
          <w:p w14:paraId="123AAA43" w14:textId="7F032338" w:rsidR="00B80FF5" w:rsidRPr="00B80FF5" w:rsidRDefault="00B80FF5" w:rsidP="00B80FF5">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rPr>
              <w:t>Publicitatea completă a acestor date este necesară pentru ca terții</w:t>
            </w:r>
            <w:r>
              <w:rPr>
                <w:rFonts w:ascii="Times New Roman" w:eastAsia="Times New Roman" w:hAnsi="Times New Roman" w:cs="Times New Roman"/>
              </w:rPr>
              <w:t xml:space="preserve"> </w:t>
            </w:r>
            <w:r w:rsidRPr="00B80FF5">
              <w:rPr>
                <w:rFonts w:ascii="Times New Roman" w:eastAsia="Times New Roman" w:hAnsi="Times New Roman" w:cs="Times New Roman"/>
              </w:rPr>
              <w:t>să poată determina regimul juridic aplicabil debitorului și</w:t>
            </w:r>
            <w:r>
              <w:rPr>
                <w:rFonts w:ascii="Times New Roman" w:eastAsia="Times New Roman" w:hAnsi="Times New Roman" w:cs="Times New Roman"/>
              </w:rPr>
              <w:t xml:space="preserve"> </w:t>
            </w:r>
            <w:r w:rsidRPr="00B80FF5">
              <w:rPr>
                <w:rFonts w:ascii="Times New Roman" w:eastAsia="Times New Roman" w:hAnsi="Times New Roman" w:cs="Times New Roman"/>
              </w:rPr>
              <w:t>persoana competentă să îl reprezinte.</w:t>
            </w:r>
          </w:p>
          <w:p w14:paraId="3B41A7D5" w14:textId="457D3119" w:rsidR="00B80FF5" w:rsidRPr="00B80FF5" w:rsidRDefault="00B80FF5" w:rsidP="00B80FF5">
            <w:pPr>
              <w:pBdr>
                <w:top w:val="nil"/>
                <w:left w:val="nil"/>
                <w:bottom w:val="nil"/>
                <w:right w:val="nil"/>
                <w:between w:val="nil"/>
              </w:pBdr>
              <w:jc w:val="both"/>
              <w:rPr>
                <w:rFonts w:ascii="Times New Roman" w:eastAsia="Times New Roman" w:hAnsi="Times New Roman" w:cs="Times New Roman"/>
              </w:rPr>
            </w:pPr>
            <w:r w:rsidRPr="00B80FF5">
              <w:rPr>
                <w:rFonts w:ascii="Times New Roman" w:eastAsia="Times New Roman" w:hAnsi="Times New Roman" w:cs="Times New Roman"/>
              </w:rPr>
              <w:t>Enumerarea trebuie corelată cu terminologia Legii</w:t>
            </w:r>
            <w:r>
              <w:rPr>
                <w:rFonts w:ascii="Times New Roman" w:eastAsia="Times New Roman" w:hAnsi="Times New Roman" w:cs="Times New Roman"/>
              </w:rPr>
              <w:t xml:space="preserve"> </w:t>
            </w:r>
            <w:r w:rsidRPr="00B80FF5">
              <w:rPr>
                <w:rFonts w:ascii="Times New Roman" w:eastAsia="Times New Roman" w:hAnsi="Times New Roman" w:cs="Times New Roman"/>
              </w:rPr>
              <w:t>insolvabilității nr. 149/2012 și trebuie să includă atât</w:t>
            </w:r>
            <w:r>
              <w:rPr>
                <w:rFonts w:ascii="Times New Roman" w:eastAsia="Times New Roman" w:hAnsi="Times New Roman" w:cs="Times New Roman"/>
              </w:rPr>
              <w:t xml:space="preserve"> </w:t>
            </w:r>
            <w:r w:rsidRPr="00B80FF5">
              <w:rPr>
                <w:rFonts w:ascii="Times New Roman" w:eastAsia="Times New Roman" w:hAnsi="Times New Roman" w:cs="Times New Roman"/>
              </w:rPr>
              <w:t>deschiderea, cât și încetarea fiecărei etape ori proceduri</w:t>
            </w:r>
            <w:r>
              <w:rPr>
                <w:rFonts w:ascii="Times New Roman" w:eastAsia="Times New Roman" w:hAnsi="Times New Roman" w:cs="Times New Roman"/>
              </w:rPr>
              <w:t xml:space="preserve"> </w:t>
            </w:r>
            <w:r w:rsidRPr="00B80FF5">
              <w:rPr>
                <w:rFonts w:ascii="Times New Roman" w:eastAsia="Times New Roman" w:hAnsi="Times New Roman" w:cs="Times New Roman"/>
              </w:rPr>
              <w:t>relevante.</w:t>
            </w:r>
          </w:p>
          <w:p w14:paraId="34A22638" w14:textId="77777777" w:rsidR="00B80FF5" w:rsidRPr="00B80FF5" w:rsidRDefault="00B80FF5" w:rsidP="00B80FF5">
            <w:pPr>
              <w:pBdr>
                <w:top w:val="nil"/>
                <w:left w:val="nil"/>
                <w:bottom w:val="nil"/>
                <w:right w:val="nil"/>
                <w:between w:val="nil"/>
              </w:pBdr>
              <w:jc w:val="both"/>
              <w:rPr>
                <w:rFonts w:ascii="Times New Roman" w:eastAsia="Times New Roman" w:hAnsi="Times New Roman" w:cs="Times New Roman"/>
              </w:rPr>
            </w:pPr>
          </w:p>
          <w:p w14:paraId="2E1338B3" w14:textId="6F68A120" w:rsidR="00B80FF5" w:rsidRPr="00CC641D" w:rsidRDefault="00B80FF5" w:rsidP="00B80FF5">
            <w:pPr>
              <w:pBdr>
                <w:top w:val="nil"/>
                <w:left w:val="nil"/>
                <w:bottom w:val="nil"/>
                <w:right w:val="nil"/>
                <w:between w:val="nil"/>
              </w:pBdr>
              <w:jc w:val="both"/>
              <w:rPr>
                <w:rFonts w:ascii="Times New Roman" w:eastAsia="Times New Roman" w:hAnsi="Times New Roman" w:cs="Times New Roman"/>
                <w:b/>
                <w:bCs/>
              </w:rPr>
            </w:pPr>
            <w:r w:rsidRPr="00B80FF5">
              <w:rPr>
                <w:rFonts w:ascii="Times New Roman" w:eastAsia="Times New Roman" w:hAnsi="Times New Roman" w:cs="Times New Roman"/>
                <w:b/>
                <w:bCs/>
              </w:rPr>
              <w:t xml:space="preserve">Notă de implementare: </w:t>
            </w:r>
            <w:r w:rsidRPr="00B80FF5">
              <w:rPr>
                <w:rFonts w:ascii="Times New Roman" w:eastAsia="Times New Roman" w:hAnsi="Times New Roman" w:cs="Times New Roman"/>
              </w:rPr>
              <w:t xml:space="preserve">pentru a evita întârzierile și neconcordanțele, datele prevăzute la </w:t>
            </w:r>
            <w:r w:rsidRPr="00B80FF5">
              <w:rPr>
                <w:rFonts w:ascii="Times New Roman" w:eastAsia="Times New Roman" w:hAnsi="Times New Roman" w:cs="Times New Roman"/>
                <w:b/>
                <w:bCs/>
              </w:rPr>
              <w:t>lit. r) și u)</w:t>
            </w:r>
            <w:r w:rsidRPr="00B80FF5">
              <w:rPr>
                <w:rFonts w:ascii="Times New Roman" w:eastAsia="Times New Roman" w:hAnsi="Times New Roman" w:cs="Times New Roman"/>
              </w:rPr>
              <w:t xml:space="preserve"> urmează să fie înscrise și actualizate din oficiu în baza actelor judecătorești comunicate organului</w:t>
            </w:r>
            <w:r>
              <w:rPr>
                <w:rFonts w:ascii="Times New Roman" w:eastAsia="Times New Roman" w:hAnsi="Times New Roman" w:cs="Times New Roman"/>
              </w:rPr>
              <w:t xml:space="preserve"> </w:t>
            </w:r>
            <w:r w:rsidRPr="00B80FF5">
              <w:rPr>
                <w:rFonts w:ascii="Times New Roman" w:eastAsia="Times New Roman" w:hAnsi="Times New Roman" w:cs="Times New Roman"/>
              </w:rPr>
              <w:t>înregistrării de stat și, după caz, prin schimb de date cu Registrul administratorilor autorizați.</w:t>
            </w:r>
          </w:p>
        </w:tc>
        <w:tc>
          <w:tcPr>
            <w:tcW w:w="5505" w:type="dxa"/>
          </w:tcPr>
          <w:p w14:paraId="3272E938" w14:textId="77777777" w:rsidR="00724E7B" w:rsidRDefault="00724E7B">
            <w:pPr>
              <w:pBdr>
                <w:top w:val="nil"/>
                <w:left w:val="nil"/>
                <w:bottom w:val="nil"/>
                <w:right w:val="nil"/>
                <w:between w:val="nil"/>
              </w:pBdr>
              <w:jc w:val="both"/>
              <w:rPr>
                <w:rFonts w:ascii="Times New Roman" w:eastAsia="Times New Roman" w:hAnsi="Times New Roman" w:cs="Times New Roman"/>
                <w:b/>
                <w:bCs/>
              </w:rPr>
            </w:pPr>
          </w:p>
        </w:tc>
      </w:tr>
      <w:tr w:rsidR="00724E7B" w14:paraId="4C88F570" w14:textId="77777777">
        <w:tc>
          <w:tcPr>
            <w:tcW w:w="480" w:type="dxa"/>
          </w:tcPr>
          <w:p w14:paraId="4747D4FE" w14:textId="77777777" w:rsidR="00724E7B" w:rsidRDefault="00724E7B">
            <w:pPr>
              <w:pBdr>
                <w:top w:val="nil"/>
                <w:left w:val="nil"/>
                <w:bottom w:val="nil"/>
                <w:right w:val="nil"/>
                <w:between w:val="nil"/>
              </w:pBdr>
              <w:jc w:val="center"/>
              <w:rPr>
                <w:rFonts w:ascii="Times New Roman" w:eastAsia="Times New Roman" w:hAnsi="Times New Roman" w:cs="Times New Roman"/>
                <w:b/>
                <w:bCs/>
              </w:rPr>
            </w:pPr>
          </w:p>
        </w:tc>
        <w:tc>
          <w:tcPr>
            <w:tcW w:w="1530" w:type="dxa"/>
          </w:tcPr>
          <w:p w14:paraId="29C2E8A5" w14:textId="1B5579E8" w:rsidR="00724E7B" w:rsidRPr="00B24464" w:rsidRDefault="00965219">
            <w:pPr>
              <w:jc w:val="both"/>
              <w:rPr>
                <w:rFonts w:ascii="Times New Roman" w:eastAsia="Times New Roman" w:hAnsi="Times New Roman" w:cs="Times New Roman"/>
                <w:b/>
                <w:bCs/>
              </w:rPr>
            </w:pPr>
            <w:r w:rsidRPr="00965219">
              <w:rPr>
                <w:rFonts w:ascii="Times New Roman" w:eastAsia="Times New Roman" w:hAnsi="Times New Roman" w:cs="Times New Roman"/>
                <w:b/>
                <w:bCs/>
              </w:rPr>
              <w:t>Consiliul</w:t>
            </w:r>
            <w:r>
              <w:rPr>
                <w:rFonts w:ascii="Times New Roman" w:eastAsia="Times New Roman" w:hAnsi="Times New Roman" w:cs="Times New Roman"/>
                <w:b/>
                <w:bCs/>
              </w:rPr>
              <w:t xml:space="preserve"> </w:t>
            </w:r>
            <w:r w:rsidRPr="00965219">
              <w:rPr>
                <w:rFonts w:ascii="Times New Roman" w:eastAsia="Times New Roman" w:hAnsi="Times New Roman" w:cs="Times New Roman"/>
                <w:b/>
                <w:bCs/>
              </w:rPr>
              <w:t>Concurenței</w:t>
            </w:r>
          </w:p>
        </w:tc>
        <w:tc>
          <w:tcPr>
            <w:tcW w:w="1800" w:type="dxa"/>
          </w:tcPr>
          <w:p w14:paraId="3563C9A6" w14:textId="7206AE03" w:rsidR="00724E7B" w:rsidRDefault="00965219">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4485" w:type="dxa"/>
          </w:tcPr>
          <w:p w14:paraId="503BB8A0" w14:textId="6104BF75" w:rsidR="00724E7B" w:rsidRDefault="00965219" w:rsidP="00965219">
            <w:pPr>
              <w:pBdr>
                <w:top w:val="nil"/>
                <w:left w:val="nil"/>
                <w:bottom w:val="nil"/>
                <w:right w:val="nil"/>
                <w:between w:val="nil"/>
              </w:pBdr>
              <w:jc w:val="both"/>
              <w:rPr>
                <w:rFonts w:ascii="Times New Roman" w:eastAsia="Times New Roman" w:hAnsi="Times New Roman" w:cs="Times New Roman"/>
              </w:rPr>
            </w:pPr>
            <w:r w:rsidRPr="00965219">
              <w:rPr>
                <w:rFonts w:ascii="Times New Roman" w:eastAsia="Times New Roman" w:hAnsi="Times New Roman" w:cs="Times New Roman"/>
              </w:rPr>
              <w:t>Consiliul Concurenței urmărind același scop al armonizării cadrului normativ</w:t>
            </w:r>
            <w:r>
              <w:rPr>
                <w:rFonts w:ascii="Times New Roman" w:eastAsia="Times New Roman" w:hAnsi="Times New Roman" w:cs="Times New Roman"/>
              </w:rPr>
              <w:t xml:space="preserve"> </w:t>
            </w:r>
            <w:r w:rsidRPr="00965219">
              <w:rPr>
                <w:rFonts w:ascii="Times New Roman" w:eastAsia="Times New Roman" w:hAnsi="Times New Roman" w:cs="Times New Roman"/>
              </w:rPr>
              <w:t>național reiterează în condițiile în care proiectul prevede modificarea mai multor acte</w:t>
            </w:r>
            <w:r>
              <w:rPr>
                <w:rFonts w:ascii="Times New Roman" w:eastAsia="Times New Roman" w:hAnsi="Times New Roman" w:cs="Times New Roman"/>
              </w:rPr>
              <w:t xml:space="preserve"> </w:t>
            </w:r>
            <w:r w:rsidRPr="00965219">
              <w:rPr>
                <w:rFonts w:ascii="Times New Roman" w:eastAsia="Times New Roman" w:hAnsi="Times New Roman" w:cs="Times New Roman"/>
              </w:rPr>
              <w:t>normative inclusiv, Legea insolvabilității nr. 149/2012, pentru asigurarea recuperării</w:t>
            </w:r>
            <w:r>
              <w:rPr>
                <w:rFonts w:ascii="Times New Roman" w:eastAsia="Times New Roman" w:hAnsi="Times New Roman" w:cs="Times New Roman"/>
              </w:rPr>
              <w:t xml:space="preserve"> </w:t>
            </w:r>
            <w:r w:rsidRPr="00965219">
              <w:rPr>
                <w:rFonts w:ascii="Times New Roman" w:eastAsia="Times New Roman" w:hAnsi="Times New Roman" w:cs="Times New Roman"/>
              </w:rPr>
              <w:t>creanței față de bugetul public național izvorâtă din obligativitatea imediată a</w:t>
            </w:r>
            <w:r>
              <w:rPr>
                <w:rFonts w:ascii="Times New Roman" w:eastAsia="Times New Roman" w:hAnsi="Times New Roman" w:cs="Times New Roman"/>
              </w:rPr>
              <w:t xml:space="preserve"> </w:t>
            </w:r>
            <w:r w:rsidRPr="00965219">
              <w:rPr>
                <w:rFonts w:ascii="Times New Roman" w:eastAsia="Times New Roman" w:hAnsi="Times New Roman" w:cs="Times New Roman"/>
              </w:rPr>
              <w:t xml:space="preserve">recuperării unui ajutor de stat sau ajutor de </w:t>
            </w:r>
            <w:proofErr w:type="spellStart"/>
            <w:r w:rsidRPr="00965219">
              <w:rPr>
                <w:rFonts w:ascii="Times New Roman" w:eastAsia="Times New Roman" w:hAnsi="Times New Roman" w:cs="Times New Roman"/>
              </w:rPr>
              <w:t>minimis</w:t>
            </w:r>
            <w:proofErr w:type="spellEnd"/>
            <w:r w:rsidRPr="00965219">
              <w:rPr>
                <w:rFonts w:ascii="Times New Roman" w:eastAsia="Times New Roman" w:hAnsi="Times New Roman" w:cs="Times New Roman"/>
              </w:rPr>
              <w:t xml:space="preserve"> ilegal acordat unei întreprinderi</w:t>
            </w:r>
            <w:r>
              <w:rPr>
                <w:rFonts w:ascii="Times New Roman" w:eastAsia="Times New Roman" w:hAnsi="Times New Roman" w:cs="Times New Roman"/>
              </w:rPr>
              <w:t xml:space="preserve"> </w:t>
            </w:r>
            <w:r w:rsidRPr="00965219">
              <w:rPr>
                <w:rFonts w:ascii="Times New Roman" w:eastAsia="Times New Roman" w:hAnsi="Times New Roman" w:cs="Times New Roman"/>
              </w:rPr>
              <w:t>beneficiare față de care s-a intentat procesul de insolvabilitate care este impusă de</w:t>
            </w:r>
            <w:r>
              <w:rPr>
                <w:rFonts w:ascii="Times New Roman" w:eastAsia="Times New Roman" w:hAnsi="Times New Roman" w:cs="Times New Roman"/>
              </w:rPr>
              <w:t xml:space="preserve"> </w:t>
            </w:r>
            <w:r w:rsidRPr="00965219">
              <w:rPr>
                <w:rFonts w:ascii="Times New Roman" w:eastAsia="Times New Roman" w:hAnsi="Times New Roman" w:cs="Times New Roman"/>
              </w:rPr>
              <w:t xml:space="preserve">Legea cu privire la ajutorul de stat nr. 139/2012, </w:t>
            </w:r>
            <w:r w:rsidRPr="00965219">
              <w:rPr>
                <w:rFonts w:ascii="Times New Roman" w:eastAsia="Times New Roman" w:hAnsi="Times New Roman" w:cs="Times New Roman"/>
              </w:rPr>
              <w:lastRenderedPageBreak/>
              <w:t>propunerea de a fi completată</w:t>
            </w:r>
            <w:r>
              <w:rPr>
                <w:rFonts w:ascii="Times New Roman" w:eastAsia="Times New Roman" w:hAnsi="Times New Roman" w:cs="Times New Roman"/>
              </w:rPr>
              <w:t xml:space="preserve"> </w:t>
            </w:r>
            <w:r w:rsidRPr="00965219">
              <w:rPr>
                <w:rFonts w:ascii="Times New Roman" w:eastAsia="Times New Roman" w:hAnsi="Times New Roman" w:cs="Times New Roman"/>
              </w:rPr>
              <w:t xml:space="preserve">norma art. 43 alin. (2) pct. 3) din Legea insolvabilității nr. 149/2012 cu textul „ </w:t>
            </w:r>
            <w:r w:rsidRPr="00965219">
              <w:rPr>
                <w:rFonts w:ascii="Times New Roman" w:eastAsia="Times New Roman" w:hAnsi="Times New Roman" w:cs="Times New Roman"/>
                <w:i/>
                <w:iCs/>
              </w:rPr>
              <w:t xml:space="preserve">,inclusiv care vizează ajutorul de stat sau ajutorul de </w:t>
            </w:r>
            <w:proofErr w:type="spellStart"/>
            <w:r w:rsidRPr="00965219">
              <w:rPr>
                <w:rFonts w:ascii="Times New Roman" w:eastAsia="Times New Roman" w:hAnsi="Times New Roman" w:cs="Times New Roman"/>
                <w:i/>
                <w:iCs/>
              </w:rPr>
              <w:t>minimis</w:t>
            </w:r>
            <w:proofErr w:type="spellEnd"/>
            <w:r w:rsidRPr="00965219">
              <w:rPr>
                <w:rFonts w:ascii="Times New Roman" w:eastAsia="Times New Roman" w:hAnsi="Times New Roman" w:cs="Times New Roman"/>
                <w:i/>
                <w:iCs/>
              </w:rPr>
              <w:t xml:space="preserve"> necesar a fi recuperat”.</w:t>
            </w:r>
          </w:p>
        </w:tc>
        <w:tc>
          <w:tcPr>
            <w:tcW w:w="5505" w:type="dxa"/>
          </w:tcPr>
          <w:p w14:paraId="6B038A06" w14:textId="77777777" w:rsidR="00724E7B" w:rsidRPr="005656CD" w:rsidRDefault="005656CD">
            <w:pPr>
              <w:pBdr>
                <w:top w:val="nil"/>
                <w:left w:val="nil"/>
                <w:bottom w:val="nil"/>
                <w:right w:val="nil"/>
                <w:between w:val="nil"/>
              </w:pBdr>
              <w:jc w:val="both"/>
              <w:rPr>
                <w:rFonts w:ascii="Times New Roman" w:eastAsia="Times New Roman" w:hAnsi="Times New Roman" w:cs="Times New Roman"/>
              </w:rPr>
            </w:pPr>
            <w:r w:rsidRPr="005656CD">
              <w:rPr>
                <w:rFonts w:ascii="Times New Roman" w:eastAsia="Times New Roman" w:hAnsi="Times New Roman" w:cs="Times New Roman"/>
              </w:rPr>
              <w:lastRenderedPageBreak/>
              <w:t>MDED a prezentat către Consiliul Concurenței un proiect amplu de modificare a Legii 149/2012 (</w:t>
            </w:r>
            <w:r w:rsidRPr="005656CD">
              <w:rPr>
                <w:rFonts w:ascii="Times New Roman" w:eastAsia="Times New Roman" w:hAnsi="Times New Roman" w:cs="Times New Roman"/>
              </w:rPr>
              <w:t>Proiect de lege pentru modificarea Legii insolvabilității nr. 149/2012</w:t>
            </w:r>
            <w:r w:rsidRPr="005656CD">
              <w:rPr>
                <w:rFonts w:ascii="Times New Roman" w:eastAsia="Times New Roman" w:hAnsi="Times New Roman" w:cs="Times New Roman"/>
              </w:rPr>
              <w:t xml:space="preserve"> (număr unic 424/MDED/2026))</w:t>
            </w:r>
          </w:p>
          <w:p w14:paraId="07BCE080" w14:textId="77777777" w:rsidR="005656CD" w:rsidRPr="005656CD" w:rsidRDefault="005656CD">
            <w:pPr>
              <w:pBdr>
                <w:top w:val="nil"/>
                <w:left w:val="nil"/>
                <w:bottom w:val="nil"/>
                <w:right w:val="nil"/>
                <w:between w:val="nil"/>
              </w:pBdr>
              <w:jc w:val="both"/>
              <w:rPr>
                <w:rFonts w:ascii="Times New Roman" w:eastAsia="Times New Roman" w:hAnsi="Times New Roman" w:cs="Times New Roman"/>
              </w:rPr>
            </w:pPr>
            <w:r w:rsidRPr="005656CD">
              <w:rPr>
                <w:rFonts w:ascii="Times New Roman" w:eastAsia="Times New Roman" w:hAnsi="Times New Roman" w:cs="Times New Roman"/>
              </w:rPr>
              <w:t xml:space="preserve">Prin acel proiect s-a propus inclusiv modificări la art.43 al </w:t>
            </w:r>
            <w:r w:rsidRPr="005656CD">
              <w:rPr>
                <w:rFonts w:ascii="Times New Roman" w:eastAsia="Times New Roman" w:hAnsi="Times New Roman" w:cs="Times New Roman"/>
              </w:rPr>
              <w:t>Legii insolvabilității nr. 149/2012</w:t>
            </w:r>
            <w:r w:rsidRPr="005656CD">
              <w:rPr>
                <w:rFonts w:ascii="Times New Roman" w:eastAsia="Times New Roman" w:hAnsi="Times New Roman" w:cs="Times New Roman"/>
              </w:rPr>
              <w:t>.</w:t>
            </w:r>
          </w:p>
          <w:p w14:paraId="53AE3FCB" w14:textId="39DAFDB5" w:rsidR="005656CD" w:rsidRPr="005656CD" w:rsidRDefault="005656CD" w:rsidP="005656CD">
            <w:pPr>
              <w:pBdr>
                <w:top w:val="nil"/>
                <w:left w:val="nil"/>
                <w:bottom w:val="nil"/>
                <w:right w:val="nil"/>
                <w:between w:val="nil"/>
              </w:pBdr>
              <w:jc w:val="both"/>
              <w:rPr>
                <w:rFonts w:ascii="Times New Roman" w:eastAsia="Times New Roman" w:hAnsi="Times New Roman" w:cs="Times New Roman"/>
              </w:rPr>
            </w:pPr>
            <w:r w:rsidRPr="005656CD">
              <w:rPr>
                <w:rFonts w:ascii="Times New Roman" w:eastAsia="Times New Roman" w:hAnsi="Times New Roman" w:cs="Times New Roman"/>
              </w:rPr>
              <w:t xml:space="preserve">Prin avizul </w:t>
            </w:r>
            <w:r w:rsidRPr="005656CD">
              <w:rPr>
                <w:rFonts w:ascii="Times New Roman" w:eastAsia="Times New Roman" w:hAnsi="Times New Roman" w:cs="Times New Roman"/>
              </w:rPr>
              <w:t>Nr. DJ-06/492-932 din 27 mai 2026</w:t>
            </w:r>
            <w:r w:rsidRPr="005656CD">
              <w:rPr>
                <w:rFonts w:ascii="Times New Roman" w:eastAsia="Times New Roman" w:hAnsi="Times New Roman" w:cs="Times New Roman"/>
              </w:rPr>
              <w:t xml:space="preserve"> Consiliul Concurenței a </w:t>
            </w:r>
            <w:r w:rsidRPr="005656CD">
              <w:rPr>
                <w:rFonts w:ascii="Times New Roman" w:eastAsia="Times New Roman" w:hAnsi="Times New Roman" w:cs="Times New Roman"/>
              </w:rPr>
              <w:t>comunic</w:t>
            </w:r>
            <w:r w:rsidRPr="005656CD">
              <w:rPr>
                <w:rFonts w:ascii="Times New Roman" w:eastAsia="Times New Roman" w:hAnsi="Times New Roman" w:cs="Times New Roman"/>
              </w:rPr>
              <w:t>at</w:t>
            </w:r>
            <w:r w:rsidRPr="005656CD">
              <w:rPr>
                <w:rFonts w:ascii="Times New Roman" w:eastAsia="Times New Roman" w:hAnsi="Times New Roman" w:cs="Times New Roman"/>
              </w:rPr>
              <w:t xml:space="preserve"> lipsa</w:t>
            </w:r>
            <w:r>
              <w:rPr>
                <w:rFonts w:ascii="Times New Roman" w:eastAsia="Times New Roman" w:hAnsi="Times New Roman" w:cs="Times New Roman"/>
              </w:rPr>
              <w:t xml:space="preserve"> </w:t>
            </w:r>
            <w:r w:rsidRPr="005656CD">
              <w:rPr>
                <w:rFonts w:ascii="Times New Roman" w:eastAsia="Times New Roman" w:hAnsi="Times New Roman" w:cs="Times New Roman"/>
              </w:rPr>
              <w:t>propunerilor și obiecțiilor pe marginea acestuia.</w:t>
            </w:r>
          </w:p>
          <w:p w14:paraId="2C5CBFB6" w14:textId="412297E1" w:rsidR="005656CD" w:rsidRPr="005656CD" w:rsidRDefault="005656CD" w:rsidP="005656CD">
            <w:pPr>
              <w:pBdr>
                <w:top w:val="nil"/>
                <w:left w:val="nil"/>
                <w:bottom w:val="nil"/>
                <w:right w:val="nil"/>
                <w:between w:val="nil"/>
              </w:pBdr>
              <w:jc w:val="both"/>
              <w:rPr>
                <w:rFonts w:ascii="Times New Roman" w:eastAsia="Times New Roman" w:hAnsi="Times New Roman" w:cs="Times New Roman"/>
              </w:rPr>
            </w:pPr>
            <w:r w:rsidRPr="005656CD">
              <w:rPr>
                <w:rFonts w:ascii="Times New Roman" w:eastAsia="Times New Roman" w:hAnsi="Times New Roman" w:cs="Times New Roman"/>
              </w:rPr>
              <w:t>În procesul de expertizare</w:t>
            </w:r>
            <w:r>
              <w:rPr>
                <w:rFonts w:ascii="Times New Roman" w:eastAsia="Times New Roman" w:hAnsi="Times New Roman" w:cs="Times New Roman"/>
              </w:rPr>
              <w:t>,</w:t>
            </w:r>
            <w:r w:rsidRPr="005656CD">
              <w:rPr>
                <w:rFonts w:ascii="Times New Roman" w:eastAsia="Times New Roman" w:hAnsi="Times New Roman" w:cs="Times New Roman"/>
              </w:rPr>
              <w:t xml:space="preserve"> repetat la data de 10.07.2026, instituția a comunicat repetat lipsa obiecțiilor și propunerilor.</w:t>
            </w:r>
          </w:p>
          <w:p w14:paraId="1E26AB5E" w14:textId="20CBF32F" w:rsidR="005656CD" w:rsidRDefault="005656CD" w:rsidP="005656CD">
            <w:pPr>
              <w:pBdr>
                <w:top w:val="nil"/>
                <w:left w:val="nil"/>
                <w:bottom w:val="nil"/>
                <w:right w:val="nil"/>
                <w:between w:val="nil"/>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Astfel țin </w:t>
            </w:r>
            <w:r w:rsidR="003D54A9">
              <w:rPr>
                <w:rFonts w:ascii="Times New Roman" w:eastAsia="Times New Roman" w:hAnsi="Times New Roman" w:cs="Times New Roman"/>
                <w:b/>
                <w:bCs/>
              </w:rPr>
              <w:t xml:space="preserve">să </w:t>
            </w:r>
            <w:r>
              <w:rPr>
                <w:rFonts w:ascii="Times New Roman" w:eastAsia="Times New Roman" w:hAnsi="Times New Roman" w:cs="Times New Roman"/>
                <w:b/>
                <w:bCs/>
              </w:rPr>
              <w:t>menționam că co</w:t>
            </w:r>
            <w:r w:rsidRPr="005656CD">
              <w:rPr>
                <w:rFonts w:ascii="Times New Roman" w:eastAsia="Times New Roman" w:hAnsi="Times New Roman" w:cs="Times New Roman"/>
                <w:b/>
                <w:bCs/>
              </w:rPr>
              <w:t>mpletarea</w:t>
            </w:r>
            <w:r>
              <w:rPr>
                <w:rFonts w:ascii="Times New Roman" w:eastAsia="Times New Roman" w:hAnsi="Times New Roman" w:cs="Times New Roman"/>
                <w:b/>
                <w:bCs/>
              </w:rPr>
              <w:t xml:space="preserve"> normelor expuse</w:t>
            </w:r>
            <w:r w:rsidRPr="005656CD">
              <w:rPr>
                <w:rFonts w:ascii="Times New Roman" w:eastAsia="Times New Roman" w:hAnsi="Times New Roman" w:cs="Times New Roman"/>
                <w:b/>
                <w:bCs/>
              </w:rPr>
              <w:t xml:space="preserve"> depășește materia Directivei și a proiectului de lege.</w:t>
            </w:r>
          </w:p>
        </w:tc>
      </w:tr>
    </w:tbl>
    <w:p w14:paraId="56DA6D2C" w14:textId="77777777" w:rsidR="0072652F" w:rsidRDefault="0072652F"/>
    <w:sectPr w:rsidR="0072652F">
      <w:headerReference w:type="default" r:id="rId10"/>
      <w:pgSz w:w="16838" w:h="11906" w:orient="landscape"/>
      <w:pgMar w:top="1134" w:right="851"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8A73" w14:textId="77777777" w:rsidR="007153C4" w:rsidRDefault="007153C4">
      <w:pPr>
        <w:spacing w:after="0" w:line="240" w:lineRule="auto"/>
      </w:pPr>
      <w:r>
        <w:separator/>
      </w:r>
    </w:p>
  </w:endnote>
  <w:endnote w:type="continuationSeparator" w:id="0">
    <w:p w14:paraId="779DEF43" w14:textId="77777777" w:rsidR="007153C4" w:rsidRDefault="00715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059CE7F-CF04-4DED-BF32-F3A80E9BA2CD}"/>
    <w:embedBold r:id="rId2" w:fontKey="{7E65D661-302F-4669-A1C5-2DC696661F45}"/>
    <w:embedItalic r:id="rId3" w:fontKey="{8418D7EB-28D9-47C8-A53A-8E17C334940B}"/>
  </w:font>
  <w:font w:name="Play">
    <w:charset w:val="00"/>
    <w:family w:val="auto"/>
    <w:pitch w:val="default"/>
    <w:embedRegular r:id="rId4" w:fontKey="{0101E788-E36F-4BA0-AD7F-6502B84E28B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12E0416-2214-4587-86C4-0702BA5B475A}"/>
  </w:font>
  <w:font w:name="Cambria">
    <w:panose1 w:val="02040503050406030204"/>
    <w:charset w:val="00"/>
    <w:family w:val="roman"/>
    <w:pitch w:val="variable"/>
    <w:sig w:usb0="E00006FF" w:usb1="420024FF" w:usb2="02000000" w:usb3="00000000" w:csb0="0000019F" w:csb1="00000000"/>
    <w:embedRegular r:id="rId6" w:fontKey="{2D373957-0876-411C-8F44-E6BF6B2B289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8793" w14:textId="77777777" w:rsidR="007153C4" w:rsidRDefault="007153C4">
      <w:pPr>
        <w:spacing w:after="0" w:line="240" w:lineRule="auto"/>
      </w:pPr>
      <w:r>
        <w:separator/>
      </w:r>
    </w:p>
  </w:footnote>
  <w:footnote w:type="continuationSeparator" w:id="0">
    <w:p w14:paraId="0662ECF3" w14:textId="77777777" w:rsidR="007153C4" w:rsidRDefault="00715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811D" w14:textId="77777777" w:rsidR="0072652F" w:rsidRDefault="007265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52F"/>
    <w:rsid w:val="000C76A8"/>
    <w:rsid w:val="00115347"/>
    <w:rsid w:val="00145DE6"/>
    <w:rsid w:val="002A2D77"/>
    <w:rsid w:val="002E3105"/>
    <w:rsid w:val="003219BC"/>
    <w:rsid w:val="00337628"/>
    <w:rsid w:val="00396F81"/>
    <w:rsid w:val="003D54A9"/>
    <w:rsid w:val="0054524A"/>
    <w:rsid w:val="005656CD"/>
    <w:rsid w:val="005C3055"/>
    <w:rsid w:val="005C4DA5"/>
    <w:rsid w:val="00670AE9"/>
    <w:rsid w:val="007153C4"/>
    <w:rsid w:val="00724E7B"/>
    <w:rsid w:val="0072652F"/>
    <w:rsid w:val="007338AE"/>
    <w:rsid w:val="008000B7"/>
    <w:rsid w:val="0086041A"/>
    <w:rsid w:val="0089031C"/>
    <w:rsid w:val="00965219"/>
    <w:rsid w:val="00A0389D"/>
    <w:rsid w:val="00B24464"/>
    <w:rsid w:val="00B80FF5"/>
    <w:rsid w:val="00C53C11"/>
    <w:rsid w:val="00CC641D"/>
    <w:rsid w:val="00DD1F85"/>
    <w:rsid w:val="00DD7D07"/>
    <w:rsid w:val="00E912D4"/>
    <w:rsid w:val="00EA57F3"/>
    <w:rsid w:val="00FF4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1C833"/>
  <w15:docId w15:val="{CD70B9AA-02DF-4B9C-B308-5B0476E23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ro-MD"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character" w:styleId="Hyperlink">
    <w:name w:val="Hyperlink"/>
    <w:basedOn w:val="DefaultParagraphFont"/>
    <w:uiPriority w:val="99"/>
    <w:unhideWhenUsed/>
    <w:rsid w:val="0086041A"/>
    <w:rPr>
      <w:color w:val="0000FF" w:themeColor="hyperlink"/>
      <w:u w:val="single"/>
    </w:rPr>
  </w:style>
  <w:style w:type="character" w:styleId="UnresolvedMention">
    <w:name w:val="Unresolved Mention"/>
    <w:basedOn w:val="DefaultParagraphFont"/>
    <w:uiPriority w:val="99"/>
    <w:semiHidden/>
    <w:unhideWhenUsed/>
    <w:rsid w:val="00860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sud.asp.gov.m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0g2Ij/891VR53ZBSWP81jOeriA==">CgMxLjA4AHIhMVVLNklGWUpHdkFNLTR0b3JUTW5lZU15Mk5oVmVsWmhx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137</Pages>
  <Words>38741</Words>
  <Characters>220830</Characters>
  <Application>Microsoft Office Word</Application>
  <DocSecurity>0</DocSecurity>
  <Lines>1840</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Bejan Elena</dc:creator>
  <cp:lastModifiedBy>Bejan Elena</cp:lastModifiedBy>
  <cp:revision>12</cp:revision>
  <dcterms:created xsi:type="dcterms:W3CDTF">2026-07-21T05:02:00Z</dcterms:created>
  <dcterms:modified xsi:type="dcterms:W3CDTF">2026-07-30T13:42:00Z</dcterms:modified>
</cp:coreProperties>
</file>