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F879C" w14:textId="77777777" w:rsidR="001153CB" w:rsidRPr="005208B1" w:rsidRDefault="001153CB" w:rsidP="004B293F">
      <w:pPr>
        <w:spacing w:after="0" w:line="240" w:lineRule="auto"/>
        <w:jc w:val="center"/>
        <w:rPr>
          <w:rFonts w:ascii="Times New Roman" w:hAnsi="Times New Roman" w:cs="Times New Roman"/>
          <w:b/>
          <w:bCs/>
          <w:lang w:val="en-US"/>
        </w:rPr>
      </w:pPr>
    </w:p>
    <w:p w14:paraId="3628D273" w14:textId="6247FF71" w:rsidR="00B17A46" w:rsidRPr="00AB1D9F" w:rsidRDefault="000A5E5D" w:rsidP="004B293F">
      <w:pPr>
        <w:spacing w:after="0" w:line="240" w:lineRule="auto"/>
        <w:jc w:val="center"/>
        <w:rPr>
          <w:rFonts w:ascii="Times New Roman" w:hAnsi="Times New Roman" w:cs="Times New Roman"/>
          <w:b/>
          <w:bCs/>
          <w:lang w:val="ro-RO"/>
        </w:rPr>
      </w:pPr>
      <w:r w:rsidRPr="00AB1D9F">
        <w:rPr>
          <w:rFonts w:ascii="Times New Roman" w:hAnsi="Times New Roman" w:cs="Times New Roman"/>
          <w:b/>
          <w:bCs/>
          <w:lang w:val="ro-RO"/>
        </w:rPr>
        <w:t>SINTEZA</w:t>
      </w:r>
    </w:p>
    <w:p w14:paraId="032E3DFA" w14:textId="7669C918" w:rsidR="000A5E5D" w:rsidRPr="00AB1D9F" w:rsidRDefault="000A5E5D" w:rsidP="007B1EB4">
      <w:pPr>
        <w:spacing w:before="120" w:after="0" w:line="240" w:lineRule="auto"/>
        <w:jc w:val="center"/>
        <w:rPr>
          <w:rFonts w:ascii="Times New Roman" w:hAnsi="Times New Roman" w:cs="Times New Roman"/>
          <w:b/>
          <w:lang w:val="ro-RO"/>
        </w:rPr>
      </w:pPr>
      <w:r w:rsidRPr="00AB1D9F">
        <w:rPr>
          <w:rFonts w:ascii="Times New Roman" w:hAnsi="Times New Roman" w:cs="Times New Roman"/>
          <w:b/>
          <w:lang w:val="ro-RO"/>
        </w:rPr>
        <w:t xml:space="preserve">la proiectul </w:t>
      </w:r>
      <w:r w:rsidR="007B1EB4" w:rsidRPr="00AB1D9F">
        <w:rPr>
          <w:rFonts w:ascii="Times New Roman" w:hAnsi="Times New Roman" w:cs="Times New Roman"/>
          <w:b/>
          <w:lang w:val="ro-RO"/>
        </w:rPr>
        <w:t>de L</w:t>
      </w:r>
      <w:r w:rsidRPr="00AB1D9F">
        <w:rPr>
          <w:rFonts w:ascii="Times New Roman" w:hAnsi="Times New Roman" w:cs="Times New Roman"/>
          <w:b/>
          <w:lang w:val="ro-RO"/>
        </w:rPr>
        <w:t>eg</w:t>
      </w:r>
      <w:r w:rsidR="007B1EB4" w:rsidRPr="00AB1D9F">
        <w:rPr>
          <w:rFonts w:ascii="Times New Roman" w:hAnsi="Times New Roman" w:cs="Times New Roman"/>
          <w:b/>
          <w:lang w:val="ro-RO"/>
        </w:rPr>
        <w:t>e</w:t>
      </w:r>
      <w:r w:rsidRPr="00AB1D9F">
        <w:rPr>
          <w:rFonts w:ascii="Times New Roman" w:hAnsi="Times New Roman" w:cs="Times New Roman"/>
          <w:b/>
          <w:lang w:val="ro-RO"/>
        </w:rPr>
        <w:t xml:space="preserve"> pentru modificarea Legii nr. 183/2016 cu privire la caracterul definitiv al</w:t>
      </w:r>
    </w:p>
    <w:p w14:paraId="2EC06EB9" w14:textId="34D330A6" w:rsidR="001153CB" w:rsidRPr="00AB1D9F" w:rsidRDefault="000A5E5D" w:rsidP="004A42D9">
      <w:pPr>
        <w:spacing w:after="120" w:line="240" w:lineRule="auto"/>
        <w:jc w:val="center"/>
        <w:rPr>
          <w:rFonts w:ascii="Times New Roman" w:hAnsi="Times New Roman" w:cs="Times New Roman"/>
          <w:b/>
          <w:lang w:val="ro-RO"/>
        </w:rPr>
      </w:pPr>
      <w:r w:rsidRPr="00AB1D9F">
        <w:rPr>
          <w:rFonts w:ascii="Times New Roman" w:hAnsi="Times New Roman" w:cs="Times New Roman"/>
          <w:b/>
          <w:lang w:val="ro-RO"/>
        </w:rPr>
        <w:t>decontării în sistemele de plăţi şi de decontare a instrumentelor financiare</w:t>
      </w:r>
    </w:p>
    <w:tbl>
      <w:tblPr>
        <w:tblStyle w:val="TableGrid"/>
        <w:tblW w:w="14738" w:type="dxa"/>
        <w:tblLook w:val="04A0" w:firstRow="1" w:lastRow="0" w:firstColumn="1" w:lastColumn="0" w:noHBand="0" w:noVBand="1"/>
      </w:tblPr>
      <w:tblGrid>
        <w:gridCol w:w="3964"/>
        <w:gridCol w:w="2268"/>
        <w:gridCol w:w="709"/>
        <w:gridCol w:w="4086"/>
        <w:gridCol w:w="3711"/>
      </w:tblGrid>
      <w:tr w:rsidR="007E01DB" w:rsidRPr="00AB1D9F" w14:paraId="49E2DD1C" w14:textId="77777777" w:rsidTr="00DB4B10">
        <w:tc>
          <w:tcPr>
            <w:tcW w:w="3964" w:type="dxa"/>
          </w:tcPr>
          <w:p w14:paraId="2634CFA6" w14:textId="64C14A6D" w:rsidR="00B44A32" w:rsidRPr="00AB1D9F" w:rsidRDefault="00290D3D" w:rsidP="00521795">
            <w:pPr>
              <w:jc w:val="center"/>
              <w:rPr>
                <w:rFonts w:ascii="Times New Roman" w:hAnsi="Times New Roman" w:cs="Times New Roman"/>
                <w:lang w:val="ro-RO"/>
              </w:rPr>
            </w:pPr>
            <w:r w:rsidRPr="00AB1D9F">
              <w:rPr>
                <w:rFonts w:ascii="Times New Roman" w:hAnsi="Times New Roman" w:cs="Times New Roman"/>
                <w:b/>
                <w:bCs/>
                <w:lang w:val="ro-RO"/>
              </w:rPr>
              <w:t>Conținutul</w:t>
            </w:r>
            <w:r w:rsidR="00B44A32" w:rsidRPr="00AB1D9F">
              <w:rPr>
                <w:rFonts w:ascii="Times New Roman" w:hAnsi="Times New Roman" w:cs="Times New Roman"/>
                <w:b/>
                <w:bCs/>
                <w:lang w:val="ro-RO"/>
              </w:rPr>
              <w:t xml:space="preserve"> articolelor/punctelor din proiectul prezentat spre avizare şi coordonare</w:t>
            </w:r>
          </w:p>
        </w:tc>
        <w:tc>
          <w:tcPr>
            <w:tcW w:w="2268" w:type="dxa"/>
          </w:tcPr>
          <w:p w14:paraId="530EEC2B" w14:textId="35B0EF9E"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Participantul la avizare, consultare publică, expertizare</w:t>
            </w:r>
          </w:p>
        </w:tc>
        <w:tc>
          <w:tcPr>
            <w:tcW w:w="709" w:type="dxa"/>
          </w:tcPr>
          <w:p w14:paraId="7E8717CA" w14:textId="5FE54B8D"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Nr. crt.</w:t>
            </w:r>
          </w:p>
        </w:tc>
        <w:tc>
          <w:tcPr>
            <w:tcW w:w="4086" w:type="dxa"/>
          </w:tcPr>
          <w:p w14:paraId="1FA8AF59" w14:textId="47FF65E0" w:rsidR="00B44A32" w:rsidRPr="00AB1D9F" w:rsidRDefault="00290D3D" w:rsidP="00521795">
            <w:pPr>
              <w:jc w:val="center"/>
              <w:rPr>
                <w:rFonts w:ascii="Times New Roman" w:hAnsi="Times New Roman" w:cs="Times New Roman"/>
                <w:lang w:val="ro-RO"/>
              </w:rPr>
            </w:pPr>
            <w:r w:rsidRPr="00AB1D9F">
              <w:rPr>
                <w:rFonts w:ascii="Times New Roman" w:hAnsi="Times New Roman" w:cs="Times New Roman"/>
                <w:b/>
                <w:bCs/>
                <w:lang w:val="ro-RO"/>
              </w:rPr>
              <w:t>Conținutul</w:t>
            </w:r>
            <w:r w:rsidR="00B44A32" w:rsidRPr="00AB1D9F">
              <w:rPr>
                <w:rFonts w:ascii="Times New Roman" w:hAnsi="Times New Roman" w:cs="Times New Roman"/>
                <w:b/>
                <w:bCs/>
                <w:lang w:val="ro-RO"/>
              </w:rPr>
              <w:t xml:space="preserve"> </w:t>
            </w:r>
            <w:r w:rsidRPr="00AB1D9F">
              <w:rPr>
                <w:rFonts w:ascii="Times New Roman" w:hAnsi="Times New Roman" w:cs="Times New Roman"/>
                <w:b/>
                <w:bCs/>
                <w:lang w:val="ro-RO"/>
              </w:rPr>
              <w:t>obiecției</w:t>
            </w:r>
            <w:r w:rsidR="00B44A32" w:rsidRPr="00AB1D9F">
              <w:rPr>
                <w:rFonts w:ascii="Times New Roman" w:hAnsi="Times New Roman" w:cs="Times New Roman"/>
                <w:b/>
                <w:bCs/>
                <w:lang w:val="ro-RO"/>
              </w:rPr>
              <w:t>, propunerii, recomandării, concluziei</w:t>
            </w:r>
          </w:p>
        </w:tc>
        <w:tc>
          <w:tcPr>
            <w:tcW w:w="3711" w:type="dxa"/>
          </w:tcPr>
          <w:p w14:paraId="255BB2B0" w14:textId="0B215D34"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Argumentarea autorului proiectului</w:t>
            </w:r>
          </w:p>
        </w:tc>
      </w:tr>
      <w:tr w:rsidR="007E01DB" w:rsidRPr="00AB1D9F" w14:paraId="5C3EE8BF" w14:textId="77777777" w:rsidTr="00DB4B10">
        <w:tc>
          <w:tcPr>
            <w:tcW w:w="3964" w:type="dxa"/>
          </w:tcPr>
          <w:p w14:paraId="1F49467A" w14:textId="1A013F20"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1</w:t>
            </w:r>
          </w:p>
        </w:tc>
        <w:tc>
          <w:tcPr>
            <w:tcW w:w="2268" w:type="dxa"/>
          </w:tcPr>
          <w:p w14:paraId="59217EDA" w14:textId="3CDF810C"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2</w:t>
            </w:r>
          </w:p>
        </w:tc>
        <w:tc>
          <w:tcPr>
            <w:tcW w:w="709" w:type="dxa"/>
          </w:tcPr>
          <w:p w14:paraId="750C4470" w14:textId="65667BB4"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3</w:t>
            </w:r>
          </w:p>
        </w:tc>
        <w:tc>
          <w:tcPr>
            <w:tcW w:w="4086" w:type="dxa"/>
          </w:tcPr>
          <w:p w14:paraId="72AA7552" w14:textId="27A49A22"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4</w:t>
            </w:r>
          </w:p>
        </w:tc>
        <w:tc>
          <w:tcPr>
            <w:tcW w:w="3711" w:type="dxa"/>
          </w:tcPr>
          <w:p w14:paraId="1063B5B7" w14:textId="70B9D9D9" w:rsidR="00B44A32" w:rsidRPr="00AB1D9F" w:rsidRDefault="00B44A32" w:rsidP="00521795">
            <w:pPr>
              <w:jc w:val="center"/>
              <w:rPr>
                <w:rFonts w:ascii="Times New Roman" w:hAnsi="Times New Roman" w:cs="Times New Roman"/>
                <w:lang w:val="ro-RO"/>
              </w:rPr>
            </w:pPr>
            <w:r w:rsidRPr="00AB1D9F">
              <w:rPr>
                <w:rFonts w:ascii="Times New Roman" w:hAnsi="Times New Roman" w:cs="Times New Roman"/>
                <w:b/>
                <w:bCs/>
                <w:lang w:val="ro-RO"/>
              </w:rPr>
              <w:t>5</w:t>
            </w:r>
          </w:p>
        </w:tc>
      </w:tr>
      <w:tr w:rsidR="00FC2C89" w:rsidRPr="00AB1D9F" w14:paraId="3C627AF3" w14:textId="77777777" w:rsidTr="007B1EB4">
        <w:tc>
          <w:tcPr>
            <w:tcW w:w="14738" w:type="dxa"/>
            <w:gridSpan w:val="5"/>
            <w:shd w:val="clear" w:color="auto" w:fill="D9D9D9" w:themeFill="background1" w:themeFillShade="D9"/>
          </w:tcPr>
          <w:p w14:paraId="005E4AA6" w14:textId="526B2F38" w:rsidR="00FC2C89" w:rsidRPr="00AB1D9F" w:rsidRDefault="00FC2C89" w:rsidP="00521795">
            <w:pPr>
              <w:jc w:val="center"/>
              <w:rPr>
                <w:rFonts w:ascii="Times New Roman" w:hAnsi="Times New Roman" w:cs="Times New Roman"/>
                <w:b/>
                <w:bCs/>
                <w:lang w:val="ro-RO"/>
              </w:rPr>
            </w:pPr>
            <w:r w:rsidRPr="00AB1D9F">
              <w:rPr>
                <w:rFonts w:ascii="Times New Roman" w:hAnsi="Times New Roman" w:cs="Times New Roman"/>
                <w:b/>
                <w:bCs/>
                <w:lang w:val="ro-RO"/>
              </w:rPr>
              <w:t>Avizare şi consultare publică</w:t>
            </w:r>
          </w:p>
        </w:tc>
      </w:tr>
      <w:tr w:rsidR="00FC2C89" w:rsidRPr="00AB1D9F" w14:paraId="2F112153" w14:textId="77777777" w:rsidTr="007B1EB4">
        <w:tc>
          <w:tcPr>
            <w:tcW w:w="14738" w:type="dxa"/>
            <w:gridSpan w:val="5"/>
          </w:tcPr>
          <w:p w14:paraId="70134A2A" w14:textId="3C3373BA" w:rsidR="00FC2C89" w:rsidRPr="00AB1D9F" w:rsidRDefault="00FC2C89" w:rsidP="00521795">
            <w:pPr>
              <w:pStyle w:val="ListParagraph"/>
              <w:numPr>
                <w:ilvl w:val="0"/>
                <w:numId w:val="14"/>
              </w:numPr>
              <w:tabs>
                <w:tab w:val="left" w:pos="3577"/>
                <w:tab w:val="left" w:pos="5136"/>
              </w:tabs>
              <w:ind w:left="600" w:hanging="240"/>
              <w:jc w:val="center"/>
              <w:rPr>
                <w:rFonts w:ascii="Times New Roman" w:hAnsi="Times New Roman" w:cs="Times New Roman"/>
                <w:b/>
                <w:bCs/>
                <w:lang w:val="ro-RO"/>
              </w:rPr>
            </w:pPr>
            <w:r w:rsidRPr="00AB1D9F">
              <w:rPr>
                <w:rFonts w:ascii="Times New Roman" w:hAnsi="Times New Roman" w:cs="Times New Roman"/>
                <w:b/>
                <w:bCs/>
                <w:lang w:val="ro-RO"/>
              </w:rPr>
              <w:t>Obiecții și propuneri la punctele din proiect</w:t>
            </w:r>
          </w:p>
        </w:tc>
      </w:tr>
      <w:tr w:rsidR="00FC2C89" w:rsidRPr="00AB1D9F" w14:paraId="1FC433C6" w14:textId="77777777" w:rsidTr="007B1EB4">
        <w:tc>
          <w:tcPr>
            <w:tcW w:w="14738" w:type="dxa"/>
            <w:gridSpan w:val="5"/>
          </w:tcPr>
          <w:p w14:paraId="41E8EC76" w14:textId="1303AD65" w:rsidR="00FC2C89" w:rsidRPr="00AB1D9F" w:rsidRDefault="00FC2C89" w:rsidP="00521795">
            <w:pPr>
              <w:rPr>
                <w:rFonts w:ascii="Times New Roman" w:hAnsi="Times New Roman" w:cs="Times New Roman"/>
                <w:b/>
                <w:bCs/>
                <w:lang w:val="ro-RO"/>
              </w:rPr>
            </w:pPr>
            <w:r w:rsidRPr="00AB1D9F">
              <w:rPr>
                <w:rFonts w:ascii="Times New Roman" w:hAnsi="Times New Roman" w:cs="Times New Roman"/>
                <w:b/>
                <w:bCs/>
                <w:lang w:val="ro-RO"/>
              </w:rPr>
              <w:t>Art. I. - Legea nr.183/2016 cu privire la caracterul definitiv al decontării în sistemele de plăţi şi de decontare a instrumentelor financiare</w:t>
            </w:r>
          </w:p>
        </w:tc>
      </w:tr>
      <w:tr w:rsidR="00FC2C89" w:rsidRPr="00AB1D9F" w14:paraId="000073E7" w14:textId="77777777" w:rsidTr="00DB4B10">
        <w:tc>
          <w:tcPr>
            <w:tcW w:w="3964" w:type="dxa"/>
            <w:vMerge w:val="restart"/>
          </w:tcPr>
          <w:p w14:paraId="186CE4FB" w14:textId="77777777"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3. La Articolul 3, alineatele (1) și (2) vor avea următorul cuprins:  </w:t>
            </w:r>
          </w:p>
          <w:p w14:paraId="21B01E1D" w14:textId="3355E4F8"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„(1) În sensul prezentei legi, termenii şi expresiile de mai jos au următoarele semnificații: </w:t>
            </w:r>
          </w:p>
          <w:p w14:paraId="2F8456F8" w14:textId="4758453B"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w:t>
            </w:r>
          </w:p>
          <w:p w14:paraId="311E4DB6" w14:textId="666E5F96"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3) cont de decontare – un cont deschis la banca centrală, la un agent de decontare sau la o contraparte centrală, utilizat pentru depozitarea de mijloace bănești sau instrumente financiare, precum şi pentru decontarea tranzacțiilor dintre participanții la un sistem; </w:t>
            </w:r>
          </w:p>
          <w:p w14:paraId="51364C9F" w14:textId="0871BF7D"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w:t>
            </w:r>
          </w:p>
          <w:p w14:paraId="79F3274F" w14:textId="4756C272"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19) sistem – aranjament formal care îndeplinește cumulativ următoarele condiții: </w:t>
            </w:r>
          </w:p>
          <w:p w14:paraId="79933ECA" w14:textId="227D98AC"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a) este încheiat între 3 sau mai mulți participanţi, alții decât operatorul de sistem al acelui sistem, un posibil agent de decontare, o posibilă contraparte centrală, o posibilă casă de compensare </w:t>
            </w:r>
            <w:r w:rsidRPr="00AB1D9F">
              <w:rPr>
                <w:rFonts w:ascii="Times New Roman" w:hAnsi="Times New Roman" w:cs="Times New Roman"/>
                <w:lang w:val="ro-RO"/>
              </w:rPr>
              <w:lastRenderedPageBreak/>
              <w:t xml:space="preserve">(clearing) sau un posibil participant indirect şi are reguli comune şi proceduri standardizate pentru clearing, realizat prin intermediul unei contrapărți centrale sau al altei entități, şi/sau pentru executarea ordinelor de plată şi/sau ordinelor de transfer între participanţi; </w:t>
            </w:r>
          </w:p>
          <w:p w14:paraId="4ED1C9F7" w14:textId="18DE4805"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b) este guvernat de legea Republicii Moldova, dacă cel puţin unul dintre participanţi își are sediul în Republica Moldova; </w:t>
            </w:r>
          </w:p>
          <w:p w14:paraId="1D12F942" w14:textId="013DD205"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 xml:space="preserve">c) este desemnat de Banca Naţională a Moldovei ca sistem după ce se asigură că normele de funcţionare ale sistemului sunt adecvate; </w:t>
            </w:r>
          </w:p>
          <w:p w14:paraId="3664DD2A" w14:textId="77777777"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d) este notificat la ESMA de către Banca Națională a Moldovei.</w:t>
            </w:r>
          </w:p>
          <w:p w14:paraId="51F02301" w14:textId="722904ED" w:rsidR="00FC2C89" w:rsidRPr="00AB1D9F" w:rsidRDefault="00FC2C89" w:rsidP="00521795">
            <w:pPr>
              <w:jc w:val="both"/>
              <w:rPr>
                <w:rFonts w:ascii="Times New Roman" w:hAnsi="Times New Roman" w:cs="Times New Roman"/>
                <w:lang w:val="ro-RO"/>
              </w:rPr>
            </w:pPr>
            <w:r w:rsidRPr="00AB1D9F">
              <w:rPr>
                <w:rFonts w:ascii="Times New Roman" w:hAnsi="Times New Roman" w:cs="Times New Roman"/>
                <w:lang w:val="ro-RO"/>
              </w:rPr>
              <w:t>...</w:t>
            </w:r>
          </w:p>
        </w:tc>
        <w:tc>
          <w:tcPr>
            <w:tcW w:w="2268" w:type="dxa"/>
            <w:vMerge w:val="restart"/>
          </w:tcPr>
          <w:p w14:paraId="12BF09F0" w14:textId="77777777" w:rsidR="00FC2C89" w:rsidRPr="00AB1D9F" w:rsidRDefault="00FC2C89" w:rsidP="00521795">
            <w:pPr>
              <w:jc w:val="center"/>
              <w:rPr>
                <w:rFonts w:ascii="Times New Roman" w:hAnsi="Times New Roman" w:cs="Times New Roman"/>
                <w:b/>
                <w:bCs/>
                <w:lang w:val="ro-RO"/>
              </w:rPr>
            </w:pPr>
            <w:r w:rsidRPr="00AB1D9F">
              <w:rPr>
                <w:rFonts w:ascii="Times New Roman" w:hAnsi="Times New Roman" w:cs="Times New Roman"/>
                <w:b/>
                <w:bCs/>
                <w:lang w:val="ro-RO"/>
              </w:rPr>
              <w:lastRenderedPageBreak/>
              <w:t>Comisia Națională a Pieței Financiare</w:t>
            </w:r>
          </w:p>
          <w:p w14:paraId="047BCD16" w14:textId="3A12D6F6" w:rsidR="00521795" w:rsidRPr="00AB1D9F" w:rsidRDefault="00521795" w:rsidP="00521795">
            <w:pPr>
              <w:jc w:val="center"/>
              <w:rPr>
                <w:rFonts w:ascii="Times New Roman" w:hAnsi="Times New Roman" w:cs="Times New Roman"/>
                <w:lang w:val="ro-RO"/>
              </w:rPr>
            </w:pPr>
            <w:r w:rsidRPr="00AB1D9F">
              <w:rPr>
                <w:rFonts w:ascii="Times New Roman" w:hAnsi="Times New Roman" w:cs="Times New Roman"/>
                <w:lang w:val="ro-RO"/>
              </w:rPr>
              <w:t>(Aviz nr. 03-4/1448 din 23.04.2026)</w:t>
            </w:r>
          </w:p>
        </w:tc>
        <w:tc>
          <w:tcPr>
            <w:tcW w:w="709" w:type="dxa"/>
          </w:tcPr>
          <w:p w14:paraId="1C7771CD" w14:textId="146FFF9F" w:rsidR="00FC2C89" w:rsidRPr="00AB1D9F" w:rsidRDefault="00FC2C89" w:rsidP="00521795">
            <w:pPr>
              <w:jc w:val="center"/>
              <w:rPr>
                <w:rFonts w:ascii="Times New Roman" w:hAnsi="Times New Roman" w:cs="Times New Roman"/>
                <w:b/>
                <w:bCs/>
                <w:lang w:val="ro-RO"/>
              </w:rPr>
            </w:pPr>
            <w:r w:rsidRPr="00AB1D9F">
              <w:rPr>
                <w:rFonts w:ascii="Times New Roman" w:hAnsi="Times New Roman" w:cs="Times New Roman"/>
                <w:b/>
                <w:bCs/>
                <w:lang w:val="ro-RO"/>
              </w:rPr>
              <w:t>1.</w:t>
            </w:r>
          </w:p>
        </w:tc>
        <w:tc>
          <w:tcPr>
            <w:tcW w:w="4086" w:type="dxa"/>
          </w:tcPr>
          <w:p w14:paraId="2D5590C7" w14:textId="3ECEC49F" w:rsidR="00FC2C89" w:rsidRPr="00AB1D9F" w:rsidRDefault="00FC2C89" w:rsidP="00521795">
            <w:pPr>
              <w:jc w:val="both"/>
              <w:rPr>
                <w:rFonts w:ascii="Times New Roman" w:hAnsi="Times New Roman" w:cs="Times New Roman"/>
                <w:b/>
                <w:bCs/>
                <w:lang w:val="ro-RO"/>
              </w:rPr>
            </w:pPr>
            <w:r w:rsidRPr="00AB1D9F">
              <w:rPr>
                <w:rFonts w:ascii="Times New Roman" w:hAnsi="Times New Roman" w:cs="Times New Roman"/>
              </w:rPr>
              <w:t>La art. I pct. 3 alin. (1) subpct. 7), cuvântul „entitățile” se va substitui cu cuvântul „entități”.</w:t>
            </w:r>
          </w:p>
        </w:tc>
        <w:tc>
          <w:tcPr>
            <w:tcW w:w="3711" w:type="dxa"/>
          </w:tcPr>
          <w:p w14:paraId="1D59E08E" w14:textId="77777777" w:rsidR="00FC2C89" w:rsidRPr="00AB1D9F" w:rsidRDefault="00FC2C89" w:rsidP="00521795">
            <w:pPr>
              <w:jc w:val="both"/>
              <w:rPr>
                <w:rFonts w:ascii="Times New Roman" w:hAnsi="Times New Roman" w:cs="Times New Roman"/>
                <w:b/>
                <w:bCs/>
              </w:rPr>
            </w:pPr>
            <w:r w:rsidRPr="00AB1D9F">
              <w:rPr>
                <w:rFonts w:ascii="Times New Roman" w:hAnsi="Times New Roman" w:cs="Times New Roman"/>
                <w:b/>
                <w:bCs/>
              </w:rPr>
              <w:t>Se acceptă.</w:t>
            </w:r>
          </w:p>
          <w:p w14:paraId="469FEAD3" w14:textId="106A43CD" w:rsidR="00FC2C89" w:rsidRPr="00AB1D9F" w:rsidRDefault="00FC2C89" w:rsidP="00521795">
            <w:pPr>
              <w:jc w:val="both"/>
              <w:rPr>
                <w:rFonts w:ascii="Times New Roman" w:hAnsi="Times New Roman" w:cs="Times New Roman"/>
                <w:b/>
                <w:bCs/>
                <w:lang w:val="ro-RO"/>
              </w:rPr>
            </w:pPr>
            <w:r w:rsidRPr="00AB1D9F">
              <w:rPr>
                <w:rFonts w:ascii="Times New Roman" w:hAnsi="Times New Roman" w:cs="Times New Roman"/>
              </w:rPr>
              <w:t>Propunerea vizează o ajustare de ordin tehnic-redacțional și va fi luată în considerare la</w:t>
            </w:r>
            <w:r w:rsidR="00521795" w:rsidRPr="00AB1D9F">
              <w:rPr>
                <w:rFonts w:ascii="Times New Roman" w:hAnsi="Times New Roman" w:cs="Times New Roman"/>
              </w:rPr>
              <w:t xml:space="preserve"> </w:t>
            </w:r>
            <w:r w:rsidRPr="00AB1D9F">
              <w:rPr>
                <w:rFonts w:ascii="Times New Roman" w:hAnsi="Times New Roman" w:cs="Times New Roman"/>
              </w:rPr>
              <w:t>definitivarea proiectului.</w:t>
            </w:r>
          </w:p>
        </w:tc>
      </w:tr>
      <w:tr w:rsidR="00FC2C89" w:rsidRPr="00AB1D9F" w14:paraId="65F52A70" w14:textId="77777777" w:rsidTr="00DB4B10">
        <w:tc>
          <w:tcPr>
            <w:tcW w:w="3964" w:type="dxa"/>
            <w:vMerge/>
          </w:tcPr>
          <w:p w14:paraId="7166F7F5" w14:textId="77777777" w:rsidR="00FC2C89" w:rsidRPr="00AB1D9F" w:rsidRDefault="00FC2C89" w:rsidP="00521795">
            <w:pPr>
              <w:jc w:val="center"/>
              <w:rPr>
                <w:rFonts w:ascii="Times New Roman" w:hAnsi="Times New Roman" w:cs="Times New Roman"/>
                <w:b/>
                <w:bCs/>
                <w:lang w:val="ro-RO"/>
              </w:rPr>
            </w:pPr>
          </w:p>
        </w:tc>
        <w:tc>
          <w:tcPr>
            <w:tcW w:w="2268" w:type="dxa"/>
            <w:vMerge/>
          </w:tcPr>
          <w:p w14:paraId="16436579" w14:textId="77777777" w:rsidR="00FC2C89" w:rsidRPr="00AB1D9F" w:rsidRDefault="00FC2C89" w:rsidP="00521795">
            <w:pPr>
              <w:jc w:val="center"/>
              <w:rPr>
                <w:rFonts w:ascii="Times New Roman" w:hAnsi="Times New Roman" w:cs="Times New Roman"/>
                <w:b/>
                <w:bCs/>
                <w:lang w:val="ro-RO"/>
              </w:rPr>
            </w:pPr>
          </w:p>
        </w:tc>
        <w:tc>
          <w:tcPr>
            <w:tcW w:w="709" w:type="dxa"/>
          </w:tcPr>
          <w:p w14:paraId="329882FD" w14:textId="32E72C44" w:rsidR="00FC2C89" w:rsidRPr="00AB1D9F" w:rsidRDefault="00FC2C89" w:rsidP="00521795">
            <w:pPr>
              <w:jc w:val="center"/>
              <w:rPr>
                <w:rFonts w:ascii="Times New Roman" w:hAnsi="Times New Roman" w:cs="Times New Roman"/>
                <w:b/>
                <w:bCs/>
                <w:lang w:val="ro-RO"/>
              </w:rPr>
            </w:pPr>
            <w:r w:rsidRPr="00AB1D9F">
              <w:rPr>
                <w:rFonts w:ascii="Times New Roman" w:hAnsi="Times New Roman" w:cs="Times New Roman"/>
                <w:b/>
                <w:bCs/>
                <w:lang w:val="ro-RO"/>
              </w:rPr>
              <w:t>2.</w:t>
            </w:r>
          </w:p>
        </w:tc>
        <w:tc>
          <w:tcPr>
            <w:tcW w:w="4086" w:type="dxa"/>
          </w:tcPr>
          <w:p w14:paraId="06533FE3" w14:textId="77777777" w:rsidR="00FC2C89" w:rsidRPr="00AB1D9F" w:rsidRDefault="00FC2C89" w:rsidP="00521795">
            <w:pPr>
              <w:jc w:val="both"/>
              <w:rPr>
                <w:rFonts w:ascii="Times New Roman" w:hAnsi="Times New Roman" w:cs="Times New Roman"/>
              </w:rPr>
            </w:pPr>
            <w:r w:rsidRPr="00AB1D9F">
              <w:rPr>
                <w:rFonts w:ascii="Times New Roman" w:hAnsi="Times New Roman" w:cs="Times New Roman"/>
              </w:rPr>
              <w:t xml:space="preserve">La art. I pct. 3 alin. (1) subpct. 19), se constată omiterea propoziției finale din redacția în vigoare a legii, și anume: „Un aranjament încheiat între operatorii unor sisteme interoperabile nu constituie un sistem”. </w:t>
            </w:r>
          </w:p>
          <w:p w14:paraId="1FE5E7F3" w14:textId="42C6AE1F" w:rsidR="00FC2C89" w:rsidRPr="00AB1D9F" w:rsidRDefault="00FC2C89" w:rsidP="00521795">
            <w:pPr>
              <w:jc w:val="both"/>
              <w:rPr>
                <w:rFonts w:ascii="Times New Roman" w:hAnsi="Times New Roman" w:cs="Times New Roman"/>
                <w:b/>
                <w:bCs/>
                <w:lang w:val="ro-RO"/>
              </w:rPr>
            </w:pPr>
            <w:r w:rsidRPr="00AB1D9F">
              <w:rPr>
                <w:rFonts w:ascii="Times New Roman" w:hAnsi="Times New Roman" w:cs="Times New Roman"/>
              </w:rPr>
              <w:t>Se recomandă reintroducerea acestei prevederi, având în vedere că aceasta transpune o normă expresă a Directivei 98/26/CE.</w:t>
            </w:r>
          </w:p>
        </w:tc>
        <w:tc>
          <w:tcPr>
            <w:tcW w:w="3711" w:type="dxa"/>
          </w:tcPr>
          <w:p w14:paraId="5B12C01D" w14:textId="77777777" w:rsidR="00FC2C89" w:rsidRPr="00AB1D9F" w:rsidRDefault="00FC2C89" w:rsidP="00521795">
            <w:pPr>
              <w:jc w:val="both"/>
              <w:rPr>
                <w:rFonts w:ascii="Times New Roman" w:hAnsi="Times New Roman" w:cs="Times New Roman"/>
                <w:b/>
                <w:bCs/>
                <w:lang w:val="ro-RO"/>
              </w:rPr>
            </w:pPr>
            <w:r w:rsidRPr="00AB1D9F">
              <w:rPr>
                <w:rFonts w:ascii="Times New Roman" w:hAnsi="Times New Roman" w:cs="Times New Roman"/>
                <w:b/>
                <w:bCs/>
                <w:lang w:val="ro-RO"/>
              </w:rPr>
              <w:t>Se acceptă.</w:t>
            </w:r>
          </w:p>
          <w:p w14:paraId="5200060E" w14:textId="1A0DBE38" w:rsidR="00FC2C89" w:rsidRPr="00AB1D9F" w:rsidRDefault="00FC2C89" w:rsidP="00521795">
            <w:pPr>
              <w:jc w:val="both"/>
              <w:rPr>
                <w:rFonts w:ascii="Times New Roman" w:hAnsi="Times New Roman" w:cs="Times New Roman"/>
                <w:b/>
                <w:bCs/>
                <w:lang w:val="ro-RO"/>
              </w:rPr>
            </w:pPr>
            <w:r w:rsidRPr="00AB1D9F">
              <w:rPr>
                <w:rFonts w:ascii="Times New Roman" w:hAnsi="Times New Roman" w:cs="Times New Roman"/>
                <w:lang w:val="ro-RO"/>
              </w:rPr>
              <w:t xml:space="preserve">A fost reintrodusă prevederea de la </w:t>
            </w:r>
            <w:r w:rsidRPr="00AB1D9F">
              <w:rPr>
                <w:rFonts w:ascii="Times New Roman" w:hAnsi="Times New Roman" w:cs="Times New Roman"/>
              </w:rPr>
              <w:t>art. 3 alin. (1) pct. 19) cu privire la norma din directivă care se referă la faptul că un aranjament încheiat între operatorii unor sisteme interoperabile nu constituie un sistem.</w:t>
            </w:r>
          </w:p>
        </w:tc>
      </w:tr>
      <w:tr w:rsidR="00521795" w:rsidRPr="00AB1D9F" w14:paraId="0557F62F" w14:textId="77777777" w:rsidTr="007B1EB4">
        <w:tc>
          <w:tcPr>
            <w:tcW w:w="14738" w:type="dxa"/>
            <w:gridSpan w:val="5"/>
          </w:tcPr>
          <w:p w14:paraId="0E2D9273" w14:textId="302849BC"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rPr>
              <w:t>II. Obiecții privind tabelul de concordanță</w:t>
            </w:r>
          </w:p>
        </w:tc>
      </w:tr>
      <w:tr w:rsidR="00521795" w:rsidRPr="00AB1D9F" w14:paraId="1ECB68F8" w14:textId="77777777" w:rsidTr="00DB4B10">
        <w:tc>
          <w:tcPr>
            <w:tcW w:w="3964" w:type="dxa"/>
          </w:tcPr>
          <w:p w14:paraId="549DBA10" w14:textId="77777777" w:rsidR="00521795" w:rsidRPr="00AB1D9F" w:rsidRDefault="00521795" w:rsidP="00521795">
            <w:pPr>
              <w:jc w:val="center"/>
              <w:rPr>
                <w:rFonts w:ascii="Times New Roman" w:hAnsi="Times New Roman" w:cs="Times New Roman"/>
                <w:b/>
                <w:bCs/>
                <w:lang w:val="ro-RO"/>
              </w:rPr>
            </w:pPr>
          </w:p>
        </w:tc>
        <w:tc>
          <w:tcPr>
            <w:tcW w:w="2268" w:type="dxa"/>
          </w:tcPr>
          <w:p w14:paraId="41F7E3B6" w14:textId="35DCBFA1"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Comisia Națională a Pieței Financiare</w:t>
            </w:r>
          </w:p>
        </w:tc>
        <w:tc>
          <w:tcPr>
            <w:tcW w:w="709" w:type="dxa"/>
          </w:tcPr>
          <w:p w14:paraId="5DE7862C" w14:textId="5AC870B3"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3.</w:t>
            </w:r>
          </w:p>
        </w:tc>
        <w:tc>
          <w:tcPr>
            <w:tcW w:w="4086" w:type="dxa"/>
          </w:tcPr>
          <w:p w14:paraId="161323A6" w14:textId="38C57384" w:rsidR="00521795" w:rsidRPr="00AB1D9F" w:rsidRDefault="00521795" w:rsidP="00521795">
            <w:pPr>
              <w:jc w:val="both"/>
              <w:rPr>
                <w:rFonts w:ascii="Times New Roman" w:hAnsi="Times New Roman" w:cs="Times New Roman"/>
                <w:b/>
                <w:bCs/>
                <w:lang w:val="ro-RO"/>
              </w:rPr>
            </w:pPr>
            <w:r w:rsidRPr="00AB1D9F">
              <w:rPr>
                <w:rFonts w:ascii="Times New Roman" w:hAnsi="Times New Roman" w:cs="Times New Roman"/>
              </w:rPr>
              <w:t>Se impune revizuirea și ajustarea tabelului de sinteză, în special la nivelul anumitor articole, în scopul asigurării corelării corespunzătoare a modificărilor propuse și menținerii clarității normei juridice.</w:t>
            </w:r>
          </w:p>
        </w:tc>
        <w:tc>
          <w:tcPr>
            <w:tcW w:w="3711" w:type="dxa"/>
          </w:tcPr>
          <w:p w14:paraId="09ED65CC" w14:textId="77777777" w:rsidR="00521795" w:rsidRPr="00AB1D9F" w:rsidRDefault="00521795" w:rsidP="00521795">
            <w:pPr>
              <w:jc w:val="both"/>
              <w:rPr>
                <w:rFonts w:ascii="Times New Roman" w:hAnsi="Times New Roman" w:cs="Times New Roman"/>
                <w:b/>
                <w:bCs/>
                <w:lang w:val="ro-RO"/>
              </w:rPr>
            </w:pPr>
            <w:r w:rsidRPr="00AB1D9F">
              <w:rPr>
                <w:rFonts w:ascii="Times New Roman" w:hAnsi="Times New Roman" w:cs="Times New Roman"/>
                <w:b/>
                <w:bCs/>
                <w:lang w:val="ro-RO"/>
              </w:rPr>
              <w:t>Se acceptă.</w:t>
            </w:r>
          </w:p>
          <w:p w14:paraId="530E27A2" w14:textId="77777777" w:rsidR="00521795" w:rsidRPr="00AB1D9F" w:rsidRDefault="00521795" w:rsidP="000F20BB">
            <w:pPr>
              <w:jc w:val="both"/>
              <w:rPr>
                <w:rFonts w:ascii="Times New Roman" w:hAnsi="Times New Roman" w:cs="Times New Roman"/>
                <w:lang w:val="ro-RO"/>
              </w:rPr>
            </w:pPr>
            <w:r w:rsidRPr="00AB1D9F">
              <w:rPr>
                <w:rFonts w:ascii="Times New Roman" w:hAnsi="Times New Roman" w:cs="Times New Roman"/>
                <w:lang w:val="ro-RO"/>
              </w:rPr>
              <w:t>S-a ținut cont de recomandare la definitivarea tabelului de concordanță.</w:t>
            </w:r>
          </w:p>
          <w:p w14:paraId="774B4CBA" w14:textId="77777777" w:rsidR="00521795" w:rsidRPr="00AB1D9F" w:rsidRDefault="00521795" w:rsidP="00521795">
            <w:pPr>
              <w:jc w:val="center"/>
              <w:rPr>
                <w:rFonts w:ascii="Times New Roman" w:hAnsi="Times New Roman" w:cs="Times New Roman"/>
                <w:b/>
                <w:bCs/>
                <w:lang w:val="ro-RO"/>
              </w:rPr>
            </w:pPr>
          </w:p>
        </w:tc>
      </w:tr>
      <w:tr w:rsidR="00521795" w:rsidRPr="00AB1D9F" w14:paraId="09F1134E" w14:textId="77777777" w:rsidTr="00DB4B10">
        <w:tc>
          <w:tcPr>
            <w:tcW w:w="3964" w:type="dxa"/>
          </w:tcPr>
          <w:p w14:paraId="751D269E" w14:textId="77777777" w:rsidR="00521795" w:rsidRPr="00AB1D9F" w:rsidRDefault="00521795" w:rsidP="00521795">
            <w:pPr>
              <w:jc w:val="center"/>
              <w:rPr>
                <w:rFonts w:ascii="Times New Roman" w:hAnsi="Times New Roman" w:cs="Times New Roman"/>
                <w:b/>
                <w:bCs/>
                <w:lang w:val="ro-RO"/>
              </w:rPr>
            </w:pPr>
          </w:p>
        </w:tc>
        <w:tc>
          <w:tcPr>
            <w:tcW w:w="2268" w:type="dxa"/>
          </w:tcPr>
          <w:p w14:paraId="5EA1714D" w14:textId="77777777"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Depozitarul Central Unic al Valorilor Mobiliare</w:t>
            </w:r>
          </w:p>
          <w:p w14:paraId="7A5F6738" w14:textId="74F229B6" w:rsidR="00521795" w:rsidRPr="00AB1D9F" w:rsidRDefault="00521795" w:rsidP="00521795">
            <w:pPr>
              <w:jc w:val="center"/>
              <w:rPr>
                <w:rFonts w:ascii="Times New Roman" w:hAnsi="Times New Roman" w:cs="Times New Roman"/>
                <w:lang w:val="ro-RO"/>
              </w:rPr>
            </w:pPr>
            <w:r w:rsidRPr="00AB1D9F">
              <w:rPr>
                <w:rFonts w:ascii="Times New Roman" w:hAnsi="Times New Roman" w:cs="Times New Roman"/>
                <w:lang w:val="ro-RO"/>
              </w:rPr>
              <w:t>(Aviz nr. 02/243 din 27.04.2026)</w:t>
            </w:r>
          </w:p>
        </w:tc>
        <w:tc>
          <w:tcPr>
            <w:tcW w:w="709" w:type="dxa"/>
          </w:tcPr>
          <w:p w14:paraId="3907B7DF" w14:textId="190D6FCE"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4.</w:t>
            </w:r>
          </w:p>
        </w:tc>
        <w:tc>
          <w:tcPr>
            <w:tcW w:w="4086" w:type="dxa"/>
          </w:tcPr>
          <w:p w14:paraId="7825A878" w14:textId="70AADE1E"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rPr>
              <w:t>Lipsă de obiecții și propuneri.</w:t>
            </w:r>
          </w:p>
        </w:tc>
        <w:tc>
          <w:tcPr>
            <w:tcW w:w="3711" w:type="dxa"/>
          </w:tcPr>
          <w:p w14:paraId="57BD0837" w14:textId="46995EE9" w:rsidR="00521795" w:rsidRPr="00AB1D9F" w:rsidRDefault="00521795" w:rsidP="00521795">
            <w:pPr>
              <w:jc w:val="center"/>
              <w:rPr>
                <w:rFonts w:ascii="Times New Roman" w:hAnsi="Times New Roman" w:cs="Times New Roman"/>
                <w:b/>
                <w:bCs/>
                <w:lang w:val="ro-RO"/>
              </w:rPr>
            </w:pPr>
          </w:p>
        </w:tc>
      </w:tr>
      <w:tr w:rsidR="00521795" w:rsidRPr="00AB1D9F" w14:paraId="2DC8645A" w14:textId="77777777" w:rsidTr="00DB4B10">
        <w:tc>
          <w:tcPr>
            <w:tcW w:w="3964" w:type="dxa"/>
          </w:tcPr>
          <w:p w14:paraId="358AC42C" w14:textId="77777777" w:rsidR="00521795" w:rsidRPr="00AB1D9F" w:rsidRDefault="00521795" w:rsidP="00521795">
            <w:pPr>
              <w:jc w:val="center"/>
              <w:rPr>
                <w:rFonts w:ascii="Times New Roman" w:hAnsi="Times New Roman" w:cs="Times New Roman"/>
                <w:b/>
                <w:bCs/>
                <w:lang w:val="ro-RO"/>
              </w:rPr>
            </w:pPr>
          </w:p>
        </w:tc>
        <w:tc>
          <w:tcPr>
            <w:tcW w:w="2268" w:type="dxa"/>
          </w:tcPr>
          <w:p w14:paraId="3B771868" w14:textId="77777777"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Ministerul Dezvoltării Economice și Digitalizării</w:t>
            </w:r>
          </w:p>
          <w:p w14:paraId="2794A8BF" w14:textId="50AC963C"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lang w:val="ro-RO"/>
              </w:rPr>
              <w:lastRenderedPageBreak/>
              <w:t>(Aviz nr. 03-1401 din 24.04.2026)</w:t>
            </w:r>
          </w:p>
        </w:tc>
        <w:tc>
          <w:tcPr>
            <w:tcW w:w="709" w:type="dxa"/>
          </w:tcPr>
          <w:p w14:paraId="0D1A7C49" w14:textId="1FEAB0C7"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lastRenderedPageBreak/>
              <w:t>5.</w:t>
            </w:r>
          </w:p>
        </w:tc>
        <w:tc>
          <w:tcPr>
            <w:tcW w:w="4086" w:type="dxa"/>
          </w:tcPr>
          <w:p w14:paraId="4C1EA847" w14:textId="0E1BC405"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rPr>
              <w:t>Lipsă de obiecții și propuneri.</w:t>
            </w:r>
          </w:p>
        </w:tc>
        <w:tc>
          <w:tcPr>
            <w:tcW w:w="3711" w:type="dxa"/>
          </w:tcPr>
          <w:p w14:paraId="4F2A88A1" w14:textId="6618203B" w:rsidR="00521795" w:rsidRPr="00AB1D9F" w:rsidRDefault="00521795" w:rsidP="00521795">
            <w:pPr>
              <w:jc w:val="center"/>
              <w:rPr>
                <w:rFonts w:ascii="Times New Roman" w:hAnsi="Times New Roman" w:cs="Times New Roman"/>
                <w:b/>
                <w:bCs/>
                <w:lang w:val="ro-RO"/>
              </w:rPr>
            </w:pPr>
          </w:p>
        </w:tc>
      </w:tr>
      <w:tr w:rsidR="00521795" w:rsidRPr="00AB1D9F" w14:paraId="4EA5B44C" w14:textId="77777777" w:rsidTr="007B1EB4">
        <w:tc>
          <w:tcPr>
            <w:tcW w:w="14738" w:type="dxa"/>
            <w:gridSpan w:val="5"/>
            <w:shd w:val="clear" w:color="auto" w:fill="D9D9D9" w:themeFill="background1" w:themeFillShade="D9"/>
          </w:tcPr>
          <w:p w14:paraId="2D7A79F7" w14:textId="01D875C9"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Expertizare</w:t>
            </w:r>
          </w:p>
        </w:tc>
      </w:tr>
      <w:tr w:rsidR="00521795" w:rsidRPr="00AB1D9F" w14:paraId="065F40EE" w14:textId="77777777" w:rsidTr="007B1EB4">
        <w:tc>
          <w:tcPr>
            <w:tcW w:w="14738" w:type="dxa"/>
            <w:gridSpan w:val="5"/>
          </w:tcPr>
          <w:p w14:paraId="71A948EB" w14:textId="000D3BE9" w:rsidR="00521795" w:rsidRPr="00AB1D9F" w:rsidRDefault="00521795" w:rsidP="00521795">
            <w:pPr>
              <w:pStyle w:val="ListParagraph"/>
              <w:numPr>
                <w:ilvl w:val="0"/>
                <w:numId w:val="3"/>
              </w:numPr>
              <w:tabs>
                <w:tab w:val="left" w:pos="5421"/>
              </w:tabs>
              <w:jc w:val="center"/>
              <w:rPr>
                <w:rFonts w:ascii="Times New Roman" w:hAnsi="Times New Roman" w:cs="Times New Roman"/>
                <w:b/>
                <w:bCs/>
                <w:lang w:val="ro-RO"/>
              </w:rPr>
            </w:pPr>
            <w:r w:rsidRPr="00AB1D9F">
              <w:rPr>
                <w:rFonts w:ascii="Times New Roman" w:hAnsi="Times New Roman" w:cs="Times New Roman"/>
                <w:b/>
                <w:bCs/>
                <w:lang w:val="ro-RO"/>
              </w:rPr>
              <w:t xml:space="preserve">Obiecții și propuneri de ordin general </w:t>
            </w:r>
          </w:p>
        </w:tc>
      </w:tr>
      <w:tr w:rsidR="00521795" w:rsidRPr="00AB1D9F" w14:paraId="26543457" w14:textId="77777777" w:rsidTr="00DB4B10">
        <w:tc>
          <w:tcPr>
            <w:tcW w:w="3964" w:type="dxa"/>
          </w:tcPr>
          <w:p w14:paraId="3C988252" w14:textId="106F8F79"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lang w:val="ro-RO"/>
              </w:rPr>
              <w:t xml:space="preserve">1.  Se completează cu clauza de armonizare cu următorul cuprins: </w:t>
            </w:r>
          </w:p>
          <w:p w14:paraId="78DD27B4" w14:textId="41CC6B6A" w:rsidR="00521795" w:rsidRPr="00AB1D9F" w:rsidRDefault="00521795" w:rsidP="00521795">
            <w:pPr>
              <w:jc w:val="both"/>
              <w:rPr>
                <w:rFonts w:ascii="Times New Roman" w:hAnsi="Times New Roman" w:cs="Times New Roman"/>
                <w:b/>
                <w:bCs/>
              </w:rPr>
            </w:pPr>
            <w:r w:rsidRPr="00AB1D9F">
              <w:rPr>
                <w:rFonts w:ascii="Times New Roman" w:hAnsi="Times New Roman" w:cs="Times New Roman"/>
                <w:lang w:val="ro-RO"/>
              </w:rPr>
              <w:t>„Prezenta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Parlamentului European și al Consiliului din 13 martie 2024.”</w:t>
            </w:r>
          </w:p>
        </w:tc>
        <w:tc>
          <w:tcPr>
            <w:tcW w:w="2268" w:type="dxa"/>
          </w:tcPr>
          <w:p w14:paraId="07B1A875" w14:textId="77777777"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Centrul de armonizare a legislației</w:t>
            </w:r>
          </w:p>
          <w:p w14:paraId="574913CF" w14:textId="3EE8B5D9" w:rsidR="00521795" w:rsidRPr="00AB1D9F" w:rsidRDefault="00521795" w:rsidP="00521795">
            <w:pPr>
              <w:jc w:val="center"/>
              <w:rPr>
                <w:rFonts w:ascii="Times New Roman" w:hAnsi="Times New Roman" w:cs="Times New Roman"/>
                <w:lang w:val="ro-RO"/>
              </w:rPr>
            </w:pPr>
            <w:r w:rsidRPr="00AB1D9F">
              <w:rPr>
                <w:rFonts w:ascii="Times New Roman" w:hAnsi="Times New Roman" w:cs="Times New Roman"/>
                <w:lang w:val="ro-RO"/>
              </w:rPr>
              <w:t>(Aviz nr.31/02-126-4440 din 17.04.2026)</w:t>
            </w:r>
          </w:p>
        </w:tc>
        <w:tc>
          <w:tcPr>
            <w:tcW w:w="709" w:type="dxa"/>
          </w:tcPr>
          <w:p w14:paraId="2989C9F0" w14:textId="11D55A45"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1.</w:t>
            </w:r>
          </w:p>
        </w:tc>
        <w:tc>
          <w:tcPr>
            <w:tcW w:w="4086" w:type="dxa"/>
          </w:tcPr>
          <w:p w14:paraId="1F5C1764"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rPr>
              <w:t xml:space="preserve">Clauza de armonizare a proiectului național va reflecta transpunerea parțială a Directivei 98/26/CE, după cum urmează: </w:t>
            </w:r>
          </w:p>
          <w:p w14:paraId="2614B895" w14:textId="2AFA20E9"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rPr>
              <w:t>”Prezenta Lege transpune parțial Directiva nr. 98/26/CE a Parlamentului European și a Consiliului din 19 mai 1998 privind caracterul definitiv al decontării în sistemele de plăți și de decontare a titlurilor de valoare, CELEX: 31998L0026, publicată în Jurnalul Oficial al Uniunii Europene L 166 din 11 iunie 1998, astfel cum a fost modificată ultima oară prin Regulamentul (UE) 2024/886 al Parlamentului European și al Consiliului din 13 martie 2024”.</w:t>
            </w:r>
          </w:p>
        </w:tc>
        <w:tc>
          <w:tcPr>
            <w:tcW w:w="3711" w:type="dxa"/>
          </w:tcPr>
          <w:p w14:paraId="4DD6CB14" w14:textId="5B386720" w:rsidR="00521795" w:rsidRPr="00AB1D9F" w:rsidRDefault="00521795" w:rsidP="00521795">
            <w:pPr>
              <w:rPr>
                <w:rFonts w:ascii="Times New Roman" w:hAnsi="Times New Roman" w:cs="Times New Roman"/>
                <w:b/>
                <w:bCs/>
              </w:rPr>
            </w:pPr>
            <w:r w:rsidRPr="00AB1D9F">
              <w:rPr>
                <w:rFonts w:ascii="Times New Roman" w:hAnsi="Times New Roman" w:cs="Times New Roman"/>
                <w:b/>
                <w:bCs/>
                <w:lang w:val="ro-RO"/>
              </w:rPr>
              <w:t>Nu se acceptă.</w:t>
            </w:r>
          </w:p>
          <w:p w14:paraId="3B142D23" w14:textId="1CA068E0" w:rsidR="00521795" w:rsidRPr="00AB1D9F" w:rsidRDefault="00521795" w:rsidP="00521795">
            <w:pPr>
              <w:jc w:val="both"/>
              <w:rPr>
                <w:rFonts w:ascii="Times New Roman" w:hAnsi="Times New Roman" w:cs="Times New Roman"/>
              </w:rPr>
            </w:pPr>
            <w:r w:rsidRPr="00AB1D9F">
              <w:rPr>
                <w:rFonts w:ascii="Times New Roman" w:hAnsi="Times New Roman" w:cs="Times New Roman"/>
                <w:lang w:val="ro-RO"/>
              </w:rPr>
              <w:t xml:space="preserve">Legea nr. 183/2016 cu privire la caracterul definitiv al decontării în sistemele de plăţi şi de decontare a instrumentelor financiare, </w:t>
            </w:r>
            <w:r w:rsidRPr="00AB1D9F">
              <w:rPr>
                <w:rFonts w:ascii="Times New Roman" w:hAnsi="Times New Roman" w:cs="Times New Roman"/>
              </w:rPr>
              <w:t xml:space="preserve">în versiunea sa finală consolidată ce urmează a fi aprobată, reflectă alinierea completă la prevederile din Directiva 98/26/CE. </w:t>
            </w:r>
          </w:p>
          <w:p w14:paraId="73FD731B" w14:textId="6692560B" w:rsidR="00521795" w:rsidRPr="00AB1D9F" w:rsidRDefault="00521795" w:rsidP="00521795">
            <w:pPr>
              <w:rPr>
                <w:rFonts w:ascii="Times New Roman" w:hAnsi="Times New Roman" w:cs="Times New Roman"/>
                <w:lang w:val="ro-RO"/>
              </w:rPr>
            </w:pPr>
            <w:r w:rsidRPr="00AB1D9F">
              <w:rPr>
                <w:rFonts w:ascii="Times New Roman" w:hAnsi="Times New Roman" w:cs="Times New Roman"/>
                <w:lang w:val="ro-RO"/>
              </w:rPr>
              <w:t xml:space="preserve"> </w:t>
            </w:r>
          </w:p>
          <w:p w14:paraId="03F9EF0B" w14:textId="7F37D96E" w:rsidR="00521795" w:rsidRPr="00AB1D9F" w:rsidRDefault="00521795" w:rsidP="00521795">
            <w:pPr>
              <w:rPr>
                <w:rFonts w:ascii="Times New Roman" w:hAnsi="Times New Roman" w:cs="Times New Roman"/>
                <w:b/>
                <w:bCs/>
                <w:lang w:val="ro-RO"/>
              </w:rPr>
            </w:pPr>
          </w:p>
        </w:tc>
      </w:tr>
      <w:tr w:rsidR="00521795" w:rsidRPr="00AB1D9F" w14:paraId="0DE89A59" w14:textId="77777777" w:rsidTr="007B1EB4">
        <w:tc>
          <w:tcPr>
            <w:tcW w:w="14738" w:type="dxa"/>
            <w:gridSpan w:val="5"/>
            <w:vAlign w:val="center"/>
          </w:tcPr>
          <w:p w14:paraId="6C04C438" w14:textId="36C35EBE" w:rsidR="00521795" w:rsidRPr="00AB1D9F" w:rsidRDefault="00521795" w:rsidP="00521795">
            <w:pPr>
              <w:pStyle w:val="ListParagraph"/>
              <w:numPr>
                <w:ilvl w:val="0"/>
                <w:numId w:val="3"/>
              </w:numPr>
              <w:tabs>
                <w:tab w:val="left" w:pos="4854"/>
                <w:tab w:val="left" w:pos="5137"/>
              </w:tabs>
              <w:jc w:val="center"/>
              <w:rPr>
                <w:rFonts w:ascii="Times New Roman" w:hAnsi="Times New Roman" w:cs="Times New Roman"/>
                <w:lang w:val="ro-RO"/>
              </w:rPr>
            </w:pPr>
            <w:r w:rsidRPr="00AB1D9F">
              <w:rPr>
                <w:rFonts w:ascii="Times New Roman" w:hAnsi="Times New Roman" w:cs="Times New Roman"/>
                <w:b/>
                <w:bCs/>
                <w:lang w:val="ro-RO"/>
              </w:rPr>
              <w:t>Obiecții și propuneri la punctele din proiect</w:t>
            </w:r>
          </w:p>
        </w:tc>
      </w:tr>
      <w:tr w:rsidR="00521795" w:rsidRPr="00AB1D9F" w14:paraId="038BA6A9" w14:textId="77777777" w:rsidTr="00DB4B10">
        <w:trPr>
          <w:trHeight w:val="703"/>
        </w:trPr>
        <w:tc>
          <w:tcPr>
            <w:tcW w:w="3964" w:type="dxa"/>
          </w:tcPr>
          <w:p w14:paraId="1FCAECB4"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 xml:space="preserve">7) </w:t>
            </w:r>
            <w:r w:rsidRPr="00AB1D9F">
              <w:rPr>
                <w:i/>
                <w:iCs/>
                <w:color w:val="000000" w:themeColor="text1"/>
                <w:sz w:val="24"/>
                <w:szCs w:val="24"/>
                <w:lang w:val="ro-MD"/>
              </w:rPr>
              <w:t>instituţie</w:t>
            </w:r>
            <w:r w:rsidRPr="00AB1D9F">
              <w:rPr>
                <w:color w:val="000000" w:themeColor="text1"/>
                <w:sz w:val="24"/>
                <w:szCs w:val="24"/>
                <w:lang w:val="ro-MD"/>
              </w:rPr>
              <w:t xml:space="preserve"> – oricare dintre următoarele entităţile enumerate la lit. a) – d) care participă la un sistem şi care răspunde de executarea obligațiilor financiare rezultate din ordinele de plată/ordinele de transfer în cadrul respectivului sistem sau oricare din entitățile enumerate la lit. e) care participă la un sistem a cărui activitate constă în executarea ordinelor de plată şi care răspunde de executarea obligațiilor financiare rezultate din </w:t>
            </w:r>
            <w:r w:rsidRPr="00AB1D9F">
              <w:rPr>
                <w:color w:val="000000" w:themeColor="text1"/>
                <w:sz w:val="24"/>
                <w:szCs w:val="24"/>
                <w:lang w:val="ro-MD"/>
              </w:rPr>
              <w:lastRenderedPageBreak/>
              <w:t>ordinele de plată în cadrul respectivului sistem:</w:t>
            </w:r>
          </w:p>
          <w:p w14:paraId="46E7826B"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a) o bancă, astfel cum este definită în Legea nr. 202/2017 privind activitatea băncilor, o bancă centrală, precum și orice entitate având sediul într-un stat membru al Uniunii Europene, autorizată să atragă depozite, ori alte fonduri rambursabile de la public și să acorde credite pe cont propriu;</w:t>
            </w:r>
          </w:p>
          <w:p w14:paraId="3A831239"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 xml:space="preserve">b) o firmă de investiții, astfel cum este definită în legislația privind piețele de instrumente financiare, sau orice persoană juridică cu sediul  într-un stat membru al Uniunii Europene, autorizată să presteze unul sau mai multe servicii de investiții către terți și/sau să desfășoare una ori mai multe activități de investiții pe baze profesionale; </w:t>
            </w:r>
          </w:p>
          <w:p w14:paraId="515ED5E5"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c) orice întreprindere cu sediul în străinătate care desfășoară activități permise băncilor și societăților de investiții;</w:t>
            </w:r>
          </w:p>
          <w:p w14:paraId="3E408D14"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d) autorități publice şi entități garantate public;</w:t>
            </w:r>
          </w:p>
          <w:p w14:paraId="798237B2" w14:textId="35447366"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t>e) o societate de plată sau o societate emitentă de monedă electronică, astfel cum sunt definite în Legea nr. 114/2012 cu privire la serviciile de plată și moneda electronică;</w:t>
            </w:r>
          </w:p>
        </w:tc>
        <w:tc>
          <w:tcPr>
            <w:tcW w:w="2268" w:type="dxa"/>
            <w:vMerge w:val="restart"/>
          </w:tcPr>
          <w:p w14:paraId="139F91D7" w14:textId="3FD42ED3"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lastRenderedPageBreak/>
              <w:t>Centrul de armonizare a legislației</w:t>
            </w:r>
          </w:p>
        </w:tc>
        <w:tc>
          <w:tcPr>
            <w:tcW w:w="709" w:type="dxa"/>
          </w:tcPr>
          <w:p w14:paraId="6BAAA76A" w14:textId="5E46071D"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2.</w:t>
            </w:r>
          </w:p>
        </w:tc>
        <w:tc>
          <w:tcPr>
            <w:tcW w:w="4086" w:type="dxa"/>
          </w:tcPr>
          <w:p w14:paraId="3486C49C"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rPr>
              <w:t xml:space="preserve">Cu referire la Art. I, pct. 2, subpct. 7) din proiectul național, care transpune prevederile art. 2 lit. b) din actul UE, noțiunea de „instituție”: </w:t>
            </w:r>
          </w:p>
          <w:p w14:paraId="45D4FD4B"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rPr>
              <w:t xml:space="preserve">- actul UE exclude explicit din definiție instituțiile de plată și emitente de monedă electronică care beneficiază de regimuri derogatorii simplificate (derogări prevăzute de art. 32 și 33 din Directiva 2015/2366 pentru instituțiile de plată și art. 9 din Directiva 2009/110/CE pentru emitentele de monedă electronică). </w:t>
            </w:r>
          </w:p>
          <w:p w14:paraId="5A38B4F1"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rPr>
              <w:lastRenderedPageBreak/>
              <w:t>Norma națională se referă la toate societățile de plată sau emitente de monedă electronică, astfel cum sunt definite în Legea nr. 114/2012 cu privire la serviciile de plată și moneda electronică, extinzând astfel obiectul de reglementare al actului național în raport cu norma UE.</w:t>
            </w:r>
          </w:p>
          <w:p w14:paraId="41D60788" w14:textId="77777777" w:rsidR="00521795" w:rsidRPr="00AB1D9F" w:rsidRDefault="00521795" w:rsidP="00521795">
            <w:pPr>
              <w:jc w:val="both"/>
              <w:rPr>
                <w:rFonts w:ascii="Times New Roman" w:hAnsi="Times New Roman" w:cs="Times New Roman"/>
                <w:lang w:val="ro-RO"/>
              </w:rPr>
            </w:pPr>
          </w:p>
          <w:p w14:paraId="53072636" w14:textId="77777777" w:rsidR="00521795" w:rsidRPr="00AB1D9F" w:rsidRDefault="00521795" w:rsidP="00521795">
            <w:pPr>
              <w:jc w:val="both"/>
              <w:rPr>
                <w:rFonts w:ascii="Times New Roman" w:hAnsi="Times New Roman" w:cs="Times New Roman"/>
                <w:lang w:val="ro-RO"/>
              </w:rPr>
            </w:pPr>
          </w:p>
          <w:p w14:paraId="616F630D" w14:textId="77777777" w:rsidR="00521795" w:rsidRPr="00AB1D9F" w:rsidRDefault="00521795" w:rsidP="00521795">
            <w:pPr>
              <w:jc w:val="both"/>
              <w:rPr>
                <w:rFonts w:ascii="Times New Roman" w:hAnsi="Times New Roman" w:cs="Times New Roman"/>
                <w:lang w:val="ro-RO"/>
              </w:rPr>
            </w:pPr>
          </w:p>
          <w:p w14:paraId="3C0CCC2F" w14:textId="77777777" w:rsidR="00521795" w:rsidRPr="00AB1D9F" w:rsidRDefault="00521795" w:rsidP="00521795">
            <w:pPr>
              <w:jc w:val="both"/>
              <w:rPr>
                <w:rFonts w:ascii="Times New Roman" w:hAnsi="Times New Roman" w:cs="Times New Roman"/>
                <w:lang w:val="ro-RO"/>
              </w:rPr>
            </w:pPr>
          </w:p>
          <w:p w14:paraId="31A7C5A8" w14:textId="77777777" w:rsidR="00521795" w:rsidRPr="00AB1D9F" w:rsidRDefault="00521795" w:rsidP="00521795">
            <w:pPr>
              <w:jc w:val="both"/>
              <w:rPr>
                <w:rFonts w:ascii="Times New Roman" w:hAnsi="Times New Roman" w:cs="Times New Roman"/>
                <w:lang w:val="ro-RO"/>
              </w:rPr>
            </w:pPr>
          </w:p>
          <w:p w14:paraId="6DF0DB81" w14:textId="77777777" w:rsidR="00521795" w:rsidRPr="00AB1D9F" w:rsidRDefault="00521795" w:rsidP="00521795">
            <w:pPr>
              <w:jc w:val="both"/>
              <w:rPr>
                <w:rFonts w:ascii="Times New Roman" w:hAnsi="Times New Roman" w:cs="Times New Roman"/>
                <w:lang w:val="ro-RO"/>
              </w:rPr>
            </w:pPr>
          </w:p>
          <w:p w14:paraId="49BEA2CA" w14:textId="77777777" w:rsidR="00521795" w:rsidRPr="00AB1D9F" w:rsidRDefault="00521795" w:rsidP="00521795">
            <w:pPr>
              <w:jc w:val="both"/>
              <w:rPr>
                <w:rFonts w:ascii="Times New Roman" w:hAnsi="Times New Roman" w:cs="Times New Roman"/>
                <w:lang w:val="ro-RO"/>
              </w:rPr>
            </w:pPr>
          </w:p>
          <w:p w14:paraId="62F9ED5E" w14:textId="77777777" w:rsidR="00521795" w:rsidRPr="00AB1D9F" w:rsidRDefault="00521795" w:rsidP="00521795">
            <w:pPr>
              <w:jc w:val="both"/>
              <w:rPr>
                <w:rFonts w:ascii="Times New Roman" w:hAnsi="Times New Roman" w:cs="Times New Roman"/>
                <w:lang w:val="ro-RO"/>
              </w:rPr>
            </w:pPr>
          </w:p>
          <w:p w14:paraId="04725801" w14:textId="77777777" w:rsidR="00521795" w:rsidRPr="00AB1D9F" w:rsidRDefault="00521795" w:rsidP="00521795">
            <w:pPr>
              <w:jc w:val="both"/>
              <w:rPr>
                <w:rFonts w:ascii="Times New Roman" w:hAnsi="Times New Roman" w:cs="Times New Roman"/>
                <w:lang w:val="ro-RO"/>
              </w:rPr>
            </w:pPr>
          </w:p>
          <w:p w14:paraId="6693A4DF" w14:textId="77777777" w:rsidR="00521795" w:rsidRPr="00AB1D9F" w:rsidRDefault="00521795" w:rsidP="00521795">
            <w:pPr>
              <w:jc w:val="both"/>
              <w:rPr>
                <w:rFonts w:ascii="Times New Roman" w:hAnsi="Times New Roman" w:cs="Times New Roman"/>
                <w:lang w:val="ro-RO"/>
              </w:rPr>
            </w:pPr>
          </w:p>
          <w:p w14:paraId="431626B3" w14:textId="77777777" w:rsidR="00521795" w:rsidRPr="00AB1D9F" w:rsidRDefault="00521795" w:rsidP="00521795">
            <w:pPr>
              <w:jc w:val="both"/>
              <w:rPr>
                <w:rFonts w:ascii="Times New Roman" w:hAnsi="Times New Roman" w:cs="Times New Roman"/>
                <w:lang w:val="ro-RO"/>
              </w:rPr>
            </w:pPr>
          </w:p>
          <w:p w14:paraId="3A7DA03F" w14:textId="77777777" w:rsidR="00521795" w:rsidRPr="00AB1D9F" w:rsidRDefault="00521795" w:rsidP="00521795">
            <w:pPr>
              <w:jc w:val="both"/>
              <w:rPr>
                <w:rFonts w:ascii="Times New Roman" w:hAnsi="Times New Roman" w:cs="Times New Roman"/>
                <w:lang w:val="ro-RO"/>
              </w:rPr>
            </w:pPr>
          </w:p>
          <w:p w14:paraId="4C341C6D" w14:textId="77777777" w:rsidR="00521795" w:rsidRPr="00AB1D9F" w:rsidRDefault="00521795" w:rsidP="00521795">
            <w:pPr>
              <w:jc w:val="both"/>
              <w:rPr>
                <w:rFonts w:ascii="Times New Roman" w:hAnsi="Times New Roman" w:cs="Times New Roman"/>
                <w:lang w:val="ro-RO"/>
              </w:rPr>
            </w:pPr>
          </w:p>
          <w:p w14:paraId="79116E4C" w14:textId="77777777" w:rsidR="00521795" w:rsidRPr="00AB1D9F" w:rsidRDefault="00521795" w:rsidP="00521795">
            <w:pPr>
              <w:jc w:val="both"/>
              <w:rPr>
                <w:rFonts w:ascii="Times New Roman" w:hAnsi="Times New Roman" w:cs="Times New Roman"/>
                <w:lang w:val="ro-RO"/>
              </w:rPr>
            </w:pPr>
          </w:p>
          <w:p w14:paraId="3055DABF" w14:textId="77777777" w:rsidR="00521795" w:rsidRPr="00AB1D9F" w:rsidRDefault="00521795" w:rsidP="00521795">
            <w:pPr>
              <w:jc w:val="both"/>
              <w:rPr>
                <w:rFonts w:ascii="Times New Roman" w:hAnsi="Times New Roman" w:cs="Times New Roman"/>
                <w:lang w:val="ro-RO"/>
              </w:rPr>
            </w:pPr>
          </w:p>
          <w:p w14:paraId="37F525C3" w14:textId="77777777" w:rsidR="00521795" w:rsidRPr="00AB1D9F" w:rsidRDefault="00521795" w:rsidP="00521795">
            <w:pPr>
              <w:jc w:val="both"/>
              <w:rPr>
                <w:rFonts w:ascii="Times New Roman" w:hAnsi="Times New Roman" w:cs="Times New Roman"/>
                <w:lang w:val="ro-RO"/>
              </w:rPr>
            </w:pPr>
          </w:p>
          <w:p w14:paraId="22B11CC4" w14:textId="77777777" w:rsidR="00521795" w:rsidRPr="00AB1D9F" w:rsidRDefault="00521795" w:rsidP="00521795">
            <w:pPr>
              <w:jc w:val="both"/>
              <w:rPr>
                <w:rFonts w:ascii="Times New Roman" w:hAnsi="Times New Roman" w:cs="Times New Roman"/>
                <w:lang w:val="ro-RO"/>
              </w:rPr>
            </w:pPr>
          </w:p>
          <w:p w14:paraId="5F1A191A" w14:textId="77777777" w:rsidR="00521795" w:rsidRPr="00AB1D9F" w:rsidRDefault="00521795" w:rsidP="00521795">
            <w:pPr>
              <w:jc w:val="both"/>
              <w:rPr>
                <w:rFonts w:ascii="Times New Roman" w:hAnsi="Times New Roman" w:cs="Times New Roman"/>
                <w:lang w:val="ro-RO"/>
              </w:rPr>
            </w:pPr>
          </w:p>
          <w:p w14:paraId="0CE58433" w14:textId="79A34953"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rPr>
              <w:t xml:space="preserve">Totodată, norma națională la lit. e) preia categoria entităților eligibile (societăți de plată și societăți emitente de monedă electronică), însă omite condiția calitativă impusă de directivă cu privire la natura sistemului la care acestea participă. Potrivit normei UE, instituțiile de plată și instituțiile emitente de monedă electronică intră în sfera </w:t>
            </w:r>
            <w:r w:rsidRPr="00AB1D9F">
              <w:rPr>
                <w:rFonts w:ascii="Times New Roman" w:hAnsi="Times New Roman" w:cs="Times New Roman"/>
              </w:rPr>
              <w:lastRenderedPageBreak/>
              <w:t>definiției exclusiv dacă participă la un sistem a cărui activitate constă în executarea ordinelor de transfer interbancare;</w:t>
            </w:r>
          </w:p>
        </w:tc>
        <w:tc>
          <w:tcPr>
            <w:tcW w:w="3711" w:type="dxa"/>
          </w:tcPr>
          <w:p w14:paraId="10FB212E" w14:textId="5680A0EB" w:rsidR="00521795" w:rsidRPr="00AB1D9F" w:rsidRDefault="00521795" w:rsidP="00521795">
            <w:pPr>
              <w:rPr>
                <w:rFonts w:ascii="Times New Roman" w:hAnsi="Times New Roman" w:cs="Times New Roman"/>
                <w:b/>
                <w:bCs/>
                <w:lang w:val="ro-RO"/>
              </w:rPr>
            </w:pPr>
            <w:r w:rsidRPr="00AB1D9F">
              <w:rPr>
                <w:rFonts w:ascii="Times New Roman" w:hAnsi="Times New Roman" w:cs="Times New Roman"/>
                <w:b/>
                <w:bCs/>
                <w:lang w:val="ro-RO"/>
              </w:rPr>
              <w:lastRenderedPageBreak/>
              <w:t>Se acceptă parțial.</w:t>
            </w:r>
          </w:p>
          <w:p w14:paraId="4A48C327" w14:textId="681ABC18" w:rsidR="00521795" w:rsidRPr="00AB1D9F" w:rsidRDefault="00521795" w:rsidP="00521795">
            <w:pPr>
              <w:jc w:val="both"/>
              <w:rPr>
                <w:rFonts w:ascii="Times New Roman" w:hAnsi="Times New Roman" w:cs="Times New Roman"/>
              </w:rPr>
            </w:pPr>
            <w:r w:rsidRPr="00AB1D9F">
              <w:rPr>
                <w:rFonts w:ascii="Times New Roman" w:hAnsi="Times New Roman" w:cs="Times New Roman"/>
              </w:rPr>
              <w:t xml:space="preserve">În legislația națională, nu se prevede aplicarea regimurilor derogatorii pentru anumite instituții de plată și emitenți de monedă electronică, așa cum sunt prevăzute în art. 32 din Directiva 2015/2366 pentru instituțiile de plată și art. 9 din Directiva 2009/110/CE pentru emitenții de monedă electronică. Astfel,  Legea nr. 114/2012 cu privire la serviciile de plată și moneda electronică preia noțiunea  </w:t>
            </w:r>
            <w:r w:rsidRPr="00AB1D9F">
              <w:rPr>
                <w:rFonts w:ascii="Times New Roman" w:hAnsi="Times New Roman" w:cs="Times New Roman"/>
              </w:rPr>
              <w:lastRenderedPageBreak/>
              <w:t>instituțiilor de plată și a emitenților de monedă electronică fără aceste regimuri derogatorii simplificate.</w:t>
            </w:r>
          </w:p>
          <w:p w14:paraId="6CFDED98"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lang w:val="ro-RO"/>
              </w:rPr>
              <w:t xml:space="preserve">Cu privire la regimul derogatoriu prevăzut de art. 33 </w:t>
            </w:r>
            <w:r w:rsidRPr="00AB1D9F">
              <w:rPr>
                <w:rFonts w:ascii="Times New Roman" w:hAnsi="Times New Roman" w:cs="Times New Roman"/>
              </w:rPr>
              <w:t>din Directiva 2015/2366 pentru instituțiile de plată, acesta este preluat în Legea nr. 114/2012 cu privire la serviciile de plată și moneda electronică, respectiv textul proiectului de lege a fost ajustat pentru a ține cont de acest aspect.</w:t>
            </w:r>
          </w:p>
          <w:p w14:paraId="14F60E2F" w14:textId="77777777" w:rsidR="00521795" w:rsidRPr="00AB1D9F" w:rsidRDefault="00521795" w:rsidP="00521795">
            <w:pPr>
              <w:jc w:val="both"/>
              <w:rPr>
                <w:rFonts w:ascii="Times New Roman" w:hAnsi="Times New Roman" w:cs="Times New Roman"/>
              </w:rPr>
            </w:pPr>
            <w:r w:rsidRPr="00AB1D9F">
              <w:rPr>
                <w:rFonts w:ascii="Times New Roman" w:hAnsi="Times New Roman" w:cs="Times New Roman"/>
              </w:rPr>
              <w:t>Astfel, Art. I, pct. 3, subpct. 7) lit. e) din proiectul național se va expune în următoarea redacție:</w:t>
            </w:r>
          </w:p>
          <w:p w14:paraId="2B76EC37" w14:textId="26F8B7DF" w:rsidR="00521795" w:rsidRPr="00AB1D9F" w:rsidRDefault="00521795" w:rsidP="00521795">
            <w:pPr>
              <w:jc w:val="both"/>
              <w:rPr>
                <w:rFonts w:ascii="Times New Roman" w:hAnsi="Times New Roman" w:cs="Times New Roman"/>
              </w:rPr>
            </w:pPr>
            <w:r w:rsidRPr="00AB1D9F">
              <w:rPr>
                <w:rFonts w:ascii="Times New Roman" w:hAnsi="Times New Roman" w:cs="Times New Roman"/>
              </w:rPr>
              <w:t>„e) o societate de plată sau o societate emitentă de monedă electronică, astfel cum sunt definite în Legea nr. 114/2012 cu privire la serviciile de plată și moneda electronică, cu excepția societăților de plată înregistrate să presteze doar serviciile de plată indicate la art. 4 alin.(1) pct. 9) din aceiași lege;”</w:t>
            </w:r>
          </w:p>
          <w:p w14:paraId="248444C8" w14:textId="4D27DCF0" w:rsidR="00521795" w:rsidRPr="00AB1D9F" w:rsidRDefault="00521795" w:rsidP="00521795">
            <w:pPr>
              <w:jc w:val="both"/>
              <w:rPr>
                <w:rFonts w:ascii="Times New Roman" w:hAnsi="Times New Roman" w:cs="Times New Roman"/>
              </w:rPr>
            </w:pPr>
            <w:r w:rsidRPr="00AB1D9F">
              <w:rPr>
                <w:rFonts w:ascii="Times New Roman" w:hAnsi="Times New Roman" w:cs="Times New Roman"/>
              </w:rPr>
              <w:t xml:space="preserve"> </w:t>
            </w:r>
          </w:p>
          <w:p w14:paraId="3B9802C2" w14:textId="11DFA484" w:rsidR="00521795" w:rsidRPr="00AB1D9F" w:rsidRDefault="00521795" w:rsidP="00521795">
            <w:pPr>
              <w:jc w:val="both"/>
              <w:rPr>
                <w:rFonts w:ascii="Times New Roman" w:hAnsi="Times New Roman" w:cs="Times New Roman"/>
                <w:b/>
                <w:bCs/>
                <w:lang w:val="ro-RO"/>
              </w:rPr>
            </w:pPr>
            <w:r w:rsidRPr="00AB1D9F">
              <w:rPr>
                <w:rFonts w:ascii="Times New Roman" w:hAnsi="Times New Roman" w:cs="Times New Roman"/>
                <w:b/>
                <w:bCs/>
                <w:lang w:val="ro-RO"/>
              </w:rPr>
              <w:t>Nu se accept</w:t>
            </w:r>
            <w:r w:rsidRPr="00AB1D9F">
              <w:rPr>
                <w:rFonts w:ascii="Times New Roman" w:hAnsi="Times New Roman" w:cs="Times New Roman"/>
                <w:b/>
                <w:bCs/>
              </w:rPr>
              <w:t>ă</w:t>
            </w:r>
            <w:r w:rsidRPr="00AB1D9F">
              <w:rPr>
                <w:rFonts w:ascii="Times New Roman" w:hAnsi="Times New Roman" w:cs="Times New Roman"/>
                <w:b/>
                <w:bCs/>
                <w:lang w:val="ro-RO"/>
              </w:rPr>
              <w:t>:</w:t>
            </w:r>
          </w:p>
          <w:p w14:paraId="367BBAE0" w14:textId="416CCAFE" w:rsidR="00521795" w:rsidRPr="00AB1D9F" w:rsidRDefault="00521795" w:rsidP="00521795">
            <w:pPr>
              <w:jc w:val="both"/>
              <w:rPr>
                <w:rFonts w:ascii="Times New Roman" w:hAnsi="Times New Roman" w:cs="Times New Roman"/>
                <w:color w:val="000000" w:themeColor="text1"/>
              </w:rPr>
            </w:pPr>
            <w:r w:rsidRPr="00AB1D9F">
              <w:rPr>
                <w:rFonts w:ascii="Times New Roman" w:hAnsi="Times New Roman" w:cs="Times New Roman"/>
                <w:color w:val="000000" w:themeColor="text1"/>
              </w:rPr>
              <w:t xml:space="preserve">Noțiunea de </w:t>
            </w:r>
            <w:r w:rsidRPr="00AB1D9F">
              <w:rPr>
                <w:rFonts w:ascii="Times New Roman" w:hAnsi="Times New Roman" w:cs="Times New Roman"/>
                <w:i/>
                <w:iCs/>
                <w:color w:val="000000" w:themeColor="text1"/>
              </w:rPr>
              <w:t xml:space="preserve">„instituție” </w:t>
            </w:r>
            <w:r w:rsidRPr="00AB1D9F">
              <w:rPr>
                <w:rFonts w:ascii="Times New Roman" w:hAnsi="Times New Roman" w:cs="Times New Roman"/>
                <w:color w:val="000000" w:themeColor="text1"/>
              </w:rPr>
              <w:t xml:space="preserve"> include expres condiția impusă de directivă prin specificarea faptului că reprezintă oricare din entitățile enumerate la lit. e) care participă la un sistem a cărui activitate constă în executarea ordinelor de plată şi care răspunde de executarea obligațiilor </w:t>
            </w:r>
            <w:r w:rsidRPr="00AB1D9F">
              <w:rPr>
                <w:rFonts w:ascii="Times New Roman" w:hAnsi="Times New Roman" w:cs="Times New Roman"/>
                <w:color w:val="000000" w:themeColor="text1"/>
              </w:rPr>
              <w:lastRenderedPageBreak/>
              <w:t>financiare rezultate din ordinele de plată în cadrul respectivului sistem.</w:t>
            </w:r>
          </w:p>
          <w:p w14:paraId="5C0D4136" w14:textId="67B04E7B"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lang w:val="ro-RO"/>
              </w:rPr>
              <w:t xml:space="preserve">Totodată, având în vedere noțiunile utilizate în actele normative ale BNM care reglementează activitatea Sistemului automatizat de plăți interne, precizăm că proiectul Legii definește noțiunea de ordin de plată distinct de ordinul de transfer, iar instituțiile menționate la lit. e) </w:t>
            </w:r>
            <w:r w:rsidRPr="00AB1D9F">
              <w:rPr>
                <w:rFonts w:ascii="Times New Roman" w:hAnsi="Times New Roman" w:cs="Times New Roman"/>
                <w:color w:val="000000" w:themeColor="text1"/>
              </w:rPr>
              <w:t>societate de plată sau o societate emitentă de monedă electronică se încadrează</w:t>
            </w:r>
            <w:r w:rsidRPr="00AB1D9F">
              <w:rPr>
                <w:rFonts w:ascii="Times New Roman" w:hAnsi="Times New Roman" w:cs="Times New Roman"/>
              </w:rPr>
              <w:t xml:space="preserve"> în sfera definiției conform normei UE.</w:t>
            </w:r>
          </w:p>
        </w:tc>
      </w:tr>
      <w:tr w:rsidR="00521795" w:rsidRPr="00AB1D9F" w14:paraId="71365C13" w14:textId="77777777" w:rsidTr="00DB4B10">
        <w:trPr>
          <w:trHeight w:val="1408"/>
        </w:trPr>
        <w:tc>
          <w:tcPr>
            <w:tcW w:w="3964" w:type="dxa"/>
          </w:tcPr>
          <w:p w14:paraId="66910DDF" w14:textId="77777777" w:rsidR="00521795" w:rsidRPr="00AB1D9F" w:rsidRDefault="00521795" w:rsidP="00521795">
            <w:pPr>
              <w:pStyle w:val="BodyText2"/>
              <w:tabs>
                <w:tab w:val="left" w:pos="306"/>
              </w:tabs>
              <w:jc w:val="both"/>
              <w:rPr>
                <w:color w:val="000000" w:themeColor="text1"/>
                <w:sz w:val="24"/>
                <w:szCs w:val="24"/>
                <w:lang w:val="ro-MD"/>
              </w:rPr>
            </w:pPr>
            <w:r w:rsidRPr="00AB1D9F">
              <w:rPr>
                <w:color w:val="000000" w:themeColor="text1"/>
                <w:sz w:val="24"/>
                <w:szCs w:val="24"/>
                <w:lang w:val="ro-MD"/>
              </w:rPr>
              <w:lastRenderedPageBreak/>
              <w:t>c) orice întreprindere cu sediul în străinătate care desfășoară activități permise băncilor și societăților de investiții;</w:t>
            </w:r>
          </w:p>
          <w:p w14:paraId="268FF488" w14:textId="426050E8" w:rsidR="00521795" w:rsidRPr="00AB1D9F" w:rsidRDefault="00521795" w:rsidP="00521795">
            <w:pPr>
              <w:tabs>
                <w:tab w:val="left" w:pos="1276"/>
              </w:tabs>
              <w:jc w:val="both"/>
              <w:rPr>
                <w:rFonts w:ascii="Times New Roman" w:hAnsi="Times New Roman" w:cs="Times New Roman"/>
              </w:rPr>
            </w:pPr>
          </w:p>
        </w:tc>
        <w:tc>
          <w:tcPr>
            <w:tcW w:w="2268" w:type="dxa"/>
            <w:vMerge/>
          </w:tcPr>
          <w:p w14:paraId="7BA4DB32" w14:textId="68E35933" w:rsidR="00521795" w:rsidRPr="00AB1D9F" w:rsidRDefault="00521795" w:rsidP="00521795">
            <w:pPr>
              <w:rPr>
                <w:rFonts w:ascii="Times New Roman" w:hAnsi="Times New Roman" w:cs="Times New Roman"/>
                <w:b/>
                <w:bCs/>
                <w:lang w:val="ro-RO"/>
              </w:rPr>
            </w:pPr>
          </w:p>
        </w:tc>
        <w:tc>
          <w:tcPr>
            <w:tcW w:w="709" w:type="dxa"/>
          </w:tcPr>
          <w:p w14:paraId="7E7A0C8A" w14:textId="733CABE2" w:rsidR="00521795" w:rsidRPr="00AB1D9F" w:rsidRDefault="00521795" w:rsidP="00521795">
            <w:pPr>
              <w:jc w:val="center"/>
              <w:rPr>
                <w:rFonts w:ascii="Times New Roman" w:hAnsi="Times New Roman" w:cs="Times New Roman"/>
                <w:b/>
                <w:bCs/>
                <w:lang w:val="ro-RO"/>
              </w:rPr>
            </w:pPr>
            <w:r w:rsidRPr="00AB1D9F">
              <w:rPr>
                <w:rFonts w:ascii="Times New Roman" w:hAnsi="Times New Roman" w:cs="Times New Roman"/>
                <w:b/>
                <w:bCs/>
                <w:lang w:val="ro-RO"/>
              </w:rPr>
              <w:t>3.</w:t>
            </w:r>
          </w:p>
        </w:tc>
        <w:tc>
          <w:tcPr>
            <w:tcW w:w="4086" w:type="dxa"/>
          </w:tcPr>
          <w:p w14:paraId="2B40023F" w14:textId="3F89C883"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rPr>
              <w:t xml:space="preserve">la lit. c), după textul </w:t>
            </w:r>
            <w:r w:rsidRPr="00AB1D9F">
              <w:rPr>
                <w:rFonts w:ascii="Times New Roman" w:hAnsi="Times New Roman" w:cs="Times New Roman"/>
                <w:i/>
                <w:iCs/>
              </w:rPr>
              <w:t>„orice întreprindere cu sediul”</w:t>
            </w:r>
            <w:r w:rsidRPr="00AB1D9F">
              <w:rPr>
                <w:rFonts w:ascii="Times New Roman" w:hAnsi="Times New Roman" w:cs="Times New Roman"/>
              </w:rPr>
              <w:t xml:space="preserve"> urmează a fi adăugat </w:t>
            </w:r>
            <w:r w:rsidRPr="00AB1D9F">
              <w:rPr>
                <w:rFonts w:ascii="Times New Roman" w:hAnsi="Times New Roman" w:cs="Times New Roman"/>
                <w:i/>
                <w:iCs/>
              </w:rPr>
              <w:t>„central”</w:t>
            </w:r>
            <w:r w:rsidRPr="00AB1D9F">
              <w:rPr>
                <w:rFonts w:ascii="Times New Roman" w:hAnsi="Times New Roman" w:cs="Times New Roman"/>
              </w:rPr>
              <w:t xml:space="preserve"> pentru a asigura conformitatea deplină cu prevederile actului UE.</w:t>
            </w:r>
          </w:p>
        </w:tc>
        <w:tc>
          <w:tcPr>
            <w:tcW w:w="3711" w:type="dxa"/>
          </w:tcPr>
          <w:p w14:paraId="170D80D1" w14:textId="43DC056B" w:rsidR="00521795" w:rsidRPr="00AB1D9F" w:rsidRDefault="00521795" w:rsidP="00521795">
            <w:pPr>
              <w:jc w:val="both"/>
              <w:rPr>
                <w:rFonts w:ascii="Times New Roman" w:hAnsi="Times New Roman" w:cs="Times New Roman"/>
                <w:lang w:val="ro-RO"/>
              </w:rPr>
            </w:pPr>
            <w:r w:rsidRPr="00AB1D9F">
              <w:rPr>
                <w:rFonts w:ascii="Times New Roman" w:hAnsi="Times New Roman" w:cs="Times New Roman"/>
                <w:b/>
                <w:bCs/>
                <w:lang w:val="ro-RO"/>
              </w:rPr>
              <w:t>Se acceptă.</w:t>
            </w:r>
          </w:p>
          <w:p w14:paraId="33CA8046" w14:textId="7AA7BB8B" w:rsidR="00521795" w:rsidRPr="00AB1D9F" w:rsidRDefault="00521795" w:rsidP="00521795">
            <w:pPr>
              <w:rPr>
                <w:rFonts w:ascii="Times New Roman" w:hAnsi="Times New Roman" w:cs="Times New Roman"/>
                <w:lang w:val="ro-RO"/>
              </w:rPr>
            </w:pPr>
            <w:r w:rsidRPr="00AB1D9F">
              <w:rPr>
                <w:rFonts w:ascii="Times New Roman" w:hAnsi="Times New Roman" w:cs="Times New Roman"/>
                <w:lang w:val="ro-RO"/>
              </w:rPr>
              <w:t>S-a ținut cont de recomandare la definitivarea proiectului.</w:t>
            </w:r>
          </w:p>
          <w:p w14:paraId="51A2E4F5" w14:textId="290E88B7" w:rsidR="00521795" w:rsidRPr="00AB1D9F" w:rsidRDefault="00521795" w:rsidP="00521795">
            <w:pPr>
              <w:jc w:val="both"/>
              <w:rPr>
                <w:rFonts w:ascii="Times New Roman" w:hAnsi="Times New Roman" w:cs="Times New Roman"/>
                <w:b/>
                <w:bCs/>
                <w:lang w:val="ro-RO"/>
              </w:rPr>
            </w:pPr>
          </w:p>
        </w:tc>
      </w:tr>
      <w:tr w:rsidR="00DB5E04" w:rsidRPr="00AB1D9F" w14:paraId="432C1D36" w14:textId="77777777" w:rsidTr="00DB4B10">
        <w:trPr>
          <w:trHeight w:val="1408"/>
        </w:trPr>
        <w:tc>
          <w:tcPr>
            <w:tcW w:w="3964" w:type="dxa"/>
          </w:tcPr>
          <w:p w14:paraId="3848758B" w14:textId="77777777" w:rsidR="00DB5E04" w:rsidRPr="004A42D9" w:rsidRDefault="00DB5E04" w:rsidP="0029227D">
            <w:pPr>
              <w:pStyle w:val="BodyText2"/>
              <w:tabs>
                <w:tab w:val="left" w:pos="306"/>
              </w:tabs>
              <w:jc w:val="both"/>
              <w:rPr>
                <w:color w:val="000000" w:themeColor="text1"/>
                <w:sz w:val="24"/>
                <w:szCs w:val="24"/>
                <w:lang w:val="ro-MD"/>
              </w:rPr>
            </w:pPr>
            <w:r w:rsidRPr="004A42D9">
              <w:rPr>
                <w:color w:val="000000" w:themeColor="text1"/>
                <w:sz w:val="24"/>
                <w:szCs w:val="24"/>
                <w:lang w:val="ro-MD"/>
              </w:rPr>
              <w:t xml:space="preserve">7) instituţie – oricare dintre următoarele </w:t>
            </w:r>
            <w:proofErr w:type="spellStart"/>
            <w:r w:rsidRPr="004A42D9">
              <w:rPr>
                <w:color w:val="000000" w:themeColor="text1"/>
                <w:sz w:val="24"/>
                <w:szCs w:val="24"/>
                <w:lang w:val="ro-MD"/>
              </w:rPr>
              <w:t>entităţi</w:t>
            </w:r>
            <w:proofErr w:type="spellEnd"/>
            <w:r w:rsidRPr="004A42D9">
              <w:rPr>
                <w:color w:val="000000" w:themeColor="text1"/>
                <w:sz w:val="24"/>
                <w:szCs w:val="24"/>
                <w:lang w:val="ro-MD"/>
              </w:rPr>
              <w:t xml:space="preserve"> enumerate la lit. a) – d) care participă la un sistem şi care răspunde de executarea obligațiilor financiare rezultate din ordinele de plată/ordinele de transfer în cadrul respectivului sistem sau oricare din entitățile enumerate la lit. e) care participă la un sistem a cărui activitate constă în executarea ordinelor de plată şi care răspunde de executarea obligațiilor financiare rezultate din ordinele de plată în cadrul respectivului sistem:</w:t>
            </w:r>
          </w:p>
          <w:p w14:paraId="1723DAD0" w14:textId="6E5AFFD6" w:rsidR="00DB5E04" w:rsidRPr="004A42D9" w:rsidRDefault="00DB5E04" w:rsidP="0029227D">
            <w:pPr>
              <w:pStyle w:val="BodyText2"/>
              <w:tabs>
                <w:tab w:val="left" w:pos="306"/>
              </w:tabs>
              <w:jc w:val="both"/>
              <w:rPr>
                <w:color w:val="000000" w:themeColor="text1"/>
                <w:sz w:val="24"/>
                <w:szCs w:val="24"/>
                <w:lang w:val="ro-MD"/>
              </w:rPr>
            </w:pPr>
            <w:r w:rsidRPr="004A42D9">
              <w:rPr>
                <w:color w:val="000000" w:themeColor="text1"/>
                <w:sz w:val="24"/>
                <w:szCs w:val="24"/>
                <w:lang w:val="ro-MD"/>
              </w:rPr>
              <w:t xml:space="preserve">b) o firmă de investiții, astfel cum este definită în legislația privind piețele de </w:t>
            </w:r>
            <w:r w:rsidRPr="004A42D9">
              <w:rPr>
                <w:color w:val="000000" w:themeColor="text1"/>
                <w:sz w:val="24"/>
                <w:szCs w:val="24"/>
                <w:lang w:val="ro-MD"/>
              </w:rPr>
              <w:lastRenderedPageBreak/>
              <w:t>instrumente financiare, sau orice persoană juridică cu sediul  într-un stat membru al Uniunii Europene, autorizată să presteze unul sau mai multe servicii de investiții către terți și/sau să desfășoare una ori mai multe activități de investiții pe baze profesionale;</w:t>
            </w:r>
          </w:p>
        </w:tc>
        <w:tc>
          <w:tcPr>
            <w:tcW w:w="2268" w:type="dxa"/>
            <w:vMerge w:val="restart"/>
          </w:tcPr>
          <w:p w14:paraId="44AB79CB" w14:textId="77777777" w:rsidR="00DB5E04" w:rsidRPr="004A42D9" w:rsidRDefault="00DB5E04" w:rsidP="00DB4B10">
            <w:pPr>
              <w:jc w:val="center"/>
              <w:rPr>
                <w:rFonts w:ascii="Times New Roman" w:hAnsi="Times New Roman" w:cs="Times New Roman"/>
                <w:b/>
                <w:bCs/>
              </w:rPr>
            </w:pPr>
            <w:r w:rsidRPr="004A42D9">
              <w:rPr>
                <w:rFonts w:ascii="Times New Roman" w:hAnsi="Times New Roman" w:cs="Times New Roman"/>
                <w:b/>
                <w:bCs/>
                <w:lang w:val="ro-RO"/>
              </w:rPr>
              <w:lastRenderedPageBreak/>
              <w:t xml:space="preserve">Ministerul </w:t>
            </w:r>
            <w:proofErr w:type="spellStart"/>
            <w:r w:rsidRPr="004A42D9">
              <w:rPr>
                <w:rFonts w:ascii="Times New Roman" w:hAnsi="Times New Roman" w:cs="Times New Roman"/>
                <w:b/>
                <w:bCs/>
                <w:lang w:val="ro-RO"/>
              </w:rPr>
              <w:t>Justi</w:t>
            </w:r>
            <w:r w:rsidRPr="004A42D9">
              <w:rPr>
                <w:rFonts w:ascii="Times New Roman" w:hAnsi="Times New Roman" w:cs="Times New Roman"/>
                <w:b/>
                <w:bCs/>
              </w:rPr>
              <w:t>ției</w:t>
            </w:r>
            <w:proofErr w:type="spellEnd"/>
            <w:r w:rsidRPr="004A42D9">
              <w:rPr>
                <w:rFonts w:ascii="Times New Roman" w:hAnsi="Times New Roman" w:cs="Times New Roman"/>
                <w:b/>
                <w:bCs/>
              </w:rPr>
              <w:t xml:space="preserve"> al Republicii Moldova</w:t>
            </w:r>
          </w:p>
          <w:p w14:paraId="558E0E44" w14:textId="6D7FE0D1" w:rsidR="00DB5E04" w:rsidRPr="004A42D9" w:rsidRDefault="00DB5E04" w:rsidP="00DB4B10">
            <w:pPr>
              <w:jc w:val="center"/>
              <w:rPr>
                <w:rFonts w:ascii="Times New Roman" w:hAnsi="Times New Roman" w:cs="Times New Roman"/>
                <w:b/>
                <w:bCs/>
              </w:rPr>
            </w:pPr>
            <w:r w:rsidRPr="004A42D9">
              <w:rPr>
                <w:rFonts w:ascii="Times New Roman" w:hAnsi="Times New Roman" w:cs="Times New Roman"/>
                <w:b/>
                <w:bCs/>
              </w:rPr>
              <w:t>(</w:t>
            </w:r>
            <w:r w:rsidRPr="004A42D9">
              <w:rPr>
                <w:rFonts w:ascii="Times New Roman" w:hAnsi="Times New Roman" w:cs="Times New Roman"/>
              </w:rPr>
              <w:t>Aviz nr. 04/2-5862 din 28.05.2026)</w:t>
            </w:r>
          </w:p>
        </w:tc>
        <w:tc>
          <w:tcPr>
            <w:tcW w:w="709" w:type="dxa"/>
          </w:tcPr>
          <w:p w14:paraId="45C62317" w14:textId="7AEB5C48" w:rsidR="00DB5E04" w:rsidRPr="004A42D9" w:rsidRDefault="005E64D0" w:rsidP="00521795">
            <w:pPr>
              <w:jc w:val="center"/>
              <w:rPr>
                <w:rFonts w:ascii="Times New Roman" w:hAnsi="Times New Roman" w:cs="Times New Roman"/>
                <w:b/>
                <w:bCs/>
                <w:lang w:val="ro-RO"/>
              </w:rPr>
            </w:pPr>
            <w:r w:rsidRPr="004A42D9">
              <w:rPr>
                <w:rFonts w:ascii="Times New Roman" w:hAnsi="Times New Roman" w:cs="Times New Roman"/>
                <w:b/>
                <w:bCs/>
                <w:lang w:val="ro-RO"/>
              </w:rPr>
              <w:t>4</w:t>
            </w:r>
            <w:r w:rsidR="00DB5E04" w:rsidRPr="004A42D9">
              <w:rPr>
                <w:rFonts w:ascii="Times New Roman" w:hAnsi="Times New Roman" w:cs="Times New Roman"/>
                <w:b/>
                <w:bCs/>
                <w:lang w:val="ro-RO"/>
              </w:rPr>
              <w:t>.</w:t>
            </w:r>
          </w:p>
        </w:tc>
        <w:tc>
          <w:tcPr>
            <w:tcW w:w="4086" w:type="dxa"/>
          </w:tcPr>
          <w:p w14:paraId="2D90A63E" w14:textId="77777777" w:rsidR="00DB5E04" w:rsidRPr="004A42D9" w:rsidRDefault="00DB5E04" w:rsidP="0029227D">
            <w:pPr>
              <w:jc w:val="both"/>
              <w:rPr>
                <w:rFonts w:ascii="Times New Roman" w:hAnsi="Times New Roman" w:cs="Times New Roman"/>
                <w:b/>
                <w:bCs/>
              </w:rPr>
            </w:pPr>
            <w:r w:rsidRPr="004A42D9">
              <w:rPr>
                <w:rFonts w:ascii="Times New Roman" w:hAnsi="Times New Roman" w:cs="Times New Roman"/>
                <w:b/>
                <w:bCs/>
              </w:rPr>
              <w:t>La Art. I:</w:t>
            </w:r>
          </w:p>
          <w:p w14:paraId="21465930" w14:textId="77777777" w:rsidR="00DB5E04" w:rsidRPr="004A42D9" w:rsidRDefault="00DB5E04" w:rsidP="0029227D">
            <w:pPr>
              <w:jc w:val="both"/>
              <w:rPr>
                <w:rFonts w:ascii="Times New Roman" w:hAnsi="Times New Roman" w:cs="Times New Roman"/>
              </w:rPr>
            </w:pPr>
            <w:r w:rsidRPr="004A42D9">
              <w:rPr>
                <w:rFonts w:ascii="Times New Roman" w:hAnsi="Times New Roman" w:cs="Times New Roman"/>
              </w:rPr>
              <w:t xml:space="preserve">La pct. 3, ce modifică art. 3 alin. (1) pct. 7) lit. b), se utilizează termenul de </w:t>
            </w:r>
            <w:r w:rsidRPr="004A42D9">
              <w:rPr>
                <w:rFonts w:ascii="Times New Roman" w:hAnsi="Times New Roman" w:cs="Times New Roman"/>
                <w:i/>
                <w:iCs/>
              </w:rPr>
              <w:t>„firmă de investiții”</w:t>
            </w:r>
            <w:r w:rsidRPr="004A42D9">
              <w:rPr>
                <w:rFonts w:ascii="Times New Roman" w:hAnsi="Times New Roman" w:cs="Times New Roman"/>
              </w:rPr>
              <w:t>. Totuși, acest concept nu este consacrat în legislația națională în vigoare în materia pieței de capital.</w:t>
            </w:r>
          </w:p>
          <w:p w14:paraId="22D856EA" w14:textId="77777777" w:rsidR="00DB5E04" w:rsidRPr="004A42D9" w:rsidRDefault="00DB5E04" w:rsidP="0029227D">
            <w:pPr>
              <w:jc w:val="both"/>
              <w:rPr>
                <w:rFonts w:ascii="Times New Roman" w:hAnsi="Times New Roman" w:cs="Times New Roman"/>
              </w:rPr>
            </w:pPr>
            <w:r w:rsidRPr="004A42D9">
              <w:rPr>
                <w:rFonts w:ascii="Times New Roman" w:hAnsi="Times New Roman" w:cs="Times New Roman"/>
              </w:rPr>
              <w:t>Astfel, potrivit art. 6 din Legea nr. 171/2012 privind piața de capital, noțiunea utilizată este cea de „societate de investiții”, definită ca persoană juridică constituită sub forma unei societăți pe acțiuni, a cărei activitate constă în furnizarea de servicii și/sau desfășurarea de activități de investiții cu titlu profesional.</w:t>
            </w:r>
          </w:p>
          <w:p w14:paraId="5D3D01C5" w14:textId="608B05A1" w:rsidR="00DB5E04" w:rsidRPr="004A42D9" w:rsidRDefault="00DB5E04" w:rsidP="0029227D">
            <w:pPr>
              <w:jc w:val="both"/>
              <w:rPr>
                <w:rFonts w:ascii="Times New Roman" w:hAnsi="Times New Roman" w:cs="Times New Roman"/>
              </w:rPr>
            </w:pPr>
            <w:r w:rsidRPr="004A42D9">
              <w:rPr>
                <w:rFonts w:ascii="Times New Roman" w:hAnsi="Times New Roman" w:cs="Times New Roman"/>
              </w:rPr>
              <w:lastRenderedPageBreak/>
              <w:t>Prin urmare, utilizarea în proiect a termenului „firmă de investiții” creează o necorelare terminologică cu cadrul normativ existent și poate genera dificultăți de interpretare și aplicare a normei. Respectiv, în scopul asigurării coerenței legislative și al utilizării unei terminologii unitare, se recomandă substituirea termenului „firmă de investiții” cu termenul consacrat de „societate de investiții”, astfel cum este definit de Legea nr. 171/2012.</w:t>
            </w:r>
          </w:p>
        </w:tc>
        <w:tc>
          <w:tcPr>
            <w:tcW w:w="3711" w:type="dxa"/>
          </w:tcPr>
          <w:p w14:paraId="709AD781" w14:textId="77777777" w:rsidR="00DB5E04" w:rsidRPr="004A42D9" w:rsidRDefault="00B16882" w:rsidP="00521795">
            <w:pPr>
              <w:jc w:val="both"/>
              <w:rPr>
                <w:rFonts w:ascii="Times New Roman" w:hAnsi="Times New Roman" w:cs="Times New Roman"/>
                <w:b/>
                <w:bCs/>
              </w:rPr>
            </w:pPr>
            <w:r w:rsidRPr="004A42D9">
              <w:rPr>
                <w:rFonts w:ascii="Times New Roman" w:hAnsi="Times New Roman" w:cs="Times New Roman"/>
                <w:b/>
                <w:bCs/>
                <w:lang w:val="ro-RO"/>
              </w:rPr>
              <w:lastRenderedPageBreak/>
              <w:t>Nu se accept</w:t>
            </w:r>
            <w:r w:rsidRPr="004A42D9">
              <w:rPr>
                <w:rFonts w:ascii="Times New Roman" w:hAnsi="Times New Roman" w:cs="Times New Roman"/>
                <w:b/>
                <w:bCs/>
              </w:rPr>
              <w:t>ă.</w:t>
            </w:r>
          </w:p>
          <w:p w14:paraId="005D90B7" w14:textId="6F373C09" w:rsidR="002950A5" w:rsidRPr="004A42D9" w:rsidRDefault="002950A5" w:rsidP="00521795">
            <w:pPr>
              <w:jc w:val="both"/>
              <w:rPr>
                <w:rFonts w:ascii="Times New Roman" w:hAnsi="Times New Roman" w:cs="Times New Roman"/>
              </w:rPr>
            </w:pPr>
            <w:r w:rsidRPr="004A42D9">
              <w:rPr>
                <w:rFonts w:ascii="Times New Roman" w:hAnsi="Times New Roman" w:cs="Times New Roman"/>
              </w:rPr>
              <w:t xml:space="preserve">Utilizarea termenului „firmă de investiții” în proiect este justificată de necesitatea armonizării terminologice cu cadrul european </w:t>
            </w:r>
            <w:r w:rsidR="00D62403" w:rsidRPr="004A42D9">
              <w:rPr>
                <w:rFonts w:ascii="Times New Roman" w:hAnsi="Times New Roman" w:cs="Times New Roman"/>
              </w:rPr>
              <w:t>aplicabil</w:t>
            </w:r>
            <w:r w:rsidRPr="004A42D9">
              <w:rPr>
                <w:rFonts w:ascii="Times New Roman" w:hAnsi="Times New Roman" w:cs="Times New Roman"/>
              </w:rPr>
              <w:t xml:space="preserve"> piețelor instrumentelor financiare.</w:t>
            </w:r>
          </w:p>
          <w:p w14:paraId="1400AFCE" w14:textId="40CBEC12" w:rsidR="00D62403" w:rsidRPr="004A42D9" w:rsidRDefault="00D62403" w:rsidP="00521795">
            <w:pPr>
              <w:jc w:val="both"/>
              <w:rPr>
                <w:rFonts w:ascii="Times New Roman" w:hAnsi="Times New Roman" w:cs="Times New Roman"/>
              </w:rPr>
            </w:pPr>
            <w:r w:rsidRPr="004A42D9">
              <w:rPr>
                <w:rFonts w:ascii="Times New Roman" w:hAnsi="Times New Roman" w:cs="Times New Roman"/>
              </w:rPr>
              <w:t>Deși</w:t>
            </w:r>
            <w:r w:rsidR="00AB1D9F" w:rsidRPr="004A42D9">
              <w:rPr>
                <w:rFonts w:ascii="Times New Roman" w:hAnsi="Times New Roman" w:cs="Times New Roman"/>
              </w:rPr>
              <w:t>,</w:t>
            </w:r>
            <w:r w:rsidRPr="004A42D9">
              <w:rPr>
                <w:rFonts w:ascii="Times New Roman" w:hAnsi="Times New Roman" w:cs="Times New Roman"/>
              </w:rPr>
              <w:t xml:space="preserve"> Legea nr. 171/2012 privind piața de capital utilizează </w:t>
            </w:r>
            <w:r w:rsidR="00AB1D9F" w:rsidRPr="004A42D9">
              <w:rPr>
                <w:rFonts w:ascii="Times New Roman" w:hAnsi="Times New Roman" w:cs="Times New Roman"/>
              </w:rPr>
              <w:t>în prezent</w:t>
            </w:r>
            <w:r w:rsidRPr="004A42D9">
              <w:rPr>
                <w:rFonts w:ascii="Times New Roman" w:hAnsi="Times New Roman" w:cs="Times New Roman"/>
              </w:rPr>
              <w:t xml:space="preserve"> noțiunea de „societate de investiții”, </w:t>
            </w:r>
            <w:r w:rsidR="00AB1D9F" w:rsidRPr="004A42D9">
              <w:rPr>
                <w:rFonts w:ascii="Times New Roman" w:hAnsi="Times New Roman" w:cs="Times New Roman"/>
              </w:rPr>
              <w:t>termenul</w:t>
            </w:r>
            <w:r w:rsidRPr="004A42D9">
              <w:rPr>
                <w:rFonts w:ascii="Times New Roman" w:hAnsi="Times New Roman" w:cs="Times New Roman"/>
              </w:rPr>
              <w:t xml:space="preserve"> de „firmă de investiții” </w:t>
            </w:r>
            <w:r w:rsidR="00AB1D9F" w:rsidRPr="004A42D9">
              <w:rPr>
                <w:rFonts w:ascii="Times New Roman" w:hAnsi="Times New Roman" w:cs="Times New Roman"/>
              </w:rPr>
              <w:t>derivă din terminologia utilizată în</w:t>
            </w:r>
            <w:r w:rsidR="00D272AA" w:rsidRPr="004A42D9">
              <w:rPr>
                <w:rFonts w:ascii="Times New Roman" w:hAnsi="Times New Roman" w:cs="Times New Roman"/>
              </w:rPr>
              <w:t xml:space="preserve"> proiectele de acte normative elaborate de CNPF</w:t>
            </w:r>
            <w:r w:rsidR="00AB1D9F" w:rsidRPr="004A42D9">
              <w:rPr>
                <w:rFonts w:ascii="Times New Roman" w:hAnsi="Times New Roman" w:cs="Times New Roman"/>
              </w:rPr>
              <w:t xml:space="preserve"> care transpun Directiva </w:t>
            </w:r>
            <w:proofErr w:type="spellStart"/>
            <w:r w:rsidR="00AB1D9F" w:rsidRPr="004A42D9">
              <w:rPr>
                <w:rFonts w:ascii="Times New Roman" w:hAnsi="Times New Roman" w:cs="Times New Roman"/>
              </w:rPr>
              <w:t>MiFID</w:t>
            </w:r>
            <w:proofErr w:type="spellEnd"/>
            <w:r w:rsidR="00AB1D9F" w:rsidRPr="004A42D9">
              <w:rPr>
                <w:rFonts w:ascii="Times New Roman" w:hAnsi="Times New Roman" w:cs="Times New Roman"/>
              </w:rPr>
              <w:t xml:space="preserve"> II</w:t>
            </w:r>
            <w:r w:rsidR="00D272AA" w:rsidRPr="004A42D9">
              <w:rPr>
                <w:rFonts w:ascii="Times New Roman" w:hAnsi="Times New Roman" w:cs="Times New Roman"/>
              </w:rPr>
              <w:t xml:space="preserve"> și </w:t>
            </w:r>
            <w:r w:rsidR="00CD097C">
              <w:rPr>
                <w:rFonts w:ascii="Times New Roman" w:hAnsi="Times New Roman" w:cs="Times New Roman"/>
              </w:rPr>
              <w:t xml:space="preserve">anume, proiectul de Lege privind piețele </w:t>
            </w:r>
            <w:r w:rsidR="00CD097C">
              <w:rPr>
                <w:rFonts w:ascii="Times New Roman" w:hAnsi="Times New Roman" w:cs="Times New Roman"/>
              </w:rPr>
              <w:lastRenderedPageBreak/>
              <w:t>instrumentelor financiare și activitățile de investiții, proiect ce la data de 24 iulie 2026 a fost examinat în Lectura I de către Parlament.</w:t>
            </w:r>
            <w:r w:rsidR="00AB1D9F" w:rsidRPr="004A42D9">
              <w:rPr>
                <w:rFonts w:ascii="Times New Roman" w:hAnsi="Times New Roman" w:cs="Times New Roman"/>
              </w:rPr>
              <w:t>.</w:t>
            </w:r>
          </w:p>
          <w:p w14:paraId="0879C94C" w14:textId="0A693C26" w:rsidR="002950A5" w:rsidRPr="004A42D9" w:rsidRDefault="009C6309" w:rsidP="00CD097C">
            <w:pPr>
              <w:jc w:val="both"/>
              <w:rPr>
                <w:rFonts w:ascii="Times New Roman" w:hAnsi="Times New Roman" w:cs="Times New Roman"/>
              </w:rPr>
            </w:pPr>
            <w:r w:rsidRPr="004A42D9">
              <w:rPr>
                <w:rFonts w:ascii="Times New Roman" w:hAnsi="Times New Roman" w:cs="Times New Roman"/>
              </w:rPr>
              <w:t xml:space="preserve">Astfel, </w:t>
            </w:r>
            <w:r w:rsidR="005208B1" w:rsidRPr="004A42D9">
              <w:rPr>
                <w:rFonts w:ascii="Times New Roman" w:hAnsi="Times New Roman" w:cs="Times New Roman"/>
              </w:rPr>
              <w:t xml:space="preserve">conform dispozițiilor proiectelor actelor CNPF, </w:t>
            </w:r>
            <w:r w:rsidRPr="004A42D9">
              <w:rPr>
                <w:rFonts w:ascii="Times New Roman" w:hAnsi="Times New Roman" w:cs="Times New Roman"/>
              </w:rPr>
              <w:t xml:space="preserve">orice referire sau trimitere din actele normative în vigoare la termenul </w:t>
            </w:r>
            <w:r w:rsidRPr="004A42D9">
              <w:rPr>
                <w:rFonts w:ascii="Times New Roman" w:hAnsi="Times New Roman" w:cs="Times New Roman"/>
                <w:i/>
                <w:iCs/>
              </w:rPr>
              <w:t>„societate de investiții”,</w:t>
            </w:r>
            <w:r w:rsidRPr="004A42D9">
              <w:rPr>
                <w:rFonts w:ascii="Times New Roman" w:hAnsi="Times New Roman" w:cs="Times New Roman"/>
              </w:rPr>
              <w:t xml:space="preserve"> utilizat în contextul legislației privind piețele instrumentelor financiare și activitățile de investiții se va interpreta ca referire și/sau trimitere la termenul </w:t>
            </w:r>
            <w:r w:rsidRPr="004A42D9">
              <w:rPr>
                <w:rFonts w:ascii="Times New Roman" w:hAnsi="Times New Roman" w:cs="Times New Roman"/>
                <w:i/>
                <w:iCs/>
              </w:rPr>
              <w:t>„firmă de investiții”.</w:t>
            </w:r>
          </w:p>
        </w:tc>
      </w:tr>
      <w:tr w:rsidR="00DB5E04" w:rsidRPr="00AB1D9F" w14:paraId="62E83E71" w14:textId="77777777" w:rsidTr="00DB4B10">
        <w:trPr>
          <w:trHeight w:val="1408"/>
        </w:trPr>
        <w:tc>
          <w:tcPr>
            <w:tcW w:w="3964" w:type="dxa"/>
          </w:tcPr>
          <w:p w14:paraId="61B24F51" w14:textId="58ECEF74" w:rsidR="00DB5E04" w:rsidRPr="004A42D9" w:rsidRDefault="00DB5E04" w:rsidP="0029227D">
            <w:pPr>
              <w:pStyle w:val="BodyText2"/>
              <w:tabs>
                <w:tab w:val="left" w:pos="306"/>
              </w:tabs>
              <w:jc w:val="both"/>
              <w:rPr>
                <w:color w:val="000000" w:themeColor="text1"/>
                <w:sz w:val="24"/>
                <w:szCs w:val="24"/>
                <w:lang w:val="ro-MD"/>
              </w:rPr>
            </w:pPr>
            <w:r w:rsidRPr="004A42D9">
              <w:rPr>
                <w:color w:val="000000" w:themeColor="text1"/>
                <w:sz w:val="24"/>
                <w:szCs w:val="24"/>
                <w:lang w:val="ro-MD"/>
              </w:rPr>
              <w:lastRenderedPageBreak/>
              <w:t>17</w:t>
            </w:r>
            <w:r w:rsidRPr="004A42D9">
              <w:rPr>
                <w:i/>
                <w:iCs/>
                <w:color w:val="000000" w:themeColor="text1"/>
                <w:sz w:val="24"/>
                <w:szCs w:val="24"/>
                <w:lang w:val="ro-MD"/>
              </w:rPr>
              <w:t>) procedură de insolvabilitate</w:t>
            </w:r>
            <w:r w:rsidRPr="004A42D9">
              <w:rPr>
                <w:color w:val="000000" w:themeColor="text1"/>
                <w:sz w:val="24"/>
                <w:szCs w:val="24"/>
                <w:lang w:val="ro-MD"/>
              </w:rPr>
              <w:t xml:space="preserve"> – orice procedură prevăzută de legislaţia Republicii Moldova, a statelor membre ale Uniunii Europene sau a altor state care urmăreşte fie lichidarea unui participant, fie restructurarea sa, dacă această măsură implică suspendarea sau limitarea plăților ori transferurilor;</w:t>
            </w:r>
          </w:p>
        </w:tc>
        <w:tc>
          <w:tcPr>
            <w:tcW w:w="2268" w:type="dxa"/>
            <w:vMerge/>
          </w:tcPr>
          <w:p w14:paraId="1099CE2A" w14:textId="77777777" w:rsidR="00DB5E04" w:rsidRPr="004A42D9" w:rsidRDefault="00DB5E04" w:rsidP="00DB4B10">
            <w:pPr>
              <w:jc w:val="center"/>
              <w:rPr>
                <w:rFonts w:ascii="Times New Roman" w:hAnsi="Times New Roman" w:cs="Times New Roman"/>
                <w:b/>
                <w:bCs/>
                <w:lang w:val="ro-RO"/>
              </w:rPr>
            </w:pPr>
          </w:p>
        </w:tc>
        <w:tc>
          <w:tcPr>
            <w:tcW w:w="709" w:type="dxa"/>
          </w:tcPr>
          <w:p w14:paraId="7786DEC5" w14:textId="64F67338" w:rsidR="00DB5E04" w:rsidRPr="004A42D9" w:rsidRDefault="005E64D0" w:rsidP="00521795">
            <w:pPr>
              <w:jc w:val="center"/>
              <w:rPr>
                <w:rFonts w:ascii="Times New Roman" w:hAnsi="Times New Roman" w:cs="Times New Roman"/>
                <w:b/>
                <w:bCs/>
                <w:lang w:val="ro-RO"/>
              </w:rPr>
            </w:pPr>
            <w:r w:rsidRPr="004A42D9">
              <w:rPr>
                <w:rFonts w:ascii="Times New Roman" w:hAnsi="Times New Roman" w:cs="Times New Roman"/>
                <w:b/>
                <w:bCs/>
                <w:lang w:val="ro-RO"/>
              </w:rPr>
              <w:t>5.</w:t>
            </w:r>
          </w:p>
        </w:tc>
        <w:tc>
          <w:tcPr>
            <w:tcW w:w="4086" w:type="dxa"/>
          </w:tcPr>
          <w:p w14:paraId="48A3D2F9" w14:textId="77777777" w:rsidR="00DB5E04" w:rsidRPr="004A42D9" w:rsidRDefault="00DB5E04" w:rsidP="00F51AB9">
            <w:pPr>
              <w:jc w:val="both"/>
              <w:rPr>
                <w:rFonts w:ascii="Times New Roman" w:hAnsi="Times New Roman" w:cs="Times New Roman"/>
              </w:rPr>
            </w:pPr>
            <w:r w:rsidRPr="004A42D9">
              <w:rPr>
                <w:rFonts w:ascii="Times New Roman" w:hAnsi="Times New Roman" w:cs="Times New Roman"/>
              </w:rPr>
              <w:t>Adițional, la pct. 17) din același alineat al art. 3 este definită noțiunea de „procedură de insolvabilitate” ca fiind orice procedură prevăzută de legislația Republicii Moldova, a statelor membre ale Uniunii Europene sau a altor state care urmărește fie lichidarea unui participant, fie restructurarea acestuia, dacă măsura implică suspendarea sau limitarea plăților ori transferurilor.</w:t>
            </w:r>
          </w:p>
          <w:p w14:paraId="292FA79B" w14:textId="77777777" w:rsidR="00DB5E04" w:rsidRPr="004A42D9" w:rsidRDefault="00DB5E04" w:rsidP="00F51AB9">
            <w:pPr>
              <w:jc w:val="both"/>
              <w:rPr>
                <w:rFonts w:ascii="Times New Roman" w:hAnsi="Times New Roman" w:cs="Times New Roman"/>
              </w:rPr>
            </w:pPr>
            <w:r w:rsidRPr="004A42D9">
              <w:rPr>
                <w:rFonts w:ascii="Times New Roman" w:hAnsi="Times New Roman" w:cs="Times New Roman"/>
              </w:rPr>
              <w:t>Se constată că această definiție nu este pe deplin corelată cu cadrul normativ național în vigoare.</w:t>
            </w:r>
          </w:p>
          <w:p w14:paraId="5289EDB4" w14:textId="77777777" w:rsidR="00DB5E04" w:rsidRPr="004A42D9" w:rsidRDefault="00DB5E04" w:rsidP="00DC34DD">
            <w:pPr>
              <w:jc w:val="both"/>
              <w:rPr>
                <w:rFonts w:ascii="Times New Roman" w:hAnsi="Times New Roman" w:cs="Times New Roman"/>
              </w:rPr>
            </w:pPr>
            <w:r w:rsidRPr="004A42D9">
              <w:rPr>
                <w:rFonts w:ascii="Times New Roman" w:hAnsi="Times New Roman" w:cs="Times New Roman"/>
              </w:rPr>
              <w:t xml:space="preserve">Potrivit art. 2 din </w:t>
            </w:r>
            <w:r w:rsidRPr="004A42D9">
              <w:rPr>
                <w:rFonts w:ascii="Times New Roman" w:hAnsi="Times New Roman" w:cs="Times New Roman"/>
                <w:i/>
                <w:iCs/>
              </w:rPr>
              <w:t>Legea insolvabilității</w:t>
            </w:r>
            <w:r w:rsidRPr="004A42D9">
              <w:rPr>
                <w:rFonts w:ascii="Times New Roman" w:hAnsi="Times New Roman" w:cs="Times New Roman"/>
              </w:rPr>
              <w:t xml:space="preserve"> nr. 149/2012, „procedura de insolvabilitate” reprezintă procedura prin care debitorul intră, după perioada de observație, în </w:t>
            </w:r>
            <w:r w:rsidRPr="004A42D9">
              <w:rPr>
                <w:rFonts w:ascii="Times New Roman" w:hAnsi="Times New Roman" w:cs="Times New Roman"/>
                <w:b/>
                <w:bCs/>
              </w:rPr>
              <w:t>procedura de restructurare</w:t>
            </w:r>
            <w:r w:rsidRPr="004A42D9">
              <w:rPr>
                <w:rFonts w:ascii="Times New Roman" w:hAnsi="Times New Roman" w:cs="Times New Roman"/>
              </w:rPr>
              <w:t xml:space="preserve"> sau în </w:t>
            </w:r>
            <w:r w:rsidRPr="004A42D9">
              <w:rPr>
                <w:rFonts w:ascii="Times New Roman" w:hAnsi="Times New Roman" w:cs="Times New Roman"/>
                <w:b/>
                <w:bCs/>
              </w:rPr>
              <w:t>procedura falimentului</w:t>
            </w:r>
            <w:r w:rsidRPr="004A42D9">
              <w:rPr>
                <w:rFonts w:ascii="Times New Roman" w:hAnsi="Times New Roman" w:cs="Times New Roman"/>
              </w:rPr>
              <w:t xml:space="preserve">. Aceasta este o procedură </w:t>
            </w:r>
            <w:r w:rsidRPr="004A42D9">
              <w:rPr>
                <w:rFonts w:ascii="Times New Roman" w:hAnsi="Times New Roman" w:cs="Times New Roman"/>
              </w:rPr>
              <w:lastRenderedPageBreak/>
              <w:t>specială, strict reglementată, cu etape și efecte juridice determinate.</w:t>
            </w:r>
          </w:p>
          <w:p w14:paraId="10710569" w14:textId="77777777" w:rsidR="00DB5E04" w:rsidRPr="004A42D9" w:rsidRDefault="00DB5E04" w:rsidP="00DC34DD">
            <w:pPr>
              <w:jc w:val="both"/>
              <w:rPr>
                <w:rFonts w:ascii="Times New Roman" w:hAnsi="Times New Roman" w:cs="Times New Roman"/>
              </w:rPr>
            </w:pPr>
            <w:r w:rsidRPr="004A42D9">
              <w:rPr>
                <w:rFonts w:ascii="Times New Roman" w:hAnsi="Times New Roman" w:cs="Times New Roman"/>
              </w:rPr>
              <w:t xml:space="preserve">În același timp, </w:t>
            </w:r>
            <w:r w:rsidRPr="004A42D9">
              <w:rPr>
                <w:rFonts w:ascii="Times New Roman" w:hAnsi="Times New Roman" w:cs="Times New Roman"/>
                <w:i/>
                <w:iCs/>
              </w:rPr>
              <w:t>Codul civil</w:t>
            </w:r>
            <w:r w:rsidRPr="004A42D9">
              <w:rPr>
                <w:rFonts w:ascii="Times New Roman" w:hAnsi="Times New Roman" w:cs="Times New Roman"/>
              </w:rPr>
              <w:t xml:space="preserve"> reglementează distinct procedura de lichidare a patrimoniului societății dizolvate la art. 232, precum și cazurile de lichidare/radiere a sucursalelor persoanelor juridice străine, conform art. 243, care constituie proceduri autonome de drept societar, având ca obiect exclusiv valorificarea activelor și stingerea obligațiilor, în afara cadrului de insolvabilitate judiciară. Prin urmare, definiția propusă în proiect amestecă două instituții juridice distincte procedura de insolvabilitate și procedura de lichidare care au regim juridic, finalitate și efecte diferite.</w:t>
            </w:r>
          </w:p>
          <w:p w14:paraId="0C1D30A4" w14:textId="5AE939A7" w:rsidR="00DB5E04" w:rsidRPr="004A42D9" w:rsidRDefault="00DB5E04" w:rsidP="00DC34DD">
            <w:pPr>
              <w:jc w:val="both"/>
              <w:rPr>
                <w:rFonts w:ascii="Times New Roman" w:hAnsi="Times New Roman" w:cs="Times New Roman"/>
                <w:b/>
                <w:bCs/>
              </w:rPr>
            </w:pPr>
            <w:r w:rsidRPr="004A42D9">
              <w:rPr>
                <w:rFonts w:ascii="Times New Roman" w:hAnsi="Times New Roman" w:cs="Times New Roman"/>
              </w:rPr>
              <w:t xml:space="preserve">Astfel, având în vedere cele expuse mai sus, propunem revizuirea pct. 17) în sensul alinierii stricte la definiția din </w:t>
            </w:r>
            <w:r w:rsidRPr="004A42D9">
              <w:rPr>
                <w:rFonts w:ascii="Times New Roman" w:hAnsi="Times New Roman" w:cs="Times New Roman"/>
                <w:i/>
                <w:iCs/>
              </w:rPr>
              <w:t>Legea nr. 149/2012</w:t>
            </w:r>
            <w:r w:rsidRPr="004A42D9">
              <w:rPr>
                <w:rFonts w:ascii="Times New Roman" w:hAnsi="Times New Roman" w:cs="Times New Roman"/>
              </w:rPr>
              <w:t xml:space="preserve"> și excluderii procedurii de lichidare a unui participant din sfera noțiunii de „procedură de insolvabilitate”, pentru a evita confuzia între instituții juridice distincte.</w:t>
            </w:r>
          </w:p>
        </w:tc>
        <w:tc>
          <w:tcPr>
            <w:tcW w:w="3711" w:type="dxa"/>
          </w:tcPr>
          <w:p w14:paraId="7E3B7F76" w14:textId="4554BFAF" w:rsidR="00DB5E04" w:rsidRPr="004A42D9" w:rsidRDefault="007F393A" w:rsidP="00521795">
            <w:pPr>
              <w:jc w:val="both"/>
              <w:rPr>
                <w:rFonts w:ascii="Times New Roman" w:hAnsi="Times New Roman" w:cs="Times New Roman"/>
                <w:b/>
                <w:bCs/>
                <w:lang w:val="ro-RO"/>
              </w:rPr>
            </w:pPr>
            <w:r w:rsidRPr="004A42D9">
              <w:rPr>
                <w:rFonts w:ascii="Times New Roman" w:hAnsi="Times New Roman" w:cs="Times New Roman"/>
                <w:b/>
                <w:bCs/>
                <w:lang w:val="ro-RO"/>
              </w:rPr>
              <w:lastRenderedPageBreak/>
              <w:t>S</w:t>
            </w:r>
            <w:r w:rsidR="00DB5E04" w:rsidRPr="004A42D9">
              <w:rPr>
                <w:rFonts w:ascii="Times New Roman" w:hAnsi="Times New Roman" w:cs="Times New Roman"/>
                <w:b/>
                <w:bCs/>
                <w:lang w:val="ro-RO"/>
              </w:rPr>
              <w:t>e acceptă.</w:t>
            </w:r>
          </w:p>
          <w:p w14:paraId="56DFCDD5" w14:textId="730B1B0B" w:rsidR="00387DC0" w:rsidRPr="004A42D9" w:rsidRDefault="00882CA7" w:rsidP="007F393A">
            <w:pPr>
              <w:jc w:val="both"/>
              <w:rPr>
                <w:rFonts w:ascii="Times New Roman" w:hAnsi="Times New Roman" w:cs="Times New Roman"/>
                <w:lang w:val="ro-RO"/>
              </w:rPr>
            </w:pPr>
            <w:r w:rsidRPr="004A42D9">
              <w:rPr>
                <w:rFonts w:ascii="Times New Roman" w:hAnsi="Times New Roman" w:cs="Times New Roman"/>
              </w:rPr>
              <w:t xml:space="preserve">Definiția </w:t>
            </w:r>
            <w:r w:rsidRPr="004A42D9">
              <w:rPr>
                <w:rFonts w:ascii="Times New Roman" w:hAnsi="Times New Roman" w:cs="Times New Roman"/>
                <w:i/>
                <w:iCs/>
              </w:rPr>
              <w:t>„procedură de insolvabilitate”</w:t>
            </w:r>
            <w:r w:rsidR="007F393A" w:rsidRPr="004A42D9">
              <w:rPr>
                <w:rFonts w:ascii="Times New Roman" w:hAnsi="Times New Roman" w:cs="Times New Roman"/>
              </w:rPr>
              <w:t xml:space="preserve"> va avea următorul cuprins: orice procedură prevăzută de legislaţia Republicii Moldova, a statelor membre ale Uniunii Europene sau a altor state care urmăreşte fie restructurarea unui participant, fie falimentarea sa, dacă această măsură implică suspendarea sau limitarea plăților ori transferurilor.</w:t>
            </w:r>
          </w:p>
        </w:tc>
      </w:tr>
      <w:tr w:rsidR="00CD097C" w:rsidRPr="00AB1D9F" w14:paraId="2AA4BABC" w14:textId="77777777" w:rsidTr="00DB4B10">
        <w:trPr>
          <w:trHeight w:val="1408"/>
        </w:trPr>
        <w:tc>
          <w:tcPr>
            <w:tcW w:w="3964" w:type="dxa"/>
            <w:vMerge w:val="restart"/>
          </w:tcPr>
          <w:p w14:paraId="40BD5F24" w14:textId="77777777" w:rsidR="00CD097C" w:rsidRPr="00AB1D9F" w:rsidRDefault="00CD097C" w:rsidP="00521795">
            <w:pPr>
              <w:jc w:val="both"/>
              <w:rPr>
                <w:rFonts w:ascii="Times New Roman" w:hAnsi="Times New Roman" w:cs="Times New Roman"/>
              </w:rPr>
            </w:pPr>
            <w:r w:rsidRPr="00AB1D9F">
              <w:rPr>
                <w:rFonts w:ascii="Times New Roman" w:hAnsi="Times New Roman" w:cs="Times New Roman"/>
                <w:b/>
                <w:bCs/>
              </w:rPr>
              <w:t>Art. II.</w:t>
            </w:r>
            <w:r w:rsidRPr="00AB1D9F">
              <w:rPr>
                <w:rFonts w:ascii="Times New Roman" w:hAnsi="Times New Roman" w:cs="Times New Roman"/>
              </w:rPr>
              <w:t xml:space="preserve"> Dispoziții finale și tranzitorii</w:t>
            </w:r>
          </w:p>
          <w:p w14:paraId="72C62EAB" w14:textId="3BF7CC8F" w:rsidR="00CD097C" w:rsidRPr="00AB1D9F" w:rsidRDefault="00CD097C" w:rsidP="00521795">
            <w:pPr>
              <w:pStyle w:val="BodyText2"/>
              <w:tabs>
                <w:tab w:val="left" w:pos="306"/>
              </w:tabs>
              <w:jc w:val="both"/>
              <w:rPr>
                <w:color w:val="000000" w:themeColor="text1"/>
                <w:sz w:val="24"/>
                <w:szCs w:val="24"/>
                <w:lang w:val="ro-MD"/>
              </w:rPr>
            </w:pPr>
            <w:r w:rsidRPr="00AB1D9F">
              <w:rPr>
                <w:sz w:val="24"/>
                <w:szCs w:val="24"/>
              </w:rPr>
              <w:t xml:space="preserve">(1) Prezenta lege intră în vigoare peste o lună de la data publicării în Monitorul Oficial al Republicii Moldova, cu excepția Art. I pct. 3 în partea ce ține de modificarea art. 3 alin. (1): pct. 6), privind constituirea garanției în favoarea băncilor centrale din statele membre ale Uniunii Europene sau a </w:t>
            </w:r>
            <w:r w:rsidRPr="00AB1D9F">
              <w:rPr>
                <w:sz w:val="24"/>
                <w:szCs w:val="24"/>
              </w:rPr>
              <w:lastRenderedPageBreak/>
              <w:t>Băncii Centrale Europene” și pct. 19) lit. d); pct. 4, în partea ce ține de completarea art. 9 alin. (3) cu lit. b);  pct. 8, în partea ce ține de completarea art. 15 cu alin. (2) și (3), care intră în vigoare la data aderării Republicii Moldova la Uniunea Europeană.</w:t>
            </w:r>
          </w:p>
        </w:tc>
        <w:tc>
          <w:tcPr>
            <w:tcW w:w="2268" w:type="dxa"/>
            <w:vMerge w:val="restart"/>
          </w:tcPr>
          <w:p w14:paraId="37F95892" w14:textId="2C6F53AE" w:rsidR="00CD097C" w:rsidRPr="00AB1D9F" w:rsidRDefault="00CD097C" w:rsidP="00521795">
            <w:pPr>
              <w:jc w:val="center"/>
              <w:rPr>
                <w:rFonts w:ascii="Times New Roman" w:hAnsi="Times New Roman" w:cs="Times New Roman"/>
                <w:b/>
                <w:bCs/>
                <w:lang w:val="ro-RO"/>
              </w:rPr>
            </w:pPr>
            <w:r w:rsidRPr="00AB1D9F">
              <w:rPr>
                <w:rFonts w:ascii="Times New Roman" w:hAnsi="Times New Roman" w:cs="Times New Roman"/>
                <w:b/>
                <w:bCs/>
                <w:lang w:val="ro-RO"/>
              </w:rPr>
              <w:lastRenderedPageBreak/>
              <w:t>Centrul de armonizare a legislației</w:t>
            </w:r>
          </w:p>
        </w:tc>
        <w:tc>
          <w:tcPr>
            <w:tcW w:w="709" w:type="dxa"/>
          </w:tcPr>
          <w:p w14:paraId="73C7BC04" w14:textId="4F35696B" w:rsidR="00CD097C" w:rsidRPr="00AB1D9F" w:rsidRDefault="00CD097C" w:rsidP="00521795">
            <w:pPr>
              <w:jc w:val="center"/>
              <w:rPr>
                <w:rFonts w:ascii="Times New Roman" w:hAnsi="Times New Roman" w:cs="Times New Roman"/>
                <w:b/>
                <w:bCs/>
                <w:lang w:val="ro-RO"/>
              </w:rPr>
            </w:pPr>
            <w:r w:rsidRPr="00AB1D9F">
              <w:rPr>
                <w:rFonts w:ascii="Times New Roman" w:hAnsi="Times New Roman" w:cs="Times New Roman"/>
                <w:b/>
                <w:bCs/>
                <w:lang w:val="ro-RO"/>
              </w:rPr>
              <w:t>6.</w:t>
            </w:r>
          </w:p>
        </w:tc>
        <w:tc>
          <w:tcPr>
            <w:tcW w:w="4086" w:type="dxa"/>
          </w:tcPr>
          <w:p w14:paraId="3E8919FC" w14:textId="77777777" w:rsidR="00CD097C" w:rsidRPr="00AB1D9F" w:rsidRDefault="00CD097C" w:rsidP="00521795">
            <w:pPr>
              <w:jc w:val="both"/>
              <w:rPr>
                <w:rFonts w:ascii="Times New Roman" w:hAnsi="Times New Roman" w:cs="Times New Roman"/>
              </w:rPr>
            </w:pPr>
            <w:r w:rsidRPr="00AB1D9F">
              <w:rPr>
                <w:rFonts w:ascii="Times New Roman" w:hAnsi="Times New Roman" w:cs="Times New Roman"/>
              </w:rPr>
              <w:t xml:space="preserve">Cu referire la Art. II alin. (1) care prevede lista normelor ce urmează a intra în vigoare la data aderării RM la UE, înainte de textul „pct. 8, în partea ce ține de completarea art. 15 alin. (3) cu lit. b)” urmează a fi adăugat textul „pct. 5 în partea ce ține de modificarea art. 12 alin. (4) privind constituirea garanției în favoarea băncilor centrale din statele </w:t>
            </w:r>
            <w:r w:rsidRPr="00AB1D9F">
              <w:rPr>
                <w:rFonts w:ascii="Times New Roman" w:hAnsi="Times New Roman" w:cs="Times New Roman"/>
              </w:rPr>
              <w:lastRenderedPageBreak/>
              <w:t xml:space="preserve">membre ale Uniunii Europene sau a Băncii Centrale Europene”. </w:t>
            </w:r>
          </w:p>
          <w:p w14:paraId="5084E3A2" w14:textId="2CB6A2F4" w:rsidR="00CD097C" w:rsidRPr="00AB1D9F" w:rsidRDefault="00CD097C" w:rsidP="00521795">
            <w:pPr>
              <w:jc w:val="both"/>
              <w:rPr>
                <w:rFonts w:ascii="Times New Roman" w:hAnsi="Times New Roman" w:cs="Times New Roman"/>
              </w:rPr>
            </w:pPr>
            <w:r w:rsidRPr="00AB1D9F">
              <w:rPr>
                <w:rFonts w:ascii="Times New Roman" w:hAnsi="Times New Roman" w:cs="Times New Roman"/>
              </w:rPr>
              <w:t>De asemenea, momentul intrării în vigoare va fi ”din data intrării în vigoare a Tratatului de adere a RM la UE”.</w:t>
            </w:r>
          </w:p>
        </w:tc>
        <w:tc>
          <w:tcPr>
            <w:tcW w:w="3711" w:type="dxa"/>
          </w:tcPr>
          <w:p w14:paraId="75962C46" w14:textId="77777777" w:rsidR="00CD097C" w:rsidRPr="00AB1D9F" w:rsidRDefault="00CD097C" w:rsidP="00521795">
            <w:pPr>
              <w:jc w:val="both"/>
              <w:rPr>
                <w:rFonts w:ascii="Times New Roman" w:hAnsi="Times New Roman" w:cs="Times New Roman"/>
                <w:lang w:val="ro-RO"/>
              </w:rPr>
            </w:pPr>
            <w:r w:rsidRPr="00AB1D9F">
              <w:rPr>
                <w:rFonts w:ascii="Times New Roman" w:hAnsi="Times New Roman" w:cs="Times New Roman"/>
                <w:b/>
                <w:bCs/>
                <w:lang w:val="ro-RO"/>
              </w:rPr>
              <w:lastRenderedPageBreak/>
              <w:t>Se acceptă.</w:t>
            </w:r>
          </w:p>
          <w:p w14:paraId="754C85D6" w14:textId="77777777" w:rsidR="00CD097C" w:rsidRPr="00AB1D9F" w:rsidRDefault="00CD097C" w:rsidP="00521795">
            <w:pPr>
              <w:widowControl w:val="0"/>
              <w:autoSpaceDE w:val="0"/>
              <w:autoSpaceDN w:val="0"/>
              <w:ind w:left="16"/>
              <w:jc w:val="both"/>
              <w:rPr>
                <w:rFonts w:ascii="Times New Roman" w:eastAsia="Times New Roman" w:hAnsi="Times New Roman" w:cs="Times New Roman"/>
                <w:lang w:val="ro-RO"/>
              </w:rPr>
            </w:pPr>
            <w:r w:rsidRPr="00AB1D9F">
              <w:rPr>
                <w:rFonts w:ascii="Times New Roman" w:hAnsi="Times New Roman" w:cs="Times New Roman"/>
              </w:rPr>
              <w:t>La</w:t>
            </w:r>
            <w:r w:rsidRPr="00AB1D9F">
              <w:rPr>
                <w:rFonts w:ascii="Times New Roman" w:hAnsi="Times New Roman" w:cs="Times New Roman"/>
                <w:b/>
                <w:bCs/>
              </w:rPr>
              <w:t xml:space="preserve"> </w:t>
            </w:r>
            <w:r w:rsidRPr="00AB1D9F">
              <w:rPr>
                <w:rFonts w:ascii="Times New Roman" w:hAnsi="Times New Roman" w:cs="Times New Roman"/>
              </w:rPr>
              <w:t>Art. II</w:t>
            </w:r>
            <w:r w:rsidRPr="00AB1D9F">
              <w:rPr>
                <w:rFonts w:ascii="Times New Roman" w:hAnsi="Times New Roman" w:cs="Times New Roman"/>
                <w:b/>
                <w:bCs/>
              </w:rPr>
              <w:t xml:space="preserve"> </w:t>
            </w:r>
            <w:r w:rsidRPr="00AB1D9F">
              <w:rPr>
                <w:rFonts w:ascii="Times New Roman" w:hAnsi="Times New Roman" w:cs="Times New Roman"/>
              </w:rPr>
              <w:t xml:space="preserve">Dispoziții finale și tranzitorii </w:t>
            </w:r>
            <w:r w:rsidRPr="00AB1D9F">
              <w:rPr>
                <w:rFonts w:ascii="Times New Roman" w:eastAsia="Times New Roman" w:hAnsi="Times New Roman" w:cs="Times New Roman"/>
                <w:lang w:val="ro-RO"/>
              </w:rPr>
              <w:t xml:space="preserve">se va expune cu următorul cuprins: </w:t>
            </w:r>
          </w:p>
          <w:p w14:paraId="151D9333" w14:textId="64AE9E09" w:rsidR="00CD097C" w:rsidRPr="00AB1D9F" w:rsidRDefault="00CD097C" w:rsidP="00521795">
            <w:pPr>
              <w:jc w:val="both"/>
              <w:rPr>
                <w:rFonts w:ascii="Times New Roman" w:hAnsi="Times New Roman" w:cs="Times New Roman"/>
                <w:b/>
                <w:bCs/>
                <w:lang w:val="ro-RO"/>
              </w:rPr>
            </w:pPr>
            <w:r w:rsidRPr="00AB1D9F">
              <w:rPr>
                <w:rFonts w:ascii="Times New Roman" w:hAnsi="Times New Roman" w:cs="Times New Roman"/>
                <w:lang w:val="ro-RO"/>
              </w:rPr>
              <w:t xml:space="preserve">(1) Prezenta lege intră în vigoare peste o lună de la data publicării în Monitorul Oficial al Republicii Moldova, cu excepția Art. I pct. 3 în partea ce ține de modificarea art. 3 </w:t>
            </w:r>
            <w:r w:rsidRPr="00AB1D9F">
              <w:rPr>
                <w:rFonts w:ascii="Times New Roman" w:hAnsi="Times New Roman" w:cs="Times New Roman"/>
                <w:lang w:val="ro-RO"/>
              </w:rPr>
              <w:lastRenderedPageBreak/>
              <w:t>alin. (1): pct. 6), privind constituirea garanției în favoarea băncilor centrale din statele membre ale Uniunii Europene sau a Băncii Centrale Europene” și pct. 19) lit. d); pct. 4, în partea ce ține de completarea art. 9 alin. (3) cu lit. b); pct. 5 în partea ce ține de modificarea art. 12 alin. (4) privind constituirea garanției în favoarea băncilor centrale din statele membre ale Uniunii Europene sau a Băncii Centrale Europene; pct. 8, în partea ce ține de completarea art. 15 cu alin. (2) și (3), care intră în vigoare din data intrării în vigoare a Tratatului de aderare a Republicii Moldova la Uniunea Europeană.</w:t>
            </w:r>
          </w:p>
        </w:tc>
      </w:tr>
      <w:tr w:rsidR="00CD097C" w:rsidRPr="00AB1D9F" w14:paraId="2F783B17" w14:textId="77777777" w:rsidTr="006D6F15">
        <w:trPr>
          <w:trHeight w:val="1455"/>
        </w:trPr>
        <w:tc>
          <w:tcPr>
            <w:tcW w:w="3964" w:type="dxa"/>
            <w:vMerge/>
          </w:tcPr>
          <w:p w14:paraId="6F7BB14C" w14:textId="48595102" w:rsidR="00CD097C" w:rsidRPr="00AB1D9F" w:rsidRDefault="00CD097C" w:rsidP="00521795">
            <w:pPr>
              <w:jc w:val="both"/>
              <w:rPr>
                <w:rFonts w:ascii="Times New Roman" w:hAnsi="Times New Roman" w:cs="Times New Roman"/>
              </w:rPr>
            </w:pPr>
          </w:p>
        </w:tc>
        <w:tc>
          <w:tcPr>
            <w:tcW w:w="2268" w:type="dxa"/>
            <w:vMerge/>
          </w:tcPr>
          <w:p w14:paraId="774D9250" w14:textId="0AD92B28" w:rsidR="00CD097C" w:rsidRPr="00AB1D9F" w:rsidRDefault="00CD097C" w:rsidP="00DC34DD">
            <w:pPr>
              <w:jc w:val="center"/>
              <w:rPr>
                <w:rFonts w:ascii="Times New Roman" w:hAnsi="Times New Roman" w:cs="Times New Roman"/>
                <w:b/>
                <w:bCs/>
                <w:lang w:val="ro-RO"/>
              </w:rPr>
            </w:pPr>
          </w:p>
        </w:tc>
        <w:tc>
          <w:tcPr>
            <w:tcW w:w="709" w:type="dxa"/>
          </w:tcPr>
          <w:p w14:paraId="75F301DE" w14:textId="1FB6FE9E" w:rsidR="00CD097C" w:rsidRPr="00AB1D9F" w:rsidRDefault="00CD097C" w:rsidP="00521795">
            <w:pPr>
              <w:jc w:val="center"/>
              <w:rPr>
                <w:rFonts w:ascii="Times New Roman" w:hAnsi="Times New Roman" w:cs="Times New Roman"/>
                <w:b/>
                <w:bCs/>
                <w:lang w:val="ro-RO"/>
              </w:rPr>
            </w:pPr>
            <w:r w:rsidRPr="00AB1D9F">
              <w:rPr>
                <w:rFonts w:ascii="Times New Roman" w:hAnsi="Times New Roman" w:cs="Times New Roman"/>
                <w:b/>
                <w:bCs/>
                <w:lang w:val="ro-RO"/>
              </w:rPr>
              <w:t>7.</w:t>
            </w:r>
          </w:p>
        </w:tc>
        <w:tc>
          <w:tcPr>
            <w:tcW w:w="4086" w:type="dxa"/>
          </w:tcPr>
          <w:p w14:paraId="069B96C4" w14:textId="5BA18568" w:rsidR="00CD097C" w:rsidRPr="00AB1D9F" w:rsidRDefault="00CD097C" w:rsidP="00521795">
            <w:pPr>
              <w:jc w:val="both"/>
              <w:rPr>
                <w:rFonts w:ascii="Times New Roman" w:hAnsi="Times New Roman" w:cs="Times New Roman"/>
                <w:lang w:val="ro-RO"/>
              </w:rPr>
            </w:pPr>
            <w:r w:rsidRPr="00AB1D9F">
              <w:rPr>
                <w:rFonts w:ascii="Times New Roman" w:hAnsi="Times New Roman" w:cs="Times New Roman"/>
                <w:lang w:val="ro-RO"/>
              </w:rPr>
              <w:t>Dispozițiile art. 10 (2), art. 11 - 14 nu se supun transpunerii, întrucât prevăd atribuții exclusive pentru Comisia Europeană, sunt depășite în timp sau constituie prevederi finale.</w:t>
            </w:r>
          </w:p>
        </w:tc>
        <w:tc>
          <w:tcPr>
            <w:tcW w:w="3711" w:type="dxa"/>
          </w:tcPr>
          <w:p w14:paraId="19F38D16" w14:textId="5E87DC58" w:rsidR="00CD097C" w:rsidRPr="00AB1D9F" w:rsidRDefault="00CD097C" w:rsidP="00521795">
            <w:pPr>
              <w:jc w:val="both"/>
              <w:rPr>
                <w:rFonts w:ascii="Times New Roman" w:hAnsi="Times New Roman" w:cs="Times New Roman"/>
                <w:lang w:val="ro-RO"/>
              </w:rPr>
            </w:pPr>
            <w:r w:rsidRPr="00AB1D9F">
              <w:rPr>
                <w:rFonts w:ascii="Times New Roman" w:hAnsi="Times New Roman" w:cs="Times New Roman"/>
                <w:b/>
                <w:bCs/>
                <w:lang w:val="ro-RO"/>
              </w:rPr>
              <w:t>Se ia act.</w:t>
            </w:r>
          </w:p>
        </w:tc>
      </w:tr>
      <w:tr w:rsidR="007F5BC3" w:rsidRPr="00AB1D9F" w14:paraId="76752646" w14:textId="77777777" w:rsidTr="00DB4B10">
        <w:trPr>
          <w:trHeight w:val="1455"/>
        </w:trPr>
        <w:tc>
          <w:tcPr>
            <w:tcW w:w="3964" w:type="dxa"/>
            <w:vMerge w:val="restart"/>
          </w:tcPr>
          <w:p w14:paraId="392EB23F" w14:textId="77777777" w:rsidR="007F5BC3" w:rsidRPr="004A42D9" w:rsidRDefault="007F5BC3" w:rsidP="00DC34DD">
            <w:pPr>
              <w:jc w:val="both"/>
              <w:rPr>
                <w:rFonts w:ascii="Times New Roman" w:hAnsi="Times New Roman" w:cs="Times New Roman"/>
              </w:rPr>
            </w:pPr>
            <w:r w:rsidRPr="004A42D9">
              <w:rPr>
                <w:rFonts w:ascii="Times New Roman" w:hAnsi="Times New Roman" w:cs="Times New Roman"/>
                <w:b/>
                <w:bCs/>
              </w:rPr>
              <w:t>Art. II.</w:t>
            </w:r>
            <w:r w:rsidRPr="004A42D9">
              <w:rPr>
                <w:rFonts w:ascii="Times New Roman" w:hAnsi="Times New Roman" w:cs="Times New Roman"/>
              </w:rPr>
              <w:t xml:space="preserve"> Dispoziții finale și tranzitorii</w:t>
            </w:r>
          </w:p>
          <w:p w14:paraId="4F78E31E" w14:textId="77777777" w:rsidR="007F5BC3" w:rsidRPr="004A42D9" w:rsidRDefault="007F5BC3" w:rsidP="00DC34DD">
            <w:pPr>
              <w:jc w:val="both"/>
              <w:rPr>
                <w:rFonts w:ascii="Times New Roman" w:hAnsi="Times New Roman" w:cs="Times New Roman"/>
              </w:rPr>
            </w:pPr>
            <w:r w:rsidRPr="004A42D9">
              <w:rPr>
                <w:rFonts w:ascii="Times New Roman" w:hAnsi="Times New Roman" w:cs="Times New Roman"/>
              </w:rPr>
              <w:t>(1)</w:t>
            </w:r>
            <w:r w:rsidRPr="004A42D9">
              <w:rPr>
                <w:rFonts w:ascii="Times New Roman" w:hAnsi="Times New Roman" w:cs="Times New Roman"/>
              </w:rPr>
              <w:tab/>
              <w:t>Prezenta lege intră în vigoare peste o lună de la data publicării în Monitorul Oficial al Republicii Moldova, cu excepția următoarelor prevederi din Art. I care intră în vigoare din data intrării în vigoare a Tratatului de aderare a Republicii Moldova la Uniunea Europeană:</w:t>
            </w:r>
          </w:p>
          <w:p w14:paraId="6BADD3A2" w14:textId="77777777" w:rsidR="007F5BC3" w:rsidRPr="004A42D9" w:rsidRDefault="007F5BC3" w:rsidP="00DB5E04">
            <w:pPr>
              <w:tabs>
                <w:tab w:val="left" w:pos="318"/>
              </w:tabs>
              <w:jc w:val="both"/>
              <w:rPr>
                <w:rFonts w:ascii="Times New Roman" w:hAnsi="Times New Roman" w:cs="Times New Roman"/>
              </w:rPr>
            </w:pPr>
            <w:r w:rsidRPr="004A42D9">
              <w:rPr>
                <w:rFonts w:ascii="Times New Roman" w:hAnsi="Times New Roman" w:cs="Times New Roman"/>
              </w:rPr>
              <w:tab/>
              <w:t xml:space="preserve">a) pct. 3 în partea ce ține de modificarea art. 3 alin. (1): pct. 6), privind constituirea garanției în </w:t>
            </w:r>
            <w:r w:rsidRPr="004A42D9">
              <w:rPr>
                <w:rFonts w:ascii="Times New Roman" w:hAnsi="Times New Roman" w:cs="Times New Roman"/>
              </w:rPr>
              <w:lastRenderedPageBreak/>
              <w:t xml:space="preserve">favoarea băncilor centrale din statele membre ale Uniunii Europene sau a Băncii Centrale Europene” și pct. 19) lit. d); </w:t>
            </w:r>
          </w:p>
          <w:p w14:paraId="069CD09C" w14:textId="77777777" w:rsidR="007F5BC3" w:rsidRPr="004A42D9" w:rsidRDefault="007F5BC3" w:rsidP="00DB5E04">
            <w:pPr>
              <w:tabs>
                <w:tab w:val="left" w:pos="318"/>
              </w:tabs>
              <w:jc w:val="both"/>
              <w:rPr>
                <w:rFonts w:ascii="Times New Roman" w:hAnsi="Times New Roman" w:cs="Times New Roman"/>
              </w:rPr>
            </w:pPr>
            <w:r w:rsidRPr="004A42D9">
              <w:rPr>
                <w:rFonts w:ascii="Times New Roman" w:hAnsi="Times New Roman" w:cs="Times New Roman"/>
              </w:rPr>
              <w:tab/>
              <w:t xml:space="preserve">b) pct. 4, în partea ce ține de completarea art. 9 alin. (3) cu lit. b); </w:t>
            </w:r>
          </w:p>
          <w:p w14:paraId="48FBB3BC" w14:textId="0B3EA0FA" w:rsidR="007F5BC3" w:rsidRPr="004A42D9" w:rsidRDefault="007F5BC3" w:rsidP="00DB5E04">
            <w:pPr>
              <w:tabs>
                <w:tab w:val="left" w:pos="318"/>
              </w:tabs>
              <w:jc w:val="both"/>
              <w:rPr>
                <w:rFonts w:ascii="Times New Roman" w:hAnsi="Times New Roman" w:cs="Times New Roman"/>
              </w:rPr>
            </w:pPr>
            <w:r w:rsidRPr="004A42D9">
              <w:rPr>
                <w:rFonts w:ascii="Times New Roman" w:hAnsi="Times New Roman" w:cs="Times New Roman"/>
              </w:rPr>
              <w:tab/>
              <w:t>c) pct. 5, în partea ce ține de modificarea art. 12 alin. (4); și</w:t>
            </w:r>
          </w:p>
          <w:p w14:paraId="476CC139" w14:textId="7B2AFC93" w:rsidR="007F5BC3" w:rsidRPr="004A42D9" w:rsidRDefault="007F5BC3" w:rsidP="00DB5E04">
            <w:pPr>
              <w:tabs>
                <w:tab w:val="left" w:pos="318"/>
              </w:tabs>
              <w:jc w:val="both"/>
              <w:rPr>
                <w:rFonts w:ascii="Times New Roman" w:hAnsi="Times New Roman" w:cs="Times New Roman"/>
              </w:rPr>
            </w:pPr>
            <w:r w:rsidRPr="004A42D9">
              <w:rPr>
                <w:rFonts w:ascii="Times New Roman" w:hAnsi="Times New Roman" w:cs="Times New Roman"/>
              </w:rPr>
              <w:tab/>
              <w:t>d) pct. 8, în partea ce ține de completarea art. 15 cu alin. (2) și (3).</w:t>
            </w:r>
          </w:p>
          <w:p w14:paraId="7C2D775B" w14:textId="77777777" w:rsidR="007F5BC3" w:rsidRPr="004A42D9" w:rsidRDefault="007F5BC3" w:rsidP="00521795">
            <w:pPr>
              <w:jc w:val="both"/>
              <w:rPr>
                <w:rFonts w:ascii="Times New Roman" w:hAnsi="Times New Roman" w:cs="Times New Roman"/>
              </w:rPr>
            </w:pPr>
          </w:p>
        </w:tc>
        <w:tc>
          <w:tcPr>
            <w:tcW w:w="2268" w:type="dxa"/>
            <w:vMerge w:val="restart"/>
          </w:tcPr>
          <w:p w14:paraId="2C15B285" w14:textId="77777777" w:rsidR="007F5BC3" w:rsidRPr="004A42D9" w:rsidRDefault="007F5BC3" w:rsidP="00DC34DD">
            <w:pPr>
              <w:jc w:val="center"/>
              <w:rPr>
                <w:rFonts w:ascii="Times New Roman" w:hAnsi="Times New Roman" w:cs="Times New Roman"/>
                <w:b/>
                <w:bCs/>
              </w:rPr>
            </w:pPr>
            <w:r w:rsidRPr="004A42D9">
              <w:rPr>
                <w:rFonts w:ascii="Times New Roman" w:hAnsi="Times New Roman" w:cs="Times New Roman"/>
                <w:b/>
                <w:bCs/>
                <w:lang w:val="ro-RO"/>
              </w:rPr>
              <w:lastRenderedPageBreak/>
              <w:t xml:space="preserve">Ministerul </w:t>
            </w:r>
            <w:proofErr w:type="spellStart"/>
            <w:r w:rsidRPr="004A42D9">
              <w:rPr>
                <w:rFonts w:ascii="Times New Roman" w:hAnsi="Times New Roman" w:cs="Times New Roman"/>
                <w:b/>
                <w:bCs/>
                <w:lang w:val="ro-RO"/>
              </w:rPr>
              <w:t>Justi</w:t>
            </w:r>
            <w:r w:rsidRPr="004A42D9">
              <w:rPr>
                <w:rFonts w:ascii="Times New Roman" w:hAnsi="Times New Roman" w:cs="Times New Roman"/>
                <w:b/>
                <w:bCs/>
              </w:rPr>
              <w:t>ției</w:t>
            </w:r>
            <w:proofErr w:type="spellEnd"/>
            <w:r w:rsidRPr="004A42D9">
              <w:rPr>
                <w:rFonts w:ascii="Times New Roman" w:hAnsi="Times New Roman" w:cs="Times New Roman"/>
                <w:b/>
                <w:bCs/>
              </w:rPr>
              <w:t xml:space="preserve"> al Republicii Moldova</w:t>
            </w:r>
          </w:p>
          <w:p w14:paraId="7748DCD6" w14:textId="77777777" w:rsidR="007F5BC3" w:rsidRPr="004A42D9" w:rsidRDefault="007F5BC3" w:rsidP="00521795">
            <w:pPr>
              <w:jc w:val="center"/>
              <w:rPr>
                <w:rFonts w:ascii="Times New Roman" w:hAnsi="Times New Roman" w:cs="Times New Roman"/>
                <w:b/>
                <w:bCs/>
                <w:lang w:val="ro-RO"/>
              </w:rPr>
            </w:pPr>
          </w:p>
        </w:tc>
        <w:tc>
          <w:tcPr>
            <w:tcW w:w="709" w:type="dxa"/>
          </w:tcPr>
          <w:p w14:paraId="414CE478" w14:textId="6242B53D" w:rsidR="007F5BC3" w:rsidRPr="004A42D9" w:rsidRDefault="007F5BC3" w:rsidP="00521795">
            <w:pPr>
              <w:jc w:val="center"/>
              <w:rPr>
                <w:rFonts w:ascii="Times New Roman" w:hAnsi="Times New Roman" w:cs="Times New Roman"/>
                <w:b/>
                <w:bCs/>
                <w:lang w:val="ro-RO"/>
              </w:rPr>
            </w:pPr>
            <w:r w:rsidRPr="004A42D9">
              <w:rPr>
                <w:rFonts w:ascii="Times New Roman" w:hAnsi="Times New Roman" w:cs="Times New Roman"/>
                <w:b/>
                <w:bCs/>
                <w:lang w:val="ro-RO"/>
              </w:rPr>
              <w:t>8.</w:t>
            </w:r>
          </w:p>
        </w:tc>
        <w:tc>
          <w:tcPr>
            <w:tcW w:w="4086" w:type="dxa"/>
          </w:tcPr>
          <w:p w14:paraId="409B84F4" w14:textId="77777777" w:rsidR="007F5BC3" w:rsidRPr="004A42D9" w:rsidRDefault="007F5BC3" w:rsidP="00DC34DD">
            <w:pPr>
              <w:jc w:val="both"/>
              <w:rPr>
                <w:rFonts w:ascii="Times New Roman" w:hAnsi="Times New Roman" w:cs="Times New Roman"/>
                <w:lang w:val="ro-RO"/>
              </w:rPr>
            </w:pPr>
            <w:r w:rsidRPr="004A42D9">
              <w:rPr>
                <w:rFonts w:ascii="Times New Roman" w:hAnsi="Times New Roman" w:cs="Times New Roman"/>
                <w:lang w:val="ro-RO"/>
              </w:rPr>
              <w:t>Cu privire la Art. II alin. (1) din proiect, considerăm necesară revizuirea redacției propuse, în vederea asigurării unei reglementări coerente și corelate a dispozițiilor privind intrarea în vigoare etapizată a unor prevederi ale proiectului.</w:t>
            </w:r>
          </w:p>
          <w:p w14:paraId="3DE5AAA2" w14:textId="24AFE9E4" w:rsidR="007F5BC3" w:rsidRPr="004A42D9" w:rsidRDefault="007F5BC3" w:rsidP="00DC34DD">
            <w:pPr>
              <w:jc w:val="both"/>
              <w:rPr>
                <w:rFonts w:ascii="Times New Roman" w:hAnsi="Times New Roman" w:cs="Times New Roman"/>
                <w:lang w:val="pt-PT"/>
              </w:rPr>
            </w:pPr>
            <w:r w:rsidRPr="004A42D9">
              <w:rPr>
                <w:rFonts w:ascii="Times New Roman" w:hAnsi="Times New Roman" w:cs="Times New Roman"/>
                <w:lang w:val="ro-RO"/>
              </w:rPr>
              <w:t xml:space="preserve">În particular, observăm că lit. a) enumeră doar parțial prevederile din Art. I care, prin natura și conținutul lor, urmează a fi aplicabile doar de la data intrării în vigoare a Tratatului de aderare a </w:t>
            </w:r>
            <w:r w:rsidRPr="004A42D9">
              <w:rPr>
                <w:rFonts w:ascii="Times New Roman" w:hAnsi="Times New Roman" w:cs="Times New Roman"/>
                <w:lang w:val="ro-RO"/>
              </w:rPr>
              <w:lastRenderedPageBreak/>
              <w:t>Republicii Moldova la Uniunea Europeană. În acest sens, apreciem necesară completarea acesteia și cu pct. 7), 10), 11) și 17) din Art. I, întrucât implementarea efectivă a normelor respective este condiționată de dobândirea calității de stat membru al Uniunii Europene și de aplicabilitatea cadrului juridic european aferent. Totodată, considerăm oportună completarea lit. c) cu referirea la art. 12 alin. (1), deoarece aplicarea dispozițiilor respective va fi posibilă doar din momentul intrării în vigoare a Tratatului de aderare a Republicii Moldova la Uniunea Europeană.</w:t>
            </w:r>
          </w:p>
        </w:tc>
        <w:tc>
          <w:tcPr>
            <w:tcW w:w="3711" w:type="dxa"/>
          </w:tcPr>
          <w:p w14:paraId="28294D27" w14:textId="77777777" w:rsidR="007F5BC3" w:rsidRPr="004A42D9" w:rsidRDefault="007F5BC3" w:rsidP="00521795">
            <w:pPr>
              <w:jc w:val="both"/>
              <w:rPr>
                <w:rFonts w:ascii="Times New Roman" w:hAnsi="Times New Roman" w:cs="Times New Roman"/>
                <w:b/>
                <w:bCs/>
                <w:lang w:val="ro-RO"/>
              </w:rPr>
            </w:pPr>
            <w:r w:rsidRPr="004A42D9">
              <w:rPr>
                <w:rFonts w:ascii="Times New Roman" w:hAnsi="Times New Roman" w:cs="Times New Roman"/>
                <w:b/>
                <w:bCs/>
                <w:lang w:val="ro-RO"/>
              </w:rPr>
              <w:lastRenderedPageBreak/>
              <w:t>Se acceptă parțial.</w:t>
            </w:r>
          </w:p>
          <w:p w14:paraId="4A6434F4" w14:textId="77777777" w:rsidR="007F5BC3" w:rsidRPr="004A42D9" w:rsidRDefault="007F5BC3" w:rsidP="00521795">
            <w:pPr>
              <w:jc w:val="both"/>
              <w:rPr>
                <w:rFonts w:ascii="Times New Roman" w:hAnsi="Times New Roman" w:cs="Times New Roman"/>
                <w:lang w:val="ro-RO"/>
              </w:rPr>
            </w:pPr>
            <w:r w:rsidRPr="004A42D9">
              <w:rPr>
                <w:rFonts w:ascii="Times New Roman" w:hAnsi="Times New Roman" w:cs="Times New Roman"/>
                <w:lang w:val="ro-RO"/>
              </w:rPr>
              <w:t>Art. II alin. (1) din proiect va avea următorul cuprins:</w:t>
            </w:r>
          </w:p>
          <w:p w14:paraId="1073F36E" w14:textId="75F619F3" w:rsidR="007F5BC3" w:rsidRPr="004A42D9" w:rsidRDefault="007F5BC3" w:rsidP="00004EBA">
            <w:pPr>
              <w:jc w:val="both"/>
              <w:rPr>
                <w:rFonts w:ascii="Times New Roman" w:hAnsi="Times New Roman" w:cs="Times New Roman"/>
              </w:rPr>
            </w:pPr>
            <w:r w:rsidRPr="004A42D9">
              <w:rPr>
                <w:rFonts w:ascii="Times New Roman" w:hAnsi="Times New Roman" w:cs="Times New Roman"/>
              </w:rPr>
              <w:t>„(1)</w:t>
            </w:r>
            <w:r w:rsidRPr="004A42D9">
              <w:rPr>
                <w:rFonts w:ascii="Times New Roman" w:hAnsi="Times New Roman" w:cs="Times New Roman"/>
              </w:rPr>
              <w:tab/>
              <w:t>Prezenta lege intră în vigoare peste o lună de la data publicării în Monitorul Oficial al Republicii Moldova, cu excepția următoarelor prevederi din Art. I care intră în vigoare din data intrării în vigoare a Tratatului de aderare a Republicii Moldova la Uniunea Europeană:</w:t>
            </w:r>
          </w:p>
          <w:p w14:paraId="49288150" w14:textId="35A52654" w:rsidR="007F5BC3" w:rsidRPr="004A42D9" w:rsidRDefault="007F5BC3" w:rsidP="00004EBA">
            <w:pPr>
              <w:jc w:val="both"/>
              <w:rPr>
                <w:rFonts w:ascii="Times New Roman" w:hAnsi="Times New Roman" w:cs="Times New Roman"/>
              </w:rPr>
            </w:pPr>
            <w:r w:rsidRPr="004A42D9">
              <w:rPr>
                <w:rFonts w:ascii="Times New Roman" w:hAnsi="Times New Roman" w:cs="Times New Roman"/>
              </w:rPr>
              <w:lastRenderedPageBreak/>
              <w:t xml:space="preserve">a) pct. 3 în partea ce ține de modificarea art. 3 alin. (1): pct. 10), pct. 11), pct. 17) în partea ce ține de legislația statelor membre ale Uniunii Europene sau a altor state și pct. 19) lit. d); </w:t>
            </w:r>
          </w:p>
          <w:p w14:paraId="31F5A6B7" w14:textId="130928A8" w:rsidR="007F5BC3" w:rsidRPr="004A42D9" w:rsidRDefault="007F5BC3" w:rsidP="00004EBA">
            <w:pPr>
              <w:jc w:val="both"/>
              <w:rPr>
                <w:rFonts w:ascii="Times New Roman" w:hAnsi="Times New Roman" w:cs="Times New Roman"/>
              </w:rPr>
            </w:pPr>
            <w:r w:rsidRPr="004A42D9">
              <w:rPr>
                <w:rFonts w:ascii="Times New Roman" w:hAnsi="Times New Roman" w:cs="Times New Roman"/>
              </w:rPr>
              <w:t>b) pct. 4, în partea ce ține de completarea art. 9 alin. (3) cu lit. b); și</w:t>
            </w:r>
          </w:p>
          <w:p w14:paraId="10454D24" w14:textId="7D4E7882" w:rsidR="007F5BC3" w:rsidRPr="004A42D9" w:rsidRDefault="007F5BC3" w:rsidP="00004EBA">
            <w:pPr>
              <w:jc w:val="both"/>
              <w:rPr>
                <w:rFonts w:ascii="Times New Roman" w:hAnsi="Times New Roman" w:cs="Times New Roman"/>
              </w:rPr>
            </w:pPr>
            <w:r w:rsidRPr="004A42D9">
              <w:rPr>
                <w:rFonts w:ascii="Times New Roman" w:hAnsi="Times New Roman" w:cs="Times New Roman"/>
              </w:rPr>
              <w:t>c) pct. 8, în partea ce ține de completarea art. 15 cu alin. (2) și (3).”</w:t>
            </w:r>
          </w:p>
          <w:p w14:paraId="26B30463" w14:textId="77777777" w:rsidR="007F5BC3" w:rsidRPr="004A42D9" w:rsidRDefault="007F5BC3" w:rsidP="005136B2">
            <w:pPr>
              <w:tabs>
                <w:tab w:val="left" w:pos="318"/>
              </w:tabs>
              <w:jc w:val="both"/>
              <w:rPr>
                <w:rFonts w:ascii="Times New Roman" w:hAnsi="Times New Roman" w:cs="Times New Roman"/>
              </w:rPr>
            </w:pPr>
          </w:p>
          <w:p w14:paraId="0B03AD68" w14:textId="0161CB52" w:rsidR="007F5BC3" w:rsidRPr="004A42D9" w:rsidRDefault="007F5BC3" w:rsidP="00004EBA">
            <w:pPr>
              <w:jc w:val="both"/>
              <w:rPr>
                <w:rFonts w:ascii="Times New Roman" w:hAnsi="Times New Roman" w:cs="Times New Roman"/>
              </w:rPr>
            </w:pPr>
            <w:r w:rsidRPr="004A42D9">
              <w:rPr>
                <w:rFonts w:ascii="Times New Roman" w:hAnsi="Times New Roman" w:cs="Times New Roman"/>
              </w:rPr>
              <w:t xml:space="preserve">Având în vedere prevederile Legii nr. 548/1995 privind Banca Națională, care permite băncilor centrale ale altor state și instituțiilor financiare publice internaționale să deschidă conturi în registrele BNM, autorul a revizuit proiectul legii și a exclus prevederile de la art. II alin. (1) lit. a) și anume a pct. 6), privind constituirea garanției în favoarea băncilor centrale din statele membre ale Uniunii Europene sau a Băncii Centrale Europene” și lit. c) care se referă la pct. 5, în partea ce ține de modificarea art. 12 alin. (4). </w:t>
            </w:r>
          </w:p>
          <w:p w14:paraId="2ECFD6EE" w14:textId="24037CB0" w:rsidR="007F5BC3" w:rsidRPr="004A42D9" w:rsidRDefault="007F5BC3" w:rsidP="00004EBA">
            <w:pPr>
              <w:jc w:val="both"/>
              <w:rPr>
                <w:rFonts w:ascii="Times New Roman" w:hAnsi="Times New Roman" w:cs="Times New Roman"/>
              </w:rPr>
            </w:pPr>
            <w:r w:rsidRPr="004A42D9">
              <w:rPr>
                <w:rFonts w:ascii="Times New Roman" w:hAnsi="Times New Roman" w:cs="Times New Roman"/>
              </w:rPr>
              <w:t xml:space="preserve">În consecință, includerea la excepții a dispozițiilor de la art. 12 alin. (1) și de la art. 3 pct. 17), referitoare la noțiunea de „instituție”, nu se mai consideră necesare.  </w:t>
            </w:r>
          </w:p>
        </w:tc>
      </w:tr>
      <w:tr w:rsidR="007F5BC3" w:rsidRPr="00AB1D9F" w14:paraId="386145AE" w14:textId="77777777" w:rsidTr="00DB4B10">
        <w:trPr>
          <w:trHeight w:val="1455"/>
        </w:trPr>
        <w:tc>
          <w:tcPr>
            <w:tcW w:w="3964" w:type="dxa"/>
            <w:vMerge/>
          </w:tcPr>
          <w:p w14:paraId="3E554B68" w14:textId="77777777" w:rsidR="007F5BC3" w:rsidRPr="00AB1D9F" w:rsidRDefault="007F5BC3" w:rsidP="00DC34DD">
            <w:pPr>
              <w:jc w:val="both"/>
              <w:rPr>
                <w:rFonts w:ascii="Times New Roman" w:hAnsi="Times New Roman" w:cs="Times New Roman"/>
                <w:b/>
                <w:bCs/>
              </w:rPr>
            </w:pPr>
          </w:p>
        </w:tc>
        <w:tc>
          <w:tcPr>
            <w:tcW w:w="2268" w:type="dxa"/>
            <w:vMerge/>
          </w:tcPr>
          <w:p w14:paraId="693AB762" w14:textId="77777777" w:rsidR="007F5BC3" w:rsidRPr="00AB1D9F" w:rsidRDefault="007F5BC3" w:rsidP="00DC34DD">
            <w:pPr>
              <w:jc w:val="center"/>
              <w:rPr>
                <w:rFonts w:ascii="Times New Roman" w:hAnsi="Times New Roman" w:cs="Times New Roman"/>
                <w:b/>
                <w:bCs/>
                <w:lang w:val="ro-RO"/>
              </w:rPr>
            </w:pPr>
          </w:p>
        </w:tc>
        <w:tc>
          <w:tcPr>
            <w:tcW w:w="709" w:type="dxa"/>
          </w:tcPr>
          <w:p w14:paraId="0C9A2C4E" w14:textId="2BE0D992" w:rsidR="007F5BC3" w:rsidRPr="00AB1D9F" w:rsidRDefault="007F5BC3" w:rsidP="00521795">
            <w:pPr>
              <w:jc w:val="center"/>
              <w:rPr>
                <w:rFonts w:ascii="Times New Roman" w:hAnsi="Times New Roman" w:cs="Times New Roman"/>
                <w:b/>
                <w:bCs/>
                <w:lang w:val="ro-RO"/>
              </w:rPr>
            </w:pPr>
            <w:r w:rsidRPr="00AB1D9F">
              <w:rPr>
                <w:rFonts w:ascii="Times New Roman" w:hAnsi="Times New Roman" w:cs="Times New Roman"/>
                <w:b/>
                <w:bCs/>
                <w:lang w:val="ro-RO"/>
              </w:rPr>
              <w:t>9.</w:t>
            </w:r>
          </w:p>
        </w:tc>
        <w:tc>
          <w:tcPr>
            <w:tcW w:w="4086" w:type="dxa"/>
          </w:tcPr>
          <w:p w14:paraId="4D83715F" w14:textId="22C1D44F" w:rsidR="007F5BC3" w:rsidRPr="004A42D9" w:rsidRDefault="007F5BC3" w:rsidP="00DB5E04">
            <w:pPr>
              <w:jc w:val="both"/>
              <w:rPr>
                <w:rFonts w:ascii="Times New Roman" w:hAnsi="Times New Roman" w:cs="Times New Roman"/>
              </w:rPr>
            </w:pPr>
            <w:r w:rsidRPr="004A42D9">
              <w:rPr>
                <w:rFonts w:ascii="Times New Roman" w:hAnsi="Times New Roman" w:cs="Times New Roman"/>
              </w:rPr>
              <w:t xml:space="preserve">Considerăm necesară completarea alin. (1) cu o nouă literă care să reglementeze expres aplicabilitatea pct. 2 din proiect de la data intrării în vigoare a Tratatului de aderare a Republicii Moldova la Uniunea Europeană, în măsura în care conținutul normativ al acestuia este, de asemenea, dependent de aplicarea cadrului juridic al Uniunii Europene. </w:t>
            </w:r>
          </w:p>
          <w:p w14:paraId="11A26FED" w14:textId="46A139FB" w:rsidR="007F5BC3" w:rsidRPr="004A42D9" w:rsidRDefault="007F5BC3" w:rsidP="00DB5E04">
            <w:pPr>
              <w:jc w:val="both"/>
              <w:rPr>
                <w:rFonts w:ascii="Times New Roman" w:hAnsi="Times New Roman" w:cs="Times New Roman"/>
                <w:lang w:val="ro-RO"/>
              </w:rPr>
            </w:pPr>
            <w:r w:rsidRPr="004A42D9">
              <w:rPr>
                <w:rFonts w:ascii="Times New Roman" w:hAnsi="Times New Roman" w:cs="Times New Roman"/>
              </w:rPr>
              <w:t>Prin urmare, recomandăm autorului revizuirea corespunzătoare a Art. II alin. (1), în vederea includerii tuturor normelor a căror aplicare este condiționată de aderarea Republicii Moldova la Uniunea Europeană.</w:t>
            </w:r>
          </w:p>
        </w:tc>
        <w:tc>
          <w:tcPr>
            <w:tcW w:w="3711" w:type="dxa"/>
          </w:tcPr>
          <w:p w14:paraId="4EBF9602" w14:textId="7A212E7E" w:rsidR="007F5BC3" w:rsidRPr="004A42D9" w:rsidRDefault="00CD097C" w:rsidP="00521795">
            <w:pPr>
              <w:jc w:val="both"/>
              <w:rPr>
                <w:rFonts w:ascii="Times New Roman" w:hAnsi="Times New Roman" w:cs="Times New Roman"/>
                <w:b/>
                <w:bCs/>
                <w:lang w:val="ro-RO"/>
              </w:rPr>
            </w:pPr>
            <w:r>
              <w:rPr>
                <w:rFonts w:ascii="Times New Roman" w:hAnsi="Times New Roman" w:cs="Times New Roman"/>
                <w:b/>
                <w:bCs/>
                <w:lang w:val="ro-RO"/>
              </w:rPr>
              <w:t>S</w:t>
            </w:r>
            <w:r w:rsidR="007F5BC3" w:rsidRPr="004A42D9">
              <w:rPr>
                <w:rFonts w:ascii="Times New Roman" w:hAnsi="Times New Roman" w:cs="Times New Roman"/>
                <w:b/>
                <w:bCs/>
                <w:lang w:val="ro-RO"/>
              </w:rPr>
              <w:t>e acceptă</w:t>
            </w:r>
            <w:r>
              <w:rPr>
                <w:rFonts w:ascii="Times New Roman" w:hAnsi="Times New Roman" w:cs="Times New Roman"/>
                <w:b/>
                <w:bCs/>
                <w:lang w:val="ro-RO"/>
              </w:rPr>
              <w:t xml:space="preserve"> parțial</w:t>
            </w:r>
            <w:r w:rsidR="007F5BC3" w:rsidRPr="004A42D9">
              <w:rPr>
                <w:rFonts w:ascii="Times New Roman" w:hAnsi="Times New Roman" w:cs="Times New Roman"/>
                <w:b/>
                <w:bCs/>
                <w:lang w:val="ro-RO"/>
              </w:rPr>
              <w:t>.</w:t>
            </w:r>
          </w:p>
          <w:p w14:paraId="1FAC846E" w14:textId="40DD66EA" w:rsidR="007F5BC3" w:rsidRPr="004A42D9" w:rsidRDefault="007F5BC3" w:rsidP="00521795">
            <w:pPr>
              <w:jc w:val="both"/>
              <w:rPr>
                <w:rFonts w:ascii="Times New Roman" w:hAnsi="Times New Roman" w:cs="Times New Roman"/>
                <w:b/>
                <w:bCs/>
                <w:lang w:val="ro-RO"/>
              </w:rPr>
            </w:pPr>
            <w:r w:rsidRPr="004A42D9">
              <w:rPr>
                <w:rFonts w:ascii="Times New Roman" w:hAnsi="Times New Roman" w:cs="Times New Roman"/>
              </w:rPr>
              <w:t xml:space="preserve">Având în vedere prevederile Legii nr. 548/1995 privind Banca Națională, care permite băncilor centrale ale altor state și instituțiilor financiare publice internaționale să deschidă conturi în registrele BNM, autorul a revizuit </w:t>
            </w:r>
            <w:r w:rsidR="00CD097C">
              <w:rPr>
                <w:rFonts w:ascii="Times New Roman" w:hAnsi="Times New Roman" w:cs="Times New Roman"/>
              </w:rPr>
              <w:t>proiectul conform obiecției</w:t>
            </w:r>
            <w:r w:rsidRPr="004A42D9">
              <w:rPr>
                <w:rFonts w:ascii="Times New Roman" w:hAnsi="Times New Roman" w:cs="Times New Roman"/>
              </w:rPr>
              <w:t xml:space="preserve"> Ministerului Justiției și consideră că nu mai există norme a căror aplicare să fie condiționată de aderarea Republicii Moldova la Uniunea Europeană.</w:t>
            </w:r>
          </w:p>
        </w:tc>
      </w:tr>
      <w:tr w:rsidR="001153CB" w:rsidRPr="00AB1D9F" w14:paraId="3B06584F" w14:textId="77777777" w:rsidTr="007F5BC3">
        <w:trPr>
          <w:trHeight w:val="1223"/>
        </w:trPr>
        <w:tc>
          <w:tcPr>
            <w:tcW w:w="3964" w:type="dxa"/>
            <w:tcBorders>
              <w:top w:val="nil"/>
            </w:tcBorders>
          </w:tcPr>
          <w:p w14:paraId="5BF46E0D" w14:textId="77777777" w:rsidR="001153CB" w:rsidRPr="00AB1D9F" w:rsidRDefault="001153CB" w:rsidP="00DC34DD">
            <w:pPr>
              <w:jc w:val="both"/>
              <w:rPr>
                <w:rFonts w:ascii="Times New Roman" w:hAnsi="Times New Roman" w:cs="Times New Roman"/>
                <w:b/>
                <w:bCs/>
              </w:rPr>
            </w:pPr>
            <w:bookmarkStart w:id="0" w:name="_GoBack"/>
            <w:bookmarkEnd w:id="0"/>
          </w:p>
        </w:tc>
        <w:tc>
          <w:tcPr>
            <w:tcW w:w="2268" w:type="dxa"/>
          </w:tcPr>
          <w:p w14:paraId="454351CD" w14:textId="77777777" w:rsidR="001153CB" w:rsidRPr="00AB1D9F" w:rsidRDefault="001153CB" w:rsidP="00DC34DD">
            <w:pPr>
              <w:jc w:val="center"/>
              <w:rPr>
                <w:rFonts w:ascii="Times New Roman" w:hAnsi="Times New Roman" w:cs="Times New Roman"/>
                <w:b/>
                <w:bCs/>
                <w:lang w:val="ro-RO"/>
              </w:rPr>
            </w:pPr>
            <w:r w:rsidRPr="00AB1D9F">
              <w:rPr>
                <w:rFonts w:ascii="Times New Roman" w:hAnsi="Times New Roman" w:cs="Times New Roman"/>
                <w:b/>
                <w:bCs/>
                <w:lang w:val="ro-RO"/>
              </w:rPr>
              <w:t>Centrul Național Anticorupție</w:t>
            </w:r>
          </w:p>
          <w:p w14:paraId="4B2ED644" w14:textId="397A64BB" w:rsidR="001153CB" w:rsidRPr="00AB1D9F" w:rsidRDefault="001153CB" w:rsidP="00DC34DD">
            <w:pPr>
              <w:jc w:val="center"/>
              <w:rPr>
                <w:rFonts w:ascii="Times New Roman" w:hAnsi="Times New Roman" w:cs="Times New Roman"/>
                <w:lang w:val="ro-RO"/>
              </w:rPr>
            </w:pPr>
            <w:r w:rsidRPr="00AB1D9F">
              <w:rPr>
                <w:rFonts w:ascii="Times New Roman" w:hAnsi="Times New Roman" w:cs="Times New Roman"/>
                <w:lang w:val="ro-RO"/>
              </w:rPr>
              <w:t>(aviz nr. 06/2/9253 din 21.05.2026)</w:t>
            </w:r>
          </w:p>
        </w:tc>
        <w:tc>
          <w:tcPr>
            <w:tcW w:w="709" w:type="dxa"/>
          </w:tcPr>
          <w:p w14:paraId="5EDEDDF8" w14:textId="25953DC5" w:rsidR="001153CB" w:rsidRPr="00AB1D9F" w:rsidRDefault="001153CB" w:rsidP="00521795">
            <w:pPr>
              <w:jc w:val="center"/>
              <w:rPr>
                <w:rFonts w:ascii="Times New Roman" w:hAnsi="Times New Roman" w:cs="Times New Roman"/>
                <w:b/>
                <w:bCs/>
                <w:lang w:val="ro-RO"/>
              </w:rPr>
            </w:pPr>
            <w:r w:rsidRPr="00AB1D9F">
              <w:rPr>
                <w:rFonts w:ascii="Times New Roman" w:hAnsi="Times New Roman" w:cs="Times New Roman"/>
                <w:b/>
                <w:bCs/>
                <w:lang w:val="ro-RO"/>
              </w:rPr>
              <w:t>10.</w:t>
            </w:r>
          </w:p>
        </w:tc>
        <w:tc>
          <w:tcPr>
            <w:tcW w:w="4086" w:type="dxa"/>
          </w:tcPr>
          <w:p w14:paraId="6256C742" w14:textId="77777777" w:rsidR="001153CB" w:rsidRPr="00AB1D9F" w:rsidRDefault="001153CB" w:rsidP="007B11D3">
            <w:pPr>
              <w:jc w:val="both"/>
              <w:rPr>
                <w:rFonts w:ascii="Times New Roman" w:hAnsi="Times New Roman" w:cs="Times New Roman"/>
              </w:rPr>
            </w:pPr>
            <w:r w:rsidRPr="00AB1D9F">
              <w:rPr>
                <w:rFonts w:ascii="Times New Roman" w:hAnsi="Times New Roman" w:cs="Times New Roman"/>
              </w:rPr>
              <w:t>Analizând prevederile proiectului legii menționăm că, în redacția propusă, proiectul nu conține factori</w:t>
            </w:r>
          </w:p>
          <w:p w14:paraId="26F6692F" w14:textId="36272AD5" w:rsidR="001153CB" w:rsidRPr="00AB1D9F" w:rsidRDefault="001153CB" w:rsidP="001153CB">
            <w:pPr>
              <w:jc w:val="both"/>
              <w:rPr>
                <w:rFonts w:ascii="Times New Roman" w:hAnsi="Times New Roman" w:cs="Times New Roman"/>
              </w:rPr>
            </w:pPr>
            <w:r w:rsidRPr="00AB1D9F">
              <w:rPr>
                <w:rFonts w:ascii="Times New Roman" w:hAnsi="Times New Roman" w:cs="Times New Roman"/>
              </w:rPr>
              <w:t>și riscuri de corupție.</w:t>
            </w:r>
          </w:p>
        </w:tc>
        <w:tc>
          <w:tcPr>
            <w:tcW w:w="3711" w:type="dxa"/>
          </w:tcPr>
          <w:p w14:paraId="562DEDBD" w14:textId="47FD8133" w:rsidR="001153CB" w:rsidRPr="00AB1D9F" w:rsidRDefault="001153CB" w:rsidP="00521795">
            <w:pPr>
              <w:jc w:val="both"/>
              <w:rPr>
                <w:rFonts w:ascii="Times New Roman" w:hAnsi="Times New Roman" w:cs="Times New Roman"/>
                <w:b/>
                <w:bCs/>
                <w:lang w:val="ro-RO"/>
              </w:rPr>
            </w:pPr>
            <w:r w:rsidRPr="00AB1D9F">
              <w:rPr>
                <w:rFonts w:ascii="Times New Roman" w:hAnsi="Times New Roman" w:cs="Times New Roman"/>
                <w:b/>
                <w:bCs/>
                <w:lang w:val="ro-RO"/>
              </w:rPr>
              <w:t xml:space="preserve">Se </w:t>
            </w:r>
            <w:r w:rsidR="00E0581D" w:rsidRPr="00AB1D9F">
              <w:rPr>
                <w:rFonts w:ascii="Times New Roman" w:hAnsi="Times New Roman" w:cs="Times New Roman"/>
                <w:b/>
                <w:bCs/>
                <w:lang w:val="ro-RO"/>
              </w:rPr>
              <w:t>acceptă</w:t>
            </w:r>
            <w:r w:rsidRPr="00AB1D9F">
              <w:rPr>
                <w:rFonts w:ascii="Times New Roman" w:hAnsi="Times New Roman" w:cs="Times New Roman"/>
                <w:b/>
                <w:bCs/>
                <w:lang w:val="ro-RO"/>
              </w:rPr>
              <w:t>.</w:t>
            </w:r>
          </w:p>
        </w:tc>
      </w:tr>
      <w:tr w:rsidR="00521795" w:rsidRPr="00AB1D9F" w14:paraId="4AFEF600" w14:textId="77777777" w:rsidTr="007B1EB4">
        <w:trPr>
          <w:trHeight w:val="369"/>
        </w:trPr>
        <w:tc>
          <w:tcPr>
            <w:tcW w:w="14738" w:type="dxa"/>
            <w:gridSpan w:val="5"/>
          </w:tcPr>
          <w:p w14:paraId="392E9460" w14:textId="6C434224" w:rsidR="00521795" w:rsidRPr="00AB1D9F" w:rsidRDefault="00521795" w:rsidP="00521795">
            <w:pPr>
              <w:numPr>
                <w:ilvl w:val="0"/>
                <w:numId w:val="13"/>
              </w:numPr>
              <w:jc w:val="center"/>
              <w:rPr>
                <w:rFonts w:ascii="Times New Roman" w:hAnsi="Times New Roman" w:cs="Times New Roman"/>
                <w:b/>
                <w:bCs/>
              </w:rPr>
            </w:pPr>
            <w:r w:rsidRPr="00AB1D9F">
              <w:rPr>
                <w:rFonts w:ascii="Times New Roman" w:hAnsi="Times New Roman" w:cs="Times New Roman"/>
                <w:b/>
                <w:bCs/>
              </w:rPr>
              <w:t>III. Obiecții privind tabelul de concordanță</w:t>
            </w:r>
          </w:p>
        </w:tc>
      </w:tr>
      <w:tr w:rsidR="007F5BC3" w:rsidRPr="00AB1D9F" w14:paraId="7851CBD5" w14:textId="77777777" w:rsidTr="00DB4B10">
        <w:trPr>
          <w:trHeight w:val="703"/>
        </w:trPr>
        <w:tc>
          <w:tcPr>
            <w:tcW w:w="3964" w:type="dxa"/>
            <w:vMerge w:val="restart"/>
          </w:tcPr>
          <w:p w14:paraId="7F8A1123" w14:textId="77777777" w:rsidR="007F5BC3" w:rsidRPr="00AB1D9F" w:rsidRDefault="007F5BC3" w:rsidP="00521795">
            <w:pPr>
              <w:pStyle w:val="BodyText2"/>
              <w:tabs>
                <w:tab w:val="left" w:pos="306"/>
              </w:tabs>
              <w:jc w:val="both"/>
              <w:rPr>
                <w:color w:val="000000" w:themeColor="text1"/>
                <w:sz w:val="24"/>
                <w:szCs w:val="24"/>
              </w:rPr>
            </w:pPr>
          </w:p>
        </w:tc>
        <w:tc>
          <w:tcPr>
            <w:tcW w:w="2268" w:type="dxa"/>
            <w:vMerge w:val="restart"/>
          </w:tcPr>
          <w:p w14:paraId="6EC05E29" w14:textId="5F8ACFE4" w:rsidR="007F5BC3" w:rsidRPr="00AB1D9F" w:rsidRDefault="007F5BC3" w:rsidP="00521795">
            <w:pPr>
              <w:jc w:val="center"/>
              <w:rPr>
                <w:rFonts w:ascii="Times New Roman" w:hAnsi="Times New Roman" w:cs="Times New Roman"/>
                <w:b/>
                <w:bCs/>
                <w:lang w:val="ro-RO"/>
              </w:rPr>
            </w:pPr>
            <w:r w:rsidRPr="00AB1D9F">
              <w:rPr>
                <w:rFonts w:ascii="Times New Roman" w:hAnsi="Times New Roman" w:cs="Times New Roman"/>
                <w:b/>
                <w:bCs/>
                <w:lang w:val="ro-RO"/>
              </w:rPr>
              <w:t>Centrul de armonizare a legislației</w:t>
            </w:r>
          </w:p>
        </w:tc>
        <w:tc>
          <w:tcPr>
            <w:tcW w:w="709" w:type="dxa"/>
          </w:tcPr>
          <w:p w14:paraId="64E941CE" w14:textId="7AF8D99B" w:rsidR="007F5BC3" w:rsidRPr="00AB1D9F" w:rsidRDefault="007F5BC3" w:rsidP="00521795">
            <w:pPr>
              <w:jc w:val="center"/>
              <w:rPr>
                <w:rFonts w:ascii="Times New Roman" w:hAnsi="Times New Roman" w:cs="Times New Roman"/>
                <w:b/>
                <w:bCs/>
                <w:lang w:val="ro-RO"/>
              </w:rPr>
            </w:pPr>
            <w:r w:rsidRPr="00AB1D9F">
              <w:rPr>
                <w:rFonts w:ascii="Times New Roman" w:hAnsi="Times New Roman" w:cs="Times New Roman"/>
                <w:b/>
                <w:bCs/>
                <w:lang w:val="ro-RO"/>
              </w:rPr>
              <w:t>11.</w:t>
            </w:r>
          </w:p>
        </w:tc>
        <w:tc>
          <w:tcPr>
            <w:tcW w:w="4086" w:type="dxa"/>
          </w:tcPr>
          <w:p w14:paraId="638E5FDD" w14:textId="23D2E813" w:rsidR="007F5BC3" w:rsidRPr="00AB1D9F" w:rsidRDefault="007F5BC3" w:rsidP="00521795">
            <w:pPr>
              <w:jc w:val="both"/>
              <w:rPr>
                <w:rFonts w:ascii="Times New Roman" w:hAnsi="Times New Roman" w:cs="Times New Roman"/>
                <w:lang w:val="ro-RO"/>
              </w:rPr>
            </w:pPr>
            <w:r w:rsidRPr="00AB1D9F">
              <w:rPr>
                <w:rFonts w:ascii="Times New Roman" w:hAnsi="Times New Roman" w:cs="Times New Roman"/>
              </w:rPr>
              <w:t>Potrivit pct. 2 din Anexa nr. 2 din Regulamentul privind armonizarea legislației Republicii Moldova cu legislația Uniunii Europene, aprobat prin HG nr. 1171/2018 (în continuare Regulament), urmează a se indica corect titlul proiectului de act normativ național ce transpune dispozițiile actului juridic european: „Proiectul de lege pentru modificarea Legii nr. 183/2016 cu privire la caracterul definitiv al decontării în sistemele de plăţi şi de decontare a instrumentelor financiare”.</w:t>
            </w:r>
          </w:p>
        </w:tc>
        <w:tc>
          <w:tcPr>
            <w:tcW w:w="3711" w:type="dxa"/>
          </w:tcPr>
          <w:p w14:paraId="32A7DE9C" w14:textId="2403D087" w:rsidR="007F5BC3" w:rsidRPr="00AB1D9F" w:rsidRDefault="007F5BC3" w:rsidP="00521795">
            <w:pPr>
              <w:jc w:val="both"/>
              <w:rPr>
                <w:rFonts w:ascii="Times New Roman" w:hAnsi="Times New Roman" w:cs="Times New Roman"/>
                <w:b/>
                <w:bCs/>
                <w:lang w:val="ro-RO"/>
              </w:rPr>
            </w:pPr>
            <w:r w:rsidRPr="00AB1D9F">
              <w:rPr>
                <w:rFonts w:ascii="Times New Roman" w:hAnsi="Times New Roman" w:cs="Times New Roman"/>
                <w:b/>
                <w:bCs/>
                <w:lang w:val="ro-RO"/>
              </w:rPr>
              <w:t>Se acceptă.</w:t>
            </w:r>
          </w:p>
          <w:p w14:paraId="68008DEE" w14:textId="1351B033" w:rsidR="007F5BC3" w:rsidRPr="00AB1D9F" w:rsidRDefault="007F5BC3" w:rsidP="00521795">
            <w:pPr>
              <w:jc w:val="both"/>
              <w:rPr>
                <w:rFonts w:ascii="Times New Roman" w:hAnsi="Times New Roman" w:cs="Times New Roman"/>
                <w:b/>
                <w:bCs/>
                <w:lang w:val="ro-RO"/>
              </w:rPr>
            </w:pPr>
            <w:r w:rsidRPr="00AB1D9F">
              <w:rPr>
                <w:rFonts w:ascii="Times New Roman" w:hAnsi="Times New Roman" w:cs="Times New Roman"/>
                <w:lang w:val="ro-RO"/>
              </w:rPr>
              <w:t xml:space="preserve">S-a ținut cont de recomandare la ajustarea denumirii </w:t>
            </w:r>
            <w:r w:rsidRPr="00AB1D9F">
              <w:rPr>
                <w:rFonts w:ascii="Times New Roman" w:hAnsi="Times New Roman" w:cs="Times New Roman"/>
              </w:rPr>
              <w:t>titlului proiectului de act normativ național din Tabelul de concordanță.</w:t>
            </w:r>
          </w:p>
        </w:tc>
      </w:tr>
      <w:tr w:rsidR="007F5BC3" w:rsidRPr="00AB1D9F" w14:paraId="362DA3D2" w14:textId="77777777" w:rsidTr="00DB4B10">
        <w:trPr>
          <w:trHeight w:val="703"/>
        </w:trPr>
        <w:tc>
          <w:tcPr>
            <w:tcW w:w="3964" w:type="dxa"/>
            <w:vMerge/>
          </w:tcPr>
          <w:p w14:paraId="52A24B48" w14:textId="77777777" w:rsidR="007F5BC3" w:rsidRPr="00AB1D9F" w:rsidRDefault="007F5BC3" w:rsidP="00521795">
            <w:pPr>
              <w:pStyle w:val="BodyText2"/>
              <w:tabs>
                <w:tab w:val="left" w:pos="306"/>
              </w:tabs>
              <w:jc w:val="both"/>
              <w:rPr>
                <w:color w:val="000000" w:themeColor="text1"/>
                <w:sz w:val="24"/>
                <w:szCs w:val="24"/>
              </w:rPr>
            </w:pPr>
          </w:p>
        </w:tc>
        <w:tc>
          <w:tcPr>
            <w:tcW w:w="2268" w:type="dxa"/>
            <w:vMerge/>
          </w:tcPr>
          <w:p w14:paraId="372EE877" w14:textId="77777777" w:rsidR="007F5BC3" w:rsidRPr="00AB1D9F" w:rsidRDefault="007F5BC3" w:rsidP="00521795">
            <w:pPr>
              <w:rPr>
                <w:rFonts w:ascii="Times New Roman" w:hAnsi="Times New Roman" w:cs="Times New Roman"/>
                <w:b/>
                <w:bCs/>
                <w:lang w:val="ro-RO"/>
              </w:rPr>
            </w:pPr>
          </w:p>
        </w:tc>
        <w:tc>
          <w:tcPr>
            <w:tcW w:w="709" w:type="dxa"/>
          </w:tcPr>
          <w:p w14:paraId="1D98F8DF" w14:textId="6214B65F" w:rsidR="007F5BC3" w:rsidRPr="00AB1D9F" w:rsidRDefault="007F5BC3" w:rsidP="00521795">
            <w:pPr>
              <w:jc w:val="center"/>
              <w:rPr>
                <w:rFonts w:ascii="Times New Roman" w:hAnsi="Times New Roman" w:cs="Times New Roman"/>
                <w:b/>
                <w:bCs/>
                <w:lang w:val="ro-RO"/>
              </w:rPr>
            </w:pPr>
            <w:r w:rsidRPr="00AB1D9F">
              <w:rPr>
                <w:rFonts w:ascii="Times New Roman" w:hAnsi="Times New Roman" w:cs="Times New Roman"/>
                <w:b/>
                <w:bCs/>
                <w:lang w:val="ro-RO"/>
              </w:rPr>
              <w:t>12.</w:t>
            </w:r>
          </w:p>
        </w:tc>
        <w:tc>
          <w:tcPr>
            <w:tcW w:w="4086" w:type="dxa"/>
          </w:tcPr>
          <w:p w14:paraId="2A789BE9" w14:textId="77777777" w:rsidR="007F5BC3" w:rsidRDefault="007F5BC3" w:rsidP="00521795">
            <w:pPr>
              <w:jc w:val="both"/>
              <w:rPr>
                <w:rFonts w:ascii="Times New Roman" w:hAnsi="Times New Roman" w:cs="Times New Roman"/>
              </w:rPr>
            </w:pPr>
            <w:r w:rsidRPr="00AB1D9F">
              <w:rPr>
                <w:rFonts w:ascii="Times New Roman" w:hAnsi="Times New Roman" w:cs="Times New Roman"/>
              </w:rPr>
              <w:t>Cu referire la art. 10 (2) din actul UE, la compartimentul 8 urmează a se schimba calificativul din „Nu necesită transpunere” în „Prevederi UE neaplicabile”.</w:t>
            </w:r>
          </w:p>
          <w:p w14:paraId="10903C1C" w14:textId="37005D2E" w:rsidR="007F5BC3" w:rsidRPr="00AB1D9F" w:rsidRDefault="007F5BC3" w:rsidP="00521795">
            <w:pPr>
              <w:jc w:val="both"/>
              <w:rPr>
                <w:rFonts w:ascii="Times New Roman" w:hAnsi="Times New Roman" w:cs="Times New Roman"/>
              </w:rPr>
            </w:pPr>
          </w:p>
        </w:tc>
        <w:tc>
          <w:tcPr>
            <w:tcW w:w="3711" w:type="dxa"/>
          </w:tcPr>
          <w:p w14:paraId="4C51A53D" w14:textId="77777777" w:rsidR="007F5BC3" w:rsidRPr="00AB1D9F" w:rsidRDefault="007F5BC3" w:rsidP="00521795">
            <w:pPr>
              <w:jc w:val="both"/>
              <w:rPr>
                <w:rFonts w:ascii="Times New Roman" w:hAnsi="Times New Roman" w:cs="Times New Roman"/>
                <w:b/>
                <w:bCs/>
                <w:lang w:val="ro-RO"/>
              </w:rPr>
            </w:pPr>
            <w:r w:rsidRPr="00AB1D9F">
              <w:rPr>
                <w:rFonts w:ascii="Times New Roman" w:hAnsi="Times New Roman" w:cs="Times New Roman"/>
                <w:b/>
                <w:bCs/>
                <w:lang w:val="ro-RO"/>
              </w:rPr>
              <w:t>Se acceptă.</w:t>
            </w:r>
          </w:p>
          <w:p w14:paraId="085EC163" w14:textId="590B433F" w:rsidR="007F5BC3" w:rsidRPr="00AB1D9F" w:rsidRDefault="007F5BC3" w:rsidP="00521795">
            <w:pPr>
              <w:rPr>
                <w:rFonts w:ascii="Times New Roman" w:hAnsi="Times New Roman" w:cs="Times New Roman"/>
                <w:lang w:val="ro-RO"/>
              </w:rPr>
            </w:pPr>
            <w:r w:rsidRPr="00AB1D9F">
              <w:rPr>
                <w:rFonts w:ascii="Times New Roman" w:hAnsi="Times New Roman" w:cs="Times New Roman"/>
                <w:lang w:val="ro-RO"/>
              </w:rPr>
              <w:t>S-a ținut cont de recomandare, fiind ajustat calificativul menționat la gradul de compatibilitate.</w:t>
            </w:r>
          </w:p>
        </w:tc>
      </w:tr>
      <w:tr w:rsidR="004B293F" w:rsidRPr="00AB1D9F" w14:paraId="2B72CFC1" w14:textId="77777777" w:rsidTr="005E64D0">
        <w:trPr>
          <w:trHeight w:val="337"/>
        </w:trPr>
        <w:tc>
          <w:tcPr>
            <w:tcW w:w="14738" w:type="dxa"/>
            <w:gridSpan w:val="5"/>
            <w:shd w:val="clear" w:color="auto" w:fill="D1D1D1" w:themeFill="background2" w:themeFillShade="E6"/>
            <w:vAlign w:val="center"/>
          </w:tcPr>
          <w:p w14:paraId="741A2E65" w14:textId="2E08AA53" w:rsidR="004B293F" w:rsidRPr="00AB1D9F" w:rsidRDefault="007F5BC3" w:rsidP="00B716A4">
            <w:pPr>
              <w:jc w:val="center"/>
              <w:rPr>
                <w:rFonts w:ascii="Times New Roman" w:hAnsi="Times New Roman" w:cs="Times New Roman"/>
                <w:b/>
                <w:bCs/>
              </w:rPr>
            </w:pPr>
            <w:r>
              <w:rPr>
                <w:rFonts w:ascii="Times New Roman" w:hAnsi="Times New Roman" w:cs="Times New Roman"/>
                <w:b/>
                <w:bCs/>
                <w:lang w:val="ro-RO"/>
              </w:rPr>
              <w:t>Expertizare</w:t>
            </w:r>
            <w:r w:rsidR="00374EA3" w:rsidRPr="00AB1D9F">
              <w:rPr>
                <w:rFonts w:ascii="Times New Roman" w:hAnsi="Times New Roman" w:cs="Times New Roman"/>
                <w:b/>
                <w:bCs/>
                <w:lang w:val="ro-RO"/>
              </w:rPr>
              <w:t xml:space="preserve"> repetat</w:t>
            </w:r>
            <w:r w:rsidR="00374EA3" w:rsidRPr="00AB1D9F">
              <w:rPr>
                <w:rFonts w:ascii="Times New Roman" w:hAnsi="Times New Roman" w:cs="Times New Roman"/>
                <w:b/>
                <w:bCs/>
              </w:rPr>
              <w:t>ă</w:t>
            </w:r>
          </w:p>
        </w:tc>
      </w:tr>
      <w:tr w:rsidR="004B293F" w:rsidRPr="00AB1D9F" w14:paraId="09F8AB3B" w14:textId="77777777" w:rsidTr="00DB4B10">
        <w:trPr>
          <w:trHeight w:val="416"/>
        </w:trPr>
        <w:tc>
          <w:tcPr>
            <w:tcW w:w="3964" w:type="dxa"/>
          </w:tcPr>
          <w:p w14:paraId="7EB33A9A" w14:textId="642B0A78" w:rsidR="004B293F" w:rsidRPr="004A42D9" w:rsidRDefault="00B22F68" w:rsidP="00521795">
            <w:pPr>
              <w:pStyle w:val="BodyText2"/>
              <w:tabs>
                <w:tab w:val="left" w:pos="306"/>
              </w:tabs>
              <w:jc w:val="both"/>
              <w:rPr>
                <w:color w:val="000000" w:themeColor="text1"/>
                <w:sz w:val="24"/>
                <w:szCs w:val="24"/>
                <w:lang w:val="ro-MD"/>
              </w:rPr>
            </w:pPr>
            <w:r w:rsidRPr="004A42D9">
              <w:rPr>
                <w:color w:val="000000" w:themeColor="text1"/>
                <w:sz w:val="24"/>
                <w:szCs w:val="24"/>
                <w:lang w:val="ro-MD"/>
              </w:rPr>
              <w:t>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Parlamentului European și al Consiliului din 13 martie 2024.</w:t>
            </w:r>
          </w:p>
        </w:tc>
        <w:tc>
          <w:tcPr>
            <w:tcW w:w="2268" w:type="dxa"/>
          </w:tcPr>
          <w:p w14:paraId="3C24D2B7" w14:textId="77777777" w:rsidR="004B293F" w:rsidRDefault="00374EA3" w:rsidP="00374EA3">
            <w:pPr>
              <w:jc w:val="center"/>
              <w:rPr>
                <w:rFonts w:ascii="Times New Roman" w:hAnsi="Times New Roman" w:cs="Times New Roman"/>
                <w:b/>
                <w:bCs/>
                <w:lang w:val="ro-RO"/>
              </w:rPr>
            </w:pPr>
            <w:r w:rsidRPr="004A42D9">
              <w:rPr>
                <w:rFonts w:ascii="Times New Roman" w:hAnsi="Times New Roman" w:cs="Times New Roman"/>
                <w:b/>
                <w:bCs/>
                <w:lang w:val="ro-RO"/>
              </w:rPr>
              <w:t>Centrul de armonizare a legislației</w:t>
            </w:r>
          </w:p>
          <w:p w14:paraId="3CDC0FAB" w14:textId="39946FBF" w:rsidR="007F5BC3" w:rsidRPr="007F5BC3" w:rsidRDefault="007F5BC3" w:rsidP="00374EA3">
            <w:pPr>
              <w:jc w:val="center"/>
              <w:rPr>
                <w:rFonts w:ascii="Times New Roman" w:hAnsi="Times New Roman" w:cs="Times New Roman"/>
                <w:bCs/>
                <w:lang w:val="ro-RO"/>
              </w:rPr>
            </w:pPr>
            <w:r w:rsidRPr="007F5BC3">
              <w:rPr>
                <w:rFonts w:ascii="Times New Roman" w:hAnsi="Times New Roman" w:cs="Times New Roman"/>
                <w:bCs/>
                <w:lang w:val="ro-RO"/>
              </w:rPr>
              <w:t>(la data de</w:t>
            </w:r>
            <w:r>
              <w:rPr>
                <w:rFonts w:ascii="Times New Roman" w:hAnsi="Times New Roman" w:cs="Times New Roman"/>
                <w:bCs/>
                <w:lang w:val="ro-RO"/>
              </w:rPr>
              <w:t xml:space="preserve"> 18.05.2026</w:t>
            </w:r>
            <w:r w:rsidRPr="007F5BC3">
              <w:rPr>
                <w:rFonts w:ascii="Times New Roman" w:hAnsi="Times New Roman" w:cs="Times New Roman"/>
                <w:bCs/>
                <w:lang w:val="ro-RO"/>
              </w:rPr>
              <w:t>, în sistemul e-legiferare)</w:t>
            </w:r>
          </w:p>
        </w:tc>
        <w:tc>
          <w:tcPr>
            <w:tcW w:w="709" w:type="dxa"/>
          </w:tcPr>
          <w:p w14:paraId="6151F859" w14:textId="10D8E6BB" w:rsidR="004B293F" w:rsidRPr="004A42D9" w:rsidRDefault="00E0581D" w:rsidP="00521795">
            <w:pPr>
              <w:jc w:val="center"/>
              <w:rPr>
                <w:rFonts w:ascii="Times New Roman" w:hAnsi="Times New Roman" w:cs="Times New Roman"/>
                <w:b/>
                <w:bCs/>
                <w:lang w:val="ro-RO"/>
              </w:rPr>
            </w:pPr>
            <w:r w:rsidRPr="004A42D9">
              <w:rPr>
                <w:rFonts w:ascii="Times New Roman" w:hAnsi="Times New Roman" w:cs="Times New Roman"/>
                <w:b/>
                <w:bCs/>
                <w:lang w:val="ro-RO"/>
              </w:rPr>
              <w:t>1.</w:t>
            </w:r>
          </w:p>
        </w:tc>
        <w:tc>
          <w:tcPr>
            <w:tcW w:w="4086" w:type="dxa"/>
          </w:tcPr>
          <w:p w14:paraId="4982523E" w14:textId="77777777" w:rsidR="00374EA3" w:rsidRPr="004A42D9" w:rsidRDefault="00374EA3" w:rsidP="00374EA3">
            <w:pPr>
              <w:jc w:val="both"/>
              <w:rPr>
                <w:rFonts w:ascii="Times New Roman" w:hAnsi="Times New Roman" w:cs="Times New Roman"/>
                <w:lang w:val="pt-PT"/>
              </w:rPr>
            </w:pPr>
            <w:r w:rsidRPr="004A42D9">
              <w:rPr>
                <w:rFonts w:ascii="Times New Roman" w:hAnsi="Times New Roman" w:cs="Times New Roman"/>
                <w:lang w:val="pt-PT"/>
              </w:rPr>
              <w:t>Se validează, cu menținerea obiecțiilor consemnate în declarația de compatibilitate.</w:t>
            </w:r>
          </w:p>
          <w:p w14:paraId="2799F313" w14:textId="77777777" w:rsidR="00374EA3" w:rsidRPr="004A42D9" w:rsidRDefault="00374EA3" w:rsidP="00374EA3">
            <w:pPr>
              <w:jc w:val="both"/>
              <w:rPr>
                <w:rFonts w:ascii="Times New Roman" w:hAnsi="Times New Roman" w:cs="Times New Roman"/>
                <w:lang w:val="pt-PT"/>
              </w:rPr>
            </w:pPr>
            <w:r w:rsidRPr="004A42D9">
              <w:rPr>
                <w:rFonts w:ascii="Times New Roman" w:hAnsi="Times New Roman" w:cs="Times New Roman"/>
                <w:lang w:val="pt-PT"/>
              </w:rPr>
              <w:t>Totodată, clauza de armonizare a proiectului național va reflecta transpunerea parțială a Directivei 98/26/CE, după cum urmează:</w:t>
            </w:r>
          </w:p>
          <w:p w14:paraId="580EF34C" w14:textId="77777777" w:rsidR="00374EA3" w:rsidRPr="004A42D9" w:rsidRDefault="00374EA3" w:rsidP="00374EA3">
            <w:pPr>
              <w:jc w:val="both"/>
              <w:rPr>
                <w:rFonts w:ascii="Times New Roman" w:hAnsi="Times New Roman" w:cs="Times New Roman"/>
                <w:lang w:val="pt-PT"/>
              </w:rPr>
            </w:pPr>
            <w:r w:rsidRPr="004A42D9">
              <w:rPr>
                <w:rFonts w:ascii="Times New Roman" w:hAnsi="Times New Roman" w:cs="Times New Roman"/>
                <w:lang w:val="pt-PT"/>
              </w:rPr>
              <w:t>”</w:t>
            </w:r>
            <w:r w:rsidRPr="004A42D9">
              <w:rPr>
                <w:rFonts w:ascii="Times New Roman" w:hAnsi="Times New Roman" w:cs="Times New Roman"/>
                <w:i/>
                <w:iCs/>
                <w:lang w:val="pt-PT"/>
              </w:rPr>
              <w:t>Prezenta Lege transpune parțial Directiva nr. 98/26/CE a Parlamentului European și a Consiliului din 19 mai 1998 privind caracterul definitiv al decontării în sistemele de plăți și de decontare a titlurilor de valoare, CELEX: 31998L0026, publicată în Jurnalul Oficial al Uniunii Europene L 166 din 11 iunie 1998, astfel cum a fost modificată ultima oară prin Regulamentul (UE) 2024/886 al Parlamentului European și al Consiliului din 13 martie 2024</w:t>
            </w:r>
            <w:r w:rsidRPr="004A42D9">
              <w:rPr>
                <w:rFonts w:ascii="Times New Roman" w:hAnsi="Times New Roman" w:cs="Times New Roman"/>
                <w:lang w:val="pt-PT"/>
              </w:rPr>
              <w:t>”.</w:t>
            </w:r>
          </w:p>
          <w:p w14:paraId="48771417" w14:textId="77777777" w:rsidR="00211EAA" w:rsidRPr="004A42D9" w:rsidRDefault="00374EA3" w:rsidP="00374EA3">
            <w:pPr>
              <w:jc w:val="both"/>
              <w:rPr>
                <w:rFonts w:ascii="Times New Roman" w:hAnsi="Times New Roman" w:cs="Times New Roman"/>
                <w:lang w:val="pt-PT"/>
              </w:rPr>
            </w:pPr>
            <w:r w:rsidRPr="004A42D9">
              <w:rPr>
                <w:rFonts w:ascii="Times New Roman" w:hAnsi="Times New Roman" w:cs="Times New Roman"/>
                <w:lang w:val="pt-PT"/>
              </w:rPr>
              <w:t xml:space="preserve">Se menționează că parțialitatea transpunerii vizează exclusiv proiectul de modificare a legii, iar nu legea în vigoare în integralitatea sa. </w:t>
            </w:r>
          </w:p>
          <w:p w14:paraId="50988AD1" w14:textId="2172B42E" w:rsidR="00374EA3" w:rsidRPr="004A42D9" w:rsidRDefault="00374EA3" w:rsidP="00374EA3">
            <w:pPr>
              <w:jc w:val="both"/>
              <w:rPr>
                <w:rFonts w:ascii="Times New Roman" w:hAnsi="Times New Roman" w:cs="Times New Roman"/>
                <w:lang w:val="pt-PT"/>
              </w:rPr>
            </w:pPr>
            <w:r w:rsidRPr="004A42D9">
              <w:rPr>
                <w:rFonts w:ascii="Times New Roman" w:hAnsi="Times New Roman" w:cs="Times New Roman"/>
                <w:lang w:val="pt-PT"/>
              </w:rPr>
              <w:t xml:space="preserve">Potrivit art. I pct. 1 din proiect, </w:t>
            </w:r>
            <w:r w:rsidRPr="004A42D9">
              <w:rPr>
                <w:rFonts w:ascii="Times New Roman" w:hAnsi="Times New Roman" w:cs="Times New Roman"/>
                <w:b/>
                <w:bCs/>
                <w:lang w:val="pt-PT"/>
              </w:rPr>
              <w:t xml:space="preserve">clauza de armonizare cuprinsă în corpul legii de bază prevede transpunerea </w:t>
            </w:r>
            <w:r w:rsidRPr="004A42D9">
              <w:rPr>
                <w:rFonts w:ascii="Times New Roman" w:hAnsi="Times New Roman" w:cs="Times New Roman"/>
                <w:b/>
                <w:bCs/>
                <w:lang w:val="pt-PT"/>
              </w:rPr>
              <w:lastRenderedPageBreak/>
              <w:t>integrală a actului UE și rămâne nemodificată.</w:t>
            </w:r>
          </w:p>
          <w:p w14:paraId="20B15762" w14:textId="77777777" w:rsidR="004B293F" w:rsidRPr="004A42D9" w:rsidRDefault="004B293F" w:rsidP="00521795">
            <w:pPr>
              <w:jc w:val="both"/>
              <w:rPr>
                <w:rFonts w:ascii="Times New Roman" w:hAnsi="Times New Roman" w:cs="Times New Roman"/>
                <w:lang w:val="pt-PT"/>
              </w:rPr>
            </w:pPr>
          </w:p>
        </w:tc>
        <w:tc>
          <w:tcPr>
            <w:tcW w:w="3711" w:type="dxa"/>
          </w:tcPr>
          <w:p w14:paraId="72DFC02B" w14:textId="77777777" w:rsidR="00374EA3" w:rsidRPr="004A42D9" w:rsidRDefault="00374EA3" w:rsidP="00374EA3">
            <w:pPr>
              <w:jc w:val="both"/>
              <w:rPr>
                <w:rFonts w:ascii="Times New Roman" w:hAnsi="Times New Roman" w:cs="Times New Roman"/>
                <w:b/>
                <w:bCs/>
                <w:lang w:val="ro-RO"/>
              </w:rPr>
            </w:pPr>
            <w:r w:rsidRPr="004A42D9">
              <w:rPr>
                <w:rFonts w:ascii="Times New Roman" w:hAnsi="Times New Roman" w:cs="Times New Roman"/>
                <w:b/>
                <w:bCs/>
                <w:lang w:val="ro-RO"/>
              </w:rPr>
              <w:lastRenderedPageBreak/>
              <w:t>Se acceptă.</w:t>
            </w:r>
          </w:p>
          <w:p w14:paraId="75511D9E" w14:textId="771C09C4" w:rsidR="00D46A16" w:rsidRPr="004A42D9" w:rsidRDefault="00D34A51" w:rsidP="00D46A16">
            <w:pPr>
              <w:jc w:val="both"/>
              <w:rPr>
                <w:rFonts w:ascii="Times New Roman" w:hAnsi="Times New Roman" w:cs="Times New Roman"/>
                <w:lang w:val="pt-PT"/>
              </w:rPr>
            </w:pPr>
            <w:r w:rsidRPr="004A42D9">
              <w:rPr>
                <w:rFonts w:ascii="Times New Roman" w:hAnsi="Times New Roman" w:cs="Times New Roman"/>
                <w:lang w:val="ro-RO"/>
              </w:rPr>
              <w:t xml:space="preserve">S-a preluat în clauza de armonizare </w:t>
            </w:r>
            <w:r w:rsidRPr="004A42D9">
              <w:rPr>
                <w:rFonts w:ascii="Times New Roman" w:hAnsi="Times New Roman" w:cs="Times New Roman"/>
                <w:lang w:val="pt-PT"/>
              </w:rPr>
              <w:t xml:space="preserve">a </w:t>
            </w:r>
            <w:r w:rsidR="00724BC1" w:rsidRPr="004A42D9">
              <w:rPr>
                <w:rFonts w:ascii="Times New Roman" w:hAnsi="Times New Roman" w:cs="Times New Roman"/>
                <w:lang w:val="pt-PT"/>
              </w:rPr>
              <w:t xml:space="preserve">proiectul de modificare a legii, faptul că </w:t>
            </w:r>
            <w:r w:rsidR="007F5BC3">
              <w:rPr>
                <w:rFonts w:ascii="Times New Roman" w:hAnsi="Times New Roman" w:cs="Times New Roman"/>
                <w:lang w:val="pt-PT"/>
              </w:rPr>
              <w:t xml:space="preserve">acesta </w:t>
            </w:r>
            <w:r w:rsidR="00724BC1" w:rsidRPr="004A42D9">
              <w:rPr>
                <w:rFonts w:ascii="Times New Roman" w:hAnsi="Times New Roman" w:cs="Times New Roman"/>
                <w:lang w:val="pt-PT"/>
              </w:rPr>
              <w:t>reflectă o transpunere parțială a Directivei 98/26/CE</w:t>
            </w:r>
            <w:r w:rsidR="00D46A16" w:rsidRPr="004A42D9">
              <w:rPr>
                <w:rFonts w:ascii="Times New Roman" w:hAnsi="Times New Roman" w:cs="Times New Roman"/>
                <w:lang w:val="pt-PT"/>
              </w:rPr>
              <w:t>, iar la art. I pct. 1 din proiect, clauza de armonizare cuprinsă în corpul legii de bază prevede transpunerea integrală a actului UE și rămâne nemodificată.</w:t>
            </w:r>
          </w:p>
          <w:p w14:paraId="4E721767" w14:textId="43EA1FD3" w:rsidR="004B293F" w:rsidRPr="004A42D9" w:rsidRDefault="00D46A16" w:rsidP="00521795">
            <w:pPr>
              <w:jc w:val="both"/>
              <w:rPr>
                <w:rFonts w:ascii="Times New Roman" w:hAnsi="Times New Roman" w:cs="Times New Roman"/>
                <w:lang w:val="ro-RO"/>
              </w:rPr>
            </w:pPr>
            <w:r w:rsidRPr="004A42D9">
              <w:rPr>
                <w:rFonts w:ascii="Times New Roman" w:hAnsi="Times New Roman" w:cs="Times New Roman"/>
                <w:lang w:val="pt-PT"/>
              </w:rPr>
              <w:t xml:space="preserve"> </w:t>
            </w:r>
          </w:p>
        </w:tc>
      </w:tr>
    </w:tbl>
    <w:p w14:paraId="1059B85E" w14:textId="5BC3F8FE" w:rsidR="007075E0" w:rsidRPr="00AB1D9F" w:rsidRDefault="007075E0" w:rsidP="00521795">
      <w:pPr>
        <w:spacing w:line="240" w:lineRule="auto"/>
        <w:rPr>
          <w:rFonts w:ascii="Times New Roman" w:hAnsi="Times New Roman" w:cs="Times New Roman"/>
          <w:lang w:val="ro-RO"/>
        </w:rPr>
      </w:pPr>
    </w:p>
    <w:sectPr w:rsidR="007075E0" w:rsidRPr="00AB1D9F" w:rsidSect="007B1EB4">
      <w:footerReference w:type="default" r:id="rId7"/>
      <w:pgSz w:w="16838" w:h="11906" w:orient="landscape"/>
      <w:pgMar w:top="1135" w:right="1134" w:bottom="851" w:left="1134" w:header="34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5A81" w14:textId="77777777" w:rsidR="0054689A" w:rsidRDefault="0054689A" w:rsidP="00FA76C7">
      <w:pPr>
        <w:spacing w:after="0" w:line="240" w:lineRule="auto"/>
      </w:pPr>
      <w:r>
        <w:separator/>
      </w:r>
    </w:p>
  </w:endnote>
  <w:endnote w:type="continuationSeparator" w:id="0">
    <w:p w14:paraId="74E3BE42" w14:textId="77777777" w:rsidR="0054689A" w:rsidRDefault="0054689A" w:rsidP="00FA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ermianSerifTypeface">
    <w:charset w:val="CC"/>
    <w:family w:val="auto"/>
    <w:pitch w:val="variable"/>
    <w:sig w:usb0="A000022F" w:usb1="4000A46A" w:usb2="00000000" w:usb3="00000000" w:csb0="00000007"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273891"/>
      <w:docPartObj>
        <w:docPartGallery w:val="Page Numbers (Bottom of Page)"/>
        <w:docPartUnique/>
      </w:docPartObj>
    </w:sdtPr>
    <w:sdtEndPr>
      <w:rPr>
        <w:noProof/>
      </w:rPr>
    </w:sdtEndPr>
    <w:sdtContent>
      <w:p w14:paraId="12FEE7C8" w14:textId="6501BEF3" w:rsidR="004775AB" w:rsidRDefault="004775AB">
        <w:pPr>
          <w:pStyle w:val="Footer"/>
          <w:jc w:val="right"/>
        </w:pPr>
        <w:r>
          <w:fldChar w:fldCharType="begin"/>
        </w:r>
        <w:r>
          <w:instrText xml:space="preserve"> PAGE   \* MERGEFORMAT </w:instrText>
        </w:r>
        <w:r>
          <w:fldChar w:fldCharType="separate"/>
        </w:r>
        <w:r w:rsidR="008F1148">
          <w:rPr>
            <w:noProof/>
          </w:rPr>
          <w:t>12</w:t>
        </w:r>
        <w:r>
          <w:rPr>
            <w:noProof/>
          </w:rPr>
          <w:fldChar w:fldCharType="end"/>
        </w:r>
      </w:p>
    </w:sdtContent>
  </w:sdt>
  <w:p w14:paraId="4BAD6F2C" w14:textId="12E65921" w:rsidR="00FA76C7" w:rsidRDefault="00FA7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64777" w14:textId="77777777" w:rsidR="0054689A" w:rsidRDefault="0054689A" w:rsidP="00FA76C7">
      <w:pPr>
        <w:spacing w:after="0" w:line="240" w:lineRule="auto"/>
      </w:pPr>
      <w:r>
        <w:separator/>
      </w:r>
    </w:p>
  </w:footnote>
  <w:footnote w:type="continuationSeparator" w:id="0">
    <w:p w14:paraId="0F26F86A" w14:textId="77777777" w:rsidR="0054689A" w:rsidRDefault="0054689A" w:rsidP="00FA7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2A7A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15EA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5B0BA1"/>
    <w:multiLevelType w:val="multilevel"/>
    <w:tmpl w:val="F7EA91DC"/>
    <w:lvl w:ilvl="0">
      <w:start w:val="1"/>
      <w:numFmt w:val="decimal"/>
      <w:lvlText w:val="%1"/>
      <w:lvlJc w:val="left"/>
      <w:pPr>
        <w:ind w:left="525" w:hanging="525"/>
      </w:pPr>
      <w:rPr>
        <w:rFonts w:hint="default"/>
      </w:rPr>
    </w:lvl>
    <w:lvl w:ilvl="1">
      <w:start w:val="14"/>
      <w:numFmt w:val="decimal"/>
      <w:lvlText w:val="%1.%2"/>
      <w:lvlJc w:val="left"/>
      <w:pPr>
        <w:ind w:left="720" w:hanging="720"/>
      </w:pPr>
      <w:rPr>
        <w:rFonts w:hint="default"/>
      </w:rPr>
    </w:lvl>
    <w:lvl w:ilvl="2">
      <w:start w:val="1"/>
      <w:numFmt w:val="decimal"/>
      <w:lvlText w:val="1.13.%3."/>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125727"/>
    <w:multiLevelType w:val="multilevel"/>
    <w:tmpl w:val="EBAE2F94"/>
    <w:lvl w:ilvl="0">
      <w:start w:val="1"/>
      <w:numFmt w:val="decimal"/>
      <w:lvlText w:val="%1."/>
      <w:lvlJc w:val="left"/>
      <w:pPr>
        <w:ind w:left="785" w:hanging="360"/>
      </w:pPr>
      <w:rPr>
        <w:b/>
        <w:sz w:val="24"/>
        <w:szCs w:val="24"/>
      </w:rPr>
    </w:lvl>
    <w:lvl w:ilvl="1">
      <w:start w:val="1"/>
      <w:numFmt w:val="decimal"/>
      <w:isLgl/>
      <w:lvlText w:val="%1.%2."/>
      <w:lvlJc w:val="left"/>
      <w:pPr>
        <w:ind w:left="1222" w:hanging="720"/>
      </w:pPr>
      <w:rPr>
        <w:rFonts w:ascii="PermianSerifTypeface" w:hAnsi="PermianSerifTypeface" w:hint="default"/>
        <w:b w:val="0"/>
        <w:bCs w:val="0"/>
        <w:sz w:val="24"/>
        <w:szCs w:val="24"/>
      </w:rPr>
    </w:lvl>
    <w:lvl w:ilvl="2">
      <w:start w:val="1"/>
      <w:numFmt w:val="decimal"/>
      <w:isLgl/>
      <w:lvlText w:val="%1.%2.%3."/>
      <w:lvlJc w:val="left"/>
      <w:pPr>
        <w:ind w:left="1299" w:hanging="720"/>
      </w:pPr>
      <w:rPr>
        <w:rFonts w:ascii="PermianSerifTypeface" w:hAnsi="PermianSerifTypeface" w:hint="default"/>
        <w:sz w:val="24"/>
        <w:szCs w:val="24"/>
      </w:rPr>
    </w:lvl>
    <w:lvl w:ilvl="3">
      <w:start w:val="1"/>
      <w:numFmt w:val="decimal"/>
      <w:isLgl/>
      <w:lvlText w:val="%1.%2.%3.%4."/>
      <w:lvlJc w:val="left"/>
      <w:pPr>
        <w:ind w:left="1736" w:hanging="1080"/>
      </w:pPr>
      <w:rPr>
        <w:rFonts w:hint="default"/>
      </w:rPr>
    </w:lvl>
    <w:lvl w:ilvl="4">
      <w:start w:val="1"/>
      <w:numFmt w:val="decimal"/>
      <w:isLgl/>
      <w:lvlText w:val="%1.%2.%3.%4.%5."/>
      <w:lvlJc w:val="left"/>
      <w:pPr>
        <w:ind w:left="2173" w:hanging="144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87" w:hanging="1800"/>
      </w:pPr>
      <w:rPr>
        <w:rFonts w:hint="default"/>
      </w:rPr>
    </w:lvl>
    <w:lvl w:ilvl="7">
      <w:start w:val="1"/>
      <w:numFmt w:val="decimal"/>
      <w:isLgl/>
      <w:lvlText w:val="%1.%2.%3.%4.%5.%6.%7.%8."/>
      <w:lvlJc w:val="left"/>
      <w:pPr>
        <w:ind w:left="3124" w:hanging="2160"/>
      </w:pPr>
      <w:rPr>
        <w:rFonts w:hint="default"/>
      </w:rPr>
    </w:lvl>
    <w:lvl w:ilvl="8">
      <w:start w:val="1"/>
      <w:numFmt w:val="decimal"/>
      <w:isLgl/>
      <w:lvlText w:val="%1.%2.%3.%4.%5.%6.%7.%8.%9."/>
      <w:lvlJc w:val="left"/>
      <w:pPr>
        <w:ind w:left="3201" w:hanging="2160"/>
      </w:pPr>
      <w:rPr>
        <w:rFonts w:hint="default"/>
      </w:rPr>
    </w:lvl>
  </w:abstractNum>
  <w:abstractNum w:abstractNumId="4" w15:restartNumberingAfterBreak="0">
    <w:nsid w:val="14290ECB"/>
    <w:multiLevelType w:val="hybridMultilevel"/>
    <w:tmpl w:val="E40C63A4"/>
    <w:lvl w:ilvl="0" w:tplc="2EE453EC">
      <w:start w:val="1"/>
      <w:numFmt w:val="upperRoman"/>
      <w:lvlText w:val="%1."/>
      <w:lvlJc w:val="left"/>
      <w:pPr>
        <w:ind w:left="1080" w:hanging="72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21737665"/>
    <w:multiLevelType w:val="hybridMultilevel"/>
    <w:tmpl w:val="413AAAE6"/>
    <w:lvl w:ilvl="0" w:tplc="EABCE46E">
      <w:start w:val="1"/>
      <w:numFmt w:val="decimal"/>
      <w:lvlText w:val="1.4.%1."/>
      <w:lvlJc w:val="left"/>
      <w:pPr>
        <w:ind w:left="1571" w:hanging="360"/>
      </w:pPr>
      <w:rPr>
        <w:rFonts w:hint="default"/>
      </w:rPr>
    </w:lvl>
    <w:lvl w:ilvl="1" w:tplc="08180019" w:tentative="1">
      <w:start w:val="1"/>
      <w:numFmt w:val="lowerLetter"/>
      <w:lvlText w:val="%2."/>
      <w:lvlJc w:val="left"/>
      <w:pPr>
        <w:ind w:left="2291" w:hanging="360"/>
      </w:pPr>
    </w:lvl>
    <w:lvl w:ilvl="2" w:tplc="0818001B" w:tentative="1">
      <w:start w:val="1"/>
      <w:numFmt w:val="lowerRoman"/>
      <w:lvlText w:val="%3."/>
      <w:lvlJc w:val="right"/>
      <w:pPr>
        <w:ind w:left="3011" w:hanging="180"/>
      </w:pPr>
    </w:lvl>
    <w:lvl w:ilvl="3" w:tplc="0818000F" w:tentative="1">
      <w:start w:val="1"/>
      <w:numFmt w:val="decimal"/>
      <w:lvlText w:val="%4."/>
      <w:lvlJc w:val="left"/>
      <w:pPr>
        <w:ind w:left="3731" w:hanging="360"/>
      </w:pPr>
    </w:lvl>
    <w:lvl w:ilvl="4" w:tplc="08180019" w:tentative="1">
      <w:start w:val="1"/>
      <w:numFmt w:val="lowerLetter"/>
      <w:lvlText w:val="%5."/>
      <w:lvlJc w:val="left"/>
      <w:pPr>
        <w:ind w:left="4451" w:hanging="360"/>
      </w:pPr>
    </w:lvl>
    <w:lvl w:ilvl="5" w:tplc="0818001B" w:tentative="1">
      <w:start w:val="1"/>
      <w:numFmt w:val="lowerRoman"/>
      <w:lvlText w:val="%6."/>
      <w:lvlJc w:val="right"/>
      <w:pPr>
        <w:ind w:left="5171" w:hanging="180"/>
      </w:pPr>
    </w:lvl>
    <w:lvl w:ilvl="6" w:tplc="0818000F" w:tentative="1">
      <w:start w:val="1"/>
      <w:numFmt w:val="decimal"/>
      <w:lvlText w:val="%7."/>
      <w:lvlJc w:val="left"/>
      <w:pPr>
        <w:ind w:left="5891" w:hanging="360"/>
      </w:pPr>
    </w:lvl>
    <w:lvl w:ilvl="7" w:tplc="08180019" w:tentative="1">
      <w:start w:val="1"/>
      <w:numFmt w:val="lowerLetter"/>
      <w:lvlText w:val="%8."/>
      <w:lvlJc w:val="left"/>
      <w:pPr>
        <w:ind w:left="6611" w:hanging="360"/>
      </w:pPr>
    </w:lvl>
    <w:lvl w:ilvl="8" w:tplc="0818001B" w:tentative="1">
      <w:start w:val="1"/>
      <w:numFmt w:val="lowerRoman"/>
      <w:lvlText w:val="%9."/>
      <w:lvlJc w:val="right"/>
      <w:pPr>
        <w:ind w:left="7331" w:hanging="180"/>
      </w:pPr>
    </w:lvl>
  </w:abstractNum>
  <w:abstractNum w:abstractNumId="6" w15:restartNumberingAfterBreak="0">
    <w:nsid w:val="28267CBB"/>
    <w:multiLevelType w:val="hybridMultilevel"/>
    <w:tmpl w:val="483EE460"/>
    <w:lvl w:ilvl="0" w:tplc="48CC1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A1B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8F7717"/>
    <w:multiLevelType w:val="hybridMultilevel"/>
    <w:tmpl w:val="16C6EB1A"/>
    <w:lvl w:ilvl="0" w:tplc="D72669A6">
      <w:start w:val="1"/>
      <w:numFmt w:val="decimal"/>
      <w:lvlText w:val="%1."/>
      <w:lvlJc w:val="left"/>
      <w:pPr>
        <w:ind w:left="1440" w:hanging="360"/>
      </w:pPr>
      <w:rPr>
        <w:rFonts w:ascii="PermianSerifTypeface" w:eastAsiaTheme="minorHAnsi" w:hAnsi="PermianSerifTypeface" w:cs="Arial"/>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9" w15:restartNumberingAfterBreak="0">
    <w:nsid w:val="4FBD4CD8"/>
    <w:multiLevelType w:val="multilevel"/>
    <w:tmpl w:val="7E7E116C"/>
    <w:lvl w:ilvl="0">
      <w:start w:val="1"/>
      <w:numFmt w:val="decimal"/>
      <w:lvlText w:val="%1."/>
      <w:lvlJc w:val="left"/>
      <w:pPr>
        <w:ind w:left="785" w:hanging="360"/>
      </w:pPr>
      <w:rPr>
        <w:rFonts w:hint="default"/>
        <w:b/>
        <w:sz w:val="24"/>
        <w:szCs w:val="24"/>
      </w:rPr>
    </w:lvl>
    <w:lvl w:ilvl="1">
      <w:start w:val="1"/>
      <w:numFmt w:val="decimal"/>
      <w:lvlText w:val="2.%2."/>
      <w:lvlJc w:val="left"/>
      <w:pPr>
        <w:ind w:left="862" w:hanging="36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736" w:hanging="1080"/>
      </w:pPr>
      <w:rPr>
        <w:rFonts w:hint="default"/>
      </w:rPr>
    </w:lvl>
    <w:lvl w:ilvl="4">
      <w:start w:val="1"/>
      <w:numFmt w:val="decimal"/>
      <w:isLgl/>
      <w:lvlText w:val="%1.%2.%3.%4.%5."/>
      <w:lvlJc w:val="left"/>
      <w:pPr>
        <w:ind w:left="2173" w:hanging="144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87" w:hanging="1800"/>
      </w:pPr>
      <w:rPr>
        <w:rFonts w:hint="default"/>
      </w:rPr>
    </w:lvl>
    <w:lvl w:ilvl="7">
      <w:start w:val="1"/>
      <w:numFmt w:val="decimal"/>
      <w:isLgl/>
      <w:lvlText w:val="%1.%2.%3.%4.%5.%6.%7.%8."/>
      <w:lvlJc w:val="left"/>
      <w:pPr>
        <w:ind w:left="3124" w:hanging="2160"/>
      </w:pPr>
      <w:rPr>
        <w:rFonts w:hint="default"/>
      </w:rPr>
    </w:lvl>
    <w:lvl w:ilvl="8">
      <w:start w:val="1"/>
      <w:numFmt w:val="decimal"/>
      <w:isLgl/>
      <w:lvlText w:val="%1.%2.%3.%4.%5.%6.%7.%8.%9."/>
      <w:lvlJc w:val="left"/>
      <w:pPr>
        <w:ind w:left="3201" w:hanging="2160"/>
      </w:pPr>
      <w:rPr>
        <w:rFonts w:hint="default"/>
      </w:rPr>
    </w:lvl>
  </w:abstractNum>
  <w:abstractNum w:abstractNumId="10" w15:restartNumberingAfterBreak="0">
    <w:nsid w:val="76ED651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8581D12"/>
    <w:multiLevelType w:val="multilevel"/>
    <w:tmpl w:val="BFC47512"/>
    <w:lvl w:ilvl="0">
      <w:start w:val="1"/>
      <w:numFmt w:val="decimal"/>
      <w:lvlText w:val="%1."/>
      <w:lvlJc w:val="left"/>
      <w:pPr>
        <w:ind w:left="785" w:hanging="360"/>
      </w:pPr>
      <w:rPr>
        <w:rFonts w:hint="default"/>
        <w:b/>
        <w:sz w:val="24"/>
        <w:szCs w:val="24"/>
      </w:rPr>
    </w:lvl>
    <w:lvl w:ilvl="1">
      <w:start w:val="1"/>
      <w:numFmt w:val="decimal"/>
      <w:lvlText w:val="3.%2."/>
      <w:lvlJc w:val="left"/>
      <w:pPr>
        <w:ind w:left="862" w:hanging="360"/>
      </w:pPr>
      <w:rPr>
        <w:rFonts w:hint="default"/>
        <w:sz w:val="24"/>
        <w:szCs w:val="24"/>
      </w:rPr>
    </w:lvl>
    <w:lvl w:ilvl="2">
      <w:start w:val="1"/>
      <w:numFmt w:val="decimal"/>
      <w:isLgl/>
      <w:lvlText w:val="%1.%2.%3."/>
      <w:lvlJc w:val="left"/>
      <w:pPr>
        <w:ind w:left="1299" w:hanging="720"/>
      </w:pPr>
      <w:rPr>
        <w:rFonts w:hint="default"/>
      </w:rPr>
    </w:lvl>
    <w:lvl w:ilvl="3">
      <w:start w:val="1"/>
      <w:numFmt w:val="decimal"/>
      <w:isLgl/>
      <w:lvlText w:val="%1.%2.%3.%4."/>
      <w:lvlJc w:val="left"/>
      <w:pPr>
        <w:ind w:left="1736" w:hanging="1080"/>
      </w:pPr>
      <w:rPr>
        <w:rFonts w:hint="default"/>
      </w:rPr>
    </w:lvl>
    <w:lvl w:ilvl="4">
      <w:start w:val="1"/>
      <w:numFmt w:val="decimal"/>
      <w:isLgl/>
      <w:lvlText w:val="%1.%2.%3.%4.%5."/>
      <w:lvlJc w:val="left"/>
      <w:pPr>
        <w:ind w:left="2173" w:hanging="144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87" w:hanging="1800"/>
      </w:pPr>
      <w:rPr>
        <w:rFonts w:hint="default"/>
      </w:rPr>
    </w:lvl>
    <w:lvl w:ilvl="7">
      <w:start w:val="1"/>
      <w:numFmt w:val="decimal"/>
      <w:isLgl/>
      <w:lvlText w:val="%1.%2.%3.%4.%5.%6.%7.%8."/>
      <w:lvlJc w:val="left"/>
      <w:pPr>
        <w:ind w:left="3124" w:hanging="2160"/>
      </w:pPr>
      <w:rPr>
        <w:rFonts w:hint="default"/>
      </w:rPr>
    </w:lvl>
    <w:lvl w:ilvl="8">
      <w:start w:val="1"/>
      <w:numFmt w:val="decimal"/>
      <w:isLgl/>
      <w:lvlText w:val="%1.%2.%3.%4.%5.%6.%7.%8.%9."/>
      <w:lvlJc w:val="left"/>
      <w:pPr>
        <w:ind w:left="3201" w:hanging="2160"/>
      </w:pPr>
      <w:rPr>
        <w:rFonts w:hint="default"/>
      </w:rPr>
    </w:lvl>
  </w:abstractNum>
  <w:abstractNum w:abstractNumId="12" w15:restartNumberingAfterBreak="0">
    <w:nsid w:val="7A82B2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C02191E"/>
    <w:multiLevelType w:val="hybridMultilevel"/>
    <w:tmpl w:val="956A7C9E"/>
    <w:lvl w:ilvl="0" w:tplc="581CAC30">
      <w:start w:val="1"/>
      <w:numFmt w:val="decimal"/>
      <w:lvlText w:val="1.%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abstractNumId w:val="13"/>
  </w:num>
  <w:num w:numId="2">
    <w:abstractNumId w:val="0"/>
  </w:num>
  <w:num w:numId="3">
    <w:abstractNumId w:val="4"/>
  </w:num>
  <w:num w:numId="4">
    <w:abstractNumId w:val="1"/>
  </w:num>
  <w:num w:numId="5">
    <w:abstractNumId w:val="10"/>
  </w:num>
  <w:num w:numId="6">
    <w:abstractNumId w:val="5"/>
  </w:num>
  <w:num w:numId="7">
    <w:abstractNumId w:val="9"/>
  </w:num>
  <w:num w:numId="8">
    <w:abstractNumId w:val="3"/>
  </w:num>
  <w:num w:numId="9">
    <w:abstractNumId w:val="8"/>
  </w:num>
  <w:num w:numId="10">
    <w:abstractNumId w:val="2"/>
  </w:num>
  <w:num w:numId="11">
    <w:abstractNumId w:val="11"/>
  </w:num>
  <w:num w:numId="12">
    <w:abstractNumId w:val="1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61"/>
    <w:rsid w:val="00004EBA"/>
    <w:rsid w:val="000155B5"/>
    <w:rsid w:val="00033537"/>
    <w:rsid w:val="00034D3A"/>
    <w:rsid w:val="000653DF"/>
    <w:rsid w:val="000700F2"/>
    <w:rsid w:val="0009418E"/>
    <w:rsid w:val="000A5E5D"/>
    <w:rsid w:val="000A7E21"/>
    <w:rsid w:val="000C7FCF"/>
    <w:rsid w:val="000E0FD5"/>
    <w:rsid w:val="000F20BB"/>
    <w:rsid w:val="000F348F"/>
    <w:rsid w:val="00102A72"/>
    <w:rsid w:val="00102CA6"/>
    <w:rsid w:val="00103930"/>
    <w:rsid w:val="0011194F"/>
    <w:rsid w:val="001153CB"/>
    <w:rsid w:val="00131E37"/>
    <w:rsid w:val="00136F49"/>
    <w:rsid w:val="00144148"/>
    <w:rsid w:val="0014420D"/>
    <w:rsid w:val="001548B5"/>
    <w:rsid w:val="00160102"/>
    <w:rsid w:val="00180F55"/>
    <w:rsid w:val="00181A69"/>
    <w:rsid w:val="0019753E"/>
    <w:rsid w:val="001A59C4"/>
    <w:rsid w:val="001A6EEE"/>
    <w:rsid w:val="001B7EBB"/>
    <w:rsid w:val="001C14A0"/>
    <w:rsid w:val="001D6605"/>
    <w:rsid w:val="001E5B68"/>
    <w:rsid w:val="001F2578"/>
    <w:rsid w:val="001F6E69"/>
    <w:rsid w:val="00211EAA"/>
    <w:rsid w:val="0022670D"/>
    <w:rsid w:val="00231BC5"/>
    <w:rsid w:val="0024491A"/>
    <w:rsid w:val="00250C70"/>
    <w:rsid w:val="00290D3D"/>
    <w:rsid w:val="0029227D"/>
    <w:rsid w:val="002950A5"/>
    <w:rsid w:val="00296074"/>
    <w:rsid w:val="002C2574"/>
    <w:rsid w:val="002C3F31"/>
    <w:rsid w:val="002C534F"/>
    <w:rsid w:val="002C7C00"/>
    <w:rsid w:val="00305933"/>
    <w:rsid w:val="003208BA"/>
    <w:rsid w:val="00321C2A"/>
    <w:rsid w:val="00322B15"/>
    <w:rsid w:val="0032563D"/>
    <w:rsid w:val="00374EA3"/>
    <w:rsid w:val="00386DD0"/>
    <w:rsid w:val="00387DC0"/>
    <w:rsid w:val="00391A8F"/>
    <w:rsid w:val="003B2D8E"/>
    <w:rsid w:val="003B5454"/>
    <w:rsid w:val="003B623F"/>
    <w:rsid w:val="003C0912"/>
    <w:rsid w:val="003C195E"/>
    <w:rsid w:val="003C1A14"/>
    <w:rsid w:val="003C4951"/>
    <w:rsid w:val="003C5504"/>
    <w:rsid w:val="003D00E0"/>
    <w:rsid w:val="003F48D4"/>
    <w:rsid w:val="00410B66"/>
    <w:rsid w:val="00415DB1"/>
    <w:rsid w:val="004302E0"/>
    <w:rsid w:val="004701E9"/>
    <w:rsid w:val="004736D1"/>
    <w:rsid w:val="004775AB"/>
    <w:rsid w:val="0049792D"/>
    <w:rsid w:val="004A263E"/>
    <w:rsid w:val="004A42D9"/>
    <w:rsid w:val="004A6669"/>
    <w:rsid w:val="004B293F"/>
    <w:rsid w:val="004B51DA"/>
    <w:rsid w:val="00502D83"/>
    <w:rsid w:val="005133F0"/>
    <w:rsid w:val="005136B2"/>
    <w:rsid w:val="005208B1"/>
    <w:rsid w:val="00521795"/>
    <w:rsid w:val="00522D48"/>
    <w:rsid w:val="005268A1"/>
    <w:rsid w:val="00541811"/>
    <w:rsid w:val="0054689A"/>
    <w:rsid w:val="00546B93"/>
    <w:rsid w:val="00555826"/>
    <w:rsid w:val="005575E5"/>
    <w:rsid w:val="00563443"/>
    <w:rsid w:val="00566199"/>
    <w:rsid w:val="005931C5"/>
    <w:rsid w:val="005B51DC"/>
    <w:rsid w:val="005B5E84"/>
    <w:rsid w:val="005C5CAC"/>
    <w:rsid w:val="005C6428"/>
    <w:rsid w:val="005E1FC8"/>
    <w:rsid w:val="005E5CDB"/>
    <w:rsid w:val="005E64D0"/>
    <w:rsid w:val="00604625"/>
    <w:rsid w:val="0061259F"/>
    <w:rsid w:val="006178E9"/>
    <w:rsid w:val="00622A74"/>
    <w:rsid w:val="00642551"/>
    <w:rsid w:val="00653156"/>
    <w:rsid w:val="006535E0"/>
    <w:rsid w:val="00661663"/>
    <w:rsid w:val="0066366F"/>
    <w:rsid w:val="00684F59"/>
    <w:rsid w:val="0068529C"/>
    <w:rsid w:val="00686A9D"/>
    <w:rsid w:val="0069012C"/>
    <w:rsid w:val="00691D79"/>
    <w:rsid w:val="00693688"/>
    <w:rsid w:val="006A2F60"/>
    <w:rsid w:val="006B016A"/>
    <w:rsid w:val="006B2DB3"/>
    <w:rsid w:val="006B5671"/>
    <w:rsid w:val="006B6C0F"/>
    <w:rsid w:val="006B78BA"/>
    <w:rsid w:val="006C2EF5"/>
    <w:rsid w:val="006C5CA1"/>
    <w:rsid w:val="006D3D7F"/>
    <w:rsid w:val="006E358E"/>
    <w:rsid w:val="006E3B5F"/>
    <w:rsid w:val="007013FD"/>
    <w:rsid w:val="0070432C"/>
    <w:rsid w:val="00705AE9"/>
    <w:rsid w:val="007075E0"/>
    <w:rsid w:val="00710443"/>
    <w:rsid w:val="00722CF0"/>
    <w:rsid w:val="00724BC1"/>
    <w:rsid w:val="00726EBB"/>
    <w:rsid w:val="00753CFD"/>
    <w:rsid w:val="00761316"/>
    <w:rsid w:val="00766BD5"/>
    <w:rsid w:val="0077201D"/>
    <w:rsid w:val="00782998"/>
    <w:rsid w:val="00790883"/>
    <w:rsid w:val="007B11D3"/>
    <w:rsid w:val="007B1EB4"/>
    <w:rsid w:val="007C1D2B"/>
    <w:rsid w:val="007C5D63"/>
    <w:rsid w:val="007D48A8"/>
    <w:rsid w:val="007D62F9"/>
    <w:rsid w:val="007E01DB"/>
    <w:rsid w:val="007E0409"/>
    <w:rsid w:val="007F1A69"/>
    <w:rsid w:val="007F393A"/>
    <w:rsid w:val="007F4288"/>
    <w:rsid w:val="007F5BC3"/>
    <w:rsid w:val="008357EE"/>
    <w:rsid w:val="00841D70"/>
    <w:rsid w:val="00874205"/>
    <w:rsid w:val="0087462B"/>
    <w:rsid w:val="00882CA7"/>
    <w:rsid w:val="0088632F"/>
    <w:rsid w:val="008A2C7B"/>
    <w:rsid w:val="008C1A0C"/>
    <w:rsid w:val="008C3E69"/>
    <w:rsid w:val="008C741D"/>
    <w:rsid w:val="008D319E"/>
    <w:rsid w:val="008D4474"/>
    <w:rsid w:val="008F1148"/>
    <w:rsid w:val="008F1459"/>
    <w:rsid w:val="008F6C42"/>
    <w:rsid w:val="00904EB4"/>
    <w:rsid w:val="00916276"/>
    <w:rsid w:val="00942FCF"/>
    <w:rsid w:val="00966AB5"/>
    <w:rsid w:val="009823A9"/>
    <w:rsid w:val="00991661"/>
    <w:rsid w:val="00996B77"/>
    <w:rsid w:val="009A6EC2"/>
    <w:rsid w:val="009B5BD3"/>
    <w:rsid w:val="009C2A4F"/>
    <w:rsid w:val="009C6309"/>
    <w:rsid w:val="009D5965"/>
    <w:rsid w:val="009F65CE"/>
    <w:rsid w:val="00A0272F"/>
    <w:rsid w:val="00A0536F"/>
    <w:rsid w:val="00A07481"/>
    <w:rsid w:val="00A1605F"/>
    <w:rsid w:val="00A16F33"/>
    <w:rsid w:val="00A32F21"/>
    <w:rsid w:val="00A33324"/>
    <w:rsid w:val="00A35CF2"/>
    <w:rsid w:val="00A403BF"/>
    <w:rsid w:val="00A407C3"/>
    <w:rsid w:val="00A40AB7"/>
    <w:rsid w:val="00A65525"/>
    <w:rsid w:val="00AA0A9A"/>
    <w:rsid w:val="00AB1D9F"/>
    <w:rsid w:val="00AB459C"/>
    <w:rsid w:val="00AB49EB"/>
    <w:rsid w:val="00AB74A4"/>
    <w:rsid w:val="00AD714E"/>
    <w:rsid w:val="00AD7F3A"/>
    <w:rsid w:val="00AE3840"/>
    <w:rsid w:val="00AF0F74"/>
    <w:rsid w:val="00AF4A3C"/>
    <w:rsid w:val="00B01B82"/>
    <w:rsid w:val="00B15EF5"/>
    <w:rsid w:val="00B16882"/>
    <w:rsid w:val="00B169BC"/>
    <w:rsid w:val="00B17A46"/>
    <w:rsid w:val="00B22F68"/>
    <w:rsid w:val="00B23595"/>
    <w:rsid w:val="00B2578A"/>
    <w:rsid w:val="00B2593D"/>
    <w:rsid w:val="00B302CF"/>
    <w:rsid w:val="00B34B77"/>
    <w:rsid w:val="00B4393C"/>
    <w:rsid w:val="00B44A32"/>
    <w:rsid w:val="00B46C49"/>
    <w:rsid w:val="00B55337"/>
    <w:rsid w:val="00B645A2"/>
    <w:rsid w:val="00B657DD"/>
    <w:rsid w:val="00B6788B"/>
    <w:rsid w:val="00B716A4"/>
    <w:rsid w:val="00B73983"/>
    <w:rsid w:val="00B803BC"/>
    <w:rsid w:val="00BA41B6"/>
    <w:rsid w:val="00BA46E9"/>
    <w:rsid w:val="00BA7C98"/>
    <w:rsid w:val="00BC4D7D"/>
    <w:rsid w:val="00BC6B61"/>
    <w:rsid w:val="00BC7904"/>
    <w:rsid w:val="00C13AEC"/>
    <w:rsid w:val="00C144E8"/>
    <w:rsid w:val="00C1556C"/>
    <w:rsid w:val="00C224E0"/>
    <w:rsid w:val="00C248A4"/>
    <w:rsid w:val="00C35FF1"/>
    <w:rsid w:val="00C54E9F"/>
    <w:rsid w:val="00CC1CC5"/>
    <w:rsid w:val="00CD097C"/>
    <w:rsid w:val="00CD1BA5"/>
    <w:rsid w:val="00CD377E"/>
    <w:rsid w:val="00CE0AB7"/>
    <w:rsid w:val="00CF1BBE"/>
    <w:rsid w:val="00CF306F"/>
    <w:rsid w:val="00D17111"/>
    <w:rsid w:val="00D25E9A"/>
    <w:rsid w:val="00D27102"/>
    <w:rsid w:val="00D272AA"/>
    <w:rsid w:val="00D34A51"/>
    <w:rsid w:val="00D37E61"/>
    <w:rsid w:val="00D46A16"/>
    <w:rsid w:val="00D5522E"/>
    <w:rsid w:val="00D56628"/>
    <w:rsid w:val="00D62403"/>
    <w:rsid w:val="00D65EBB"/>
    <w:rsid w:val="00D7104D"/>
    <w:rsid w:val="00D72E93"/>
    <w:rsid w:val="00D916AC"/>
    <w:rsid w:val="00DA2AEA"/>
    <w:rsid w:val="00DA7FAF"/>
    <w:rsid w:val="00DB4B10"/>
    <w:rsid w:val="00DB5E04"/>
    <w:rsid w:val="00DB676F"/>
    <w:rsid w:val="00DC0A5F"/>
    <w:rsid w:val="00DC34DD"/>
    <w:rsid w:val="00DF2AFC"/>
    <w:rsid w:val="00DF34A1"/>
    <w:rsid w:val="00DF4148"/>
    <w:rsid w:val="00DF70FB"/>
    <w:rsid w:val="00E04269"/>
    <w:rsid w:val="00E0512B"/>
    <w:rsid w:val="00E0581D"/>
    <w:rsid w:val="00E122A4"/>
    <w:rsid w:val="00E17A28"/>
    <w:rsid w:val="00E22CAA"/>
    <w:rsid w:val="00E30BB7"/>
    <w:rsid w:val="00E31D1D"/>
    <w:rsid w:val="00E4020B"/>
    <w:rsid w:val="00E40A35"/>
    <w:rsid w:val="00E46064"/>
    <w:rsid w:val="00E71772"/>
    <w:rsid w:val="00E77608"/>
    <w:rsid w:val="00E806C7"/>
    <w:rsid w:val="00E92315"/>
    <w:rsid w:val="00E92DD5"/>
    <w:rsid w:val="00E93DEE"/>
    <w:rsid w:val="00EB3138"/>
    <w:rsid w:val="00EB5F33"/>
    <w:rsid w:val="00EB5FF9"/>
    <w:rsid w:val="00ED25BA"/>
    <w:rsid w:val="00ED2F1B"/>
    <w:rsid w:val="00EE0420"/>
    <w:rsid w:val="00EF0204"/>
    <w:rsid w:val="00EF0A33"/>
    <w:rsid w:val="00EF35C0"/>
    <w:rsid w:val="00EF38C6"/>
    <w:rsid w:val="00F048BD"/>
    <w:rsid w:val="00F149C7"/>
    <w:rsid w:val="00F26D40"/>
    <w:rsid w:val="00F40744"/>
    <w:rsid w:val="00F43231"/>
    <w:rsid w:val="00F51AB9"/>
    <w:rsid w:val="00F52EBF"/>
    <w:rsid w:val="00F5506E"/>
    <w:rsid w:val="00F56A31"/>
    <w:rsid w:val="00F6059E"/>
    <w:rsid w:val="00F71518"/>
    <w:rsid w:val="00F765CB"/>
    <w:rsid w:val="00F85895"/>
    <w:rsid w:val="00FA2859"/>
    <w:rsid w:val="00FA2886"/>
    <w:rsid w:val="00FA4084"/>
    <w:rsid w:val="00FA63ED"/>
    <w:rsid w:val="00FA76C7"/>
    <w:rsid w:val="00FB41FF"/>
    <w:rsid w:val="00FC2C89"/>
    <w:rsid w:val="00FC5B02"/>
    <w:rsid w:val="00FC6CCA"/>
    <w:rsid w:val="00FD6F6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A741B"/>
  <w15:chartTrackingRefBased/>
  <w15:docId w15:val="{BC0CD04B-2B16-46EB-90BC-36DEC717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7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E61"/>
    <w:rPr>
      <w:rFonts w:eastAsiaTheme="majorEastAsia" w:cstheme="majorBidi"/>
      <w:color w:val="272727" w:themeColor="text1" w:themeTint="D8"/>
    </w:rPr>
  </w:style>
  <w:style w:type="paragraph" w:styleId="Title">
    <w:name w:val="Title"/>
    <w:basedOn w:val="Normal"/>
    <w:next w:val="Normal"/>
    <w:link w:val="TitleChar"/>
    <w:uiPriority w:val="10"/>
    <w:qFormat/>
    <w:rsid w:val="00D37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E61"/>
    <w:pPr>
      <w:spacing w:before="160"/>
      <w:jc w:val="center"/>
    </w:pPr>
    <w:rPr>
      <w:i/>
      <w:iCs/>
      <w:color w:val="404040" w:themeColor="text1" w:themeTint="BF"/>
    </w:rPr>
  </w:style>
  <w:style w:type="character" w:customStyle="1" w:styleId="QuoteChar">
    <w:name w:val="Quote Char"/>
    <w:basedOn w:val="DefaultParagraphFont"/>
    <w:link w:val="Quote"/>
    <w:uiPriority w:val="29"/>
    <w:rsid w:val="00D37E61"/>
    <w:rPr>
      <w:i/>
      <w:iCs/>
      <w:color w:val="404040" w:themeColor="text1" w:themeTint="BF"/>
    </w:rPr>
  </w:style>
  <w:style w:type="paragraph" w:styleId="ListParagraph">
    <w:name w:val="List Paragraph"/>
    <w:aliases w:val="TESMEC - Titolo 3,References,NUMBERED PARAGRAPH,List Paragraph 1,Bullets,List_Paragraph,Multilevel para_II,Testo elenco,Titolo_3,text bullet,FVP-Paragrafo,lp1,Heading x1,Számozott ApPello,Table of contents numbered,heading 2(bullets)"/>
    <w:basedOn w:val="Normal"/>
    <w:link w:val="ListParagraphChar"/>
    <w:uiPriority w:val="34"/>
    <w:qFormat/>
    <w:rsid w:val="00D37E61"/>
    <w:pPr>
      <w:ind w:left="720"/>
      <w:contextualSpacing/>
    </w:pPr>
  </w:style>
  <w:style w:type="character" w:styleId="IntenseEmphasis">
    <w:name w:val="Intense Emphasis"/>
    <w:basedOn w:val="DefaultParagraphFont"/>
    <w:uiPriority w:val="21"/>
    <w:qFormat/>
    <w:rsid w:val="00D37E61"/>
    <w:rPr>
      <w:i/>
      <w:iCs/>
      <w:color w:val="0F4761" w:themeColor="accent1" w:themeShade="BF"/>
    </w:rPr>
  </w:style>
  <w:style w:type="paragraph" w:styleId="IntenseQuote">
    <w:name w:val="Intense Quote"/>
    <w:basedOn w:val="Normal"/>
    <w:next w:val="Normal"/>
    <w:link w:val="IntenseQuoteChar"/>
    <w:uiPriority w:val="30"/>
    <w:qFormat/>
    <w:rsid w:val="00D37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E61"/>
    <w:rPr>
      <w:i/>
      <w:iCs/>
      <w:color w:val="0F4761" w:themeColor="accent1" w:themeShade="BF"/>
    </w:rPr>
  </w:style>
  <w:style w:type="character" w:styleId="IntenseReference">
    <w:name w:val="Intense Reference"/>
    <w:basedOn w:val="DefaultParagraphFont"/>
    <w:uiPriority w:val="32"/>
    <w:qFormat/>
    <w:rsid w:val="00D37E61"/>
    <w:rPr>
      <w:b/>
      <w:bCs/>
      <w:smallCaps/>
      <w:color w:val="0F4761" w:themeColor="accent1" w:themeShade="BF"/>
      <w:spacing w:val="5"/>
    </w:rPr>
  </w:style>
  <w:style w:type="table" w:styleId="TableGrid">
    <w:name w:val="Table Grid"/>
    <w:basedOn w:val="TableNormal"/>
    <w:uiPriority w:val="39"/>
    <w:rsid w:val="00B4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93C"/>
    <w:pPr>
      <w:autoSpaceDE w:val="0"/>
      <w:autoSpaceDN w:val="0"/>
      <w:adjustRightInd w:val="0"/>
      <w:spacing w:after="0" w:line="240" w:lineRule="auto"/>
    </w:pPr>
    <w:rPr>
      <w:rFonts w:ascii="Arial" w:hAnsi="Arial" w:cs="Arial"/>
      <w:color w:val="000000"/>
      <w:kern w:val="0"/>
    </w:rPr>
  </w:style>
  <w:style w:type="paragraph" w:styleId="BodyText2">
    <w:name w:val="Body Text 2"/>
    <w:basedOn w:val="Normal"/>
    <w:link w:val="BodyText2Char"/>
    <w:rsid w:val="00B4393C"/>
    <w:pPr>
      <w:spacing w:after="0" w:line="240" w:lineRule="auto"/>
      <w:jc w:val="center"/>
    </w:pPr>
    <w:rPr>
      <w:rFonts w:ascii="Times New Roman" w:eastAsia="Times New Roman" w:hAnsi="Times New Roman" w:cs="Times New Roman"/>
      <w:bCs/>
      <w:kern w:val="0"/>
      <w:sz w:val="28"/>
      <w:szCs w:val="28"/>
      <w:lang w:val="ro-RO"/>
      <w14:ligatures w14:val="none"/>
    </w:rPr>
  </w:style>
  <w:style w:type="character" w:customStyle="1" w:styleId="BodyText2Char">
    <w:name w:val="Body Text 2 Char"/>
    <w:basedOn w:val="DefaultParagraphFont"/>
    <w:link w:val="BodyText2"/>
    <w:rsid w:val="00B4393C"/>
    <w:rPr>
      <w:rFonts w:ascii="Times New Roman" w:eastAsia="Times New Roman" w:hAnsi="Times New Roman" w:cs="Times New Roman"/>
      <w:bCs/>
      <w:kern w:val="0"/>
      <w:sz w:val="28"/>
      <w:szCs w:val="28"/>
      <w:lang w:val="ro-RO"/>
      <w14:ligatures w14:val="none"/>
    </w:rPr>
  </w:style>
  <w:style w:type="paragraph" w:styleId="Header">
    <w:name w:val="header"/>
    <w:basedOn w:val="Normal"/>
    <w:link w:val="HeaderChar"/>
    <w:uiPriority w:val="99"/>
    <w:unhideWhenUsed/>
    <w:rsid w:val="00FA76C7"/>
    <w:pPr>
      <w:tabs>
        <w:tab w:val="center" w:pos="4677"/>
        <w:tab w:val="right" w:pos="9355"/>
      </w:tabs>
      <w:spacing w:after="0" w:line="240" w:lineRule="auto"/>
    </w:pPr>
  </w:style>
  <w:style w:type="character" w:customStyle="1" w:styleId="HeaderChar">
    <w:name w:val="Header Char"/>
    <w:basedOn w:val="DefaultParagraphFont"/>
    <w:link w:val="Header"/>
    <w:uiPriority w:val="99"/>
    <w:rsid w:val="00FA76C7"/>
  </w:style>
  <w:style w:type="paragraph" w:styleId="Footer">
    <w:name w:val="footer"/>
    <w:basedOn w:val="Normal"/>
    <w:link w:val="FooterChar"/>
    <w:uiPriority w:val="99"/>
    <w:unhideWhenUsed/>
    <w:rsid w:val="00FA76C7"/>
    <w:pPr>
      <w:tabs>
        <w:tab w:val="center" w:pos="4677"/>
        <w:tab w:val="right" w:pos="9355"/>
      </w:tabs>
      <w:spacing w:after="0" w:line="240" w:lineRule="auto"/>
    </w:pPr>
  </w:style>
  <w:style w:type="character" w:customStyle="1" w:styleId="FooterChar">
    <w:name w:val="Footer Char"/>
    <w:basedOn w:val="DefaultParagraphFont"/>
    <w:link w:val="Footer"/>
    <w:uiPriority w:val="99"/>
    <w:rsid w:val="00FA76C7"/>
  </w:style>
  <w:style w:type="character" w:customStyle="1" w:styleId="ListParagraphChar">
    <w:name w:val="List Paragraph Char"/>
    <w:aliases w:val="TESMEC - Titolo 3 Char,References Char,NUMBERED PARAGRAPH Char,List Paragraph 1 Char,Bullets Char,List_Paragraph Char,Multilevel para_II Char,Testo elenco Char,Titolo_3 Char,text bullet Char,FVP-Paragrafo Char,lp1 Char"/>
    <w:link w:val="ListParagraph"/>
    <w:uiPriority w:val="34"/>
    <w:qFormat/>
    <w:rsid w:val="00BC6B61"/>
  </w:style>
  <w:style w:type="paragraph" w:styleId="NormalWeb">
    <w:name w:val="Normal (Web)"/>
    <w:basedOn w:val="Normal"/>
    <w:uiPriority w:val="99"/>
    <w:unhideWhenUsed/>
    <w:rsid w:val="00F8589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B01B82"/>
    <w:rPr>
      <w:sz w:val="16"/>
      <w:szCs w:val="16"/>
    </w:rPr>
  </w:style>
  <w:style w:type="paragraph" w:styleId="CommentText">
    <w:name w:val="annotation text"/>
    <w:basedOn w:val="Normal"/>
    <w:link w:val="CommentTextChar"/>
    <w:unhideWhenUsed/>
    <w:rsid w:val="00B01B82"/>
    <w:pPr>
      <w:spacing w:after="200" w:line="240" w:lineRule="auto"/>
    </w:pPr>
    <w:rPr>
      <w:rFonts w:ascii="Times New Roman" w:eastAsia="Times New Roman" w:hAnsi="Times New Roman" w:cs="Times New Roman"/>
      <w:kern w:val="0"/>
      <w:sz w:val="20"/>
      <w:szCs w:val="20"/>
      <w:lang w:val="ro-RO"/>
      <w14:ligatures w14:val="none"/>
    </w:rPr>
  </w:style>
  <w:style w:type="character" w:customStyle="1" w:styleId="CommentTextChar">
    <w:name w:val="Comment Text Char"/>
    <w:basedOn w:val="DefaultParagraphFont"/>
    <w:link w:val="CommentText"/>
    <w:rsid w:val="00B01B82"/>
    <w:rPr>
      <w:rFonts w:ascii="Times New Roman" w:eastAsia="Times New Roman" w:hAnsi="Times New Roman" w:cs="Times New Roman"/>
      <w:kern w:val="0"/>
      <w:sz w:val="20"/>
      <w:szCs w:val="20"/>
      <w:lang w:val="ro-RO"/>
      <w14:ligatures w14:val="none"/>
    </w:rPr>
  </w:style>
  <w:style w:type="paragraph" w:styleId="Revision">
    <w:name w:val="Revision"/>
    <w:hidden/>
    <w:uiPriority w:val="99"/>
    <w:semiHidden/>
    <w:rsid w:val="00C54E9F"/>
    <w:pPr>
      <w:spacing w:after="0" w:line="240" w:lineRule="auto"/>
    </w:pPr>
  </w:style>
  <w:style w:type="paragraph" w:styleId="CommentSubject">
    <w:name w:val="annotation subject"/>
    <w:basedOn w:val="CommentText"/>
    <w:next w:val="CommentText"/>
    <w:link w:val="CommentSubjectChar"/>
    <w:uiPriority w:val="99"/>
    <w:semiHidden/>
    <w:unhideWhenUsed/>
    <w:rsid w:val="00F149C7"/>
    <w:pPr>
      <w:spacing w:after="160"/>
    </w:pPr>
    <w:rPr>
      <w:rFonts w:asciiTheme="minorHAnsi" w:eastAsiaTheme="minorHAnsi" w:hAnsiTheme="minorHAnsi" w:cstheme="minorBidi"/>
      <w:b/>
      <w:bCs/>
      <w:kern w:val="2"/>
      <w:lang w:val="ro-MD"/>
      <w14:ligatures w14:val="standardContextual"/>
    </w:rPr>
  </w:style>
  <w:style w:type="character" w:customStyle="1" w:styleId="CommentSubjectChar">
    <w:name w:val="Comment Subject Char"/>
    <w:basedOn w:val="CommentTextChar"/>
    <w:link w:val="CommentSubject"/>
    <w:uiPriority w:val="99"/>
    <w:semiHidden/>
    <w:rsid w:val="00F149C7"/>
    <w:rPr>
      <w:rFonts w:ascii="Times New Roman" w:eastAsia="Times New Roman" w:hAnsi="Times New Roman" w:cs="Times New Roman"/>
      <w:b/>
      <w:bCs/>
      <w:kern w:val="0"/>
      <w:sz w:val="20"/>
      <w:szCs w:val="2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353345">
      <w:bodyDiv w:val="1"/>
      <w:marLeft w:val="0"/>
      <w:marRight w:val="0"/>
      <w:marTop w:val="0"/>
      <w:marBottom w:val="0"/>
      <w:divBdr>
        <w:top w:val="none" w:sz="0" w:space="0" w:color="auto"/>
        <w:left w:val="none" w:sz="0" w:space="0" w:color="auto"/>
        <w:bottom w:val="none" w:sz="0" w:space="0" w:color="auto"/>
        <w:right w:val="none" w:sz="0" w:space="0" w:color="auto"/>
      </w:divBdr>
    </w:div>
    <w:div w:id="963074513">
      <w:bodyDiv w:val="1"/>
      <w:marLeft w:val="0"/>
      <w:marRight w:val="0"/>
      <w:marTop w:val="0"/>
      <w:marBottom w:val="0"/>
      <w:divBdr>
        <w:top w:val="none" w:sz="0" w:space="0" w:color="auto"/>
        <w:left w:val="none" w:sz="0" w:space="0" w:color="auto"/>
        <w:bottom w:val="none" w:sz="0" w:space="0" w:color="auto"/>
        <w:right w:val="none" w:sz="0" w:space="0" w:color="auto"/>
      </w:divBdr>
    </w:div>
    <w:div w:id="1110589582">
      <w:bodyDiv w:val="1"/>
      <w:marLeft w:val="0"/>
      <w:marRight w:val="0"/>
      <w:marTop w:val="0"/>
      <w:marBottom w:val="0"/>
      <w:divBdr>
        <w:top w:val="none" w:sz="0" w:space="0" w:color="auto"/>
        <w:left w:val="none" w:sz="0" w:space="0" w:color="auto"/>
        <w:bottom w:val="none" w:sz="0" w:space="0" w:color="auto"/>
        <w:right w:val="none" w:sz="0" w:space="0" w:color="auto"/>
      </w:divBdr>
    </w:div>
    <w:div w:id="17894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1251</TotalTime>
  <Pages>1</Pages>
  <Words>3748</Words>
  <Characters>21369</Characters>
  <Application>Microsoft Office Word</Application>
  <DocSecurity>0</DocSecurity>
  <Lines>178</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 Roibu</dc:creator>
  <cp:keywords/>
  <dc:description/>
  <cp:lastModifiedBy>Litocenco, Ana</cp:lastModifiedBy>
  <cp:revision>90</cp:revision>
  <cp:lastPrinted>2026-05-14T08:13:00Z</cp:lastPrinted>
  <dcterms:created xsi:type="dcterms:W3CDTF">2026-04-28T17:32:00Z</dcterms:created>
  <dcterms:modified xsi:type="dcterms:W3CDTF">2026-08-04T08:45:00Z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2025-07-21T05:36:25Z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8d783b14-cf84-441e-b0a1-d6b7855f96d2</vt:lpwstr>
  </property>
  <property fmtid="{D5CDD505-2E9C-101B-9397-08002B2CF9AE}" pid="8" name="MSIP_Label_38962dcf-d39f-4edc-a396-338a56ba9170_ContentBits">
    <vt:lpwstr>0</vt:lpwstr>
  </property>
</Properties>
</file>