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EB2" w:rsidRPr="000276C0" w:rsidRDefault="003B74FB" w:rsidP="000276C0">
      <w:pPr>
        <w:spacing w:after="0" w:line="240" w:lineRule="auto"/>
        <w:jc w:val="center"/>
        <w:rPr>
          <w:rFonts w:asciiTheme="minorHAnsi" w:hAnsiTheme="minorHAnsi"/>
          <w:sz w:val="24"/>
          <w:lang w:val="ro-MO"/>
        </w:rPr>
      </w:pPr>
      <w:r w:rsidRPr="000276C0">
        <w:rPr>
          <w:rFonts w:asciiTheme="minorHAnsi" w:hAnsiTheme="minorHAnsi"/>
          <w:b/>
          <w:sz w:val="24"/>
          <w:lang w:val="ro-MO"/>
        </w:rPr>
        <w:t>TABELA DE SINTEZĂ CONSOLIDATĂ</w:t>
      </w:r>
    </w:p>
    <w:p w:rsidR="003D4EB2" w:rsidRPr="000276C0" w:rsidRDefault="003B74FB" w:rsidP="000276C0">
      <w:pPr>
        <w:spacing w:after="0" w:line="240" w:lineRule="auto"/>
        <w:jc w:val="center"/>
        <w:rPr>
          <w:rFonts w:asciiTheme="minorHAnsi" w:hAnsiTheme="minorHAnsi"/>
          <w:sz w:val="22"/>
          <w:lang w:val="ro-MO"/>
        </w:rPr>
      </w:pPr>
      <w:r w:rsidRPr="000276C0">
        <w:rPr>
          <w:rFonts w:asciiTheme="minorHAnsi" w:hAnsiTheme="minorHAnsi"/>
          <w:b/>
          <w:sz w:val="22"/>
          <w:lang w:val="ro-MO"/>
        </w:rPr>
        <w:t>a recomandărilor, propunerilor, întrebărilor și obiecțiilor formulate în cadrul consultării publice</w:t>
      </w:r>
      <w:r w:rsidRPr="000276C0">
        <w:rPr>
          <w:rFonts w:asciiTheme="minorHAnsi" w:hAnsiTheme="minorHAnsi"/>
          <w:b/>
          <w:sz w:val="22"/>
          <w:lang w:val="ro-MO"/>
        </w:rPr>
        <w:br/>
        <w:t>a proiectului de decizie privind amalgamarea voluntară a clusterului Țînțăreni - Chirca - Cobusca Nouă</w:t>
      </w:r>
    </w:p>
    <w:p w:rsidR="000276C0" w:rsidRPr="000276C0" w:rsidRDefault="000276C0" w:rsidP="000276C0">
      <w:pPr>
        <w:spacing w:after="0" w:line="240" w:lineRule="auto"/>
        <w:jc w:val="center"/>
        <w:rPr>
          <w:rFonts w:asciiTheme="minorHAnsi" w:hAnsiTheme="minorHAnsi"/>
          <w:b/>
          <w:sz w:val="22"/>
          <w:lang w:val="ro-MO"/>
        </w:rPr>
      </w:pPr>
    </w:p>
    <w:p w:rsidR="003D4EB2" w:rsidRPr="000276C0" w:rsidRDefault="003B74FB" w:rsidP="000276C0">
      <w:pPr>
        <w:spacing w:after="0" w:line="240" w:lineRule="auto"/>
        <w:jc w:val="center"/>
        <w:rPr>
          <w:rFonts w:asciiTheme="minorHAnsi" w:hAnsiTheme="minorHAnsi"/>
          <w:b/>
          <w:sz w:val="24"/>
          <w:lang w:val="ro-MO"/>
        </w:rPr>
      </w:pPr>
      <w:r w:rsidRPr="000276C0">
        <w:rPr>
          <w:rFonts w:asciiTheme="minorHAnsi" w:hAnsiTheme="minorHAnsi"/>
          <w:b/>
          <w:sz w:val="24"/>
          <w:lang w:val="ro-MO"/>
        </w:rPr>
        <w:t>Comuna Țînțăreni: satele Țînțăreni și Crețoaia</w:t>
      </w:r>
    </w:p>
    <w:p w:rsidR="000276C0" w:rsidRPr="000276C0" w:rsidRDefault="000276C0" w:rsidP="000276C0">
      <w:pPr>
        <w:spacing w:after="0" w:line="240" w:lineRule="auto"/>
        <w:rPr>
          <w:rFonts w:asciiTheme="minorHAnsi" w:hAnsiTheme="minorHAnsi"/>
          <w:sz w:val="24"/>
          <w:lang w:val="ro-MO"/>
        </w:rPr>
      </w:pPr>
    </w:p>
    <w:p w:rsidR="00B93D5B" w:rsidRPr="000276C0" w:rsidRDefault="00B93D5B" w:rsidP="000276C0">
      <w:pPr>
        <w:pStyle w:val="pdq2pgselectionanchorcontainer"/>
        <w:spacing w:before="0" w:beforeAutospacing="0" w:after="0" w:afterAutospacing="0"/>
        <w:ind w:firstLine="426"/>
        <w:jc w:val="both"/>
        <w:rPr>
          <w:rFonts w:asciiTheme="minorHAnsi" w:hAnsiTheme="minorHAnsi"/>
          <w:sz w:val="22"/>
          <w:szCs w:val="22"/>
          <w:lang w:val="ro-MO"/>
        </w:rPr>
      </w:pPr>
      <w:r w:rsidRPr="000276C0">
        <w:rPr>
          <w:rFonts w:asciiTheme="minorHAnsi" w:hAnsiTheme="minorHAnsi"/>
          <w:sz w:val="22"/>
          <w:szCs w:val="22"/>
          <w:lang w:val="ro-MO"/>
        </w:rPr>
        <w:t>Prezenta tabelă de sinteză este elaborată pentru comuna Țînțăreni, în cadrul procesului de consultare publică privind proiectul de decizie referitor la amalgamarea voluntară a UAT Țînțăreni, UAT Chirca și UAT Cobusca Nouă, cu centrul administrativ propus în comuna Țînțăreni și cu denumirea de lucru a viitoarei UAT amalgamate „Satul Nou”.</w:t>
      </w:r>
    </w:p>
    <w:p w:rsidR="00B93D5B" w:rsidRPr="000276C0" w:rsidRDefault="00B93D5B" w:rsidP="000276C0">
      <w:pPr>
        <w:pStyle w:val="NormalWeb"/>
        <w:spacing w:before="0" w:beforeAutospacing="0" w:after="0" w:afterAutospacing="0"/>
        <w:ind w:firstLine="426"/>
        <w:jc w:val="both"/>
        <w:rPr>
          <w:rFonts w:asciiTheme="minorHAnsi" w:hAnsiTheme="minorHAnsi"/>
          <w:sz w:val="22"/>
          <w:szCs w:val="22"/>
          <w:lang w:val="ro-MO"/>
        </w:rPr>
      </w:pPr>
      <w:r w:rsidRPr="000276C0">
        <w:rPr>
          <w:rFonts w:asciiTheme="minorHAnsi" w:hAnsiTheme="minorHAnsi"/>
          <w:sz w:val="22"/>
          <w:szCs w:val="22"/>
          <w:lang w:val="ro-MO"/>
        </w:rPr>
        <w:t>La elaborarea sintezei au fost analizate răspunsurile colectate prin chestionarul online „PĂREREA TA”, procesul-verbal al adunării publice organizate în satul Țînțăreni, procesele-verbale ale Grupului de Lucru Comun, sinteza notițelor de lucru și Viziunea viitoarei UAT amalgamate „Satul Nou”.</w:t>
      </w:r>
    </w:p>
    <w:p w:rsidR="00B93D5B" w:rsidRPr="000276C0" w:rsidRDefault="00B93D5B" w:rsidP="000276C0">
      <w:pPr>
        <w:pStyle w:val="NormalWeb"/>
        <w:spacing w:before="0" w:beforeAutospacing="0" w:after="0" w:afterAutospacing="0"/>
        <w:ind w:firstLine="426"/>
        <w:jc w:val="both"/>
        <w:rPr>
          <w:rFonts w:asciiTheme="minorHAnsi" w:hAnsiTheme="minorHAnsi"/>
          <w:sz w:val="22"/>
          <w:szCs w:val="22"/>
          <w:lang w:val="ro-MO"/>
        </w:rPr>
      </w:pPr>
      <w:r w:rsidRPr="000276C0">
        <w:rPr>
          <w:rFonts w:asciiTheme="minorHAnsi" w:hAnsiTheme="minorHAnsi"/>
          <w:sz w:val="22"/>
          <w:szCs w:val="22"/>
          <w:lang w:val="ro-MO"/>
        </w:rPr>
        <w:t xml:space="preserve">În total, pentru comuna Țînțăreni au fost înregistrate </w:t>
      </w:r>
      <w:r w:rsidRPr="000276C0">
        <w:rPr>
          <w:rStyle w:val="Strong"/>
          <w:rFonts w:asciiTheme="minorHAnsi" w:hAnsiTheme="minorHAnsi"/>
          <w:sz w:val="22"/>
          <w:szCs w:val="22"/>
          <w:lang w:val="ro-MO"/>
        </w:rPr>
        <w:t>83 de participări/răspunsuri în cadrul procesului de consultare</w:t>
      </w:r>
      <w:r w:rsidRPr="000276C0">
        <w:rPr>
          <w:rFonts w:asciiTheme="minorHAnsi" w:hAnsiTheme="minorHAnsi"/>
          <w:sz w:val="22"/>
          <w:szCs w:val="22"/>
          <w:lang w:val="ro-MO"/>
        </w:rPr>
        <w:t xml:space="preserve">: </w:t>
      </w:r>
      <w:r w:rsidRPr="000276C0">
        <w:rPr>
          <w:rStyle w:val="Strong"/>
          <w:rFonts w:asciiTheme="minorHAnsi" w:hAnsiTheme="minorHAnsi"/>
          <w:sz w:val="22"/>
          <w:szCs w:val="22"/>
          <w:lang w:val="ro-MO"/>
        </w:rPr>
        <w:t>52 de răspunsuri la chestionarul online</w:t>
      </w:r>
      <w:r w:rsidRPr="000276C0">
        <w:rPr>
          <w:rFonts w:asciiTheme="minorHAnsi" w:hAnsiTheme="minorHAnsi"/>
          <w:sz w:val="22"/>
          <w:szCs w:val="22"/>
          <w:lang w:val="ro-MO"/>
        </w:rPr>
        <w:t xml:space="preserve"> și </w:t>
      </w:r>
      <w:r w:rsidRPr="000276C0">
        <w:rPr>
          <w:rStyle w:val="Strong"/>
          <w:rFonts w:asciiTheme="minorHAnsi" w:hAnsiTheme="minorHAnsi"/>
          <w:sz w:val="22"/>
          <w:szCs w:val="22"/>
          <w:lang w:val="ro-MO"/>
        </w:rPr>
        <w:t>31 de participanți la adunarea publică din 1 iulie 2026</w:t>
      </w:r>
      <w:r w:rsidRPr="000276C0">
        <w:rPr>
          <w:rFonts w:asciiTheme="minorHAnsi" w:hAnsiTheme="minorHAnsi"/>
          <w:sz w:val="22"/>
          <w:szCs w:val="22"/>
          <w:lang w:val="ro-MO"/>
        </w:rPr>
        <w:t>. Aceste date sunt prezentate ca participări și răspunsuri consemnate în cadrul consultării, fără a dubla artificial persoanele care ar fi putut participa la mai multe forme de consultare.</w:t>
      </w:r>
    </w:p>
    <w:p w:rsidR="00B93D5B" w:rsidRPr="000276C0" w:rsidRDefault="00B93D5B" w:rsidP="000276C0">
      <w:pPr>
        <w:pStyle w:val="NormalWeb"/>
        <w:spacing w:before="0" w:beforeAutospacing="0" w:after="0" w:afterAutospacing="0"/>
        <w:ind w:firstLine="426"/>
        <w:jc w:val="both"/>
        <w:rPr>
          <w:rFonts w:asciiTheme="minorHAnsi" w:hAnsiTheme="minorHAnsi"/>
          <w:sz w:val="22"/>
          <w:szCs w:val="22"/>
          <w:lang w:val="ro-MO"/>
        </w:rPr>
      </w:pPr>
      <w:r w:rsidRPr="000276C0">
        <w:rPr>
          <w:rFonts w:asciiTheme="minorHAnsi" w:hAnsiTheme="minorHAnsi"/>
          <w:sz w:val="22"/>
          <w:szCs w:val="22"/>
          <w:lang w:val="ro-MO"/>
        </w:rPr>
        <w:t>Propunerile, întrebările și preocupările formulate de locuitori au fost grupate pe domenii principale, cu evitarea repetărilor și fără schimbarea sensului exprimat de participanți. Tabela reflectă atât problemele concrete indicate de cetățeni, cât și modul de examinare propus de autoritatea publică locală și Grupul de Lucru Comun.</w:t>
      </w:r>
    </w:p>
    <w:p w:rsidR="000276C0" w:rsidRPr="000276C0" w:rsidRDefault="000276C0" w:rsidP="000276C0">
      <w:pPr>
        <w:pStyle w:val="NormalWeb"/>
        <w:spacing w:before="0" w:beforeAutospacing="0" w:after="0" w:afterAutospacing="0"/>
        <w:rPr>
          <w:rFonts w:asciiTheme="minorHAnsi" w:hAnsiTheme="minorHAnsi"/>
          <w:sz w:val="22"/>
          <w:szCs w:val="22"/>
          <w:lang w:val="ro-MO"/>
        </w:rPr>
      </w:pPr>
    </w:p>
    <w:tbl>
      <w:tblPr>
        <w:tblStyle w:val="TableGrid"/>
        <w:tblW w:w="0" w:type="auto"/>
        <w:jc w:val="center"/>
        <w:tblLayout w:type="fixed"/>
        <w:tblLook w:val="04A0" w:firstRow="1" w:lastRow="0" w:firstColumn="1" w:lastColumn="0" w:noHBand="0" w:noVBand="1"/>
      </w:tblPr>
      <w:tblGrid>
        <w:gridCol w:w="619"/>
        <w:gridCol w:w="1684"/>
        <w:gridCol w:w="3240"/>
        <w:gridCol w:w="2376"/>
        <w:gridCol w:w="3484"/>
        <w:gridCol w:w="1324"/>
        <w:gridCol w:w="2563"/>
      </w:tblGrid>
      <w:tr w:rsidR="003D4EB2" w:rsidRPr="000276C0" w:rsidTr="000276C0">
        <w:trPr>
          <w:cantSplit/>
          <w:tblHeader/>
          <w:jc w:val="center"/>
        </w:trPr>
        <w:tc>
          <w:tcPr>
            <w:tcW w:w="619"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Nr.</w:t>
            </w:r>
            <w:r w:rsidRPr="000276C0">
              <w:rPr>
                <w:rFonts w:asciiTheme="minorHAnsi" w:hAnsiTheme="minorHAnsi"/>
                <w:b/>
                <w:sz w:val="22"/>
                <w:lang w:val="ro-MO"/>
              </w:rPr>
              <w:br/>
              <w:t>crt.</w:t>
            </w:r>
          </w:p>
        </w:tc>
        <w:tc>
          <w:tcPr>
            <w:tcW w:w="1684"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Localitatea / sursa propunerii</w:t>
            </w:r>
          </w:p>
        </w:tc>
        <w:tc>
          <w:tcPr>
            <w:tcW w:w="3240"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Propunerea, recomandarea, obiecția sau întrebarea formulată</w:t>
            </w:r>
          </w:p>
        </w:tc>
        <w:tc>
          <w:tcPr>
            <w:tcW w:w="2376"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Argumentarea / explicația succintă</w:t>
            </w:r>
          </w:p>
        </w:tc>
        <w:tc>
          <w:tcPr>
            <w:tcW w:w="3484"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Modul de examinare / răspunsul autorității</w:t>
            </w:r>
          </w:p>
        </w:tc>
        <w:tc>
          <w:tcPr>
            <w:tcW w:w="1324"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Decizia privind examinarea</w:t>
            </w:r>
          </w:p>
        </w:tc>
        <w:tc>
          <w:tcPr>
            <w:tcW w:w="2563" w:type="dxa"/>
            <w:shd w:val="clear" w:color="auto" w:fill="F2F2F2" w:themeFill="background1" w:themeFillShade="F2"/>
            <w:tcMar>
              <w:top w:w="70" w:type="dxa"/>
              <w:left w:w="60" w:type="dxa"/>
              <w:bottom w:w="70" w:type="dxa"/>
              <w:right w:w="60" w:type="dxa"/>
            </w:tcMar>
            <w:vAlign w:val="center"/>
          </w:tcPr>
          <w:p w:rsidR="003D4EB2" w:rsidRPr="000276C0" w:rsidRDefault="003B74FB" w:rsidP="000276C0">
            <w:pPr>
              <w:jc w:val="center"/>
              <w:rPr>
                <w:rFonts w:asciiTheme="minorHAnsi" w:hAnsiTheme="minorHAnsi"/>
                <w:sz w:val="22"/>
                <w:lang w:val="ro-MO"/>
              </w:rPr>
            </w:pPr>
            <w:r w:rsidRPr="000276C0">
              <w:rPr>
                <w:rFonts w:asciiTheme="minorHAnsi" w:hAnsiTheme="minorHAnsi"/>
                <w:b/>
                <w:sz w:val="22"/>
                <w:lang w:val="ro-MO"/>
              </w:rPr>
              <w:t>Observații, după caz</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Oamenii au susținut, în majoritate, intrarea într-o primărie mai mare.</w:t>
            </w:r>
            <w:bookmarkStart w:id="0" w:name="_GoBack"/>
            <w:bookmarkEnd w:id="0"/>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35 din 52 de răspunsuri sunt „Da”.</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ia act de susținerea exprimată și se recomandă continuarea procedurii, cu explicarea clară a pașilor următori.</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Sprijinul trebuie legat de măsuri concrete în Viziune și în planul de acțiuni.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Unele persoane nu sunt sigure sau nu susțin amalgamarea.</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Au fost 6 răspunsuri „Nu” și 11 răspunsuri „Nu știu / Nu pot aprecia”.</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informare suplimentară, pe întrebări simple: ce se schimbă, unde se primesc serviciile și ce investiții sunt posibile.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informare</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Răspunsurile de rezervă trebuie tratate ca nevoie de explicații, nu ca simplă opoziție.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3</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Oamenii au fost întrebați dacă cele trei UAT pot realiza împreună proiecte mai eficiente.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Răspunsurile sunt împărțite: există susținere, dar și rezerve sau neclarități.</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prezentarea avantajelor prin exemple practice: drumuri, apă/canalizare, deșeuri, servicii administrative și atragerea finanțărilor.</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informare</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Mesajul public trebuie să fie concret și verificabil.</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lastRenderedPageBreak/>
              <w:t>4</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Centrul administrativ să rămână la Țînțăreni.</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Mai mulți locuitori au întrebat unde va fi centrul administrativ al viitoarei UAT.</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explică faptul că GLC a propus Țînțăreni ca centru administrativ. Această propunere se include în materialele de consultare și în proiectul de decizie.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Centrul administrativ nu exclude servicii locale în Chirca și Cobusca Nouă.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5</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clar dacă Chirca și Cobusca Nouă sunt de acord cu procesul.</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Locuitorii au solicitat informații privind acordul celorlalte UAT participante.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explică faptul că cele trei UAT au inițiat/acceptat procesul, iar GLC activează în baza deciziilor consiliilor locale.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informare</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Documentele GLC și deciziile consiliilor se păstrează în dosarul procesului.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6</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explicat impactul amalgamării asupra serviciilor publice.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Oamenii au cerut să înțeleagă ce se va întâmpla cu serviciile după reorganizare.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comunicare pe servicii concrete: acte, audiențe, servicii sociale, apă, drumuri, deșeuri și acces la informație.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Explicațiile trebuie date în limbaj simplu, fără termeni tehnici inutili.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7</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explicate beneficiile pentru comuna Țînțăreni.</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Locuitorii au întrebat ce câștigă comuna în urma procesului.</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explică faptul că beneficiile urmărite sunt o administrație mai puternică, proiecte mai mari, servicii mai bine organizate și acces la finanțări.</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informare</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Nu se promit efecte imediate; se explică etapele realiste.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8</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clar dacă primăriile existente vor continua să activeze.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Participanții au ridicat întrebări privind activitatea primăriilor după amalgamare.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explică faptul că organizarea administrativă se va stabili conform legii și deciziilor ulterioare, iar accesul la servicii trebuie păstrat prin puncte locale, audiențe și informare.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informare</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Tema trebuie explicată repetat în comunicarea publică.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9</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GLC / Viziune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Denumirea de lucru „Satul Nou” trebuie explicată oamenilor.</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Denumirea a fost propusă pentru a nu favoriza o singură localitate.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explicarea faptului că denumirea este de lucru, iar denumirile localităților Țînțăreni, Crețoaia, Chirca, Botnăreștii Noi și Cobusca Nouă se păstrează.</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Confirmarea finală a denumirii aparține consiliilor locale, conform legii.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10</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Canalizarea și apa trebuie să fie prioritare.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21 din 52 de respondenți au indicat lipsa accesului la apă și canalizare ca problemă prioritară.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Propunerea se acceptă ca prioritate majoră. Se recomandă includerea în Viziune a etapizării canalizării, soluției de epurare și modernizării rețelelor de apă.</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Este una dintre cele mai importante teme pentru comuna Țînțăreni.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lastRenderedPageBreak/>
              <w:t>11</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conectate cât mai multe gospodării la canalizarea centralizată.</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Mai multe răspunsuri menționează lipsa canalizării, costul golirii gropilor și necesitatea unui sat mai modern.</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planificarea tehnică pe etape: documentații, zone prioritare, devize, finanțare și implementare graduală.</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Realizarea integrală depinde de proiecte tehnice și surse de finanțare.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12</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Viziune / notițe de lucru</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finalizată infrastructura de canalizare și soluția de epurare pentru Țînțăreni.</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În materialele de lucru se menționează finalizarea unui sector și necesitatea stației/soluției de epurare.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includerea expresă în portofoliul de proiecte al viitoarei UAT: canalizare, epurare și etapizare tehnică.</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Necesită verificarea stadiului tehnic al documentațiilor și proiectelor.</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13</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Crețoaia / Viziune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Crețoaia trebuie inclusă separat în planificarea pentru apă și canalizare.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În Viziune se menționează că satul Crețoaia are nevoie de soluții tehnico-edilitare și acces local mai bun.</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ca planul de acțiuni să includă măsuri distincte pentru Crețoaia, nu doar pentru satul Țînțăreni.</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Important pentru echitate între localitățile componente.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14</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Apa trebuie să fie sigură, cu presiune mai bună și calitate mai bună.</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Unele răspunsuri menționează apă tehnică, apă murdară vara și presiune mică.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verificarea rețelelor, surselor, presiunii, calității apei și includerea măsurilor de modernizare în Viziune.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Necesită verificări tehnice și coordonare cu operatorul/serviciul responsabil.</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15</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Drumurile locale trebuie reparate și modernizate.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21 din 52 de respondenți au indicat drumurile ca problemă prioritară.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Propunerea se acceptă ca prioritate majoră. Se recomandă program multianual de reparație a drumurilor locale, cu prioritate pentru străzi circulate, instituții și zone locuite.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Drumurile sunt a doua temă dominantă, la același nivel numeric cu apa/canalizarea.</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16</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Drumurile afectate după ploaie și cu gropi trebuie reparate.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Oamenii menționează dificultăți de circulație, gropi și acces greu după ploaie.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inventarierea străzilor problematice și stabilirea unei liste de intervenții pe termen scurt și mediu.</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Necesită verificare pe teren și devize de lucrări.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17</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Sectorul Livada</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Sectorul Livada are nevoie de drumuri, urbanizare și condiții sigure pentru familii.</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 răspuns menționează că zona se dezvoltă și are multe familii tinere și copii.</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examinarea sectorului Livada separat în lista de drumuri, iluminat, acces și spații publice.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va include după verificarea situației din teren.</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lastRenderedPageBreak/>
              <w:t>18</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Observații din chestionar</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analizate zonele „Mojil”, „Livada” și alte sectoare unde drumurile nu sunt reparate.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În răspunsuri apar referiri la sectoare concrete și nemulțumiri față de lucrări amânate.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o listă publică de străzi/sectoare prioritare, cu termen orientativ și sursă posibilă de finanțare.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analiză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Formulările au fost consolidate fără a publica date personale.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19</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Traseul central</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amenajat trotuar de-a lungul traseului central.</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 răspuns indică necesitatea unui trotuar pentru deplasare sigură.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examinarea tehnică a tronsonului, inclusiv siguranța pietonilor, lățimea disponibilă și costurile.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Poate fi inclus în programul de mobilitate locală și siguranță rutieră.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20</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Intrările în sat</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Intrările în localitate trebuie reparate, semnalizate și iluminate.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 răspuns menționează intrări înguste, cu gropi, fără semnalizare și fără iluminat.</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verificarea intrărilor în localitate și includerea măsurilor de reparație, indicatoare și iluminat în planul de acțiuni.</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Necesită coordonare în funcție de categoria drumului.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21</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Viziune / legături între sate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Trebuie îmbunătățită legătura rutieră dintre Țînțăreni, Crețoaia, Chirca, Botnăreștii Noi și Cobusca Nouă.</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Viziunea pune accent pe drumuri, mobilitate locală și acces sigur între localități.</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includerea drumurilor de legătură în portofoliul de proiecte al viitoarei UAT.</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Legătura Chirca - Țînțăreni este menționată ca problemă intercomunitară importantă.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22</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 online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Serviciul de salubrizare trebuie să fie mai funcțional.</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3 respondenți au indicat lipsa unui serviciu local de salubrizare eficient, iar tema apare și în Viziune.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organizarea unui serviciu intercomunitar de salubrizare pentru cele cinci sate, cu rute, grafic și responsabilități clare.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Tema se corelează cu prioritatea „deșeuri, mediu și servicii comunale”.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23</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Viziune / notițe de lucru</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Serviciul de deșeuri trebuie să aibă personal, echipamente și contracte clare.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În notițe se menționează că la Țînțăreni există unitate creată, dar fără persoană angajată.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clarificarea statutului serviciului, identificarea personalului necesar și a modului de finanțare.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Necesită decizie administrativă, buget și organizare tehnică.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24</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Deșeuri și mediu</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Trebuie prevenite gunoiștile neautorizate și îmbunătățită curățenia locală.</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Viziunea recomandă un sistem comun de deșeuri, colectare selectivă și monitorizare.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identificarea locurilor problematice, curățare, informare publică și reguli clare pentru gospodării.</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implementează etapizat, împreună cu serviciul comun de salubrizare.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lastRenderedPageBreak/>
              <w:t>25</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Observații din chestionar</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Sistemul de energie electrică trebuie modernizat în anumite zone.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 răspuns menționează cabluri vechi, transformatoare slabe și probleme în zona alimentată de la cimitir.</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ia act și se recomandă transmiterea problemei către operatorul de distribuție, cu solicitarea verificării tehnice.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transmitere</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APL poate sesiza operatorul, dar nu gestionează direct rețeaua electrică.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26</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Spații pentru copii</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Terenurile de joacă și zonele pentru copii trebuie amenajate.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În chestionar apar solicitări privind teren de joacă, mai mulți copaci și spații mai bune pentru copii.</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includerea unor intervenții mici și vizibile: terenuri de joacă, umbrire, bănci, coșuri, iluminat și siguranță.</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parțial</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Poate fi realizată prin proiecte mici, contribuții locale sau parteneriate.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27</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Spații publice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Terenul/spațiile publice din sat trebuie îngrijite și valorificate.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Un răspuns exprimă nemulțumire că anumite terenuri/spații nu au fost amenajate de mai mult timp.</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inventarierea spațiilor publice și stabilirea unei liste de intervenții ușor de comunicat locuitorilor.</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 pentru analiză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Necesită verificarea statutului juridic al terenurilor.</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28</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Serviciile sociale trebuie menținute în localitate.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Participanții au propus menținerea serviciilor sociale după amalgamare.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acceptă ca principiu. Reorganizarea administrativă nu trebuie să reducă accesul la servicii sociale pentru vârstnici, persoane vulnerabile, copii și familii.</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corelează cu principiul serviciilor aproape de oameni.</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29</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Adunarea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Problemele comunei Țînțăreni trebuie incluse în lista de priorități investiționale.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Participanții au cerut ca problemele localității să nu fie pierdute în agenda comună.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ca Viziunea și planul de acțiuni să includă măsuri vizibile pentru Țînțăreni și Crețoaia.</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Fiecare localitate trebuie să aibă cel puțin câteva măsuri clare și urmărite public.</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30</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Informare publică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Cetățenii trebuie informați regulat despre deciziile legate de amalgamare.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Propunerea a fost formulată în adunarea publică și este importantă pentru încrederea locuitorilor.</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informare periodică prin panouri, pagina primăriei, ședințe, materiale scurte și răspunsuri la întrebări frecvente.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Comunicarea trebuie să fie simplă și constantă.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31</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Transparență</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Rezultatele consultărilor și tabela de sinteză trebuie publicate.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Participanții au propus publicarea rezultatelor și a tabelei de sinteză.</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acceptă. Tabela de sinteză se utilizează ca anexă la dosarul consultării publice și poate fi publicată împreună cu materialele relevante.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Datele personale nu se publică.</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lastRenderedPageBreak/>
              <w:t>32</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Monitorizare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Să fie urmărit public ce propuneri au fost preluate și ce se realizează.</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Încrederea depinde de urmărirea rezultatelor, nu doar de colectarea propunerilor.</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o listă simplă de monitorizare: măsură, responsabil, termen, statut și sursă de finanțare.</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Poate fi aplicată după aprobarea documentelor finale.</w:t>
            </w:r>
          </w:p>
        </w:tc>
      </w:tr>
      <w:tr w:rsidR="003D4EB2" w:rsidRPr="000276C0" w:rsidTr="000276C0">
        <w:trPr>
          <w:cantSplit/>
          <w:jc w:val="center"/>
        </w:trPr>
        <w:tc>
          <w:tcPr>
            <w:tcW w:w="619"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b/>
                <w:sz w:val="22"/>
                <w:lang w:val="ro-MO"/>
              </w:rPr>
              <w:t>33</w:t>
            </w:r>
          </w:p>
        </w:tc>
        <w:tc>
          <w:tcPr>
            <w:tcW w:w="16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Concluzie de consultare</w:t>
            </w:r>
          </w:p>
        </w:tc>
        <w:tc>
          <w:tcPr>
            <w:tcW w:w="3240"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Rezultatele pentru Țînțăreni trebuie integrate în Viziune și în proiectul de decizie.</w:t>
            </w:r>
          </w:p>
        </w:tc>
        <w:tc>
          <w:tcPr>
            <w:tcW w:w="2376"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Chestionarul și adunarea publică confirmă priorități clare: apă/canalizare, drumuri, salubrizare, servicii sociale, informare și investiții echilibrate.</w:t>
            </w:r>
          </w:p>
        </w:tc>
        <w:tc>
          <w:tcPr>
            <w:tcW w:w="348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Se recomandă utilizarea prezentei sinteze ca anexă la dosarul consultării și ca bază pentru definitivarea documentelor privind amalgamarea voluntară.</w:t>
            </w:r>
          </w:p>
        </w:tc>
        <w:tc>
          <w:tcPr>
            <w:tcW w:w="1324"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Acceptată</w:t>
            </w:r>
          </w:p>
        </w:tc>
        <w:tc>
          <w:tcPr>
            <w:tcW w:w="2563" w:type="dxa"/>
            <w:shd w:val="clear" w:color="auto" w:fill="auto"/>
            <w:tcMar>
              <w:top w:w="55" w:type="dxa"/>
              <w:left w:w="55" w:type="dxa"/>
              <w:bottom w:w="55" w:type="dxa"/>
              <w:right w:w="55" w:type="dxa"/>
            </w:tcMar>
          </w:tcPr>
          <w:p w:rsidR="003D4EB2" w:rsidRPr="000276C0" w:rsidRDefault="003B74FB" w:rsidP="000276C0">
            <w:pPr>
              <w:rPr>
                <w:rFonts w:asciiTheme="minorHAnsi" w:hAnsiTheme="minorHAnsi"/>
                <w:sz w:val="22"/>
                <w:lang w:val="ro-MO"/>
              </w:rPr>
            </w:pPr>
            <w:r w:rsidRPr="000276C0">
              <w:rPr>
                <w:rFonts w:asciiTheme="minorHAnsi" w:hAnsiTheme="minorHAnsi"/>
                <w:sz w:val="22"/>
                <w:lang w:val="ro-MO"/>
              </w:rPr>
              <w:t>Tabela consolidează propunerile fără publicarea datelor personale și fără dublarea chestionarelor.</w:t>
            </w:r>
          </w:p>
        </w:tc>
      </w:tr>
    </w:tbl>
    <w:p w:rsidR="000276C0" w:rsidRDefault="000276C0" w:rsidP="000276C0">
      <w:pPr>
        <w:spacing w:after="0" w:line="240" w:lineRule="auto"/>
        <w:rPr>
          <w:rFonts w:asciiTheme="minorHAnsi" w:hAnsiTheme="minorHAnsi"/>
          <w:b/>
          <w:sz w:val="22"/>
          <w:lang w:val="ro-MO"/>
        </w:rPr>
      </w:pPr>
    </w:p>
    <w:p w:rsidR="003D4EB2" w:rsidRPr="000276C0" w:rsidRDefault="003B74FB" w:rsidP="000276C0">
      <w:pPr>
        <w:spacing w:after="0" w:line="240" w:lineRule="auto"/>
        <w:jc w:val="center"/>
        <w:rPr>
          <w:rFonts w:asciiTheme="minorHAnsi" w:hAnsiTheme="minorHAnsi"/>
          <w:b/>
          <w:sz w:val="24"/>
          <w:lang w:val="ro-MO"/>
        </w:rPr>
      </w:pPr>
      <w:r w:rsidRPr="000276C0">
        <w:rPr>
          <w:rFonts w:asciiTheme="minorHAnsi" w:hAnsiTheme="minorHAnsi"/>
          <w:b/>
          <w:sz w:val="24"/>
          <w:lang w:val="ro-MO"/>
        </w:rPr>
        <w:t>Concluzie finală</w:t>
      </w:r>
    </w:p>
    <w:p w:rsidR="000276C0" w:rsidRPr="000276C0" w:rsidRDefault="000276C0" w:rsidP="000276C0">
      <w:pPr>
        <w:spacing w:after="0" w:line="240" w:lineRule="auto"/>
        <w:jc w:val="center"/>
        <w:rPr>
          <w:rFonts w:asciiTheme="minorHAnsi" w:hAnsiTheme="minorHAnsi"/>
          <w:sz w:val="22"/>
          <w:lang w:val="ro-MO"/>
        </w:rPr>
      </w:pPr>
    </w:p>
    <w:p w:rsidR="00B93D5B" w:rsidRPr="000276C0" w:rsidRDefault="00B93D5B" w:rsidP="000276C0">
      <w:pPr>
        <w:pStyle w:val="pdq2pgselectionanchorcontainer"/>
        <w:spacing w:before="0" w:beforeAutospacing="0" w:after="0" w:afterAutospacing="0"/>
        <w:ind w:firstLine="567"/>
        <w:jc w:val="both"/>
        <w:rPr>
          <w:rFonts w:asciiTheme="minorHAnsi" w:hAnsiTheme="minorHAnsi"/>
          <w:szCs w:val="22"/>
          <w:lang w:val="ro-MO"/>
        </w:rPr>
      </w:pPr>
      <w:r w:rsidRPr="000276C0">
        <w:rPr>
          <w:rFonts w:asciiTheme="minorHAnsi" w:hAnsiTheme="minorHAnsi"/>
          <w:szCs w:val="22"/>
          <w:lang w:val="ro-MO"/>
        </w:rPr>
        <w:t>Pentru comuna Țînțăreni, procesul de consultare publică a inclus</w:t>
      </w:r>
      <w:r w:rsidRPr="000276C0">
        <w:rPr>
          <w:rFonts w:asciiTheme="minorHAnsi" w:hAnsiTheme="minorHAnsi"/>
          <w:b/>
          <w:szCs w:val="22"/>
          <w:lang w:val="ro-MO"/>
        </w:rPr>
        <w:t xml:space="preserve"> </w:t>
      </w:r>
      <w:r w:rsidRPr="000276C0">
        <w:rPr>
          <w:rStyle w:val="Strong"/>
          <w:rFonts w:asciiTheme="minorHAnsi" w:hAnsiTheme="minorHAnsi"/>
          <w:b w:val="0"/>
          <w:szCs w:val="22"/>
          <w:lang w:val="ro-MO"/>
        </w:rPr>
        <w:t>83 de participări/răspunsuri</w:t>
      </w:r>
      <w:r w:rsidRPr="000276C0">
        <w:rPr>
          <w:rFonts w:asciiTheme="minorHAnsi" w:hAnsiTheme="minorHAnsi"/>
          <w:szCs w:val="22"/>
          <w:lang w:val="ro-MO"/>
        </w:rPr>
        <w:t>, dintre care</w:t>
      </w:r>
      <w:r w:rsidRPr="000276C0">
        <w:rPr>
          <w:rFonts w:asciiTheme="minorHAnsi" w:hAnsiTheme="minorHAnsi"/>
          <w:b/>
          <w:szCs w:val="22"/>
          <w:lang w:val="ro-MO"/>
        </w:rPr>
        <w:t xml:space="preserve"> </w:t>
      </w:r>
      <w:r w:rsidRPr="000276C0">
        <w:rPr>
          <w:rStyle w:val="Strong"/>
          <w:rFonts w:asciiTheme="minorHAnsi" w:hAnsiTheme="minorHAnsi"/>
          <w:b w:val="0"/>
          <w:szCs w:val="22"/>
          <w:lang w:val="ro-MO"/>
        </w:rPr>
        <w:t>52 de răspunsuri au fost colectate prin chestionarul online</w:t>
      </w:r>
      <w:r w:rsidRPr="000276C0">
        <w:rPr>
          <w:rFonts w:asciiTheme="minorHAnsi" w:hAnsiTheme="minorHAnsi"/>
          <w:szCs w:val="22"/>
          <w:lang w:val="ro-MO"/>
        </w:rPr>
        <w:t xml:space="preserve">, iar </w:t>
      </w:r>
      <w:r w:rsidRPr="000276C0">
        <w:rPr>
          <w:rStyle w:val="Strong"/>
          <w:rFonts w:asciiTheme="minorHAnsi" w:hAnsiTheme="minorHAnsi"/>
          <w:b w:val="0"/>
          <w:szCs w:val="22"/>
          <w:lang w:val="ro-MO"/>
        </w:rPr>
        <w:t>31 de persoane au participat la adunarea publică organizată la data de 1 iulie 2026</w:t>
      </w:r>
      <w:r w:rsidRPr="000276C0">
        <w:rPr>
          <w:rFonts w:asciiTheme="minorHAnsi" w:hAnsiTheme="minorHAnsi"/>
          <w:b/>
          <w:szCs w:val="22"/>
          <w:lang w:val="ro-MO"/>
        </w:rPr>
        <w:t>.</w:t>
      </w:r>
      <w:r w:rsidRPr="000276C0">
        <w:rPr>
          <w:rFonts w:asciiTheme="minorHAnsi" w:hAnsiTheme="minorHAnsi"/>
          <w:szCs w:val="22"/>
          <w:lang w:val="ro-MO"/>
        </w:rPr>
        <w:t xml:space="preserve"> Propunerile formulate de locuitori vizează în special </w:t>
      </w:r>
      <w:r w:rsidRPr="000276C0">
        <w:rPr>
          <w:rFonts w:asciiTheme="minorHAnsi" w:hAnsiTheme="minorHAnsi"/>
          <w:b/>
          <w:szCs w:val="22"/>
          <w:lang w:val="ro-MO"/>
        </w:rPr>
        <w:t>menținerea centrului administrativ la Țînțăreni, repararea drumurilor locale, finalizarea și extinderea infrastructurii de apă și canalizare, păstrarea serviciilor sociale în localitate, informarea regulată a cetățenilor</w:t>
      </w:r>
      <w:r w:rsidRPr="000276C0">
        <w:rPr>
          <w:rFonts w:asciiTheme="minorHAnsi" w:hAnsiTheme="minorHAnsi"/>
          <w:szCs w:val="22"/>
          <w:lang w:val="ro-MO"/>
        </w:rPr>
        <w:t xml:space="preserve"> și includerea problemelor comunei Țînțăreni în lista priorităților investiționale ale viitoarei UAT amalgamate.</w:t>
      </w:r>
    </w:p>
    <w:p w:rsidR="00B93D5B" w:rsidRPr="000276C0" w:rsidRDefault="00B93D5B" w:rsidP="000276C0">
      <w:pPr>
        <w:pStyle w:val="NormalWeb"/>
        <w:spacing w:before="0" w:beforeAutospacing="0" w:after="0" w:afterAutospacing="0"/>
        <w:ind w:firstLine="567"/>
        <w:jc w:val="both"/>
        <w:rPr>
          <w:rFonts w:asciiTheme="minorHAnsi" w:hAnsiTheme="minorHAnsi"/>
          <w:szCs w:val="22"/>
          <w:lang w:val="ro-MO"/>
        </w:rPr>
      </w:pPr>
      <w:r w:rsidRPr="000276C0">
        <w:rPr>
          <w:rFonts w:asciiTheme="minorHAnsi" w:hAnsiTheme="minorHAnsi"/>
          <w:szCs w:val="22"/>
          <w:lang w:val="ro-MO"/>
        </w:rPr>
        <w:t>În urma examinării materialelor, se constată că locuitorii solicită ca procesul de amalgamare să fie explicat prin măsuri concrete și verificabile: servicii accesibile, investiții echilibrate, drumuri mai bune, infrastructură edilitară funcțională și comunicare publică permanentă. Prezenta tabelă urmează a fi utilizată ca anexă la dosarul consultării publice și ca document de lucru pentru definitivarea Viziunii și a proiectului de decizie privind amalgamarea voluntară.</w:t>
      </w:r>
    </w:p>
    <w:p w:rsidR="003D4EB2" w:rsidRPr="000276C0" w:rsidRDefault="003D4EB2" w:rsidP="000276C0">
      <w:pPr>
        <w:spacing w:after="0" w:line="240" w:lineRule="auto"/>
        <w:ind w:firstLine="567"/>
        <w:jc w:val="both"/>
        <w:rPr>
          <w:rFonts w:asciiTheme="minorHAnsi" w:hAnsiTheme="minorHAnsi"/>
          <w:sz w:val="24"/>
          <w:lang w:val="ro-MO"/>
        </w:rPr>
      </w:pPr>
    </w:p>
    <w:sectPr w:rsidR="003D4EB2" w:rsidRPr="000276C0" w:rsidSect="000276C0">
      <w:pgSz w:w="16834" w:h="11909" w:orient="landscape"/>
      <w:pgMar w:top="504" w:right="674" w:bottom="50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64A" w:rsidRDefault="007F064A">
      <w:pPr>
        <w:spacing w:after="0" w:line="240" w:lineRule="auto"/>
      </w:pPr>
      <w:r>
        <w:separator/>
      </w:r>
    </w:p>
  </w:endnote>
  <w:endnote w:type="continuationSeparator" w:id="0">
    <w:p w:rsidR="007F064A" w:rsidRDefault="007F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64A" w:rsidRDefault="007F064A">
      <w:pPr>
        <w:spacing w:after="0" w:line="240" w:lineRule="auto"/>
      </w:pPr>
      <w:r>
        <w:separator/>
      </w:r>
    </w:p>
  </w:footnote>
  <w:footnote w:type="continuationSeparator" w:id="0">
    <w:p w:rsidR="007F064A" w:rsidRDefault="007F06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76C0"/>
    <w:rsid w:val="00034616"/>
    <w:rsid w:val="0006063C"/>
    <w:rsid w:val="0015074B"/>
    <w:rsid w:val="0029639D"/>
    <w:rsid w:val="00326F90"/>
    <w:rsid w:val="003B74FB"/>
    <w:rsid w:val="003D4EB2"/>
    <w:rsid w:val="007F064A"/>
    <w:rsid w:val="00AA1D8D"/>
    <w:rsid w:val="00B47730"/>
    <w:rsid w:val="00B93D5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B93D5B"/>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B93D5B"/>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unhideWhenUsed/>
    <w:rsid w:val="00027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6C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B93D5B"/>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B93D5B"/>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unhideWhenUsed/>
    <w:rsid w:val="00027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6C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9178">
      <w:bodyDiv w:val="1"/>
      <w:marLeft w:val="0"/>
      <w:marRight w:val="0"/>
      <w:marTop w:val="0"/>
      <w:marBottom w:val="0"/>
      <w:divBdr>
        <w:top w:val="none" w:sz="0" w:space="0" w:color="auto"/>
        <w:left w:val="none" w:sz="0" w:space="0" w:color="auto"/>
        <w:bottom w:val="none" w:sz="0" w:space="0" w:color="auto"/>
        <w:right w:val="none" w:sz="0" w:space="0" w:color="auto"/>
      </w:divBdr>
    </w:div>
    <w:div w:id="691343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3A1C3-CE30-4E91-8B66-F2F55C36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2381</Words>
  <Characters>13577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VR</cp:lastModifiedBy>
  <cp:revision>4</cp:revision>
  <cp:lastPrinted>2026-07-16T09:09:00Z</cp:lastPrinted>
  <dcterms:created xsi:type="dcterms:W3CDTF">2013-12-23T23:15:00Z</dcterms:created>
  <dcterms:modified xsi:type="dcterms:W3CDTF">2026-07-16T09:09:00Z</dcterms:modified>
  <cp:category/>
</cp:coreProperties>
</file>