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color w:val="737373"/>
          <w:spacing w:val="20"/>
          <w:sz w:val="16"/>
          <w:szCs w:val="16"/>
        </w:rPr>
        <w:t xml:space="preserve">REPUBLICA MOLDOVA · REFORMA APL · AMALGAMARE VOLUNTARĂ</w:t>
      </w:r>
    </w:p>
    <w:p>
      <w:pPr>
        <w:spacing w:after="60"/>
        <w:jc w:val="center"/>
      </w:pPr>
      <w:r>
        <w:rPr>
          <w:b/>
          <w:bCs/>
          <w:color w:val="1A1A1A"/>
          <w:sz w:val="32"/>
          <w:szCs w:val="32"/>
        </w:rPr>
        <w:t xml:space="preserve">Viziunea cu privire la viitorul UAT</w:t>
      </w:r>
    </w:p>
    <w:p>
      <w:pPr>
        <w:pBdr>
          <w:bottom w:val="single" w:color="1a1a1a" w:sz="8"/>
        </w:pBdr>
        <w:spacing w:after="160"/>
        <w:jc w:val="center"/>
      </w:pPr>
      <w:r>
        <w:rPr>
          <w:color w:val="444444"/>
          <w:sz w:val="22"/>
          <w:szCs w:val="22"/>
        </w:rPr>
        <w:t xml:space="preserve">Ciocîlteni, Clișova, Suhuluceni, Coropceni</w:t>
      </w:r>
    </w:p>
    <w:p>
      <w:pPr>
        <w:spacing w:after="80"/>
      </w:pPr>
      <w:r>
        <w:rPr>
          <w:b/>
          <w:bCs/>
        </w:rPr>
        <w:t xml:space="preserve">Raion: </w:t>
      </w:r>
      <w:r>
        <w:t xml:space="preserve">Orhei</w:t>
      </w:r>
      <w:r>
        <w:t xml:space="preserve">  |  </w:t>
      </w:r>
      <w:r>
        <w:rPr>
          <w:b/>
          <w:bCs/>
        </w:rPr>
        <w:t xml:space="preserve">Populație: </w:t>
      </w:r>
      <w:r>
        <w:t xml:space="preserve">4.571 loc.</w:t>
      </w:r>
      <w:r>
        <w:t xml:space="preserve">  |  </w:t>
      </w:r>
      <w:r>
        <w:rPr>
          <w:b/>
          <w:bCs/>
        </w:rPr>
        <w:t xml:space="preserve">Data: </w:t>
      </w:r>
      <w:r>
        <w:t xml:space="preserve">8 iulie 2026</w:t>
      </w:r>
      <w:r>
        <w:t xml:space="preserve">  |  </w:t>
      </w:r>
      <w:r>
        <w:rPr>
          <w:b/>
          <w:bCs/>
        </w:rPr>
        <w:t xml:space="preserve">Facilitator: </w:t>
      </w:r>
      <w:r>
        <w:t xml:space="preserve">Cazacu Nelea, Oleg Ivancioglo</w:t>
      </w:r>
    </w:p>
    <w:p>
      <w:pPr>
        <w:pStyle w:val="Heading1"/>
        <w:pBdr>
          <w:bottom w:val="single" w:color="E5E5E5" w:sz="4"/>
        </w:pBdr>
        <w:spacing w:after="120" w:before="240"/>
      </w:pPr>
      <w:r>
        <w:t xml:space="preserve">1. Profilul comunității</w:t>
      </w:r>
    </w:p>
    <w:p>
      <w:pPr>
        <w:spacing w:after="80"/>
      </w:pPr>
      <w:r>
        <w:rPr>
          <w:b/>
          <w:bCs/>
        </w:rPr>
        <w:t xml:space="preserve">Localități: </w:t>
      </w:r>
      <w:r>
        <w:t xml:space="preserve">Ciocîlteni, Clișova, Suhuluceni, Coropceni</w:t>
      </w:r>
    </w:p>
    <w:p>
      <w:pPr>
        <w:spacing w:after="80"/>
      </w:pPr>
      <w:r>
        <w:rPr>
          <w:b/>
          <w:bCs/>
        </w:rPr>
        <w:t xml:space="preserve">Gospodării: </w:t>
      </w:r>
      <w:r>
        <w:t xml:space="preserve">2567</w:t>
      </w:r>
      <w:r>
        <w:t xml:space="preserve">  ·  </w:t>
      </w:r>
      <w:r>
        <w:rPr>
          <w:b/>
          <w:bCs/>
        </w:rPr>
        <w:t xml:space="preserve">Suprafață: </w:t>
      </w:r>
      <w:r>
        <w:t xml:space="preserve">99.56 km²</w:t>
      </w:r>
      <w:r>
        <w:t xml:space="preserve">  ·  </w:t>
      </w:r>
      <w:r>
        <w:rPr>
          <w:b/>
          <w:bCs/>
        </w:rPr>
        <w:t xml:space="preserve">Km drum total: </w:t>
      </w:r>
      <w:r>
        <w:t xml:space="preserve">86.03</w:t>
      </w:r>
    </w:p>
    <w:p>
      <w:pPr>
        <w:pStyle w:val="Heading1"/>
        <w:pBdr>
          <w:bottom w:val="single" w:color="E5E5E5" w:sz="4"/>
        </w:pBdr>
        <w:spacing w:after="120" w:before="240"/>
      </w:pPr>
      <w:r>
        <w:t xml:space="preserve">2. Harta serviciilor — pe fiecare UAT</w:t>
      </w:r>
    </w:p>
    <w:p>
      <w:pPr>
        <w:pStyle w:val="Heading2"/>
        <w:spacing w:after="80" w:before="200"/>
      </w:pPr>
      <w:r>
        <w:t xml:space="preserve">Ciocîlteni</w:t>
      </w:r>
    </w:p>
    <w:tbl>
      <w:tblPr>
        <w:tblW w:type="dxa" w:w="900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6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Serviciu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Nivel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Rețea de apă potabilă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4/5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Canalizare publică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2/5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Drumuri asfaltate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3/5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Drumuri pietruite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3/5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Transport public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2/5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Iluminat stradal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5/5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Grădiniță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5/5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Teren de sport / loc de joacă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4/5</w:t>
            </w:r>
          </w:p>
        </w:tc>
      </w:tr>
      <w:tr>
        <w:tc>
          <w:tcPr>
            <w:tcW w:type="dxa" w:w="6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Colectare deșeuri solide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Nivel 2/5</w:t>
            </w:r>
          </w:p>
        </w:tc>
      </w:tr>
    </w:tbl>
    <w:p>
      <w:pPr>
        <w:spacing w:after="80"/>
      </w:pPr>
      <w:r>
        <w:rPr>
          <w:i/>
          <w:iCs/>
        </w:rPr>
        <w:t xml:space="preserve">Observație: Lipsa sistemului de canalizare la toate UAT, 
2 UAT lipsa sistemului de apeduct,
4 UAT- prezența drumurilor deplorabile.</w:t>
      </w:r>
    </w:p>
    <w:p>
      <w:pPr>
        <w:pStyle w:val="Heading1"/>
        <w:pBdr>
          <w:bottom w:val="single" w:color="E5E5E5" w:sz="4"/>
        </w:pBdr>
        <w:spacing w:after="120" w:before="240"/>
      </w:pPr>
      <w:r>
        <w:t xml:space="preserve">3. Priorități comune (5)</w:t>
      </w:r>
    </w:p>
    <w:tbl>
      <w:tblPr>
        <w:tblW w:type="dxa" w:w="900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#</w:t>
            </w:r>
          </w:p>
        </w:tc>
        <w:tc>
          <w:tcPr>
            <w:tcW w:type="dxa" w:w="83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Prioritate</w:t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1</w:t>
            </w:r>
          </w:p>
        </w:tc>
        <w:tc>
          <w:tcPr>
            <w:tcW w:type="dxa" w:w="83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Canalizare și sanitație publică</w:t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2</w:t>
            </w:r>
          </w:p>
        </w:tc>
        <w:tc>
          <w:tcPr>
            <w:tcW w:type="dxa" w:w="83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Reabilitarea drumurilor și infrastructurii rutiere</w:t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3</w:t>
            </w:r>
          </w:p>
        </w:tc>
        <w:tc>
          <w:tcPr>
            <w:tcW w:type="dxa" w:w="83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Extinderea rețelei de apă potabilă</w:t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4</w:t>
            </w:r>
          </w:p>
        </w:tc>
        <w:tc>
          <w:tcPr>
            <w:tcW w:type="dxa" w:w="83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Gestionarea deșeurilor solide</w:t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5</w:t>
            </w:r>
          </w:p>
        </w:tc>
        <w:tc>
          <w:tcPr>
            <w:tcW w:type="dxa" w:w="83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Iluminat stradal</w:t>
            </w:r>
          </w:p>
        </w:tc>
      </w:tr>
    </w:tbl>
    <w:p>
      <w:pPr>
        <w:pStyle w:val="Heading1"/>
        <w:pBdr>
          <w:bottom w:val="single" w:color="E5E5E5" w:sz="4"/>
        </w:pBdr>
        <w:spacing w:after="120" w:before="240"/>
      </w:pPr>
      <w:r>
        <w:t xml:space="preserve">4. Priorități specifice per localitate</w:t>
      </w:r>
    </w:p>
    <w:tbl>
      <w:tblPr>
        <w:tblW w:type="dxa" w:w="900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>
        <w:tc>
          <w:tcPr>
            <w:tcW w:type="dxa" w:w="3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Localitate</w:t>
            </w:r>
          </w:p>
        </w:tc>
        <w:tc>
          <w:tcPr>
            <w:tcW w:type="dxa" w:w="6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Priorități specifice</w:t>
            </w:r>
          </w:p>
        </w:tc>
      </w:tr>
      <w:tr>
        <w:tc>
          <w:tcPr>
            <w:tcW w:type="dxa" w:w="30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Ciocîlteni</w:t>
            </w:r>
          </w:p>
        </w:tc>
        <w:tc>
          <w:tcPr>
            <w:tcW w:type="dxa" w:w="60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Reabilitarea Casei de Cultură,
Crearea unui Pansionat pentru vîrstnici/tineri</w:t>
            </w:r>
          </w:p>
        </w:tc>
      </w:tr>
      <w:tr>
        <w:tc>
          <w:tcPr>
            <w:tcW w:type="dxa" w:w="30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Clișova</w:t>
            </w:r>
          </w:p>
        </w:tc>
        <w:tc>
          <w:tcPr>
            <w:tcW w:type="dxa" w:w="60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Eficientizarea energetică la instituțiile publice, gazificarea instituțiilor publice.</w:t>
            </w:r>
          </w:p>
        </w:tc>
      </w:tr>
      <w:tr>
        <w:tc>
          <w:tcPr>
            <w:tcW w:type="dxa" w:w="30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Suhuluceni</w:t>
            </w:r>
          </w:p>
        </w:tc>
        <w:tc>
          <w:tcPr>
            <w:tcW w:type="dxa" w:w="60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Instalarea stațiilor de tratare a apei potabile
instalarea stațiilor fotovoltaice la instituțiilor publice.</w:t>
            </w:r>
          </w:p>
        </w:tc>
      </w:tr>
      <w:tr>
        <w:tc>
          <w:tcPr>
            <w:tcW w:type="dxa" w:w="30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Coropceni</w:t>
            </w:r>
          </w:p>
        </w:tc>
        <w:tc>
          <w:tcPr>
            <w:tcW w:type="dxa" w:w="60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Furarea unei arteziene, reparația Casei de Cultură.</w:t>
            </w:r>
          </w:p>
        </w:tc>
      </w:tr>
    </w:tbl>
    <w:p>
      <w:pPr>
        <w:pStyle w:val="Heading1"/>
        <w:pBdr>
          <w:bottom w:val="single" w:color="E5E5E5" w:sz="4"/>
        </w:pBdr>
        <w:spacing w:after="120" w:before="240"/>
      </w:pPr>
      <w:r>
        <w:t xml:space="preserve">5. Estimare bugetară orientativă</w:t>
      </w:r>
    </w:p>
    <w:p>
      <w:pPr>
        <w:spacing w:after="80"/>
      </w:pPr>
      <w:r>
        <w:rPr>
          <w:b/>
          <w:bCs/>
        </w:rPr>
        <w:t xml:space="preserve">Stimulentul 2 (transfer investiții capitale): </w:t>
      </w:r>
      <w:r>
        <w:t xml:space="preserve">4.571 × 3.000 + 4.571^1.5 × 6 = 15.567.249 MDL</w:t>
      </w:r>
    </w:p>
    <w:tbl>
      <w:tblPr>
        <w:tblW w:type="dxa" w:w="900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</w:tblGrid>
      <w:tr>
        <w:tc>
          <w:tcPr>
            <w:tcW w:type="dxa" w:w="3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Prioritate</w:t>
            </w:r>
          </w:p>
        </w:tc>
        <w:tc>
          <w:tcPr>
            <w:tcW w:type="dxa" w:w="1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Cost estimat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Surse finanțare</w:t>
            </w:r>
          </w:p>
        </w:tc>
        <w:tc>
          <w:tcPr>
            <w:tcW w:type="dxa" w:w="1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5F5F5" w:val="solid"/>
          </w:tcPr>
          <w:p>
            <w:r>
              <w:rPr>
                <w:b/>
                <w:bCs/>
                <w:color w:val="1a1a1a"/>
              </w:rPr>
              <w:t xml:space="preserve">Orizont</w:t>
            </w:r>
          </w:p>
        </w:tc>
      </w:tr>
      <w:tr>
        <w:tc>
          <w:tcPr>
            <w:tcW w:type="dxa" w:w="3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1. Canalizare și sanitație publică</w:t>
            </w:r>
          </w:p>
        </w:tc>
        <w:tc>
          <w:tcPr>
            <w:tcW w:type="dxa" w:w="18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&gt; 10 mil. MDL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Buget local, FNDRL, Fonduri UE (FEDR/PNRR), Fond Amalgamare Voluntară, Parteneriat public-privat</w:t>
            </w:r>
          </w:p>
        </w:tc>
        <w:tc>
          <w:tcPr>
            <w:tcW w:type="dxa" w:w="12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1–3 ani</w:t>
            </w:r>
          </w:p>
        </w:tc>
      </w:tr>
      <w:tr>
        <w:tc>
          <w:tcPr>
            <w:tcW w:type="dxa" w:w="3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2. Reabilitarea drumurilor și infrastructurii rutiere</w:t>
            </w:r>
          </w:p>
        </w:tc>
        <w:tc>
          <w:tcPr>
            <w:tcW w:type="dxa" w:w="18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&gt; 10 mil. MDL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Buget local, FNDRL, Fonduri UE (FEDR/PNRR), Fond Amalgamare Voluntară, Parteneriat public-privat</w:t>
            </w:r>
          </w:p>
        </w:tc>
        <w:tc>
          <w:tcPr>
            <w:tcW w:type="dxa" w:w="12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1–3 ani</w:t>
            </w:r>
          </w:p>
        </w:tc>
      </w:tr>
      <w:tr>
        <w:tc>
          <w:tcPr>
            <w:tcW w:type="dxa" w:w="3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3. Extinderea rețelei de apă potabilă</w:t>
            </w:r>
          </w:p>
        </w:tc>
        <w:tc>
          <w:tcPr>
            <w:tcW w:type="dxa" w:w="18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&gt; 10 mil. MDL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Buget local, FNDRL, Fonduri UE (FEDR/PNRR), Fond Amalgamare Voluntară</w:t>
            </w:r>
          </w:p>
        </w:tc>
        <w:tc>
          <w:tcPr>
            <w:tcW w:type="dxa" w:w="12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1–3 ani</w:t>
            </w:r>
          </w:p>
        </w:tc>
      </w:tr>
      <w:tr>
        <w:tc>
          <w:tcPr>
            <w:tcW w:type="dxa" w:w="3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4. Gestionarea deșeurilor solide</w:t>
            </w:r>
          </w:p>
        </w:tc>
        <w:tc>
          <w:tcPr>
            <w:tcW w:type="dxa" w:w="18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2 – 10 mil. MDL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Buget local, FNDRL, Fonduri UE (FEDR/PNRR), Parteneriat public-privat</w:t>
            </w:r>
          </w:p>
        </w:tc>
        <w:tc>
          <w:tcPr>
            <w:tcW w:type="dxa" w:w="12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1–3 ani</w:t>
            </w:r>
          </w:p>
        </w:tc>
      </w:tr>
      <w:tr>
        <w:tc>
          <w:tcPr>
            <w:tcW w:type="dxa" w:w="3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5. Iluminat stradal</w:t>
            </w:r>
          </w:p>
        </w:tc>
        <w:tc>
          <w:tcPr>
            <w:tcW w:type="dxa" w:w="18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&gt; 10 mil. MDL</w:t>
            </w:r>
          </w:p>
        </w:tc>
        <w:tc>
          <w:tcPr>
            <w:tcW w:type="dxa" w:w="25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Buget local, FNDRL, Fonduri UE (FEDR/PNRR), Fond Amalgamare Voluntară</w:t>
            </w:r>
          </w:p>
        </w:tc>
        <w:tc>
          <w:tcPr>
            <w:tcW w:type="dxa" w:w="1200"/>
            <w:tcBorders>
              <w:top w:val="none" w:color="FFFFFF" w:sz="0"/>
              <w:left w:val="none" w:color="FFFFFF" w:sz="0"/>
              <w:bottom w:val="single" w:color="E5E5E5" w:sz="4"/>
              <w:right w:val="none" w:color="FFFFFF" w:sz="0"/>
            </w:tcBorders>
          </w:tcPr>
          <w:p>
            <w:r>
              <w:t xml:space="preserve">1–3 ani</w:t>
            </w:r>
          </w:p>
        </w:tc>
      </w:tr>
    </w:tbl>
    <w:p>
      <w:pPr>
        <w:spacing w:after="80"/>
      </w:pPr>
      <w:r>
        <w:rPr>
          <w:b/>
          <w:bCs/>
        </w:rPr>
        <w:t xml:space="preserve">Buget local cumulat: </w:t>
      </w:r>
      <w:r>
        <w:t xml:space="preserve">25.176.400 MDL</w:t>
      </w:r>
    </w:p>
    <w:p>
      <w:pPr>
        <w:pStyle w:val="Heading2"/>
        <w:spacing w:after="80" w:before="200"/>
      </w:pPr>
      <w:r>
        <w:t xml:space="preserve">Nevoi de transport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Transport pentru elevi la/de la școală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Parcare sau punct de îmbarcare amenajat</w:t>
      </w:r>
    </w:p>
    <w:p>
      <w:pPr>
        <w:pStyle w:val="Heading1"/>
        <w:pBdr>
          <w:bottom w:val="single" w:color="E5E5E5" w:sz="4"/>
        </w:pBdr>
        <w:spacing w:after="120" w:before="240"/>
      </w:pPr>
      <w:r>
        <w:t xml:space="preserve">Angajament</w:t>
      </w:r>
    </w:p>
    <w:p>
      <w:pPr>
        <w:spacing w:after="400"/>
      </w:pPr>
      <w:r>
        <w:t xml:space="preserve">Grupul de lucru se angajează să consulte cetățenii din toate localitățile cu privire la această Agendă și să o prezinte Consiliilor locale pentru aprobare înainte de finalizarea procesului de amalgamare voluntară.</w:t>
      </w:r>
    </w:p>
    <w:p>
      <w:pPr>
        <w:spacing w:after="200"/>
      </w:pPr>
      <w:r>
        <w:rPr>
          <w:b/>
          <w:bCs/>
        </w:rPr>
        <w:t xml:space="preserve">Semnat în cadrul ședinței grupului de lucru:</w:t>
      </w:r>
    </w:p>
    <w:tbl>
      <w:tblPr>
        <w:tblW w:type="dxa" w:w="900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</w:tblGrid>
      <w:t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pPr>
              <w:spacing w:before="400"/>
            </w:pPr>
            <w:r>
              <w:t xml:space="preserve"/>
            </w:r>
          </w:p>
          <w:p>
            <w:pPr>
              <w:pBdr>
                <w:top w:val="single" w:color="333333" w:sz="6"/>
              </w:pBdr>
            </w:pPr>
            <w:r>
              <w:rPr>
                <w:color w:val="666666"/>
                <w:sz w:val="16"/>
                <w:szCs w:val="16"/>
              </w:rPr>
              <w:t xml:space="preserve">Liubovi Buciușcanu-președinte GLC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pPr>
              <w:spacing w:before="400"/>
            </w:pPr>
            <w:r>
              <w:t xml:space="preserve"/>
            </w:r>
          </w:p>
          <w:p>
            <w:pPr>
              <w:pBdr>
                <w:top w:val="single" w:color="333333" w:sz="6"/>
              </w:pBdr>
            </w:pPr>
            <w:r>
              <w:rPr>
                <w:color w:val="666666"/>
                <w:sz w:val="16"/>
                <w:szCs w:val="16"/>
              </w:rPr>
              <w:t xml:space="preserve">Natalia Vrabie-secretarul GLC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pPr>
              <w:spacing w:before="400"/>
            </w:pPr>
            <w:r>
              <w:t xml:space="preserve"/>
            </w:r>
          </w:p>
          <w:p>
            <w:pPr>
              <w:pBdr>
                <w:top w:val="single" w:color="333333" w:sz="6"/>
              </w:pBdr>
            </w:pPr>
            <w:r>
              <w:rPr>
                <w:color w:val="666666"/>
                <w:sz w:val="16"/>
                <w:szCs w:val="16"/>
              </w:rPr>
              <w:t xml:space="preserve">—</w:t>
            </w:r>
          </w:p>
        </w:tc>
      </w:tr>
    </w:tbl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rFonts w:ascii="Calibri" w:cs="Calibri" w:eastAsia="Calibri" w:hAnsi="Calibri"/>
      <w:b/>
      <w:bCs/>
      <w:color w:val="1a1a1a"/>
      <w:sz w:val="24"/>
      <w:szCs w:val="24"/>
    </w:rPr>
  </w:style>
  <w:style w:type="paragraph" w:styleId="Heading2">
    <w:name w:val="Heading 2"/>
    <w:basedOn w:val="Normal"/>
    <w:next w:val="Normal"/>
    <w:qFormat/>
    <w:rPr>
      <w:rFonts w:ascii="Calibri" w:cs="Calibri" w:eastAsia="Calibri" w:hAnsi="Calibri"/>
      <w:b/>
      <w:bCs/>
      <w:color w:val="1a1a1a"/>
      <w:sz w:val="22"/>
      <w:szCs w:val="22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Viziunea UAT — Ciocîlteni, Clișova, Suhuluceni, Coropceni</dc:title>
  <dc:creator>AmalgaDoc 1.1</dc:creator>
  <dc:description>Agenda Priorităților Comune — Reforma APL Moldova</dc:description>
  <cp:lastModifiedBy>Un-named</cp:lastModifiedBy>
  <cp:revision>1</cp:revision>
  <dcterms:created xsi:type="dcterms:W3CDTF">2026-07-08T14:10:17.623Z</dcterms:created>
  <dcterms:modified xsi:type="dcterms:W3CDTF">2026-07-08T14:10:17.623Z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