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D44E4" w14:textId="145E81B4" w:rsidR="00603C7E" w:rsidRDefault="00FF5BB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SINTEZA</w:t>
      </w:r>
    </w:p>
    <w:p w14:paraId="5008BFEF" w14:textId="77777777" w:rsidR="00603C7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obiecțiilor și propunerilor la proiectul de lege privind </w:t>
      </w:r>
    </w:p>
    <w:p w14:paraId="7AB81D3F" w14:textId="77777777" w:rsidR="00603C7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detașarea lucrătorilor în cadrul prestării de servicii</w:t>
      </w:r>
    </w:p>
    <w:p w14:paraId="0446E989" w14:textId="77777777" w:rsidR="00603C7E" w:rsidRDefault="00000000">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(număr unic 184/MMPS/2026)</w:t>
      </w:r>
    </w:p>
    <w:p w14:paraId="2F79D2C2"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tbl>
      <w:tblPr>
        <w:tblStyle w:val="a"/>
        <w:tblW w:w="13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0"/>
        <w:gridCol w:w="3075"/>
        <w:gridCol w:w="4710"/>
        <w:gridCol w:w="5220"/>
      </w:tblGrid>
      <w:tr w:rsidR="00603C7E" w14:paraId="025D52CD" w14:textId="77777777">
        <w:trPr>
          <w:trHeight w:val="885"/>
        </w:trPr>
        <w:tc>
          <w:tcPr>
            <w:tcW w:w="51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F9739D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w:t>
            </w:r>
          </w:p>
          <w:p w14:paraId="1792AD0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d/o</w:t>
            </w:r>
          </w:p>
        </w:tc>
        <w:tc>
          <w:tcPr>
            <w:tcW w:w="307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104706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Participantul la avizare, consultare publică, expertizare</w:t>
            </w:r>
          </w:p>
        </w:tc>
        <w:tc>
          <w:tcPr>
            <w:tcW w:w="47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2592C9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Conținutul obiecției, propunerii, recomandării, concluziei</w:t>
            </w:r>
          </w:p>
        </w:tc>
        <w:tc>
          <w:tcPr>
            <w:tcW w:w="522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210320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Argumentarea autorului proiectului</w:t>
            </w:r>
          </w:p>
        </w:tc>
      </w:tr>
      <w:tr w:rsidR="00603C7E" w14:paraId="5CE1A358" w14:textId="77777777">
        <w:trPr>
          <w:trHeight w:val="420"/>
        </w:trPr>
        <w:tc>
          <w:tcPr>
            <w:tcW w:w="13515" w:type="dxa"/>
            <w:gridSpan w:val="4"/>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13E44C9" w14:textId="77777777" w:rsidR="00603C7E" w:rsidRDefault="00000000">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Avizare și consultare publică</w:t>
            </w:r>
          </w:p>
        </w:tc>
      </w:tr>
      <w:tr w:rsidR="00603C7E" w14:paraId="2A6FBA79" w14:textId="77777777">
        <w:trPr>
          <w:trHeight w:val="375"/>
        </w:trPr>
        <w:tc>
          <w:tcPr>
            <w:tcW w:w="51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7444D0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1.</w:t>
            </w:r>
          </w:p>
        </w:tc>
        <w:tc>
          <w:tcPr>
            <w:tcW w:w="307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724BA1CA"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Ministerul Finanțelor</w:t>
            </w:r>
          </w:p>
          <w:p w14:paraId="5A8AAE9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(nr.07/2-03/41/419 din                       24 martie 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55848B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b/>
                <w:bCs/>
              </w:rPr>
              <w:t>.  La art. 2</w:t>
            </w:r>
            <w:r>
              <w:rPr>
                <w:rFonts w:ascii="Times New Roman" w:eastAsia="Times New Roman" w:hAnsi="Times New Roman" w:cs="Times New Roman"/>
              </w:rPr>
              <w:t>, referitor la noțiunile „</w:t>
            </w:r>
            <w:r>
              <w:rPr>
                <w:rFonts w:ascii="Times New Roman" w:eastAsia="Times New Roman" w:hAnsi="Times New Roman" w:cs="Times New Roman"/>
                <w:i/>
                <w:iCs/>
              </w:rPr>
              <w:t>indemnizație specifică detașării transnaționale”</w:t>
            </w:r>
            <w:r>
              <w:rPr>
                <w:rFonts w:ascii="Times New Roman" w:eastAsia="Times New Roman" w:hAnsi="Times New Roman" w:cs="Times New Roman"/>
              </w:rPr>
              <w:t xml:space="preserve"> și </w:t>
            </w:r>
            <w:r>
              <w:rPr>
                <w:rFonts w:ascii="Times New Roman" w:eastAsia="Times New Roman" w:hAnsi="Times New Roman" w:cs="Times New Roman"/>
                <w:i/>
                <w:iCs/>
              </w:rPr>
              <w:t>„remunerația aplicabilă pe teritoriul Republicii Moldova”</w:t>
            </w:r>
            <w:r>
              <w:rPr>
                <w:rFonts w:ascii="Times New Roman" w:eastAsia="Times New Roman" w:hAnsi="Times New Roman" w:cs="Times New Roman"/>
              </w:rPr>
              <w:t>, se propune excluderea textului „impozitată conform Codului fiscal nr.1163/1997”. Or, această formă de compensare achitată salariatului se va impozita pe principii generale conform legislației în vigoare, fără menționarea acestui fapt expres în noțiune.</w:t>
            </w:r>
          </w:p>
          <w:p w14:paraId="76E9A1D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Suplimentar, în partea ce ține de indemnizația specifică detașării transnaționale, menționăm că atât în textul proiectului de lege, cât și în Nota de fundamentare nu este reglementată sursa din care se va face achitarea acestei sume de bani și care este valoarea minimă/maximă a acesteia. În cazul în care această indemnizație este achitată de către angajator, suma fiind stabilită printr-o decizie a acestuia, considerăm oportun completarea Notei de fundamentare cu argumente concludente aferent impactului asupra mediului de afaceri.</w:t>
            </w:r>
          </w:p>
          <w:p w14:paraId="7BF29263"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3E6E5B7"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Se acceptă. </w:t>
            </w:r>
          </w:p>
          <w:p w14:paraId="6C0759CC" w14:textId="77777777" w:rsidR="00603C7E" w:rsidRDefault="00603C7E">
            <w:pPr>
              <w:spacing w:line="240" w:lineRule="auto"/>
              <w:rPr>
                <w:rFonts w:ascii="Times New Roman" w:eastAsia="Times New Roman" w:hAnsi="Times New Roman" w:cs="Times New Roman"/>
              </w:rPr>
            </w:pPr>
          </w:p>
          <w:p w14:paraId="710CC96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 2 noțiunile nominalizate vor fi în următoarea redacție:</w:t>
            </w:r>
          </w:p>
          <w:p w14:paraId="1297CD57" w14:textId="77777777" w:rsidR="00603C7E" w:rsidRDefault="00603C7E">
            <w:pPr>
              <w:spacing w:line="240" w:lineRule="auto"/>
              <w:rPr>
                <w:rFonts w:ascii="Times New Roman" w:eastAsia="Times New Roman" w:hAnsi="Times New Roman" w:cs="Times New Roman"/>
              </w:rPr>
            </w:pPr>
          </w:p>
          <w:p w14:paraId="64AD306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iCs/>
              </w:rPr>
              <w:t>indemnizație specifică detașării transnaționale</w:t>
            </w:r>
            <w:r>
              <w:rPr>
                <w:rFonts w:ascii="Times New Roman" w:eastAsia="Times New Roman" w:hAnsi="Times New Roman" w:cs="Times New Roman"/>
              </w:rPr>
              <w:t xml:space="preserve"> - suma de bani, acordată lucrătorului detașat în vederea compensării inconvenientelor cauzate de detașare, care constau în îndepărtarea acestuia de mediul său obișnuit, destinată să asigure protecția socială a lucrătorului, supusă impozitării și calculului contribuțiilor de asigurări sociale potrivit legislației, fără a fi considerată element al salariului de bază;”</w:t>
            </w:r>
          </w:p>
          <w:p w14:paraId="63261F21" w14:textId="77777777" w:rsidR="00603C7E" w:rsidRDefault="00603C7E">
            <w:pPr>
              <w:spacing w:line="240" w:lineRule="auto"/>
              <w:rPr>
                <w:rFonts w:ascii="Times New Roman" w:eastAsia="Times New Roman" w:hAnsi="Times New Roman" w:cs="Times New Roman"/>
              </w:rPr>
            </w:pPr>
          </w:p>
          <w:p w14:paraId="488514A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iCs/>
              </w:rPr>
              <w:t xml:space="preserve">remunerația aplicabilă pe teritoriul Republicii Moldova </w:t>
            </w:r>
            <w:r>
              <w:rPr>
                <w:rFonts w:ascii="Times New Roman" w:eastAsia="Times New Roman" w:hAnsi="Times New Roman" w:cs="Times New Roman"/>
              </w:rPr>
              <w:t>- suma de bani, care include salariul de funcție sau tarifar, sporul pentru muncă suplimentară, sporul pentru munca în zilele de repaus săptămânal, sporul pentru munca în zilele de sărbătoare legală, sporul pentru munca prestată în timpul nopții, alte sporuri și indemnizații obligatorii conform legislației naționale, supusă impozitării și calculului contribuțiilor de asigurări sociale potrivit legislației;”</w:t>
            </w:r>
          </w:p>
          <w:p w14:paraId="3476E29A" w14:textId="77777777" w:rsidR="00603C7E" w:rsidRDefault="00603C7E">
            <w:pPr>
              <w:spacing w:line="240" w:lineRule="auto"/>
              <w:rPr>
                <w:rFonts w:ascii="Times New Roman" w:eastAsia="Times New Roman" w:hAnsi="Times New Roman" w:cs="Times New Roman"/>
              </w:rPr>
            </w:pPr>
          </w:p>
          <w:p w14:paraId="4FDFF8CC"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Cu referire la Nota de fundamentare, se acceptă.</w:t>
            </w:r>
          </w:p>
          <w:p w14:paraId="5E58958E" w14:textId="77777777" w:rsidR="00603C7E" w:rsidRDefault="00603C7E">
            <w:pPr>
              <w:spacing w:line="240" w:lineRule="auto"/>
              <w:rPr>
                <w:rFonts w:ascii="Times New Roman" w:eastAsia="Times New Roman" w:hAnsi="Times New Roman" w:cs="Times New Roman"/>
              </w:rPr>
            </w:pPr>
          </w:p>
          <w:p w14:paraId="076E549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Nota de fundamentare va fi completată cu explicații privind natura juridică a indemnizației specifice detașării transnaționale, modul de suportare a acesteia și impactul estimativ asupra mediului de afaceri.</w:t>
            </w:r>
          </w:p>
          <w:p w14:paraId="2EAEC1F9" w14:textId="77777777" w:rsidR="00603C7E" w:rsidRDefault="00603C7E">
            <w:pPr>
              <w:spacing w:line="240" w:lineRule="auto"/>
              <w:rPr>
                <w:rFonts w:ascii="Times New Roman" w:eastAsia="Times New Roman" w:hAnsi="Times New Roman" w:cs="Times New Roman"/>
              </w:rPr>
            </w:pPr>
          </w:p>
          <w:p w14:paraId="0154470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pct. 3.1:</w:t>
            </w:r>
          </w:p>
          <w:p w14:paraId="193480CD" w14:textId="77777777" w:rsidR="00603C7E" w:rsidRDefault="00603C7E">
            <w:pPr>
              <w:spacing w:line="240" w:lineRule="auto"/>
              <w:rPr>
                <w:rFonts w:ascii="Times New Roman" w:eastAsia="Times New Roman" w:hAnsi="Times New Roman" w:cs="Times New Roman"/>
              </w:rPr>
            </w:pPr>
          </w:p>
          <w:p w14:paraId="0E3DFBF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„Proiectul reglementează și indemnizația specifică detașării transnaționale, ca sumă acordată de angajator lucrătorului detașat în legătură cu executarea muncii în afara mediului său obișnuit de activitate. Această indemnizație este suportată de angajator, în cadrul raportului de muncă, și se distinge de salariul de bază, precum și de rambursarea cheltuielilor generate de detașare. Proiectul nu stabilește un cuantum minim sau maxim legal al indemnizației, întrucât acesta depinde de condițiile concrete ale detașării și de raportul de muncă aplicabil, scopul reglementării fiind clarificarea naturii juridice a acesteia și delimitarea ei față de celelalte elemente ale remunerației.”</w:t>
            </w:r>
          </w:p>
          <w:p w14:paraId="7AF8CAC6" w14:textId="77777777" w:rsidR="00603C7E" w:rsidRDefault="00603C7E">
            <w:pPr>
              <w:spacing w:line="240" w:lineRule="auto"/>
              <w:rPr>
                <w:rFonts w:ascii="Times New Roman" w:eastAsia="Times New Roman" w:hAnsi="Times New Roman" w:cs="Times New Roman"/>
              </w:rPr>
            </w:pPr>
          </w:p>
          <w:p w14:paraId="3587F66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pct. 4.3:</w:t>
            </w:r>
          </w:p>
          <w:p w14:paraId="3C053911" w14:textId="77777777" w:rsidR="00603C7E" w:rsidRDefault="00603C7E">
            <w:pPr>
              <w:spacing w:line="240" w:lineRule="auto"/>
              <w:rPr>
                <w:rFonts w:ascii="Times New Roman" w:eastAsia="Times New Roman" w:hAnsi="Times New Roman" w:cs="Times New Roman"/>
              </w:rPr>
            </w:pPr>
          </w:p>
          <w:p w14:paraId="2F6B24F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„În măsura în care angajatorul acordă indemnizația specifică detașării transnaționale, impactul asupra mediului de afaceri derivă nu din instituirea prin lege a unei obligații financiare fixe și uniforme, ci din necesitatea conformării la regulile privind tratamentul juridic al sumelor achitate în contextul detașării. Proiectul nu impune un cuantum minim sau maxim legal al acestei indemnizații, iar eventualul impact economic depinde de circumstanțele concrete ale detașării, de condițiile raportului de muncă și de politica internă a </w:t>
            </w:r>
            <w:r>
              <w:rPr>
                <w:rFonts w:ascii="Times New Roman" w:eastAsia="Times New Roman" w:hAnsi="Times New Roman" w:cs="Times New Roman"/>
              </w:rPr>
              <w:lastRenderedPageBreak/>
              <w:t>angajatorului. Reglementarea urmărește în principal clarificarea cadrului normativ și prevenirea confuziilor dintre indemnizația specifică detașării, remunerația aplicabilă și cheltuielile generate de detașare.”</w:t>
            </w:r>
          </w:p>
          <w:p w14:paraId="3C7688ED" w14:textId="77777777" w:rsidR="00603C7E" w:rsidRDefault="00603C7E">
            <w:pPr>
              <w:spacing w:line="240" w:lineRule="auto"/>
              <w:rPr>
                <w:rFonts w:ascii="Times New Roman" w:eastAsia="Times New Roman" w:hAnsi="Times New Roman" w:cs="Times New Roman"/>
              </w:rPr>
            </w:pPr>
          </w:p>
        </w:tc>
      </w:tr>
      <w:tr w:rsidR="00603C7E" w14:paraId="2CBE0038" w14:textId="77777777">
        <w:trPr>
          <w:trHeight w:val="3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B518DA6"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2B3DD0B"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6933AA4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b/>
                <w:bCs/>
              </w:rPr>
              <w:t xml:space="preserve"> La art.12 alin.(6) și art.31 alin.(1)</w:t>
            </w:r>
            <w:r>
              <w:rPr>
                <w:rFonts w:ascii="Times New Roman" w:eastAsia="Times New Roman" w:hAnsi="Times New Roman" w:cs="Times New Roman"/>
              </w:rPr>
              <w:t xml:space="preserve"> în partea ce ține de sintagma „exercitarea activității independente”, atenționăm asupra faptului că este necesară concretizarea termenul respectiv, inclusiv prin definirea noțiunii utilizate doar în sensul legii respective, în vederea excluderii oricăror neclarități, precum și în vederea asigurării unei mai bune aplicabilități în practică. </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7E17C02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Nu se acceptă.</w:t>
            </w:r>
          </w:p>
          <w:p w14:paraId="70347781" w14:textId="77777777" w:rsidR="00603C7E" w:rsidRDefault="00603C7E">
            <w:pPr>
              <w:spacing w:line="240" w:lineRule="auto"/>
              <w:rPr>
                <w:rFonts w:ascii="Times New Roman" w:eastAsia="Times New Roman" w:hAnsi="Times New Roman" w:cs="Times New Roman"/>
                <w:b/>
                <w:bCs/>
              </w:rPr>
            </w:pPr>
          </w:p>
          <w:p w14:paraId="27D9852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Sintagma „exercitarea activității independente” redată în art. 12 alin. (6) și art. 31 alin. (1) este formulată în sensul Titlului II, cap. 10/2 din Codul Fiscal. </w:t>
            </w:r>
          </w:p>
          <w:p w14:paraId="5ED500CD" w14:textId="77777777" w:rsidR="00603C7E" w:rsidRDefault="00603C7E">
            <w:pPr>
              <w:spacing w:line="240" w:lineRule="auto"/>
              <w:rPr>
                <w:rFonts w:ascii="Times New Roman" w:eastAsia="Times New Roman" w:hAnsi="Times New Roman" w:cs="Times New Roman"/>
              </w:rPr>
            </w:pPr>
          </w:p>
          <w:p w14:paraId="2C8CB30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Sintagma „exercitarea activității independente” nu necesită o definire suplimentară în proiectul de lege. </w:t>
            </w:r>
          </w:p>
        </w:tc>
      </w:tr>
      <w:tr w:rsidR="00603C7E" w14:paraId="69E14097" w14:textId="77777777">
        <w:trPr>
          <w:trHeight w:val="3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01B3FE9"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06F7FC7"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5085964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b/>
                <w:bCs/>
              </w:rPr>
              <w:t xml:space="preserve"> La art. 22 alin. (1), sintagma „la art. 4 lit. a)” </w:t>
            </w:r>
            <w:r>
              <w:rPr>
                <w:rFonts w:ascii="Times New Roman" w:eastAsia="Times New Roman" w:hAnsi="Times New Roman" w:cs="Times New Roman"/>
              </w:rPr>
              <w:t>se propune de substituit cu sintagma „art. 5 lit. a)”, în scopul precizării cadrului de aplicare a respectării remunerației în cazul detașării transnaționale.</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FE25F2F"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1A6A6106" w14:textId="77777777" w:rsidR="00603C7E" w:rsidRDefault="00603C7E">
            <w:pPr>
              <w:spacing w:line="240" w:lineRule="auto"/>
              <w:rPr>
                <w:rFonts w:ascii="Times New Roman" w:eastAsia="Times New Roman" w:hAnsi="Times New Roman" w:cs="Times New Roman"/>
              </w:rPr>
            </w:pPr>
          </w:p>
          <w:p w14:paraId="7E18D99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 22 alin. (1), sintagma „la art. 4 lit. a)” se va substitui cu sintagma „art. 5 lit. a)”</w:t>
            </w:r>
          </w:p>
          <w:p w14:paraId="1A5FD7A9" w14:textId="77777777" w:rsidR="00603C7E" w:rsidRDefault="00603C7E">
            <w:pPr>
              <w:spacing w:line="240" w:lineRule="auto"/>
              <w:rPr>
                <w:rFonts w:ascii="Times New Roman" w:eastAsia="Times New Roman" w:hAnsi="Times New Roman" w:cs="Times New Roman"/>
              </w:rPr>
            </w:pPr>
          </w:p>
        </w:tc>
      </w:tr>
      <w:tr w:rsidR="00603C7E" w14:paraId="423D9AA4" w14:textId="77777777">
        <w:trPr>
          <w:trHeight w:val="53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177C4AA"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AC05F22"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10E901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4.  </w:t>
            </w:r>
            <w:r>
              <w:rPr>
                <w:rFonts w:ascii="Times New Roman" w:eastAsia="Times New Roman" w:hAnsi="Times New Roman" w:cs="Times New Roman"/>
                <w:b/>
                <w:bCs/>
              </w:rPr>
              <w:t xml:space="preserve">Art.23 alin. (2) </w:t>
            </w:r>
            <w:r>
              <w:rPr>
                <w:rFonts w:ascii="Times New Roman" w:eastAsia="Times New Roman" w:hAnsi="Times New Roman" w:cs="Times New Roman"/>
              </w:rPr>
              <w:t>urmează a fi precizat, dat fiind faptul că nu este clară referința la ,,art.48 alin.(3)”.</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6BAA782"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51B90875" w14:textId="77777777" w:rsidR="00603C7E" w:rsidRDefault="00603C7E">
            <w:pPr>
              <w:spacing w:line="240" w:lineRule="auto"/>
              <w:rPr>
                <w:rFonts w:ascii="Times New Roman" w:eastAsia="Times New Roman" w:hAnsi="Times New Roman" w:cs="Times New Roman"/>
              </w:rPr>
            </w:pPr>
          </w:p>
          <w:p w14:paraId="42864F5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 23 alin. (2), trimiterea la „art. 48 alin. (3)” se va substitui cu trimiterea la „art. 41 alin. (3)”</w:t>
            </w:r>
          </w:p>
          <w:p w14:paraId="359F7AFA" w14:textId="77777777" w:rsidR="00603C7E" w:rsidRDefault="00603C7E">
            <w:pPr>
              <w:spacing w:line="240" w:lineRule="auto"/>
              <w:rPr>
                <w:rFonts w:ascii="Times New Roman" w:eastAsia="Times New Roman" w:hAnsi="Times New Roman" w:cs="Times New Roman"/>
              </w:rPr>
            </w:pPr>
          </w:p>
        </w:tc>
      </w:tr>
      <w:tr w:rsidR="00603C7E" w14:paraId="0547F9A7" w14:textId="77777777">
        <w:trPr>
          <w:trHeight w:val="3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0626CE7"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AF8C643"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64DAEB3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b/>
                <w:bCs/>
              </w:rPr>
              <w:t xml:space="preserve"> La art.27, alin. (2) lit. b) </w:t>
            </w:r>
            <w:r>
              <w:rPr>
                <w:rFonts w:ascii="Times New Roman" w:eastAsia="Times New Roman" w:hAnsi="Times New Roman" w:cs="Times New Roman"/>
              </w:rPr>
              <w:t xml:space="preserve">menționăm că legislația fiscală nu reglementează obligația și nici dreptul angajatorului de a restitui impozitele reținute în plus din salariu (impozitul pe venit, contribuțiile de asigurări sociale de stat obligatorii și primele de asigurare obligatorie de asistență medicală). Angajatorul are dreptul la recalcularea obligațiilor fiscale în cazul în care acestea au fost determinate eronat, dar suma determinată urmare a recalculării urmează a fi transferată în contul contribuabilului în vederea acoperirii obligațiilor viitoare. Astfel, în cazul reținerii în plus a </w:t>
            </w:r>
            <w:r>
              <w:rPr>
                <w:rFonts w:ascii="Times New Roman" w:eastAsia="Times New Roman" w:hAnsi="Times New Roman" w:cs="Times New Roman"/>
              </w:rPr>
              <w:lastRenderedPageBreak/>
              <w:t>impozitelor salariale, acestea pot fi restituite doar la cererea salariatului.</w:t>
            </w:r>
          </w:p>
          <w:p w14:paraId="3D7E154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În acest sens, conform pct.2 din </w:t>
            </w:r>
            <w:r>
              <w:rPr>
                <w:rFonts w:ascii="Times New Roman" w:eastAsia="Times New Roman" w:hAnsi="Times New Roman" w:cs="Times New Roman"/>
                <w:i/>
                <w:iCs/>
              </w:rPr>
              <w:t>Regulamentul privind stingerea obligației fiscale prin compensare și/sau restituirea mijloacelor bănești</w:t>
            </w:r>
            <w:r>
              <w:rPr>
                <w:rFonts w:ascii="Times New Roman" w:eastAsia="Times New Roman" w:hAnsi="Times New Roman" w:cs="Times New Roman"/>
              </w:rPr>
              <w:t xml:space="preserve">, aprobat prin Hotărârea Guvernului nr.235/2017, </w:t>
            </w:r>
            <w:r>
              <w:rPr>
                <w:rFonts w:ascii="Times New Roman" w:eastAsia="Times New Roman" w:hAnsi="Times New Roman" w:cs="Times New Roman"/>
                <w:i/>
                <w:iCs/>
              </w:rPr>
              <w:t>sumă plătită în plus</w:t>
            </w:r>
            <w:r>
              <w:rPr>
                <w:rFonts w:ascii="Times New Roman" w:eastAsia="Times New Roman" w:hAnsi="Times New Roman" w:cs="Times New Roman"/>
              </w:rPr>
              <w:t xml:space="preserve"> reprezintă suma plătită ca impozit, taxă, prime de asigurare obligatorie de asistență medicală în formă de contribuție procentuală la salariu şi la alte recompense, […], în cuantum mai mare decât cel prevăzut în conformitate cu legislația fiscală, iar restituire a mijloacelor bănești constituie rambursarea mijloacelor bănești constatate ca plătite în plus (inclusiv a sumelor transferate în mod eronat la componentele bugetului public național, a taxei de stat și a amenzilor contravenţionale/penale) sau a celor care, conform legislației fiscale, urmează a fi restituite la contul contribuabilului.</w:t>
            </w:r>
          </w:p>
          <w:p w14:paraId="2902905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Respectiv, potrivit pct.4 din Regulamentul menționat, restituirea mijloacelor bănești […] se efectuează doar în baza cererii contribuabilului.</w:t>
            </w:r>
          </w:p>
          <w:p w14:paraId="6268541D" w14:textId="77777777" w:rsidR="00603C7E" w:rsidRDefault="00000000">
            <w:pPr>
              <w:spacing w:line="240" w:lineRule="auto"/>
              <w:rPr>
                <w:rFonts w:ascii="Times New Roman" w:eastAsia="Times New Roman" w:hAnsi="Times New Roman" w:cs="Times New Roman"/>
                <w:u w:val="single"/>
              </w:rPr>
            </w:pPr>
            <w:r>
              <w:rPr>
                <w:rFonts w:ascii="Times New Roman" w:eastAsia="Times New Roman" w:hAnsi="Times New Roman" w:cs="Times New Roman"/>
                <w:u w:val="single"/>
              </w:rPr>
              <w:t>În acest context, se propune excluderea lit.b) din articolul menționat (art.27 alin. (2)), sau revizuirea acestuia reieșind din cadrul legal existent.</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76FB5B3"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739A73B5" w14:textId="77777777" w:rsidR="00603C7E" w:rsidRDefault="00603C7E">
            <w:pPr>
              <w:spacing w:line="240" w:lineRule="auto"/>
              <w:rPr>
                <w:rFonts w:ascii="Times New Roman" w:eastAsia="Times New Roman" w:hAnsi="Times New Roman" w:cs="Times New Roman"/>
              </w:rPr>
            </w:pPr>
          </w:p>
          <w:p w14:paraId="0755E53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27 alin. (2) lit. b) va avea următoarea redacție:</w:t>
            </w:r>
            <w:r>
              <w:rPr>
                <w:rFonts w:ascii="Times New Roman" w:eastAsia="Times New Roman" w:hAnsi="Times New Roman" w:cs="Times New Roman"/>
              </w:rPr>
              <w:br/>
            </w:r>
            <w:r>
              <w:rPr>
                <w:rFonts w:ascii="Times New Roman" w:eastAsia="Times New Roman" w:hAnsi="Times New Roman" w:cs="Times New Roman"/>
              </w:rPr>
              <w:br/>
              <w:t>b) să restituie lucrătorului detașat orice sume reținute în mod nejustificat din salariul acestuia și să întreprindă, după caz, măsurile necesare în vederea rectificării obligațiilor fiscale și de asigurări sociale, în condițiile legislației aplicabile;</w:t>
            </w:r>
          </w:p>
        </w:tc>
      </w:tr>
      <w:tr w:rsidR="00603C7E" w14:paraId="1946074E" w14:textId="77777777">
        <w:trPr>
          <w:trHeight w:val="180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54140C1"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35DF1B9"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660F163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6. Referitor la </w:t>
            </w:r>
            <w:r>
              <w:rPr>
                <w:rFonts w:ascii="Times New Roman" w:eastAsia="Times New Roman" w:hAnsi="Times New Roman" w:cs="Times New Roman"/>
                <w:b/>
                <w:bCs/>
              </w:rPr>
              <w:t xml:space="preserve">art.27, alin. (2) lit. c) </w:t>
            </w:r>
            <w:r>
              <w:rPr>
                <w:rFonts w:ascii="Times New Roman" w:eastAsia="Times New Roman" w:hAnsi="Times New Roman" w:cs="Times New Roman"/>
              </w:rPr>
              <w:t>se consideră necesar de a reformula, prin excluderea cuvântului „deduse” în contextul în care noțiunea de „deducere” reprezintă sumă care, la calcularea venitului impozabil, se scade din venitul brut al contribuabilului conform prevederilor legislației fiscale.</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6BD4AEF8"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5949629E" w14:textId="77777777" w:rsidR="00603C7E" w:rsidRDefault="00603C7E">
            <w:pPr>
              <w:spacing w:line="240" w:lineRule="auto"/>
              <w:rPr>
                <w:rFonts w:ascii="Times New Roman" w:eastAsia="Times New Roman" w:hAnsi="Times New Roman" w:cs="Times New Roman"/>
              </w:rPr>
            </w:pPr>
          </w:p>
          <w:p w14:paraId="6F59316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27 alin. (2) lit. c) va avea următoarea redacție:</w:t>
            </w:r>
          </w:p>
          <w:p w14:paraId="4BC9D6E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 să ramburseze costurile al căror cuantum nu poate fi justificat în raport cu salariul net al lucrătorului detaşat sau cu calitatea locului de cazare, reţinute ori deduse din salarii pentru cazarea oferită de angajator;</w:t>
            </w:r>
          </w:p>
        </w:tc>
      </w:tr>
      <w:tr w:rsidR="00603C7E" w14:paraId="3E03B8C7" w14:textId="77777777">
        <w:trPr>
          <w:trHeight w:val="103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E92F555"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56DA87FB"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89F9AA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7 La </w:t>
            </w:r>
            <w:r>
              <w:rPr>
                <w:rFonts w:ascii="Times New Roman" w:eastAsia="Times New Roman" w:hAnsi="Times New Roman" w:cs="Times New Roman"/>
                <w:b/>
                <w:bCs/>
              </w:rPr>
              <w:t>art. 28 alin. (5)</w:t>
            </w:r>
            <w:r>
              <w:rPr>
                <w:rFonts w:ascii="Times New Roman" w:eastAsia="Times New Roman" w:hAnsi="Times New Roman" w:cs="Times New Roman"/>
              </w:rPr>
              <w:t>, sintagma „art. 30” se propune substituirea cu sintagma „art. 29”, în vederea asigurării reglementării corecte a răspunderii contractantului și subcontractantului în cadrul lanțurilor de subcontractare interne.</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DFDA74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 acceptă.</w:t>
            </w:r>
          </w:p>
          <w:p w14:paraId="4708279D" w14:textId="77777777" w:rsidR="00603C7E" w:rsidRDefault="00603C7E">
            <w:pPr>
              <w:spacing w:line="240" w:lineRule="auto"/>
              <w:rPr>
                <w:rFonts w:ascii="Times New Roman" w:eastAsia="Times New Roman" w:hAnsi="Times New Roman" w:cs="Times New Roman"/>
              </w:rPr>
            </w:pPr>
          </w:p>
          <w:p w14:paraId="1EE4886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 28 alin. (5), sintagma „art. 30” se propune substituirea cu sintagma „art. 29”.</w:t>
            </w:r>
          </w:p>
          <w:p w14:paraId="4052A7FF" w14:textId="77777777" w:rsidR="00603C7E" w:rsidRDefault="00603C7E">
            <w:pPr>
              <w:spacing w:line="240" w:lineRule="auto"/>
              <w:rPr>
                <w:rFonts w:ascii="Times New Roman" w:eastAsia="Times New Roman" w:hAnsi="Times New Roman" w:cs="Times New Roman"/>
              </w:rPr>
            </w:pPr>
          </w:p>
        </w:tc>
      </w:tr>
      <w:tr w:rsidR="00603C7E" w14:paraId="7CAF2E89" w14:textId="77777777">
        <w:trPr>
          <w:trHeight w:val="72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FD48DA6"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84AED9A"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D89EDA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8. La </w:t>
            </w:r>
            <w:r>
              <w:rPr>
                <w:rFonts w:ascii="Times New Roman" w:eastAsia="Times New Roman" w:hAnsi="Times New Roman" w:cs="Times New Roman"/>
                <w:b/>
                <w:bCs/>
              </w:rPr>
              <w:t>art. 29 alin. (3)</w:t>
            </w:r>
            <w:r>
              <w:rPr>
                <w:rFonts w:ascii="Times New Roman" w:eastAsia="Times New Roman" w:hAnsi="Times New Roman" w:cs="Times New Roman"/>
              </w:rPr>
              <w:t>, textul „obligația de a reține și plăti impozitul și contribuțiile de asigurări sociale de stat aferente drepturilor salariale, în condițiile Codului fiscal, cu modificările și completările ulterioare” se propune de substituit cu textul „obligația de a calcula contribuțiile de asigurări sociale de stat obligatorii şi de a reține primele de asigurare obligatorie de asistență medicală şi impozitul pe venit din salariu, în conformitate cu legislația națională în vigoare.”.</w:t>
            </w:r>
          </w:p>
          <w:p w14:paraId="6F702A03"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D08B45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 acceptă parțial.</w:t>
            </w:r>
          </w:p>
          <w:p w14:paraId="11FA71C1" w14:textId="77777777" w:rsidR="00603C7E" w:rsidRDefault="00603C7E">
            <w:pPr>
              <w:spacing w:line="240" w:lineRule="auto"/>
              <w:rPr>
                <w:rFonts w:ascii="Times New Roman" w:eastAsia="Times New Roman" w:hAnsi="Times New Roman" w:cs="Times New Roman"/>
              </w:rPr>
            </w:pPr>
          </w:p>
          <w:p w14:paraId="4FEAA2E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29 alin. (3) va avea următoarea redacție:</w:t>
            </w:r>
          </w:p>
          <w:p w14:paraId="77791F3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Subcontractantul are obligația de a plăti lucrătorului diferența dintre suma primită de către acesta de la contractant și suma aferentă acoperirii integrale a drepturilor salariale cuvenite, precum şi obligația de a reține și plăti impozitul pe venit și calcula și plăti contribuțiile de asigurări sociale de stat aferente drepturilor salariale, în conformitate cu legislația fiscală și cu legislația sistemului public de asigurări sociale.”.</w:t>
            </w:r>
          </w:p>
        </w:tc>
      </w:tr>
      <w:tr w:rsidR="00603C7E" w14:paraId="75E5ECDF" w14:textId="77777777">
        <w:trPr>
          <w:trHeight w:val="1294"/>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7992864"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9AF7072"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5A79C9B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9. La </w:t>
            </w:r>
            <w:r>
              <w:rPr>
                <w:rFonts w:ascii="Times New Roman" w:eastAsia="Times New Roman" w:hAnsi="Times New Roman" w:cs="Times New Roman"/>
                <w:b/>
                <w:bCs/>
              </w:rPr>
              <w:t>art. 38 alin. (5)</w:t>
            </w:r>
            <w:r>
              <w:rPr>
                <w:rFonts w:ascii="Times New Roman" w:eastAsia="Times New Roman" w:hAnsi="Times New Roman" w:cs="Times New Roman"/>
              </w:rPr>
              <w:t xml:space="preserve">, sintagma </w:t>
            </w:r>
            <w:r>
              <w:rPr>
                <w:rFonts w:ascii="Times New Roman" w:eastAsia="Times New Roman" w:hAnsi="Times New Roman" w:cs="Times New Roman"/>
                <w:i/>
                <w:iCs/>
              </w:rPr>
              <w:t>„art. 4 lit. b)”</w:t>
            </w:r>
            <w:r>
              <w:rPr>
                <w:rFonts w:ascii="Times New Roman" w:eastAsia="Times New Roman" w:hAnsi="Times New Roman" w:cs="Times New Roman"/>
              </w:rPr>
              <w:t xml:space="preserve"> se propune de substituit cu sintagma </w:t>
            </w:r>
            <w:r>
              <w:rPr>
                <w:rFonts w:ascii="Times New Roman" w:eastAsia="Times New Roman" w:hAnsi="Times New Roman" w:cs="Times New Roman"/>
                <w:i/>
                <w:iCs/>
              </w:rPr>
              <w:t>„art. 5 lit. b)”</w:t>
            </w:r>
            <w:r>
              <w:rPr>
                <w:rFonts w:ascii="Times New Roman" w:eastAsia="Times New Roman" w:hAnsi="Times New Roman" w:cs="Times New Roman"/>
              </w:rPr>
              <w:t>, dat fiind faptul că referința la care se face trimitere nu este relevantă (corectă).</w:t>
            </w:r>
          </w:p>
          <w:p w14:paraId="0D3D291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7E5EDBA7"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181D969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 38 alin. (5), sintagma „art. 4 lit. b)” se va substitui cu sintagma „art. 5 lit. b)”.</w:t>
            </w:r>
          </w:p>
          <w:p w14:paraId="42281C77" w14:textId="77777777" w:rsidR="00603C7E" w:rsidRDefault="00603C7E">
            <w:pPr>
              <w:spacing w:line="240" w:lineRule="auto"/>
              <w:rPr>
                <w:rFonts w:ascii="Times New Roman" w:eastAsia="Times New Roman" w:hAnsi="Times New Roman" w:cs="Times New Roman"/>
              </w:rPr>
            </w:pPr>
          </w:p>
          <w:p w14:paraId="17D8DEBE" w14:textId="77777777" w:rsidR="00603C7E" w:rsidRDefault="00603C7E">
            <w:pPr>
              <w:spacing w:line="240" w:lineRule="auto"/>
              <w:rPr>
                <w:rFonts w:ascii="Times New Roman" w:eastAsia="Times New Roman" w:hAnsi="Times New Roman" w:cs="Times New Roman"/>
              </w:rPr>
            </w:pPr>
          </w:p>
        </w:tc>
      </w:tr>
      <w:tr w:rsidR="00603C7E" w14:paraId="21987FF1" w14:textId="77777777">
        <w:trPr>
          <w:trHeight w:val="72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0BD1CA7"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4200ED0A"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8925F3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10. În subsidiar, referitor la </w:t>
            </w:r>
            <w:r>
              <w:rPr>
                <w:rFonts w:ascii="Times New Roman" w:eastAsia="Times New Roman" w:hAnsi="Times New Roman" w:cs="Times New Roman"/>
                <w:b/>
                <w:bCs/>
              </w:rPr>
              <w:t>secțiunea a 2-a</w:t>
            </w:r>
            <w:r>
              <w:rPr>
                <w:rFonts w:ascii="Times New Roman" w:eastAsia="Times New Roman" w:hAnsi="Times New Roman" w:cs="Times New Roman"/>
              </w:rPr>
              <w:t xml:space="preserve"> din proiectul de lege, atenționăm asupra faptului că normele prevăd aplicarea măsurilor de control efectuate de Inspectoratul de Stat al Muncii și impunerea unor obligații de prezentare a documentelor pentru întreprinderile înființate pe teritoriul unui stat membru, altul decât Republica Moldova (art.5 alin.(1) lit.a) din proiect). </w:t>
            </w:r>
          </w:p>
          <w:p w14:paraId="625B9ED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Normele respective sunt direct legate de cooperare administrativă și urmează a fi examinate suplimentar, inclusiv prin prisma art. 9 alin. (1) și art.10 din Directiva 2014/67/UE, conform cărora întreprinderea din alt stat membru prezintă o simplă declarație către autoritatea competentă </w:t>
            </w:r>
            <w:r>
              <w:rPr>
                <w:rFonts w:ascii="Times New Roman" w:eastAsia="Times New Roman" w:hAnsi="Times New Roman" w:cs="Times New Roman"/>
              </w:rPr>
              <w:lastRenderedPageBreak/>
              <w:t>națională a statului său, autoritățile desemnate în dreptul intern efectuează inspecții eficace și adecvate pe teritoriul lor, și, dacă sunt necesare informații în cursul inspecțiilor statul membru gazdă și statul membru de stabilire acționează în conformitate cu normele de cooperare administrativă.</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6FEA74FA" w14:textId="77777777" w:rsidR="00603C7E" w:rsidRDefault="00000000">
            <w:pPr>
              <w:spacing w:before="240" w:after="24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Nu se acceptă. </w:t>
            </w:r>
          </w:p>
          <w:p w14:paraId="10967BDB" w14:textId="77777777" w:rsidR="00603C7E"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Dispozițiile secțiunii a 2-a nu contravin art. 9 alin. (1) și art. 10 din Directiva 2014/67/UE, întrucât aceste norme permit statului membru gazdă să instituie, în limitele necesității și proporționalității, cerințe administrative și măsuri de control aplicabile prestatorilor de servicii stabiliți în alte state membre, precum și să asigure efectuarea de inspecții eficace și adecvate pe teritoriul său. Cooperarea administrativă dintre statul membru gazdă și statul membru de stabilire are caracter complementar și nu exclude competența autorităților naționale de control de a solicita documente și de a </w:t>
            </w:r>
            <w:r>
              <w:rPr>
                <w:rFonts w:ascii="Times New Roman" w:eastAsia="Times New Roman" w:hAnsi="Times New Roman" w:cs="Times New Roman"/>
              </w:rPr>
              <w:lastRenderedPageBreak/>
              <w:t xml:space="preserve">verifica respectarea condițiilor aplicabile detașării transnaționale. </w:t>
            </w:r>
          </w:p>
          <w:p w14:paraId="781A3CB9" w14:textId="77777777" w:rsidR="00603C7E" w:rsidRDefault="00603C7E">
            <w:pPr>
              <w:spacing w:line="240" w:lineRule="auto"/>
              <w:rPr>
                <w:rFonts w:ascii="Times New Roman" w:eastAsia="Times New Roman" w:hAnsi="Times New Roman" w:cs="Times New Roman"/>
                <w:b/>
                <w:bCs/>
              </w:rPr>
            </w:pPr>
          </w:p>
        </w:tc>
      </w:tr>
      <w:tr w:rsidR="00603C7E" w14:paraId="3FA41FC6" w14:textId="77777777">
        <w:trPr>
          <w:trHeight w:val="72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2710867"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55C5F09"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3B6D3C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11. </w:t>
            </w:r>
            <w:r>
              <w:rPr>
                <w:rFonts w:ascii="Times New Roman" w:eastAsia="Times New Roman" w:hAnsi="Times New Roman" w:cs="Times New Roman"/>
                <w:b/>
                <w:bCs/>
              </w:rPr>
              <w:t>Art. 46 alin. (1)</w:t>
            </w:r>
            <w:r>
              <w:rPr>
                <w:rFonts w:ascii="Times New Roman" w:eastAsia="Times New Roman" w:hAnsi="Times New Roman" w:cs="Times New Roman"/>
              </w:rPr>
              <w:t xml:space="preserve"> se propune de revizuit, având în vedere că art. 32 nu este structurat pe aliniate și aceasta ar crea incoerențe în aplicarea prevederilor.</w:t>
            </w:r>
          </w:p>
          <w:p w14:paraId="47E76EB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În același context, se propune de precizat </w:t>
            </w:r>
            <w:r>
              <w:rPr>
                <w:rFonts w:ascii="Times New Roman" w:eastAsia="Times New Roman" w:hAnsi="Times New Roman" w:cs="Times New Roman"/>
                <w:b/>
                <w:bCs/>
              </w:rPr>
              <w:t xml:space="preserve">art. 50 alin. (1) </w:t>
            </w:r>
            <w:r>
              <w:rPr>
                <w:rFonts w:ascii="Times New Roman" w:eastAsia="Times New Roman" w:hAnsi="Times New Roman" w:cs="Times New Roman"/>
              </w:rPr>
              <w:t xml:space="preserve">și </w:t>
            </w:r>
            <w:r>
              <w:rPr>
                <w:rFonts w:ascii="Times New Roman" w:eastAsia="Times New Roman" w:hAnsi="Times New Roman" w:cs="Times New Roman"/>
                <w:b/>
                <w:bCs/>
              </w:rPr>
              <w:t>art. 60 alin. (1)</w:t>
            </w:r>
            <w:r>
              <w:rPr>
                <w:rFonts w:ascii="Times New Roman" w:eastAsia="Times New Roman" w:hAnsi="Times New Roman" w:cs="Times New Roman"/>
              </w:rPr>
              <w:t>.</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148EE182"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486E043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Trimiterile din art. 46 alin. (1), art. 50 alin. (1) și art. 60 alin. (1) vor fi revizuite pentru corelare cu art. 32</w:t>
            </w:r>
          </w:p>
        </w:tc>
      </w:tr>
      <w:tr w:rsidR="00603C7E" w14:paraId="45B6F107" w14:textId="77777777">
        <w:trPr>
          <w:trHeight w:val="72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663C374"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C4DE86D"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3DA425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12. De asemenea, se apreciază ca fiind necesar de a revizui textul proiectului prin prisma noțiunilor reglementate de acesta, în contextul în care terminologia utilizată în proiect diferă de noțiuni (noțiunea de „salariat” prevede doar contractul individual de muncă, însă proiectul de lege include norme aferente contractului colectiv de muncă, convenții colective; proiectul reglementează noțiunea de „utilizator de muncă temporară (utilizator)”, însă în textul acestuia se utilizează sintagma „întreprindere utilizatoare” etc.). </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72ED10E"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2A16BF5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Textul proiectului va fi revizuit în scopul uniformizării terminologiei utilizate, astfel încât noțiunile definite să fie folosite consecvent pe întreg parcursul actului normativ. Referirea la contracte colective de muncă și convenții colective nu afectează, prin ea însăși, corectitudinea utilizării noțiunii care desemnează subiectul raportului individual de muncă, acestea reprezentând surse normative ale condițiilor de muncă aplicabile.</w:t>
            </w:r>
          </w:p>
        </w:tc>
      </w:tr>
      <w:tr w:rsidR="00603C7E" w14:paraId="59EDD63C" w14:textId="77777777">
        <w:trPr>
          <w:trHeight w:val="72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6496885"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193B7B07"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9EB84A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12. La Nota de fundamentare </w:t>
            </w:r>
            <w:r>
              <w:rPr>
                <w:rFonts w:ascii="Times New Roman" w:eastAsia="Times New Roman" w:hAnsi="Times New Roman" w:cs="Times New Roman"/>
                <w:b/>
                <w:bCs/>
              </w:rPr>
              <w:t>compartimentul 2</w:t>
            </w:r>
            <w:r>
              <w:rPr>
                <w:rFonts w:ascii="Times New Roman" w:eastAsia="Times New Roman" w:hAnsi="Times New Roman" w:cs="Times New Roman"/>
              </w:rPr>
              <w:t xml:space="preserve">, </w:t>
            </w:r>
            <w:r>
              <w:rPr>
                <w:rFonts w:ascii="Times New Roman" w:eastAsia="Times New Roman" w:hAnsi="Times New Roman" w:cs="Times New Roman"/>
                <w:b/>
                <w:bCs/>
              </w:rPr>
              <w:t>subpct.2.1</w:t>
            </w:r>
            <w:r>
              <w:rPr>
                <w:rFonts w:ascii="Times New Roman" w:eastAsia="Times New Roman" w:hAnsi="Times New Roman" w:cs="Times New Roman"/>
              </w:rPr>
              <w:t xml:space="preserve"> Temeiul legal sau, după caz, sursa proiectului actului normativ, în vederea asigurării unei înțelegeri clare a acțiunii la care se face referire, se consideră oportună indicarea explicită a referinței la Anexa A, Capitolul 19 din PNA 2025–2029, prin substituirea sintagmei „Anexa A – pct. 7” cu sintagma „Anexa A – acțiunea normativă nr. 7”</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7B4D9F1C"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6BDDF333" w14:textId="77777777" w:rsidR="00603C7E" w:rsidRDefault="00603C7E">
            <w:pPr>
              <w:spacing w:line="240" w:lineRule="auto"/>
              <w:rPr>
                <w:rFonts w:ascii="Times New Roman" w:eastAsia="Times New Roman" w:hAnsi="Times New Roman" w:cs="Times New Roman"/>
                <w:b/>
                <w:bCs/>
              </w:rPr>
            </w:pPr>
          </w:p>
          <w:p w14:paraId="3CC7D97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Nota de fundamentare va fi ajustată prin indicarea expresă a referinței „Anexa A – acțiunea normativă nr. 7”.</w:t>
            </w:r>
          </w:p>
        </w:tc>
      </w:tr>
      <w:tr w:rsidR="00603C7E" w14:paraId="47CB5A88" w14:textId="77777777">
        <w:trPr>
          <w:trHeight w:val="72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440A44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EE9E6AC"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E43098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13.  La Nota de fundamentare </w:t>
            </w:r>
            <w:r>
              <w:rPr>
                <w:rFonts w:ascii="Times New Roman" w:eastAsia="Times New Roman" w:hAnsi="Times New Roman" w:cs="Times New Roman"/>
                <w:b/>
                <w:bCs/>
              </w:rPr>
              <w:t>compartimentul 4 subpct.4.2</w:t>
            </w:r>
            <w:r>
              <w:rPr>
                <w:rFonts w:ascii="Times New Roman" w:eastAsia="Times New Roman" w:hAnsi="Times New Roman" w:cs="Times New Roman"/>
              </w:rPr>
              <w:t xml:space="preserve"> se menționează că resursele financiare prezentate au un caracter orientativ și reflectă un nivel minim al cheltuielilor, fiind posibil ca în procesul de implementare costurile reale să depășească valorile estimate.</w:t>
            </w:r>
          </w:p>
          <w:p w14:paraId="2CD1975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De asemenea, prin analiza proiectului, se constată că implementarea prevederilor acestuia implică costuri salariale care ar putea crește cu aproximativ 15–20% ca urmare a necesității de personal suplimentar, fără a fi indicate date concrete privind numărul unităților de personal vizate.</w:t>
            </w:r>
          </w:p>
          <w:p w14:paraId="7FA71AB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În acest context, se consideră necesar ca autorii proiectului să completeze nota de fundamentare cu prevederi clare și detaliate privind costul serviciilor precum și sursa de acoperire a acestor cheltuieli inclusiv prin specificarea partenerilor de dezvoltare care vor acoperi costurile menționate.</w:t>
            </w:r>
          </w:p>
          <w:p w14:paraId="48B927AA"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233735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0ADD58A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Nota de fundamentare va fi revizuită pentru a reflecta mai clar costurile estimate aferente implementării proiectului, inclusiv sub aspectul cheltuielilor salariale, al necesarului de personal și al surselor de finanțare. Menționarea partenerilor de dezvoltare se va face, după caz, doar în măsura în care asemenea surse de finanțare sunt identificate și confirmate.</w:t>
            </w:r>
          </w:p>
          <w:p w14:paraId="689EDC67" w14:textId="77777777" w:rsidR="00603C7E" w:rsidRDefault="00603C7E">
            <w:pPr>
              <w:spacing w:line="240" w:lineRule="auto"/>
              <w:rPr>
                <w:rFonts w:ascii="Times New Roman" w:eastAsia="Times New Roman" w:hAnsi="Times New Roman" w:cs="Times New Roman"/>
              </w:rPr>
            </w:pPr>
          </w:p>
          <w:p w14:paraId="317A552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Compartimentul 4 subpct.4.2:</w:t>
            </w:r>
          </w:p>
          <w:p w14:paraId="3D22238B" w14:textId="77777777" w:rsidR="00603C7E" w:rsidRDefault="00603C7E">
            <w:pPr>
              <w:spacing w:line="240" w:lineRule="auto"/>
              <w:rPr>
                <w:rFonts w:ascii="Times New Roman" w:eastAsia="Times New Roman" w:hAnsi="Times New Roman" w:cs="Times New Roman"/>
              </w:rPr>
            </w:pPr>
          </w:p>
          <w:p w14:paraId="61BA6BE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„Costurile estimate pentru implementarea proiectului au caracter orientativ și reflectă necesitățile minime de ordin instituțional și operațional identificate la etapa actuală. Acestea pot include, după caz, cheltuieli salariale aferente suplimentării sau redistribuirii personalului implicat în aplicarea noilor atribuții, costuri de formare profesională, precum și cheltuieli administrative și logistice necesare pentru asigurarea funcționalității mecanismelor de cooperare și control. Sursele de finanțare urmează a fi asigurate din limitele bugetare aprobate, precum și, după caz, din asistență externă sau sprijinul partenerilor de dezvoltare, în măsura identificării și confirmării acestora.”</w:t>
            </w:r>
          </w:p>
        </w:tc>
      </w:tr>
      <w:tr w:rsidR="00603C7E" w14:paraId="262CDB3D" w14:textId="77777777">
        <w:trPr>
          <w:trHeight w:val="585"/>
        </w:trPr>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F5D01C6"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2.</w:t>
            </w:r>
          </w:p>
        </w:tc>
        <w:tc>
          <w:tcPr>
            <w:tcW w:w="3075" w:type="dxa"/>
            <w:tcBorders>
              <w:top w:val="nil"/>
              <w:left w:val="nil"/>
              <w:bottom w:val="single" w:sz="7" w:space="0" w:color="000000"/>
              <w:right w:val="single" w:sz="7" w:space="0" w:color="000000"/>
            </w:tcBorders>
            <w:tcMar>
              <w:top w:w="0" w:type="dxa"/>
              <w:left w:w="100" w:type="dxa"/>
              <w:bottom w:w="0" w:type="dxa"/>
              <w:right w:w="100" w:type="dxa"/>
            </w:tcMar>
          </w:tcPr>
          <w:p w14:paraId="0E19F82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Ministerul Afacerilor Interne </w:t>
            </w:r>
            <w:r>
              <w:rPr>
                <w:rFonts w:ascii="Times New Roman" w:eastAsia="Times New Roman" w:hAnsi="Times New Roman" w:cs="Times New Roman"/>
              </w:rPr>
              <w:t>(nr.42/ 1002 din 16 martie 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550AC6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Lipsă de obiecții și propuneri.</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2F1ED63"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S-a luat act.</w:t>
            </w:r>
          </w:p>
        </w:tc>
      </w:tr>
      <w:tr w:rsidR="00603C7E" w14:paraId="660D981A" w14:textId="77777777">
        <w:trPr>
          <w:trHeight w:val="645"/>
        </w:trPr>
        <w:tc>
          <w:tcPr>
            <w:tcW w:w="51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1E378B2"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3.</w:t>
            </w:r>
          </w:p>
        </w:tc>
        <w:tc>
          <w:tcPr>
            <w:tcW w:w="307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2E9A0DB8"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Ministerul Afacerilor Externe</w:t>
            </w:r>
          </w:p>
          <w:p w14:paraId="670D2981"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(nr. DI/3/041.1-2969 din                     13 martie 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EFE15A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 Se propune redenumirea proiectului de Lege în „Legea privind detașarea (transnațională a) salariaților în cadrul raporturilor de muncă”, deoarece denumirea actuală nu corespunde conţinutului proiectului / este confuză.</w:t>
            </w:r>
          </w:p>
          <w:p w14:paraId="74916EB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Noțiunea de „</w:t>
            </w:r>
            <w:r>
              <w:rPr>
                <w:rFonts w:ascii="Times New Roman" w:eastAsia="Times New Roman" w:hAnsi="Times New Roman" w:cs="Times New Roman"/>
                <w:i/>
                <w:iCs/>
              </w:rPr>
              <w:t>prestare a serviciilor</w:t>
            </w:r>
            <w:r>
              <w:rPr>
                <w:rFonts w:ascii="Times New Roman" w:eastAsia="Times New Roman" w:hAnsi="Times New Roman" w:cs="Times New Roman"/>
              </w:rPr>
              <w:t xml:space="preserve">” este specifică dreptului civil și nu ține de domeniul reglementării legislației muncii. Prin urmare, în măsura în care </w:t>
            </w:r>
            <w:r>
              <w:rPr>
                <w:rFonts w:ascii="Times New Roman" w:eastAsia="Times New Roman" w:hAnsi="Times New Roman" w:cs="Times New Roman"/>
              </w:rPr>
              <w:lastRenderedPageBreak/>
              <w:t>proiectul utilizează noțiunile de „salariat”, „angajator” și „contract individual de muncă” – denumirea actului normativ în cauză ar trebui să indice în mod expres că acesta reglementează raporturile juridice de muncă.</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A50AA5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53A46376" w14:textId="77777777" w:rsidR="00603C7E" w:rsidRDefault="00603C7E">
            <w:pPr>
              <w:spacing w:line="240" w:lineRule="auto"/>
              <w:rPr>
                <w:rFonts w:ascii="Times New Roman" w:eastAsia="Times New Roman" w:hAnsi="Times New Roman" w:cs="Times New Roman"/>
                <w:b/>
                <w:bCs/>
              </w:rPr>
            </w:pPr>
          </w:p>
          <w:p w14:paraId="6488901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Sintagma „în cadrul prestării de servicii” este corectă și corespunde obiectului reglementării, deoarece detașarea transnațională are loc tocmai în contextul prestării transnaționale de servicii, nu exclusiv în cadrul raportului individual de muncă. Faptul că proiectul utilizează noțiuni precum „salariat”, „angajator” și </w:t>
            </w:r>
            <w:r>
              <w:rPr>
                <w:rFonts w:ascii="Times New Roman" w:eastAsia="Times New Roman" w:hAnsi="Times New Roman" w:cs="Times New Roman"/>
              </w:rPr>
              <w:lastRenderedPageBreak/>
              <w:t>„contract individual de muncă” nu exclude această formulare, ci descrie mecanismul juridic prin care se realizează detașarea.</w:t>
            </w:r>
          </w:p>
        </w:tc>
      </w:tr>
      <w:tr w:rsidR="00603C7E" w14:paraId="1245F65A" w14:textId="77777777">
        <w:trPr>
          <w:trHeight w:val="75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291090B"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114BE8C"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3DEA24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 Se recomandă revizuirea întregului text al proiectului de Lege, deoarece, pe de o parte, „stat membru” este definit ca înglobând „orice stat membru al Uniunii Europene sau al Spaţiului Economic European și Confederația Elvețiană”, iar, pe de altă parte, „stat membru” şi „Confederaţia Elveţiană” sunt tratate drept două categorii distincte în cuprinsul </w:t>
            </w:r>
            <w:r>
              <w:rPr>
                <w:rFonts w:ascii="Times New Roman" w:eastAsia="Times New Roman" w:hAnsi="Times New Roman" w:cs="Times New Roman"/>
                <w:i/>
                <w:iCs/>
              </w:rPr>
              <w:t>proiectului de Lege</w:t>
            </w:r>
            <w:r>
              <w:rPr>
                <w:rFonts w:ascii="Times New Roman" w:eastAsia="Times New Roman" w:hAnsi="Times New Roman" w:cs="Times New Roman"/>
              </w:rPr>
              <w:t>.</w:t>
            </w:r>
          </w:p>
          <w:p w14:paraId="5F045815"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4B3FE4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482DAC86" w14:textId="77777777" w:rsidR="00603C7E" w:rsidRDefault="00603C7E">
            <w:pPr>
              <w:spacing w:line="240" w:lineRule="auto"/>
              <w:rPr>
                <w:rFonts w:ascii="Times New Roman" w:eastAsia="Times New Roman" w:hAnsi="Times New Roman" w:cs="Times New Roman"/>
                <w:b/>
                <w:bCs/>
              </w:rPr>
            </w:pPr>
          </w:p>
          <w:p w14:paraId="1B40714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Textul va fi revizuit în scopul uniformizării. </w:t>
            </w:r>
          </w:p>
        </w:tc>
      </w:tr>
      <w:tr w:rsidR="00603C7E" w14:paraId="6A1AC065" w14:textId="77777777">
        <w:trPr>
          <w:trHeight w:val="75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1089A76"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21A6A72"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A727F7E" w14:textId="77777777" w:rsidR="00603C7E"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rPr>
              <w:t xml:space="preserve">3.  La art. 26, alin. (1) şi (3), termenul „convenţiilor internaţionale/convenţiile internaţionale” va fi substituit cu termenul generic „tratat internaţional” (la forma corespunzătoare) prevăzut în </w:t>
            </w:r>
            <w:r>
              <w:rPr>
                <w:rFonts w:ascii="Times New Roman" w:eastAsia="Times New Roman" w:hAnsi="Times New Roman" w:cs="Times New Roman"/>
                <w:i/>
                <w:iCs/>
              </w:rPr>
              <w:t xml:space="preserve">Legea nr. 595/1999 privind tratatele internaționale ale Republicii Moldova. </w:t>
            </w:r>
          </w:p>
          <w:p w14:paraId="0591C3B8"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40E0D2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 acceptă.</w:t>
            </w:r>
          </w:p>
        </w:tc>
      </w:tr>
      <w:tr w:rsidR="00603C7E" w14:paraId="6D742642" w14:textId="77777777">
        <w:trPr>
          <w:trHeight w:val="75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F53C3E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B8E3267"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93084F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4.  Cu referire la art. 31, alin. (5), în vederea sporirii clarităţii, se sugerează ca norma juridică în cauză să fie redată după cum urmează: „În cazul în care Inspectoratul de Stat al Muncii întâmpină probleme persistente referitoare la schimbul de informaţii din cadrul cooperării administrative sau un refuz permanent de a oferi informaţii din partea autorităţilor competente din alte state membre, aceasta, în calitate de coordonator naţional IMI, informează Comisia Europeană, prin intermediul Ministerului Afacerilor Externe.”. </w:t>
            </w:r>
          </w:p>
          <w:p w14:paraId="6568DE33"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32143C4"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2E3165A2" w14:textId="77777777" w:rsidR="00603C7E" w:rsidRDefault="00603C7E">
            <w:pPr>
              <w:spacing w:line="240" w:lineRule="auto"/>
              <w:rPr>
                <w:rFonts w:ascii="Times New Roman" w:eastAsia="Times New Roman" w:hAnsi="Times New Roman" w:cs="Times New Roman"/>
                <w:b/>
                <w:bCs/>
              </w:rPr>
            </w:pPr>
          </w:p>
          <w:p w14:paraId="3814D0D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31, alin. (5) va avea următoarea redacție:</w:t>
            </w:r>
          </w:p>
          <w:p w14:paraId="119DBD67" w14:textId="77777777" w:rsidR="00603C7E" w:rsidRDefault="00603C7E">
            <w:pPr>
              <w:spacing w:line="240" w:lineRule="auto"/>
              <w:rPr>
                <w:rFonts w:ascii="Times New Roman" w:eastAsia="Times New Roman" w:hAnsi="Times New Roman" w:cs="Times New Roman"/>
              </w:rPr>
            </w:pPr>
          </w:p>
          <w:p w14:paraId="6B77C95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„În cazul în care Inspectoratul de Stat al Muncii întâmpină probleme persistente referitoare la schimbul de informaţii din cadrul cooperării administrative sau un refuz permanent de a oferi informaţii din partea autorităţilor competente din alte state membre, aceasta, în calitate de coordonator naţional IMI, informează Comisia Europeană, prin intermediul Ministerului Afacerilor Externe.”. </w:t>
            </w:r>
          </w:p>
        </w:tc>
      </w:tr>
      <w:tr w:rsidR="00603C7E" w14:paraId="163F0FF5" w14:textId="77777777">
        <w:trPr>
          <w:trHeight w:val="75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BECA465"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06B7841"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5F12CF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  La art. 61, alin. (3)-(6), urmează să se specifice dacă termenii „acorduri bilaterale”/„înţelegeri bilaterale” se referă la tratate internaţionale sau la acorduri/înţelegeri care nu sunt guvernate de normele dreptului internațional public.</w:t>
            </w:r>
          </w:p>
          <w:p w14:paraId="60576B14"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14B3CC9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50BB722C" w14:textId="77777777" w:rsidR="00603C7E" w:rsidRDefault="00603C7E">
            <w:pPr>
              <w:spacing w:line="240" w:lineRule="auto"/>
              <w:rPr>
                <w:rFonts w:ascii="Times New Roman" w:eastAsia="Times New Roman" w:hAnsi="Times New Roman" w:cs="Times New Roman"/>
                <w:b/>
                <w:bCs/>
              </w:rPr>
            </w:pPr>
          </w:p>
          <w:p w14:paraId="4217F53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61 alin. (3)-(6) va avea următoarea redacție:</w:t>
            </w:r>
          </w:p>
          <w:p w14:paraId="2C27737C" w14:textId="77777777" w:rsidR="00603C7E" w:rsidRDefault="00603C7E">
            <w:pPr>
              <w:spacing w:line="240" w:lineRule="auto"/>
              <w:rPr>
                <w:rFonts w:ascii="Times New Roman" w:eastAsia="Times New Roman" w:hAnsi="Times New Roman" w:cs="Times New Roman"/>
              </w:rPr>
            </w:pPr>
          </w:p>
          <w:p w14:paraId="0086257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Cooperarea administrativă şi asistenţa reciprocă între autorităţile competente din Republica Moldova şi autorităţile competente din Confederaţia Elveţiană se realizează în baza acordurilor de cooperare interinstituţională care nu sunt guvernate de normele dreptului internaţional public.</w:t>
            </w:r>
          </w:p>
          <w:p w14:paraId="35589376" w14:textId="77777777" w:rsidR="00603C7E" w:rsidRDefault="00603C7E">
            <w:pPr>
              <w:spacing w:line="240" w:lineRule="auto"/>
              <w:rPr>
                <w:rFonts w:ascii="Times New Roman" w:eastAsia="Times New Roman" w:hAnsi="Times New Roman" w:cs="Times New Roman"/>
              </w:rPr>
            </w:pPr>
          </w:p>
          <w:p w14:paraId="221DDD0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 Inspectoratul de Stat al Muncii şi/sau Ministerul Muncii şi Protecţiei Sociale pot încheia cu autorităţile competente din statele membre sau din Confederaţia Elveţiană acorduri de cooperare interinstituţională privind cooperarea administrativă şi asistenţa reciprocă în ceea ce priveşte aplicarea şi monitorizarea clauzelor şi condiţiilor de încadrare în muncă aplicabile lucrătorilor detaşaţi, cu condiţia ca aceste acorduri să nu aducă atingere drepturilor şi obligaţiilor lucrătorilor ori întreprinderilor respective.</w:t>
            </w:r>
          </w:p>
          <w:p w14:paraId="6EB61020" w14:textId="77777777" w:rsidR="00603C7E" w:rsidRDefault="00603C7E">
            <w:pPr>
              <w:spacing w:line="240" w:lineRule="auto"/>
              <w:rPr>
                <w:rFonts w:ascii="Times New Roman" w:eastAsia="Times New Roman" w:hAnsi="Times New Roman" w:cs="Times New Roman"/>
              </w:rPr>
            </w:pPr>
          </w:p>
          <w:p w14:paraId="5995A05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 Ministerul Muncii şi Protecţiei Sociale informează Comisia Europeană cu privire la acordurile de cooperare interinstituţională prevăzute la alin. (4) şi pune la dispoziţia acesteia textele respective.</w:t>
            </w:r>
          </w:p>
          <w:p w14:paraId="5C35CDE6" w14:textId="77777777" w:rsidR="00603C7E" w:rsidRDefault="00603C7E">
            <w:pPr>
              <w:spacing w:line="240" w:lineRule="auto"/>
              <w:rPr>
                <w:rFonts w:ascii="Times New Roman" w:eastAsia="Times New Roman" w:hAnsi="Times New Roman" w:cs="Times New Roman"/>
              </w:rPr>
            </w:pPr>
          </w:p>
          <w:p w14:paraId="1728E0A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 În cadrul acordurilor de cooperare interinstituţională prevăzute la alin. (4), Inspectoratul de Stat al Muncii utilizează Sistemul IMI.”</w:t>
            </w:r>
          </w:p>
        </w:tc>
      </w:tr>
      <w:tr w:rsidR="00603C7E" w14:paraId="26D93870" w14:textId="77777777">
        <w:trPr>
          <w:trHeight w:val="75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C53E0B4"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8E023CC"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9CA0AC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6. În context, Inspectoratului de Stat al Muncii i se propune să îi revină competența de a încheia doar acorduri/înţelegeri care nu sunt guvernate de normele dreptului internațional public în domeniul său de activitate, competenţa de a încheia tratate </w:t>
            </w:r>
            <w:r>
              <w:rPr>
                <w:rFonts w:ascii="Times New Roman" w:eastAsia="Times New Roman" w:hAnsi="Times New Roman" w:cs="Times New Roman"/>
              </w:rPr>
              <w:lastRenderedPageBreak/>
              <w:t xml:space="preserve">internaţionale în domeniu revenindu-i Ministerului Muncii şi Protecţiei Sociale – organ central de specialitate al administrației publice care asigură realizarea politicii guvernamentale în domeniu. </w:t>
            </w:r>
          </w:p>
          <w:p w14:paraId="770B1FB8"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0CCC9F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4B6D9101" w14:textId="77777777" w:rsidR="00603C7E" w:rsidRDefault="00603C7E">
            <w:pPr>
              <w:spacing w:line="240" w:lineRule="auto"/>
              <w:rPr>
                <w:rFonts w:ascii="Times New Roman" w:eastAsia="Times New Roman" w:hAnsi="Times New Roman" w:cs="Times New Roman"/>
                <w:b/>
                <w:bCs/>
              </w:rPr>
            </w:pPr>
          </w:p>
          <w:p w14:paraId="45609FA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Delimitarea respectivă rezultă deja din cadrul general al competențelor instituționale ale MMPS și ISM, astfel încât nu este necesară dublarea ei expresă în textul legii, </w:t>
            </w:r>
            <w:r>
              <w:rPr>
                <w:rFonts w:ascii="Times New Roman" w:eastAsia="Times New Roman" w:hAnsi="Times New Roman" w:cs="Times New Roman"/>
              </w:rPr>
              <w:lastRenderedPageBreak/>
              <w:t>dacă proiectul este redactat pe formula acordurilor de cooperare interinstituțională care nu sunt guvernate de normele dreptului internațional public. În această variantă, nu se mai creează aparența că ISM ar putea încheia tratate internaționale, iar competența MMPS decurge oricum din statutul său de organ central de specialitate.</w:t>
            </w:r>
          </w:p>
        </w:tc>
      </w:tr>
      <w:tr w:rsidR="00603C7E" w14:paraId="10817DB1" w14:textId="77777777">
        <w:trPr>
          <w:trHeight w:val="750"/>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656DCB4"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D5DD22F"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3554B6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7. Totodată, art. 61, alin. (3) va fi reexaminat din punct de vedere redacţional, deoarece acesta are deficienţe de claritate.  </w:t>
            </w:r>
          </w:p>
          <w:p w14:paraId="4A39E79C"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A7732E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39E96D1D" w14:textId="77777777" w:rsidR="00603C7E" w:rsidRDefault="00603C7E">
            <w:pPr>
              <w:spacing w:line="240" w:lineRule="auto"/>
              <w:rPr>
                <w:rFonts w:ascii="Times New Roman" w:eastAsia="Times New Roman" w:hAnsi="Times New Roman" w:cs="Times New Roman"/>
              </w:rPr>
            </w:pPr>
          </w:p>
          <w:p w14:paraId="4B0BC22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61 alin. (3) va avea următoarea redacție:</w:t>
            </w:r>
          </w:p>
          <w:p w14:paraId="1D246375" w14:textId="77777777" w:rsidR="00603C7E" w:rsidRDefault="00603C7E">
            <w:pPr>
              <w:spacing w:line="240" w:lineRule="auto"/>
              <w:rPr>
                <w:rFonts w:ascii="Times New Roman" w:eastAsia="Times New Roman" w:hAnsi="Times New Roman" w:cs="Times New Roman"/>
              </w:rPr>
            </w:pPr>
          </w:p>
          <w:p w14:paraId="18083AB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Cooperarea administrativă şi asistenţa reciprocă între autorităţile competente din Republica Moldova şi autorităţile competente din Confederaţia Elveţiană se realizează în baza acordurilor de cooperare interinstituţională care nu sunt guvernate de normele dreptului internaţional public.</w:t>
            </w:r>
          </w:p>
          <w:p w14:paraId="0EC0AB8A" w14:textId="77777777" w:rsidR="00603C7E" w:rsidRDefault="00603C7E">
            <w:pPr>
              <w:spacing w:line="240" w:lineRule="auto"/>
              <w:rPr>
                <w:rFonts w:ascii="Times New Roman" w:eastAsia="Times New Roman" w:hAnsi="Times New Roman" w:cs="Times New Roman"/>
              </w:rPr>
            </w:pPr>
          </w:p>
        </w:tc>
      </w:tr>
      <w:tr w:rsidR="00603C7E" w14:paraId="62EE9A4E" w14:textId="77777777">
        <w:trPr>
          <w:trHeight w:val="750"/>
        </w:trPr>
        <w:tc>
          <w:tcPr>
            <w:tcW w:w="51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2BF9763"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4.</w:t>
            </w:r>
          </w:p>
        </w:tc>
        <w:tc>
          <w:tcPr>
            <w:tcW w:w="307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1B1F91A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Ministerul Dezvoltării Economice și Digitalizării</w:t>
            </w:r>
          </w:p>
          <w:p w14:paraId="252266B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 17-945 din 18.03.2026)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3CC42A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 Potrivit</w:t>
            </w:r>
            <w:r>
              <w:rPr>
                <w:rFonts w:ascii="Times New Roman" w:eastAsia="Times New Roman" w:hAnsi="Times New Roman" w:cs="Times New Roman"/>
                <w:b/>
                <w:bCs/>
              </w:rPr>
              <w:t xml:space="preserve"> art.1</w:t>
            </w:r>
            <w:r>
              <w:rPr>
                <w:rFonts w:ascii="Times New Roman" w:eastAsia="Times New Roman" w:hAnsi="Times New Roman" w:cs="Times New Roman"/>
              </w:rPr>
              <w:t xml:space="preserve"> din proiect, obiectul și scopul legii stabilesc instituirea unui cadru comun de dispoziții, măsuri și mecanisme de control aplicabile detașării salariaților pe teritoriul Republicii Moldova în cadrul prestării de servicii transnaționale, inclusiv a măsurilor de prevenire și sancționare a oricărui abuz sau a eludării acestora.</w:t>
            </w:r>
          </w:p>
          <w:p w14:paraId="3E26641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Ținând cont de faptul, că denumirea proiectului utilizează redacția </w:t>
            </w:r>
            <w:r>
              <w:rPr>
                <w:rFonts w:ascii="Times New Roman" w:eastAsia="Times New Roman" w:hAnsi="Times New Roman" w:cs="Times New Roman"/>
                <w:i/>
                <w:iCs/>
              </w:rPr>
              <w:t>„detașarea lucrătorilor în cadrul prestării de servicii”</w:t>
            </w:r>
            <w:r>
              <w:rPr>
                <w:rFonts w:ascii="Times New Roman" w:eastAsia="Times New Roman" w:hAnsi="Times New Roman" w:cs="Times New Roman"/>
              </w:rPr>
              <w:t>, iar</w:t>
            </w:r>
            <w:r>
              <w:rPr>
                <w:rFonts w:ascii="Times New Roman" w:eastAsia="Times New Roman" w:hAnsi="Times New Roman" w:cs="Times New Roman"/>
                <w:b/>
                <w:bCs/>
              </w:rPr>
              <w:t xml:space="preserve"> art.2 </w:t>
            </w:r>
            <w:r>
              <w:rPr>
                <w:rFonts w:ascii="Times New Roman" w:eastAsia="Times New Roman" w:hAnsi="Times New Roman" w:cs="Times New Roman"/>
              </w:rPr>
              <w:t xml:space="preserve">face trimitere la noțiunea de </w:t>
            </w:r>
            <w:r>
              <w:rPr>
                <w:rFonts w:ascii="Times New Roman" w:eastAsia="Times New Roman" w:hAnsi="Times New Roman" w:cs="Times New Roman"/>
                <w:i/>
                <w:iCs/>
              </w:rPr>
              <w:t>„salariați”</w:t>
            </w:r>
            <w:r>
              <w:rPr>
                <w:rFonts w:ascii="Times New Roman" w:eastAsia="Times New Roman" w:hAnsi="Times New Roman" w:cs="Times New Roman"/>
              </w:rPr>
              <w:t xml:space="preserve">, în vederea asigurării coerenței terminologice și a aplicării uniforme a cadrului legal, se recomandă substituirea sintagmei </w:t>
            </w:r>
            <w:r>
              <w:rPr>
                <w:rFonts w:ascii="Times New Roman" w:eastAsia="Times New Roman" w:hAnsi="Times New Roman" w:cs="Times New Roman"/>
                <w:i/>
                <w:iCs/>
              </w:rPr>
              <w:t>„lucrătorilor”</w:t>
            </w:r>
            <w:r>
              <w:rPr>
                <w:rFonts w:ascii="Times New Roman" w:eastAsia="Times New Roman" w:hAnsi="Times New Roman" w:cs="Times New Roman"/>
              </w:rPr>
              <w:t xml:space="preserve"> din denumirea proiectului cu sintagma </w:t>
            </w:r>
            <w:r>
              <w:rPr>
                <w:rFonts w:ascii="Times New Roman" w:eastAsia="Times New Roman" w:hAnsi="Times New Roman" w:cs="Times New Roman"/>
                <w:i/>
                <w:iCs/>
              </w:rPr>
              <w:t>„salariaților”</w:t>
            </w:r>
            <w:r>
              <w:rPr>
                <w:rFonts w:ascii="Times New Roman" w:eastAsia="Times New Roman" w:hAnsi="Times New Roman" w:cs="Times New Roman"/>
              </w:rPr>
              <w:t>, precum și utilizarea consecventă a acesteia pe întreg parcursul textului proiectului.</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61DA1174"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Nu se acceptă.</w:t>
            </w:r>
          </w:p>
          <w:p w14:paraId="05DC8635" w14:textId="77777777" w:rsidR="00603C7E" w:rsidRDefault="00603C7E">
            <w:pPr>
              <w:spacing w:line="240" w:lineRule="auto"/>
              <w:rPr>
                <w:rFonts w:ascii="Times New Roman" w:eastAsia="Times New Roman" w:hAnsi="Times New Roman" w:cs="Times New Roman"/>
                <w:b/>
                <w:bCs/>
              </w:rPr>
            </w:pPr>
          </w:p>
          <w:p w14:paraId="7815446A"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Sintagma „detașarea lucrătorilor în cadrul prestării de servicii” se menține, întrucât aceasta corespunde terminologiei utilizate de Directivele 96/71/CE și 2014/67/UE, precum și opțiunii de armonizare deja reținute în cadrul expertizei de compatibilitate. Textul proiectului va fi revizuit pentru asigurarea unei utilizări consecvente a terminologiei pe întreg parcursul actului normativ.</w:t>
            </w:r>
          </w:p>
        </w:tc>
      </w:tr>
      <w:tr w:rsidR="00603C7E" w14:paraId="036A6736" w14:textId="77777777">
        <w:trPr>
          <w:trHeight w:val="5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6A28FA7"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556DFA65"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72BD0E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 La </w:t>
            </w:r>
            <w:r>
              <w:rPr>
                <w:rFonts w:ascii="Times New Roman" w:eastAsia="Times New Roman" w:hAnsi="Times New Roman" w:cs="Times New Roman"/>
                <w:b/>
                <w:bCs/>
              </w:rPr>
              <w:t xml:space="preserve">art.8 alin.(2) </w:t>
            </w:r>
            <w:r>
              <w:rPr>
                <w:rFonts w:ascii="Times New Roman" w:eastAsia="Times New Roman" w:hAnsi="Times New Roman" w:cs="Times New Roman"/>
              </w:rPr>
              <w:t xml:space="preserve">din proiect, norma prevede obligația agentului de muncă temporară de a informa salariatul cu privire la modificarea locului de muncă, potrivit regulilor privind detașarea transnațională. Pentru sporirea clarității normative, se recomandă completarea textului, după sintagma </w:t>
            </w:r>
            <w:r>
              <w:rPr>
                <w:rFonts w:ascii="Times New Roman" w:eastAsia="Times New Roman" w:hAnsi="Times New Roman" w:cs="Times New Roman"/>
                <w:i/>
                <w:iCs/>
              </w:rPr>
              <w:t>„potrivit regulilor privind detașarea transnațională”,</w:t>
            </w:r>
            <w:r>
              <w:rPr>
                <w:rFonts w:ascii="Times New Roman" w:eastAsia="Times New Roman" w:hAnsi="Times New Roman" w:cs="Times New Roman"/>
              </w:rPr>
              <w:t xml:space="preserve"> cu cuvintele </w:t>
            </w:r>
            <w:r>
              <w:rPr>
                <w:rFonts w:ascii="Times New Roman" w:eastAsia="Times New Roman" w:hAnsi="Times New Roman" w:cs="Times New Roman"/>
                <w:i/>
                <w:iCs/>
              </w:rPr>
              <w:t>„stabilite de prezenta lege” sau „prevăzute de lege”</w:t>
            </w:r>
            <w:r>
              <w:rPr>
                <w:rFonts w:ascii="Times New Roman" w:eastAsia="Times New Roman" w:hAnsi="Times New Roman" w:cs="Times New Roman"/>
              </w:rPr>
              <w:t>, astfel încât trimiterea normativă să fie expresă și lipsită de echivoc.</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66FB04F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46F95A4E" w14:textId="77777777" w:rsidR="00603C7E" w:rsidRDefault="00603C7E">
            <w:pPr>
              <w:spacing w:line="240" w:lineRule="auto"/>
              <w:rPr>
                <w:rFonts w:ascii="Times New Roman" w:eastAsia="Times New Roman" w:hAnsi="Times New Roman" w:cs="Times New Roman"/>
                <w:b/>
                <w:bCs/>
              </w:rPr>
            </w:pPr>
          </w:p>
          <w:p w14:paraId="670A4A7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8 alin. (2) va avea următoarea redacție:</w:t>
            </w:r>
          </w:p>
          <w:p w14:paraId="10D86352" w14:textId="77777777" w:rsidR="00603C7E" w:rsidRDefault="00603C7E">
            <w:pPr>
              <w:spacing w:line="240" w:lineRule="auto"/>
              <w:rPr>
                <w:rFonts w:ascii="Times New Roman" w:eastAsia="Times New Roman" w:hAnsi="Times New Roman" w:cs="Times New Roman"/>
              </w:rPr>
            </w:pPr>
          </w:p>
          <w:p w14:paraId="5867065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 Agentul de muncă temporară are obligaţia de a informa lucrătorul cu privire la modificarea locului de muncă, potrivit regulilor privind detașarea transnațională, stabilite de prezenta lege.</w:t>
            </w:r>
          </w:p>
        </w:tc>
      </w:tr>
      <w:tr w:rsidR="00603C7E" w14:paraId="71842185" w14:textId="77777777">
        <w:trPr>
          <w:trHeight w:val="5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40639EB"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1DE8A1CC"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0093D62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b/>
                <w:bCs/>
              </w:rPr>
              <w:t xml:space="preserve">Art.10 alin.(3) </w:t>
            </w:r>
            <w:r>
              <w:rPr>
                <w:rFonts w:ascii="Times New Roman" w:eastAsia="Times New Roman" w:hAnsi="Times New Roman" w:cs="Times New Roman"/>
              </w:rPr>
              <w:t xml:space="preserve">stabilește posibilitatea prelungirii perioadei de 12 luni până la 18 luni prin transmiterea unei </w:t>
            </w:r>
            <w:r>
              <w:rPr>
                <w:rFonts w:ascii="Times New Roman" w:eastAsia="Times New Roman" w:hAnsi="Times New Roman" w:cs="Times New Roman"/>
                <w:i/>
                <w:iCs/>
              </w:rPr>
              <w:t xml:space="preserve">„notificări motivate” </w:t>
            </w:r>
            <w:r>
              <w:rPr>
                <w:rFonts w:ascii="Times New Roman" w:eastAsia="Times New Roman" w:hAnsi="Times New Roman" w:cs="Times New Roman"/>
              </w:rPr>
              <w:t xml:space="preserve">către inspectoratul teritorial de muncă. Norma, însă, nu explică ce se înțelege prin </w:t>
            </w:r>
            <w:r>
              <w:rPr>
                <w:rFonts w:ascii="Times New Roman" w:eastAsia="Times New Roman" w:hAnsi="Times New Roman" w:cs="Times New Roman"/>
                <w:i/>
                <w:iCs/>
              </w:rPr>
              <w:t>„notificare motivată”</w:t>
            </w:r>
            <w:r>
              <w:rPr>
                <w:rFonts w:ascii="Times New Roman" w:eastAsia="Times New Roman" w:hAnsi="Times New Roman" w:cs="Times New Roman"/>
              </w:rPr>
              <w:t>, ce elemente trebuie să conțină aceasta și nici care sunt efectele juridice ale depunerii ei. În redactarea actuală, nu este clar dacă prelungirea operează automat prin simpla transmitere a notificării sau dacă autoritatea competentă poate aprecia asupra justificării prezentate. În vederea asigurării previzibilității și evitării interpretărilor divergente, se recomandă revizuirea normei, prin stabilirea elementelor minime ale notificării și a efectului juridic al acesteia.</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28B0469"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6A35081C" w14:textId="77777777" w:rsidR="00603C7E" w:rsidRDefault="00603C7E">
            <w:pPr>
              <w:spacing w:line="240" w:lineRule="auto"/>
              <w:rPr>
                <w:rFonts w:ascii="Times New Roman" w:eastAsia="Times New Roman" w:hAnsi="Times New Roman" w:cs="Times New Roman"/>
                <w:b/>
                <w:bCs/>
              </w:rPr>
            </w:pPr>
          </w:p>
          <w:p w14:paraId="0F8508E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10 alin. (3) și (4) vor avea următoarea redacție:</w:t>
            </w:r>
          </w:p>
          <w:p w14:paraId="7DB3E4AD" w14:textId="77777777" w:rsidR="00603C7E" w:rsidRDefault="00603C7E">
            <w:pPr>
              <w:spacing w:line="240" w:lineRule="auto"/>
              <w:rPr>
                <w:rFonts w:ascii="Times New Roman" w:eastAsia="Times New Roman" w:hAnsi="Times New Roman" w:cs="Times New Roman"/>
              </w:rPr>
            </w:pPr>
          </w:p>
          <w:p w14:paraId="7958C1B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În cazul în care durata efectivă a detașării depășește 12 luni, perioada prevăzută la alin. (1) poate fi prelungită până la 18 luni, cu condiția transmiterii, înainte de expirarea termenului de 12 luni, a unei notificări motivate către inspectoratul teritorial de muncă competent.</w:t>
            </w:r>
          </w:p>
          <w:p w14:paraId="5D0CC03B" w14:textId="77777777" w:rsidR="00603C7E" w:rsidRDefault="00603C7E">
            <w:pPr>
              <w:spacing w:line="240" w:lineRule="auto"/>
              <w:rPr>
                <w:rFonts w:ascii="Times New Roman" w:eastAsia="Times New Roman" w:hAnsi="Times New Roman" w:cs="Times New Roman"/>
              </w:rPr>
            </w:pPr>
          </w:p>
          <w:p w14:paraId="4D37722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 Notificarea motivată prevăzută la alin. (3) va cuprinde cel puțin datele de identificare ale întreprinderii care detașează, datele de identificare ale lucrătorului detașat, locul desfășurării activității, data începerii detașării, durata estimată a prelungirii și motivele obiective care justifică prelungirea. În cazul respectării cerințelor prevăzute de prezentul alineat, prelungirea operează de drept de la data transmiterii notificării.”</w:t>
            </w:r>
          </w:p>
          <w:p w14:paraId="6323DA8C" w14:textId="77777777" w:rsidR="00603C7E" w:rsidRDefault="00603C7E">
            <w:pPr>
              <w:spacing w:line="240" w:lineRule="auto"/>
              <w:rPr>
                <w:rFonts w:ascii="Times New Roman" w:eastAsia="Times New Roman" w:hAnsi="Times New Roman" w:cs="Times New Roman"/>
              </w:rPr>
            </w:pPr>
          </w:p>
        </w:tc>
      </w:tr>
      <w:tr w:rsidR="00603C7E" w14:paraId="4AF59494" w14:textId="77777777">
        <w:trPr>
          <w:trHeight w:val="5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506E466"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4750B47"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93E5DC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 Totodată,</w:t>
            </w:r>
            <w:r>
              <w:rPr>
                <w:rFonts w:ascii="Times New Roman" w:eastAsia="Times New Roman" w:hAnsi="Times New Roman" w:cs="Times New Roman"/>
                <w:b/>
                <w:bCs/>
              </w:rPr>
              <w:t xml:space="preserve"> potrivit art.10 alin.(4)</w:t>
            </w:r>
            <w:r>
              <w:rPr>
                <w:rFonts w:ascii="Times New Roman" w:eastAsia="Times New Roman" w:hAnsi="Times New Roman" w:cs="Times New Roman"/>
              </w:rPr>
              <w:t xml:space="preserve">, modelul notificării și condițiile de transmitere a acesteia urmează a fi stabilite de Guvern, ceea ce constituie o delegare excesivă a reglementării procedurii </w:t>
            </w:r>
            <w:r>
              <w:rPr>
                <w:rFonts w:ascii="Times New Roman" w:eastAsia="Times New Roman" w:hAnsi="Times New Roman" w:cs="Times New Roman"/>
              </w:rPr>
              <w:lastRenderedPageBreak/>
              <w:t>către un act normativ subordonat legii. Or, potrivit principiilor de reglementare a activității de întreprinzător, legea trebuie să instituie normele primare și să definească elementele esențiale ale procedurii de notificare, inclusiv conținutul minim al notificării, termenul de depunere și efectele juridice ale acesteia, iar Guvernul poate reglementa doar aspectele de aplicare practică, precum modelul formularului și modul de completare sau transmitere a acestuia. În acest sens, se recomandă, completarea proiectului cu aceste elemente esențiale și limitarea delegării către Guvern strict la aspectele tehnice.</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89FD9CF"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1773971E" w14:textId="77777777" w:rsidR="00603C7E" w:rsidRDefault="00603C7E">
            <w:pPr>
              <w:spacing w:line="240" w:lineRule="auto"/>
              <w:rPr>
                <w:rFonts w:ascii="Times New Roman" w:eastAsia="Times New Roman" w:hAnsi="Times New Roman" w:cs="Times New Roman"/>
                <w:b/>
                <w:bCs/>
              </w:rPr>
            </w:pPr>
          </w:p>
          <w:p w14:paraId="4879273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10 alin. (4) va avea următoarea redacție:</w:t>
            </w:r>
          </w:p>
          <w:p w14:paraId="6AE2A0ED" w14:textId="77777777" w:rsidR="00603C7E" w:rsidRDefault="00603C7E">
            <w:pPr>
              <w:spacing w:line="240" w:lineRule="auto"/>
              <w:rPr>
                <w:rFonts w:ascii="Times New Roman" w:eastAsia="Times New Roman" w:hAnsi="Times New Roman" w:cs="Times New Roman"/>
              </w:rPr>
            </w:pPr>
          </w:p>
          <w:p w14:paraId="1344A18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„(4) Notificarea motivată prevăzută la alin. (3) va cuprinde cel puțin datele de identificare ale întreprinderii care detașează, datele de identificare ale lucrătorului detașat, locul desfășurării activității, data începerii detașării, durata estimată a prelungirii și motivele obiective care justifică prelungirea. În cazul respectării cerințelor prevăzute de prezentul alineat, prelungirea operează de drept de la data transmiterii notificării.”</w:t>
            </w:r>
          </w:p>
        </w:tc>
      </w:tr>
      <w:tr w:rsidR="00603C7E" w14:paraId="33454508" w14:textId="77777777">
        <w:trPr>
          <w:trHeight w:val="5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A51D81E"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40DCD562"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2F2EC5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5. Potrivit </w:t>
            </w:r>
            <w:r>
              <w:rPr>
                <w:rFonts w:ascii="Times New Roman" w:eastAsia="Times New Roman" w:hAnsi="Times New Roman" w:cs="Times New Roman"/>
                <w:b/>
                <w:bCs/>
              </w:rPr>
              <w:t>art.28 alin.(1)</w:t>
            </w:r>
            <w:r>
              <w:rPr>
                <w:rFonts w:ascii="Times New Roman" w:eastAsia="Times New Roman" w:hAnsi="Times New Roman" w:cs="Times New Roman"/>
              </w:rPr>
              <w:t xml:space="preserve"> din proiect, se instituie răspunderea solidară a contractantului față de subcontractant pentru achitarea drepturilor salariale nete restante aferente salariului minim acordat în temeiul prezentei legi. Formularea normei nu clarifică dacă salariul minim net avut în vedere este cel stabilit conform legislației Republicii Moldova sau cel aplicabil în statul în care are loc detașarea (statul gazdă), în contextul detașării transnaționale. Această lipsă de precizie poate să genereze interpretări divergente în procesul de aplicare, în special în cadrul lanțurilor de subcontractare transnațională.</w:t>
            </w:r>
          </w:p>
          <w:p w14:paraId="6C609F7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În acest sens, în vederea asigurării clarității, previzibilității și aplicării uniforme a normei, se impune completarea acesteia prin indicarea expresă a legislației aplicabile salariului minim net (de exemplu: </w:t>
            </w:r>
            <w:r>
              <w:rPr>
                <w:rFonts w:ascii="Times New Roman" w:eastAsia="Times New Roman" w:hAnsi="Times New Roman" w:cs="Times New Roman"/>
                <w:i/>
                <w:iCs/>
              </w:rPr>
              <w:t>„potrivit legislației statului gazdă”</w:t>
            </w:r>
            <w:r>
              <w:rPr>
                <w:rFonts w:ascii="Times New Roman" w:eastAsia="Times New Roman" w:hAnsi="Times New Roman" w:cs="Times New Roman"/>
              </w:rPr>
              <w:t xml:space="preserve"> sau </w:t>
            </w:r>
            <w:r>
              <w:rPr>
                <w:rFonts w:ascii="Times New Roman" w:eastAsia="Times New Roman" w:hAnsi="Times New Roman" w:cs="Times New Roman"/>
                <w:i/>
                <w:iCs/>
              </w:rPr>
              <w:t>„potrivit legislației Republicii Moldova”</w:t>
            </w:r>
            <w:r>
              <w:rPr>
                <w:rFonts w:ascii="Times New Roman" w:eastAsia="Times New Roman" w:hAnsi="Times New Roman" w:cs="Times New Roman"/>
              </w:rPr>
              <w:t>).</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1D363F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35ADCCD3" w14:textId="77777777" w:rsidR="00603C7E" w:rsidRDefault="00603C7E">
            <w:pPr>
              <w:spacing w:line="240" w:lineRule="auto"/>
              <w:rPr>
                <w:rFonts w:ascii="Times New Roman" w:eastAsia="Times New Roman" w:hAnsi="Times New Roman" w:cs="Times New Roman"/>
              </w:rPr>
            </w:pPr>
          </w:p>
          <w:p w14:paraId="67977DF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28 alin. (1) va avea următoarea redacție:</w:t>
            </w:r>
          </w:p>
          <w:p w14:paraId="39C73E60" w14:textId="77777777" w:rsidR="00603C7E" w:rsidRDefault="00603C7E">
            <w:pPr>
              <w:spacing w:line="240" w:lineRule="auto"/>
              <w:rPr>
                <w:rFonts w:ascii="Times New Roman" w:eastAsia="Times New Roman" w:hAnsi="Times New Roman" w:cs="Times New Roman"/>
              </w:rPr>
            </w:pPr>
          </w:p>
          <w:p w14:paraId="2BB0A8B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 În cazurile de detașare a lucrătorilor pe teritoriul Republicii Moldova în condițiile prezentei legi, în cadrul lanțurilor de subcontractare, pentru activitățile prevăzute în  anexa la prezenta lege, contractantul față de care întreprinderea prevăzută la art. 5 lit. a) este subcontractant direct răspunde solidar cu aceasta sau în locul său pentru drepturile salariale nete restante aferente salariului minim acordat potrivit legislației statului gazdă.</w:t>
            </w:r>
          </w:p>
        </w:tc>
      </w:tr>
      <w:tr w:rsidR="00603C7E" w14:paraId="4F3923B6" w14:textId="77777777">
        <w:trPr>
          <w:trHeight w:val="5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376018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1244AD0"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856FA0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 Totodată,</w:t>
            </w:r>
            <w:r>
              <w:rPr>
                <w:rFonts w:ascii="Times New Roman" w:eastAsia="Times New Roman" w:hAnsi="Times New Roman" w:cs="Times New Roman"/>
                <w:b/>
                <w:bCs/>
              </w:rPr>
              <w:t xml:space="preserve"> art.28 alin.(3) </w:t>
            </w:r>
            <w:r>
              <w:rPr>
                <w:rFonts w:ascii="Times New Roman" w:eastAsia="Times New Roman" w:hAnsi="Times New Roman" w:cs="Times New Roman"/>
              </w:rPr>
              <w:t xml:space="preserve">prevede că contractantul este exonerat de răspundere dacă face dovada că a solicitat subcontractantului </w:t>
            </w:r>
            <w:r>
              <w:rPr>
                <w:rFonts w:ascii="Times New Roman" w:eastAsia="Times New Roman" w:hAnsi="Times New Roman" w:cs="Times New Roman"/>
              </w:rPr>
              <w:lastRenderedPageBreak/>
              <w:t xml:space="preserve">documentele care atestă respectarea condițiilor de muncă aplicabile salariaților detașați, iar </w:t>
            </w:r>
            <w:r>
              <w:rPr>
                <w:rFonts w:ascii="Times New Roman" w:eastAsia="Times New Roman" w:hAnsi="Times New Roman" w:cs="Times New Roman"/>
                <w:b/>
                <w:bCs/>
              </w:rPr>
              <w:t>alin.(4)</w:t>
            </w:r>
            <w:r>
              <w:rPr>
                <w:rFonts w:ascii="Times New Roman" w:eastAsia="Times New Roman" w:hAnsi="Times New Roman" w:cs="Times New Roman"/>
              </w:rPr>
              <w:t xml:space="preserve"> din articolul menționat, stabilește conținutul minim al acestor documente.</w:t>
            </w:r>
          </w:p>
          <w:p w14:paraId="4BC3EBE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În vederea asigurării clarității, previzibilității și aplicării uniforme a normei, se impune completarea acesteia cu prevederi exprese referitoare la termenul și modalitatea de solicitare și transmitere a documentelor, criteriile minime de evaluare a veridicității și suficienței acestora, precum și autoritatea competentă să verifice și să constate îndeplinirea condițiilor pentru exonerarea de răspundere. Lipsa acestor elemente poate genera incertitudini în aplicare, în special pentru organele de control și instanțele de judecată, afectând astfel previzibilitatea normei și eficiența mecanismului de răspundere instituit în cadrul lanțurilor de subcontractare transnațională.</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63D468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67C73B19" w14:textId="77777777" w:rsidR="00603C7E" w:rsidRDefault="00603C7E">
            <w:pPr>
              <w:spacing w:line="240" w:lineRule="auto"/>
              <w:rPr>
                <w:rFonts w:ascii="Times New Roman" w:eastAsia="Times New Roman" w:hAnsi="Times New Roman" w:cs="Times New Roman"/>
              </w:rPr>
            </w:pPr>
          </w:p>
          <w:p w14:paraId="613325A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28 alin. (3) va avea următoarea redacție:</w:t>
            </w:r>
          </w:p>
          <w:p w14:paraId="0238E711" w14:textId="77777777" w:rsidR="00603C7E" w:rsidRDefault="00603C7E">
            <w:pPr>
              <w:spacing w:line="240" w:lineRule="auto"/>
              <w:rPr>
                <w:rFonts w:ascii="Times New Roman" w:eastAsia="Times New Roman" w:hAnsi="Times New Roman" w:cs="Times New Roman"/>
              </w:rPr>
            </w:pPr>
          </w:p>
          <w:p w14:paraId="5C0537C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Contractantul prevăzut la alin. (1) nu răspunde dacă dovedește că, anterior începerii executării prestației sau, după caz, pe parcursul executării acesteia, a solicitat în scris subcontractantului direct documentele prevăzute la alin. (4), că acestea au fost prezentate într-un termen rezonabil și că nu existau indicii vădite privind neconformitatea, falsitatea sau caracterul incomplet al acestora. Îndeplinirea condițiilor pentru exonerarea de răspundere se apreciază de către Inspectoratul de Stat al Muncii în cazul efectuării controlului sau, după caz, de către instanța de judecată.</w:t>
            </w:r>
          </w:p>
        </w:tc>
      </w:tr>
      <w:tr w:rsidR="00603C7E" w14:paraId="4D5F8205" w14:textId="77777777">
        <w:trPr>
          <w:trHeight w:val="5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E1BCEDD"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BDBD4A4"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6B79880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7. De asemenea, </w:t>
            </w:r>
            <w:r>
              <w:rPr>
                <w:rFonts w:ascii="Times New Roman" w:eastAsia="Times New Roman" w:hAnsi="Times New Roman" w:cs="Times New Roman"/>
                <w:b/>
                <w:bCs/>
              </w:rPr>
              <w:t>art.29 alin.(6)</w:t>
            </w:r>
            <w:r>
              <w:rPr>
                <w:rFonts w:ascii="Times New Roman" w:eastAsia="Times New Roman" w:hAnsi="Times New Roman" w:cs="Times New Roman"/>
              </w:rPr>
              <w:t xml:space="preserve"> prevede exonerarea contractantului de răspunderea prevăzută la alin.(1) şi (2) dacă face dovada că a achitat subcontractantului toate obligațiile contractuale scadente, aferente relației contractuale dintre aceștia.</w:t>
            </w:r>
          </w:p>
          <w:p w14:paraId="3065009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Pentru a asigura securitatea raporturilor juridice în cadrul lanțurilor de subcontractare interne, se impune ajustarea normei prin stabilirea expresă a termenului limită până la care obligațiile contractuale trebuie să fie achitate pentru a opera exonerarea de răspundere, clarificarea situației în care obligațiile contractuale sunt contestate, inclusiv sub aspectul suspendării sau limitării exonerării până la soluționarea litigiului.</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DD363D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21A8F1B0" w14:textId="77777777" w:rsidR="00603C7E" w:rsidRDefault="00603C7E">
            <w:pPr>
              <w:spacing w:line="240" w:lineRule="auto"/>
              <w:rPr>
                <w:rFonts w:ascii="Times New Roman" w:eastAsia="Times New Roman" w:hAnsi="Times New Roman" w:cs="Times New Roman"/>
              </w:rPr>
            </w:pPr>
          </w:p>
          <w:p w14:paraId="694CBF9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29 alin. (6) va avea următoarea redacție:</w:t>
            </w:r>
          </w:p>
          <w:p w14:paraId="405E9E61" w14:textId="77777777" w:rsidR="00603C7E" w:rsidRDefault="00603C7E">
            <w:pPr>
              <w:spacing w:line="240" w:lineRule="auto"/>
              <w:rPr>
                <w:rFonts w:ascii="Times New Roman" w:eastAsia="Times New Roman" w:hAnsi="Times New Roman" w:cs="Times New Roman"/>
              </w:rPr>
            </w:pPr>
          </w:p>
          <w:p w14:paraId="08EED49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 Contractantul prevăzut la alin. (1) și (2) nu răspunde dacă dovedește că, până la data scadenței, a achitat integral obligațiile contractuale exigibile aferente relației contractuale cu subcontractantul, cu excepția cazului în care, la data plății, cunoștea sau trebuia în mod rezonabil să cunoască faptul că subcontractantul nu respectă obligațiile prevăzute de prezentul articol. În cazul în care existența, întinderea sau exigibilitatea obligațiilor contractuale este contestată și face obiectul unui litigiu, exonerarea de răspundere nu operează până la soluționarea definitivă a acestuia.</w:t>
            </w:r>
          </w:p>
        </w:tc>
      </w:tr>
      <w:tr w:rsidR="00603C7E" w14:paraId="4B2F730A" w14:textId="77777777">
        <w:trPr>
          <w:trHeight w:val="585"/>
        </w:trPr>
        <w:tc>
          <w:tcPr>
            <w:tcW w:w="51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40BE4B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5.</w:t>
            </w:r>
          </w:p>
        </w:tc>
        <w:tc>
          <w:tcPr>
            <w:tcW w:w="307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37530838"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Ministerul Infrastructurii și Dezvoltării Regionale</w:t>
            </w:r>
          </w:p>
          <w:p w14:paraId="076F12D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(nr.21- 1314 din 16.03.2026)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B330C1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1.</w:t>
            </w:r>
            <w:r>
              <w:rPr>
                <w:rFonts w:ascii="Times New Roman" w:eastAsia="Times New Roman" w:hAnsi="Times New Roman" w:cs="Times New Roman"/>
                <w:b/>
                <w:bCs/>
              </w:rPr>
              <w:t xml:space="preserve"> La art. 2</w:t>
            </w:r>
            <w:r>
              <w:rPr>
                <w:rFonts w:ascii="Times New Roman" w:eastAsia="Times New Roman" w:hAnsi="Times New Roman" w:cs="Times New Roman"/>
              </w:rPr>
              <w:t>, în definiția noțiunii „</w:t>
            </w:r>
            <w:r>
              <w:rPr>
                <w:rFonts w:ascii="Times New Roman" w:eastAsia="Times New Roman" w:hAnsi="Times New Roman" w:cs="Times New Roman"/>
                <w:i/>
                <w:iCs/>
              </w:rPr>
              <w:t>autoritate competentă”</w:t>
            </w:r>
            <w:r>
              <w:rPr>
                <w:rFonts w:ascii="Times New Roman" w:eastAsia="Times New Roman" w:hAnsi="Times New Roman" w:cs="Times New Roman"/>
              </w:rPr>
              <w:t xml:space="preserve">, urmează a fi înlăturată eroarea de </w:t>
            </w:r>
            <w:r>
              <w:rPr>
                <w:rFonts w:ascii="Times New Roman" w:eastAsia="Times New Roman" w:hAnsi="Times New Roman" w:cs="Times New Roman"/>
              </w:rPr>
              <w:lastRenderedPageBreak/>
              <w:t xml:space="preserve">redactare din cuvântul „refe32ritoare”, prin excluderea cifrei „32”. </w:t>
            </w:r>
          </w:p>
          <w:p w14:paraId="006482FD"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B01DE3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lastRenderedPageBreak/>
              <w:t>Se acceptă.</w:t>
            </w:r>
          </w:p>
          <w:p w14:paraId="01B656E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603C7E" w14:paraId="43648F52" w14:textId="77777777">
        <w:trPr>
          <w:trHeight w:val="40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65D3227"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05A0C1C"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98F777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b/>
                <w:bCs/>
              </w:rPr>
              <w:t xml:space="preserve"> La art. 9 alin. (1) lit. i),</w:t>
            </w:r>
            <w:r>
              <w:rPr>
                <w:rFonts w:ascii="Times New Roman" w:eastAsia="Times New Roman" w:hAnsi="Times New Roman" w:cs="Times New Roman"/>
              </w:rPr>
              <w:t xml:space="preserve"> urmează a fi înlăturată dublarea conjuncției „sau”. </w:t>
            </w:r>
          </w:p>
          <w:p w14:paraId="1FE63233"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D20839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 acceptă.</w:t>
            </w:r>
          </w:p>
        </w:tc>
      </w:tr>
      <w:tr w:rsidR="00603C7E" w14:paraId="1CD94D97" w14:textId="77777777">
        <w:trPr>
          <w:trHeight w:val="40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3DB0C5E"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57621E2"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FFE834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b/>
                <w:bCs/>
              </w:rPr>
              <w:t xml:space="preserve">Art. 14 lit. e) </w:t>
            </w:r>
            <w:r>
              <w:rPr>
                <w:rFonts w:ascii="Times New Roman" w:eastAsia="Times New Roman" w:hAnsi="Times New Roman" w:cs="Times New Roman"/>
              </w:rPr>
              <w:t xml:space="preserve">din proiect urmează a fi adusă în concordanță cu prevederile art. 3 alin. (1) lit. e) din Directiva 96/71/CE, prin substituirea textului „în muncă” cu textul „securitatea și sănătatea în muncă”. </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1FE88F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 acceptă.</w:t>
            </w:r>
          </w:p>
        </w:tc>
      </w:tr>
      <w:tr w:rsidR="00603C7E" w14:paraId="216A736F" w14:textId="77777777">
        <w:trPr>
          <w:trHeight w:val="40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78255E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3E254FD0"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873A572"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 xml:space="preserve">4. </w:t>
            </w:r>
            <w:r>
              <w:rPr>
                <w:rFonts w:ascii="Times New Roman" w:eastAsia="Times New Roman" w:hAnsi="Times New Roman" w:cs="Times New Roman"/>
                <w:b/>
                <w:bCs/>
              </w:rPr>
              <w:t>La art. 18</w:t>
            </w:r>
            <w:r>
              <w:rPr>
                <w:rFonts w:ascii="Times New Roman" w:eastAsia="Times New Roman" w:hAnsi="Times New Roman" w:cs="Times New Roman"/>
              </w:rPr>
              <w:t xml:space="preserve">, soluția normativă urmează a fi reexaminată, întrucât detașarea conducătorilor auto din transportul rutier internațional este reglementată la nivelul Uniunii Europene prin norme speciale. În acest sens, prevederile proiectului urmează a fi corelate cu dispozițiile Directivei (UE) 2020/1057, care stabilesc expres situațiile în care conducătorii auto sunt considerați detașați și situațiile în care aceștia nu au această calitate. </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79ED9C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Nu se acceptă</w:t>
            </w:r>
            <w:r>
              <w:rPr>
                <w:rFonts w:ascii="Times New Roman" w:eastAsia="Times New Roman" w:hAnsi="Times New Roman" w:cs="Times New Roman"/>
              </w:rPr>
              <w:t>.</w:t>
            </w:r>
          </w:p>
          <w:p w14:paraId="3416BA68" w14:textId="77777777" w:rsidR="00603C7E" w:rsidRDefault="00603C7E">
            <w:pPr>
              <w:spacing w:line="240" w:lineRule="auto"/>
              <w:rPr>
                <w:rFonts w:ascii="Times New Roman" w:eastAsia="Times New Roman" w:hAnsi="Times New Roman" w:cs="Times New Roman"/>
              </w:rPr>
            </w:pPr>
          </w:p>
          <w:p w14:paraId="66FA0A4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Reglementarea detașării conducătorilor auto în transportul rutier internațional ține de un cadru special, distinct, care necesită o abordare separată. Introducerea acestor reguli aici ar depăși obiectul proiectului și ar încărca nejustificat norma.</w:t>
            </w:r>
          </w:p>
        </w:tc>
      </w:tr>
      <w:tr w:rsidR="00603C7E" w14:paraId="2C935290" w14:textId="77777777">
        <w:trPr>
          <w:trHeight w:val="829"/>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BDB3109"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2F4D339"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558315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5. </w:t>
            </w:r>
            <w:r>
              <w:rPr>
                <w:rFonts w:ascii="Times New Roman" w:eastAsia="Times New Roman" w:hAnsi="Times New Roman" w:cs="Times New Roman"/>
                <w:b/>
                <w:bCs/>
              </w:rPr>
              <w:t>La art. 22 alin. (1)</w:t>
            </w:r>
            <w:r>
              <w:rPr>
                <w:rFonts w:ascii="Times New Roman" w:eastAsia="Times New Roman" w:hAnsi="Times New Roman" w:cs="Times New Roman"/>
              </w:rPr>
              <w:t xml:space="preserve">, trimiterea la art. 4 lit. a) urmează a fi substituită cu trimiterea la art. 5 lit. a), pentru corelare cu obiectul reglementării. </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13688A6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w:t>
            </w:r>
          </w:p>
        </w:tc>
      </w:tr>
      <w:tr w:rsidR="00603C7E" w14:paraId="59AA90C0" w14:textId="77777777">
        <w:trPr>
          <w:trHeight w:val="829"/>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AD3256C"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14F622D"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5D7605D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6. </w:t>
            </w:r>
            <w:r>
              <w:rPr>
                <w:rFonts w:ascii="Times New Roman" w:eastAsia="Times New Roman" w:hAnsi="Times New Roman" w:cs="Times New Roman"/>
                <w:b/>
                <w:bCs/>
              </w:rPr>
              <w:t>La art. 23 alin. (2)</w:t>
            </w:r>
            <w:r>
              <w:rPr>
                <w:rFonts w:ascii="Times New Roman" w:eastAsia="Times New Roman" w:hAnsi="Times New Roman" w:cs="Times New Roman"/>
              </w:rPr>
              <w:t xml:space="preserve">, trimiterea la art. 48 alin. (3) urmează a fi substituită cu trimiterea la art. 41 alin. (3), care reglementează informațiile puse la dispoziția salariaților detașați. </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13CA79A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xml:space="preserve">. </w:t>
            </w:r>
          </w:p>
        </w:tc>
      </w:tr>
      <w:tr w:rsidR="00603C7E" w14:paraId="5942ADF8" w14:textId="77777777">
        <w:trPr>
          <w:trHeight w:val="829"/>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F800AB6"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E27D6B5"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0964E1D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b/>
                <w:bCs/>
              </w:rPr>
              <w:t xml:space="preserve"> La art. 28 alin. (5)</w:t>
            </w:r>
            <w:r>
              <w:rPr>
                <w:rFonts w:ascii="Times New Roman" w:eastAsia="Times New Roman" w:hAnsi="Times New Roman" w:cs="Times New Roman"/>
              </w:rPr>
              <w:t xml:space="preserve">, trimiterea la art. 30 urmează a fi substituită cu trimiterea la art. 29, care reglementează subcontractarea internă. </w:t>
            </w:r>
          </w:p>
          <w:p w14:paraId="7E394B06"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7700156B"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xml:space="preserve">. </w:t>
            </w:r>
          </w:p>
        </w:tc>
      </w:tr>
      <w:tr w:rsidR="00603C7E" w14:paraId="78D69EE0" w14:textId="77777777">
        <w:trPr>
          <w:trHeight w:val="40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E18E5EC"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4C397EFA"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54C91A8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8. </w:t>
            </w:r>
            <w:r>
              <w:rPr>
                <w:rFonts w:ascii="Times New Roman" w:eastAsia="Times New Roman" w:hAnsi="Times New Roman" w:cs="Times New Roman"/>
                <w:b/>
                <w:bCs/>
              </w:rPr>
              <w:t>La art. 38 alin. (5),</w:t>
            </w:r>
            <w:r>
              <w:rPr>
                <w:rFonts w:ascii="Times New Roman" w:eastAsia="Times New Roman" w:hAnsi="Times New Roman" w:cs="Times New Roman"/>
              </w:rPr>
              <w:t xml:space="preserve"> trimiterea la art. 4 lit. b) este eronată, urmând a fi substituită cu trimiterea la art. 5 lit. b).</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20C9C5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w:t>
            </w:r>
          </w:p>
        </w:tc>
      </w:tr>
      <w:tr w:rsidR="00603C7E" w14:paraId="36404A33" w14:textId="77777777">
        <w:trPr>
          <w:trHeight w:val="405"/>
        </w:trPr>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C99FF71"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6.</w:t>
            </w:r>
          </w:p>
        </w:tc>
        <w:tc>
          <w:tcPr>
            <w:tcW w:w="3075" w:type="dxa"/>
            <w:tcBorders>
              <w:top w:val="nil"/>
              <w:left w:val="nil"/>
              <w:bottom w:val="single" w:sz="7" w:space="0" w:color="000000"/>
              <w:right w:val="single" w:sz="7" w:space="0" w:color="000000"/>
            </w:tcBorders>
            <w:tcMar>
              <w:top w:w="0" w:type="dxa"/>
              <w:left w:w="100" w:type="dxa"/>
              <w:bottom w:w="0" w:type="dxa"/>
              <w:right w:w="100" w:type="dxa"/>
            </w:tcMar>
          </w:tcPr>
          <w:p w14:paraId="1AE98CDC"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Ministerul Sănătății</w:t>
            </w:r>
          </w:p>
          <w:p w14:paraId="0CCDA29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 24/825 din 10.03.2026)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7E396C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Lipsă de obiecții și propuneri.</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11C5046"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S-a luat act.</w:t>
            </w:r>
          </w:p>
        </w:tc>
      </w:tr>
      <w:tr w:rsidR="00603C7E" w14:paraId="598BA982" w14:textId="77777777">
        <w:trPr>
          <w:trHeight w:val="360"/>
        </w:trPr>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B6B45EB"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7.</w:t>
            </w:r>
          </w:p>
        </w:tc>
        <w:tc>
          <w:tcPr>
            <w:tcW w:w="3075" w:type="dxa"/>
            <w:tcBorders>
              <w:top w:val="nil"/>
              <w:left w:val="nil"/>
              <w:bottom w:val="single" w:sz="7" w:space="0" w:color="000000"/>
              <w:right w:val="single" w:sz="7" w:space="0" w:color="000000"/>
            </w:tcBorders>
            <w:tcMar>
              <w:top w:w="0" w:type="dxa"/>
              <w:left w:w="100" w:type="dxa"/>
              <w:bottom w:w="0" w:type="dxa"/>
              <w:right w:w="100" w:type="dxa"/>
            </w:tcMar>
          </w:tcPr>
          <w:p w14:paraId="3D6620F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Ministerul Apărării</w:t>
            </w:r>
          </w:p>
          <w:p w14:paraId="120A657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 11/411 din 12.03.2026)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3E43F2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Lipsă de obiecții și propuneri.</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656C33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S-a luat act.</w:t>
            </w:r>
          </w:p>
        </w:tc>
      </w:tr>
      <w:tr w:rsidR="00603C7E" w14:paraId="37785D86" w14:textId="77777777">
        <w:trPr>
          <w:trHeight w:val="810"/>
        </w:trPr>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DF2D796"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8.</w:t>
            </w:r>
          </w:p>
        </w:tc>
        <w:tc>
          <w:tcPr>
            <w:tcW w:w="3075" w:type="dxa"/>
            <w:tcBorders>
              <w:top w:val="nil"/>
              <w:left w:val="nil"/>
              <w:bottom w:val="single" w:sz="7" w:space="0" w:color="000000"/>
              <w:right w:val="single" w:sz="7" w:space="0" w:color="000000"/>
            </w:tcBorders>
            <w:tcMar>
              <w:top w:w="0" w:type="dxa"/>
              <w:left w:w="100" w:type="dxa"/>
              <w:bottom w:w="0" w:type="dxa"/>
              <w:right w:w="100" w:type="dxa"/>
            </w:tcMar>
          </w:tcPr>
          <w:p w14:paraId="48457CE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Centrul Național pentru Protecția Datelor cu Caracter Personal</w:t>
            </w:r>
          </w:p>
          <w:p w14:paraId="2CD52A2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 04-01/1000 din 19.03.2026)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08BE95D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La </w:t>
            </w:r>
            <w:r>
              <w:rPr>
                <w:rFonts w:ascii="Times New Roman" w:eastAsia="Times New Roman" w:hAnsi="Times New Roman" w:cs="Times New Roman"/>
                <w:b/>
                <w:bCs/>
              </w:rPr>
              <w:t>art. 34 alin. (3)</w:t>
            </w:r>
            <w:r>
              <w:rPr>
                <w:rFonts w:ascii="Times New Roman" w:eastAsia="Times New Roman" w:hAnsi="Times New Roman" w:cs="Times New Roman"/>
              </w:rPr>
              <w:t xml:space="preserve"> din proiectul supus avizării se regăsește textul </w:t>
            </w:r>
            <w:r>
              <w:rPr>
                <w:rFonts w:ascii="Times New Roman" w:eastAsia="Times New Roman" w:hAnsi="Times New Roman" w:cs="Times New Roman"/>
                <w:i/>
                <w:iCs/>
              </w:rPr>
              <w:t>„în calitate de operator de date cu caracter personal, în condițiile legii”</w:t>
            </w:r>
            <w:r>
              <w:rPr>
                <w:rFonts w:ascii="Times New Roman" w:eastAsia="Times New Roman" w:hAnsi="Times New Roman" w:cs="Times New Roman"/>
              </w:rPr>
              <w:t xml:space="preserve">. </w:t>
            </w:r>
          </w:p>
          <w:p w14:paraId="128684F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În acest context, se constată că nu este clar dacă noțiunea de </w:t>
            </w:r>
            <w:r>
              <w:rPr>
                <w:rFonts w:ascii="Times New Roman" w:eastAsia="Times New Roman" w:hAnsi="Times New Roman" w:cs="Times New Roman"/>
                <w:i/>
                <w:iCs/>
              </w:rPr>
              <w:t>„operator de date”</w:t>
            </w:r>
            <w:r>
              <w:rPr>
                <w:rFonts w:ascii="Times New Roman" w:eastAsia="Times New Roman" w:hAnsi="Times New Roman" w:cs="Times New Roman"/>
              </w:rPr>
              <w:t xml:space="preserve"> atribuită autorităților competente desemnate la articolul vizat este utilizată într-un sens distinct sau în accepțiunea prevăzută de Legea nr. 133/2011 privind protecția datelor cu caracter personal.</w:t>
            </w:r>
          </w:p>
          <w:p w14:paraId="4DA7ABE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Mai mult, norma formulată nu este suficient de clară și previzibilă, întrucât nu rezultă cu exactitate care este scopul reglementării și ce efecte juridice produce.</w:t>
            </w:r>
          </w:p>
          <w:p w14:paraId="3479C0C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 asemenea, nu este explicită relevanța mențiunii privind participarea autorităților competente la cooperarea administrativă în calitate de operatori de date cu caracter personal și nici nu se precizează în concret ce obligații sau responsabilități derivă din această calitate.</w:t>
            </w:r>
          </w:p>
          <w:p w14:paraId="3DE4D38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În forma actuală, textul lasă loc de interpretări și nu permite identificarea clară a conduitei pe care destinatarii normei trebuie să o adopte.</w:t>
            </w:r>
          </w:p>
          <w:p w14:paraId="0E92CD7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Totodată, se va nota că o asemenea formulare nu se regăsește nici în actele Uniunii Europene transpuse prin proiect.</w:t>
            </w:r>
          </w:p>
          <w:p w14:paraId="30E0FA4A"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1EEBB3B"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accepta.</w:t>
            </w:r>
          </w:p>
          <w:p w14:paraId="7E9191CF" w14:textId="77777777" w:rsidR="00603C7E" w:rsidRDefault="00603C7E">
            <w:pPr>
              <w:spacing w:line="240" w:lineRule="auto"/>
              <w:rPr>
                <w:rFonts w:ascii="Times New Roman" w:eastAsia="Times New Roman" w:hAnsi="Times New Roman" w:cs="Times New Roman"/>
                <w:b/>
                <w:bCs/>
              </w:rPr>
            </w:pPr>
          </w:p>
          <w:p w14:paraId="3193A81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34 alin. (3) va avea următoarea redacție:</w:t>
            </w:r>
          </w:p>
          <w:p w14:paraId="08A33D04" w14:textId="77777777" w:rsidR="00603C7E" w:rsidRDefault="00603C7E">
            <w:pPr>
              <w:spacing w:line="240" w:lineRule="auto"/>
              <w:rPr>
                <w:rFonts w:ascii="Times New Roman" w:eastAsia="Times New Roman" w:hAnsi="Times New Roman" w:cs="Times New Roman"/>
              </w:rPr>
            </w:pPr>
          </w:p>
          <w:p w14:paraId="796875B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Autoritățile competente desemnate potrivit prezentului articol participă la cooperarea administrativă și la schimbul de informații în condițiile prezentei legi și cu respectarea legislației privind protecția datelor cu caracter personal.</w:t>
            </w:r>
          </w:p>
        </w:tc>
      </w:tr>
      <w:tr w:rsidR="00603C7E" w14:paraId="2FE1F5F7" w14:textId="77777777">
        <w:trPr>
          <w:trHeight w:val="495"/>
        </w:trPr>
        <w:tc>
          <w:tcPr>
            <w:tcW w:w="51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FA89D2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9.</w:t>
            </w:r>
          </w:p>
          <w:p w14:paraId="22A16883"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w:t>
            </w:r>
          </w:p>
        </w:tc>
        <w:tc>
          <w:tcPr>
            <w:tcW w:w="307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25333BCA"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Centrul de Armonizare a Legislației</w:t>
            </w:r>
            <w:r>
              <w:rPr>
                <w:rFonts w:ascii="Times New Roman" w:eastAsia="Times New Roman" w:hAnsi="Times New Roman" w:cs="Times New Roman"/>
              </w:rPr>
              <w:t xml:space="preserve"> (nr. 31/02-126-2612 din 09.03.2026)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98971D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Evaluarea din perspectiva compatibilității cu Dreptul UE</w:t>
            </w:r>
          </w:p>
          <w:p w14:paraId="68E08364" w14:textId="77777777" w:rsidR="00603C7E"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lastRenderedPageBreak/>
              <w:t>a)</w:t>
            </w:r>
            <w:r>
              <w:rPr>
                <w:rFonts w:ascii="Times New Roman" w:eastAsia="Times New Roman" w:hAnsi="Times New Roman" w:cs="Times New Roman"/>
              </w:rPr>
              <w:t xml:space="preserve"> </w:t>
            </w:r>
            <w:r>
              <w:rPr>
                <w:rFonts w:ascii="Times New Roman" w:eastAsia="Times New Roman" w:hAnsi="Times New Roman" w:cs="Times New Roman"/>
                <w:i/>
                <w:iCs/>
              </w:rPr>
              <w:t xml:space="preserve">Analiza transpunerii dispozițiilor Directivei 96/71/CE </w:t>
            </w:r>
          </w:p>
          <w:p w14:paraId="081D8812" w14:textId="77777777" w:rsidR="00603C7E" w:rsidRDefault="00603C7E">
            <w:pPr>
              <w:spacing w:line="240" w:lineRule="auto"/>
              <w:rPr>
                <w:rFonts w:ascii="Times New Roman" w:eastAsia="Times New Roman" w:hAnsi="Times New Roman" w:cs="Times New Roman"/>
              </w:rPr>
            </w:pPr>
          </w:p>
          <w:p w14:paraId="6FF9CDD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În ceea ce privește transpunerea Directivei 96/71/CE, menționăm că urmare a expertizei de compatibilitate realizate, se constată că proiectul național asigură</w:t>
            </w:r>
            <w:r>
              <w:rPr>
                <w:rFonts w:ascii="Times New Roman" w:eastAsia="Times New Roman" w:hAnsi="Times New Roman" w:cs="Times New Roman"/>
                <w:b/>
                <w:bCs/>
              </w:rPr>
              <w:t xml:space="preserve"> transpunerea parțială a actului UE, din motivele prezentate mai jos.</w:t>
            </w:r>
          </w:p>
          <w:p w14:paraId="5D5B8162" w14:textId="77777777" w:rsidR="00603C7E" w:rsidRDefault="00603C7E">
            <w:pPr>
              <w:spacing w:line="240" w:lineRule="auto"/>
              <w:rPr>
                <w:rFonts w:ascii="Times New Roman" w:eastAsia="Times New Roman" w:hAnsi="Times New Roman" w:cs="Times New Roman"/>
                <w:b/>
                <w:bCs/>
              </w:rPr>
            </w:pPr>
          </w:p>
          <w:p w14:paraId="1A7F6E3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În ceea ce privește alin. (4) și (5) din art. 1 al proiectului de lege, se constată o transpunere parțială a dispozițiilor similare din </w:t>
            </w:r>
            <w:r>
              <w:rPr>
                <w:rFonts w:ascii="Times New Roman" w:eastAsia="Times New Roman" w:hAnsi="Times New Roman" w:cs="Times New Roman"/>
                <w:b/>
                <w:bCs/>
              </w:rPr>
              <w:t>art. 1 (-1a) al Directivei 96/71/CE, precum și art. 1 (2) din Directiva 2014/67/UE, întrucât proiectul nu prevede în mod explicit posibilitatea desfășurării altor acțiuni care țin de relațiile de muncă, desfășurarea altor acțiuni colective specifice sistemelor naționale de raporturi de muncă, precum și dreptul de a pune în aplicare convențiile colective</w:t>
            </w:r>
            <w:r>
              <w:rPr>
                <w:rFonts w:ascii="Times New Roman" w:eastAsia="Times New Roman" w:hAnsi="Times New Roman" w:cs="Times New Roman"/>
              </w:rPr>
              <w:t>. Prin urmare, pentru a asigura o transpunere completă și fidelă a prevederilor actului UE, se va asigura completarea textului proiectului cu aceste elemente lipsă;</w:t>
            </w:r>
          </w:p>
          <w:p w14:paraId="25B4C146"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2676D3A"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74D618E4" w14:textId="77777777" w:rsidR="00603C7E" w:rsidRDefault="00603C7E">
            <w:pPr>
              <w:spacing w:line="240" w:lineRule="auto"/>
              <w:rPr>
                <w:rFonts w:ascii="Times New Roman" w:eastAsia="Times New Roman" w:hAnsi="Times New Roman" w:cs="Times New Roman"/>
                <w:b/>
                <w:bCs/>
              </w:rPr>
            </w:pPr>
          </w:p>
          <w:p w14:paraId="5485E65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Observația vizează includerea în proiect a unor clauze exprese privind neafectarea dreptului la acțiuni colective și a aplicării convențiilor colective. Totuși, aceste aspecte sunt deja reglementate de cadrul general al legislației muncii și nu necesită reiterare în prezenta lege specială. Prin urmare, lipsa unor asemenea precizări exprese nu echivalează cu o transpunere incompletă.</w:t>
            </w:r>
          </w:p>
        </w:tc>
      </w:tr>
      <w:tr w:rsidR="00603C7E" w14:paraId="1416EB7E"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AA5C938"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15251D92"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BEC34A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Cu referire la transpunerea condițiilor de muncă și de încadrare în muncă, prevăzute la </w:t>
            </w:r>
            <w:r>
              <w:rPr>
                <w:rFonts w:ascii="Times New Roman" w:eastAsia="Times New Roman" w:hAnsi="Times New Roman" w:cs="Times New Roman"/>
                <w:b/>
                <w:bCs/>
              </w:rPr>
              <w:t>art. 9 (1) din proiectul de lege, se constată o transpunere parțială a prevederilor corespunzătoare din art. 3 (1) din Directiva 96/71/CE.</w:t>
            </w:r>
            <w:r>
              <w:rPr>
                <w:rFonts w:ascii="Times New Roman" w:eastAsia="Times New Roman" w:hAnsi="Times New Roman" w:cs="Times New Roman"/>
              </w:rPr>
              <w:t xml:space="preserve"> În mod specific, condiția statuată la lit. (c) din art. 9 (1) al proiectului nu include derogarea prevăzută de art. 3 (1) lit. (c) din directivă, referitoare la schemele de pensii ocupaționale suplimentare sau fondurile de pensii facultative instituite potrivit Legii nr. 198/2020 privind fondurile de pensii facultative. </w:t>
            </w:r>
          </w:p>
          <w:p w14:paraId="3FAD5AAA" w14:textId="77777777" w:rsidR="00603C7E" w:rsidRDefault="00603C7E">
            <w:pPr>
              <w:spacing w:line="240" w:lineRule="auto"/>
              <w:rPr>
                <w:rFonts w:ascii="Times New Roman" w:eastAsia="Times New Roman" w:hAnsi="Times New Roman" w:cs="Times New Roman"/>
                <w:b/>
                <w:bCs/>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787BFDBA" w14:textId="77777777" w:rsidR="00603C7E" w:rsidRDefault="00000000">
            <w:pPr>
              <w:spacing w:line="240" w:lineRule="auto"/>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lastRenderedPageBreak/>
              <w:t>Nu se acceptă.</w:t>
            </w:r>
          </w:p>
          <w:p w14:paraId="47C1BDD5" w14:textId="77777777" w:rsidR="00603C7E" w:rsidRDefault="00603C7E">
            <w:pPr>
              <w:spacing w:line="240" w:lineRule="auto"/>
              <w:rPr>
                <w:rFonts w:ascii="Times New Roman" w:eastAsia="Times New Roman" w:hAnsi="Times New Roman" w:cs="Times New Roman"/>
                <w:b/>
                <w:bCs/>
                <w:highlight w:val="white"/>
              </w:rPr>
            </w:pPr>
          </w:p>
          <w:p w14:paraId="6E9C788E"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Proiectul de lege prevede la art. Articolul 14. Drepturile lucrătorilor detașați din Republica Moldova în cadrul prestării de servicii transnaționale, </w:t>
            </w:r>
          </w:p>
          <w:p w14:paraId="03C9DA2C"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Lucrărorii detaşaţi de pe teritoriul Republicii Moldova în cadrul prestării de servicii transnaţionale beneficiază, indiferent de legea aplicabilă raportului de muncă, de condiţiile de muncă stabilite prin acte cu putere de lege, acte administrative, prin contracte colective de muncă și convenţii colective, valabile în statul membru, altul </w:t>
            </w:r>
            <w:r>
              <w:rPr>
                <w:rFonts w:ascii="Times New Roman" w:eastAsia="Times New Roman" w:hAnsi="Times New Roman" w:cs="Times New Roman"/>
                <w:highlight w:val="white"/>
              </w:rPr>
              <w:lastRenderedPageBreak/>
              <w:t>decât Republica Moldova, sau în Confederaţia Elveţiană, pe teritoriul căruia/căreia sunt prestate serviciile, cu privire la:</w:t>
            </w:r>
          </w:p>
          <w:p w14:paraId="71C383C0"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c) remuneraţia aplicabilă pe teritoriul unui stat membru al Uniunii Europene, altul decât Republica Moldova, sau pe teritoriul Confederaţiei Elveţiene, inclusiv plata orelor suplimentare, cu excepţia contribuţiilor prevăzute de Legea privind fondurile de pensii facultative nr. 198/2020;</w:t>
            </w:r>
          </w:p>
          <w:p w14:paraId="74A25EAC" w14:textId="77777777" w:rsidR="00603C7E" w:rsidRDefault="00603C7E">
            <w:pPr>
              <w:spacing w:line="240" w:lineRule="auto"/>
              <w:rPr>
                <w:rFonts w:ascii="Times New Roman" w:eastAsia="Times New Roman" w:hAnsi="Times New Roman" w:cs="Times New Roman"/>
                <w:highlight w:val="white"/>
              </w:rPr>
            </w:pPr>
          </w:p>
        </w:tc>
      </w:tr>
      <w:tr w:rsidR="00603C7E" w14:paraId="469B6F45"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E54EFC1"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B7E94AF"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21AC1A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De asemenea, dispozițiile proiectului art. 9 corespunzătoare lit. (e) și (f) din Directiva 96/71/CE prezintă o transpunere parțială, astfel, în cazul lit. (e), proiectul nu menționează expres </w:t>
            </w:r>
            <w:r>
              <w:rPr>
                <w:rFonts w:ascii="Times New Roman" w:eastAsia="Times New Roman" w:hAnsi="Times New Roman" w:cs="Times New Roman"/>
                <w:i/>
                <w:iCs/>
              </w:rPr>
              <w:t>„igiena la locul de muncă”</w:t>
            </w:r>
            <w:r>
              <w:rPr>
                <w:rFonts w:ascii="Times New Roman" w:eastAsia="Times New Roman" w:hAnsi="Times New Roman" w:cs="Times New Roman"/>
              </w:rPr>
              <w:t>,</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78534AF"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5C42FCCF" w14:textId="77777777" w:rsidR="00603C7E" w:rsidRDefault="00603C7E">
            <w:pPr>
              <w:spacing w:line="240" w:lineRule="auto"/>
              <w:rPr>
                <w:rFonts w:ascii="Times New Roman" w:eastAsia="Times New Roman" w:hAnsi="Times New Roman" w:cs="Times New Roman"/>
                <w:b/>
                <w:bCs/>
              </w:rPr>
            </w:pPr>
          </w:p>
          <w:p w14:paraId="10E965D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9 alin. (1) va fi completat cu lit. e), în următoarea redacție:</w:t>
            </w:r>
          </w:p>
          <w:p w14:paraId="64F5D93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e) </w:t>
            </w:r>
            <w:r>
              <w:rPr>
                <w:rFonts w:ascii="Times New Roman" w:eastAsia="Times New Roman" w:hAnsi="Times New Roman" w:cs="Times New Roman"/>
                <w:i/>
                <w:iCs/>
              </w:rPr>
              <w:t>igienă la locul de muncă</w:t>
            </w:r>
          </w:p>
        </w:tc>
      </w:tr>
      <w:tr w:rsidR="00603C7E" w14:paraId="2E1E057D"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40884CE"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5DBAB66"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74B5CB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 iar în cazul lit. (f), grupurile protejate sunt reformulate „</w:t>
            </w:r>
            <w:r>
              <w:rPr>
                <w:rFonts w:ascii="Times New Roman" w:eastAsia="Times New Roman" w:hAnsi="Times New Roman" w:cs="Times New Roman"/>
                <w:i/>
                <w:iCs/>
              </w:rPr>
              <w:t>cele care alăptează</w:t>
            </w:r>
            <w:r>
              <w:rPr>
                <w:rFonts w:ascii="Times New Roman" w:eastAsia="Times New Roman" w:hAnsi="Times New Roman" w:cs="Times New Roman"/>
              </w:rPr>
              <w:t>” și „</w:t>
            </w:r>
            <w:r>
              <w:rPr>
                <w:rFonts w:ascii="Times New Roman" w:eastAsia="Times New Roman" w:hAnsi="Times New Roman" w:cs="Times New Roman"/>
                <w:i/>
                <w:iCs/>
              </w:rPr>
              <w:t>persoanele în vârstă de până la 18 ani”</w:t>
            </w:r>
            <w:r>
              <w:rPr>
                <w:rFonts w:ascii="Times New Roman" w:eastAsia="Times New Roman" w:hAnsi="Times New Roman" w:cs="Times New Roman"/>
              </w:rPr>
              <w:t xml:space="preserve">, în timp ce </w:t>
            </w:r>
            <w:r>
              <w:rPr>
                <w:rFonts w:ascii="Times New Roman" w:eastAsia="Times New Roman" w:hAnsi="Times New Roman" w:cs="Times New Roman"/>
                <w:i/>
                <w:iCs/>
              </w:rPr>
              <w:t>directiva se referă la femeile însărcinate, femeile care au născut recent și copii și tineri.</w:t>
            </w:r>
            <w:r>
              <w:rPr>
                <w:rFonts w:ascii="Times New Roman" w:eastAsia="Times New Roman" w:hAnsi="Times New Roman" w:cs="Times New Roman"/>
              </w:rPr>
              <w:t xml:space="preserve"> Cu referire la aspectele invocate, se va asigura revizuirea condițiilor prevăzute de proiect la art. 9 (1) cu cele prevăzute de art. 3 (1) din directivă;</w:t>
            </w:r>
          </w:p>
          <w:p w14:paraId="6130D190"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8E46F89"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Nu se acceptă.</w:t>
            </w:r>
          </w:p>
          <w:p w14:paraId="5E9795A9" w14:textId="77777777" w:rsidR="00603C7E" w:rsidRDefault="00603C7E">
            <w:pPr>
              <w:spacing w:line="240" w:lineRule="auto"/>
              <w:rPr>
                <w:rFonts w:ascii="Times New Roman" w:eastAsia="Times New Roman" w:hAnsi="Times New Roman" w:cs="Times New Roman"/>
              </w:rPr>
            </w:pPr>
          </w:p>
          <w:p w14:paraId="78556BC1"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rPr>
              <w:t xml:space="preserve">În conformitate cu art. 54 alin. (1) c) și d) din Legea cu privire la actele normative nr. 100/2017, printre regulile pe care urmează să le respecte </w:t>
            </w:r>
            <w:r>
              <w:rPr>
                <w:rFonts w:ascii="Times New Roman" w:eastAsia="Times New Roman" w:hAnsi="Times New Roman" w:cs="Times New Roman"/>
                <w:highlight w:val="white"/>
              </w:rPr>
              <w:t>textul proiectului de act normativ se enumeră:</w:t>
            </w:r>
          </w:p>
          <w:p w14:paraId="0013B285"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c)</w:t>
            </w:r>
            <w:r>
              <w:rPr>
                <w:rFonts w:ascii="Times New Roman" w:eastAsia="Times New Roman" w:hAnsi="Times New Roman" w:cs="Times New Roman"/>
                <w:b/>
                <w:bCs/>
                <w:highlight w:val="white"/>
              </w:rPr>
              <w:t xml:space="preserve"> terminologia utilizată este constantă, uniformă și corespunde celei utilizate în alte acte normative</w:t>
            </w:r>
            <w:r>
              <w:rPr>
                <w:rFonts w:ascii="Times New Roman" w:eastAsia="Times New Roman" w:hAnsi="Times New Roman" w:cs="Times New Roman"/>
                <w:highlight w:val="white"/>
              </w:rPr>
              <w:t>,</w:t>
            </w:r>
            <w:r>
              <w:rPr>
                <w:rFonts w:ascii="Times New Roman" w:eastAsia="Times New Roman" w:hAnsi="Times New Roman" w:cs="Times New Roman"/>
                <w:b/>
                <w:bCs/>
                <w:highlight w:val="white"/>
              </w:rPr>
              <w:t xml:space="preserve"> în legislaţia UE</w:t>
            </w:r>
            <w:r>
              <w:rPr>
                <w:rFonts w:ascii="Times New Roman" w:eastAsia="Times New Roman" w:hAnsi="Times New Roman" w:cs="Times New Roman"/>
                <w:highlight w:val="white"/>
              </w:rPr>
              <w:t xml:space="preserve"> şi în alte instrumente internaţionale la care Republica Moldova este parte, cu respectarea prevederilor prezentei legi;</w:t>
            </w:r>
          </w:p>
          <w:p w14:paraId="0EB43EE8"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 noţiunea se redă prin termenul respectiv, evitându-se definiţia acesteia sau utilizarea frazeologică, aceleaşi noţiuni se exprimă prin aceiaşi termeni.</w:t>
            </w:r>
          </w:p>
          <w:p w14:paraId="33DE12AA" w14:textId="77777777" w:rsidR="00603C7E" w:rsidRDefault="00603C7E">
            <w:pPr>
              <w:spacing w:line="240" w:lineRule="auto"/>
              <w:rPr>
                <w:rFonts w:ascii="Times New Roman" w:eastAsia="Times New Roman" w:hAnsi="Times New Roman" w:cs="Times New Roman"/>
                <w:highlight w:val="white"/>
              </w:rPr>
            </w:pPr>
          </w:p>
          <w:p w14:paraId="697ED6B8"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Referitor la </w:t>
            </w:r>
            <w:r>
              <w:rPr>
                <w:rFonts w:ascii="Times New Roman" w:eastAsia="Times New Roman" w:hAnsi="Times New Roman" w:cs="Times New Roman"/>
                <w:i/>
                <w:iCs/>
                <w:highlight w:val="white"/>
              </w:rPr>
              <w:t>„femeile gravide, femeile care au născut de curând și cele care alăptează”</w:t>
            </w:r>
          </w:p>
          <w:p w14:paraId="42004C1A"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Redenumirea acestor categorii conform variantei în limba română a Directivei 96/71/CE ”</w:t>
            </w:r>
            <w:r>
              <w:rPr>
                <w:rFonts w:ascii="Times New Roman" w:eastAsia="Times New Roman" w:hAnsi="Times New Roman" w:cs="Times New Roman"/>
                <w:i/>
                <w:iCs/>
              </w:rPr>
              <w:t>femeile însărcinate, femeile care au născut recent</w:t>
            </w:r>
            <w:r>
              <w:rPr>
                <w:rFonts w:ascii="Times New Roman" w:eastAsia="Times New Roman" w:hAnsi="Times New Roman" w:cs="Times New Roman"/>
                <w:highlight w:val="white"/>
              </w:rPr>
              <w:t xml:space="preserve">” ar genera o </w:t>
            </w:r>
            <w:r>
              <w:rPr>
                <w:rFonts w:ascii="Times New Roman" w:eastAsia="Times New Roman" w:hAnsi="Times New Roman" w:cs="Times New Roman"/>
                <w:highlight w:val="white"/>
              </w:rPr>
              <w:lastRenderedPageBreak/>
              <w:t xml:space="preserve">contradicție terminologică în raport cu Codul muncii, care definește aceste grupuri ca fiind </w:t>
            </w:r>
            <w:r>
              <w:rPr>
                <w:rFonts w:ascii="Times New Roman" w:eastAsia="Times New Roman" w:hAnsi="Times New Roman" w:cs="Times New Roman"/>
                <w:i/>
                <w:iCs/>
                <w:highlight w:val="white"/>
              </w:rPr>
              <w:t>„femeile gravide, femeile care au născut de curând și cele care alăptează”</w:t>
            </w:r>
            <w:r>
              <w:rPr>
                <w:rFonts w:ascii="Times New Roman" w:eastAsia="Times New Roman" w:hAnsi="Times New Roman" w:cs="Times New Roman"/>
                <w:highlight w:val="white"/>
              </w:rPr>
              <w:t>.</w:t>
            </w:r>
          </w:p>
          <w:p w14:paraId="20745392"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Menționăm că această terminologie din Codul muncii reprezintă rezultatul transpunerii </w:t>
            </w:r>
            <w:r>
              <w:rPr>
                <w:rFonts w:ascii="Times New Roman" w:eastAsia="Times New Roman" w:hAnsi="Times New Roman" w:cs="Times New Roman"/>
                <w:b/>
                <w:bCs/>
                <w:highlight w:val="white"/>
              </w:rPr>
              <w:t xml:space="preserve">Directivei 92/85/CEE </w:t>
            </w:r>
            <w:r>
              <w:rPr>
                <w:rFonts w:ascii="Times New Roman" w:eastAsia="Times New Roman" w:hAnsi="Times New Roman" w:cs="Times New Roman"/>
                <w:color w:val="333333"/>
                <w:sz w:val="23"/>
                <w:szCs w:val="23"/>
                <w:highlight w:val="white"/>
              </w:rPr>
              <w:t xml:space="preserve"> </w:t>
            </w:r>
            <w:r>
              <w:rPr>
                <w:rFonts w:ascii="Times New Roman" w:eastAsia="Times New Roman" w:hAnsi="Times New Roman" w:cs="Times New Roman"/>
                <w:highlight w:val="white"/>
              </w:rPr>
              <w:t>privind introducerea de măsuri pentru promovarea îmbunătățirii securității și a sănătății la locul de muncă în cazul lucrătoarelor gravide, care au născut de curând sau care alăptează. Prezenta directivă a fost transpusă în legislația Republicii Moldova  prin Legea nr. 155/2017.</w:t>
            </w:r>
          </w:p>
          <w:p w14:paraId="29B6BE83"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Totodată, </w:t>
            </w:r>
            <w:r>
              <w:rPr>
                <w:rFonts w:ascii="Times New Roman" w:eastAsia="Times New Roman" w:hAnsi="Times New Roman" w:cs="Times New Roman"/>
                <w:b/>
                <w:bCs/>
                <w:highlight w:val="white"/>
              </w:rPr>
              <w:t>art. 3 (1) din Directiva 96/71/CE</w:t>
            </w:r>
            <w:r>
              <w:rPr>
                <w:rFonts w:ascii="Times New Roman" w:eastAsia="Times New Roman" w:hAnsi="Times New Roman" w:cs="Times New Roman"/>
                <w:highlight w:val="white"/>
              </w:rPr>
              <w:t xml:space="preserve"> stabilește standardele minime, neinterzicând statelor membre să introducă dispoziții mai favorabile. Includerea </w:t>
            </w:r>
            <w:r>
              <w:rPr>
                <w:rFonts w:ascii="Times New Roman" w:eastAsia="Times New Roman" w:hAnsi="Times New Roman" w:cs="Times New Roman"/>
                <w:i/>
                <w:iCs/>
                <w:highlight w:val="white"/>
              </w:rPr>
              <w:t>femeilor care alăptează</w:t>
            </w:r>
            <w:r>
              <w:rPr>
                <w:rFonts w:ascii="Times New Roman" w:eastAsia="Times New Roman" w:hAnsi="Times New Roman" w:cs="Times New Roman"/>
                <w:highlight w:val="white"/>
              </w:rPr>
              <w:t xml:space="preserve"> în mecanismul de protecție a salariaților detașați nu contravine dreptului UE, ci asigură </w:t>
            </w:r>
            <w:r>
              <w:rPr>
                <w:rFonts w:ascii="Times New Roman" w:eastAsia="Times New Roman" w:hAnsi="Times New Roman" w:cs="Times New Roman"/>
                <w:b/>
                <w:bCs/>
                <w:highlight w:val="white"/>
              </w:rPr>
              <w:t>principiul egalității de tratament</w:t>
            </w:r>
            <w:r>
              <w:rPr>
                <w:rFonts w:ascii="Times New Roman" w:eastAsia="Times New Roman" w:hAnsi="Times New Roman" w:cs="Times New Roman"/>
                <w:highlight w:val="white"/>
              </w:rPr>
              <w:t>; în caz contrar, o femeie detașată care alăptează ar fi discriminată față de o femeie angajată în Republica Moldova, care beneficiază de aceste garanții prin legea națională.</w:t>
            </w:r>
          </w:p>
          <w:p w14:paraId="62B78373" w14:textId="77777777" w:rsidR="00603C7E" w:rsidRDefault="00603C7E">
            <w:pPr>
              <w:spacing w:line="240" w:lineRule="auto"/>
              <w:rPr>
                <w:rFonts w:ascii="Times New Roman" w:eastAsia="Times New Roman" w:hAnsi="Times New Roman" w:cs="Times New Roman"/>
                <w:highlight w:val="white"/>
              </w:rPr>
            </w:pPr>
          </w:p>
          <w:p w14:paraId="353AC724" w14:textId="77777777" w:rsidR="00603C7E"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highlight w:val="white"/>
              </w:rPr>
              <w:t xml:space="preserve">Referitor la </w:t>
            </w:r>
            <w:r>
              <w:rPr>
                <w:rFonts w:ascii="Times New Roman" w:eastAsia="Times New Roman" w:hAnsi="Times New Roman" w:cs="Times New Roman"/>
              </w:rPr>
              <w:t>„</w:t>
            </w:r>
            <w:r>
              <w:rPr>
                <w:rFonts w:ascii="Times New Roman" w:eastAsia="Times New Roman" w:hAnsi="Times New Roman" w:cs="Times New Roman"/>
                <w:i/>
                <w:iCs/>
              </w:rPr>
              <w:t>persoanele în vârstă de până la 18 ani”:</w:t>
            </w:r>
          </w:p>
          <w:p w14:paraId="2AF68D4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Utilizarea sintagmei „persoane în vârstă de până la 18 ani” asigură o coerență deplină cu reglementările Codului muncii (în special Capitolul IV din Titlul IX), care instituie un regim special de protecție pentru toți lucrătorii care nu au atins majoratul. În proiect a fost utilizată această noțiune deoarece Codul muncii reglementează garanții specifice (timp de muncă redus, interzicerea muncii de noapte etc.) strict pentru această categorie de vârstă.</w:t>
            </w:r>
          </w:p>
          <w:p w14:paraId="4F97283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Utilizarea noțiuni de „</w:t>
            </w:r>
            <w:r>
              <w:rPr>
                <w:rFonts w:ascii="Times New Roman" w:eastAsia="Times New Roman" w:hAnsi="Times New Roman" w:cs="Times New Roman"/>
                <w:i/>
                <w:iCs/>
              </w:rPr>
              <w:t>persoanele în vârstă de până la 18 ani</w:t>
            </w:r>
            <w:r>
              <w:rPr>
                <w:rFonts w:ascii="Times New Roman" w:eastAsia="Times New Roman" w:hAnsi="Times New Roman" w:cs="Times New Roman"/>
              </w:rPr>
              <w:t>” este determinată de:</w:t>
            </w:r>
          </w:p>
          <w:p w14:paraId="74EEF276"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rPr>
              <w:t xml:space="preserve">- </w:t>
            </w:r>
            <w:r>
              <w:rPr>
                <w:rFonts w:ascii="Times New Roman" w:eastAsia="Times New Roman" w:hAnsi="Times New Roman" w:cs="Times New Roman"/>
                <w:highlight w:val="white"/>
              </w:rPr>
              <w:t>art. 3 din Legea nr. 370/2023, prin noțiunea de ”copil” se înțelege persoana care nu a împlinit vârsta de 18 ani.</w:t>
            </w:r>
          </w:p>
          <w:p w14:paraId="0DD89E51" w14:textId="40E4DB21"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Codul civil la art. 26 alin. (1) reglementează capacitatea de exercițiu a persoanei fizice. Conform normei menționate, capacitatea deplină de exerciţiu începe la data c</w:t>
            </w:r>
            <w:r w:rsidR="00FF5BBB">
              <w:rPr>
                <w:rFonts w:ascii="Times New Roman" w:eastAsia="Times New Roman" w:hAnsi="Times New Roman" w:cs="Times New Roman"/>
                <w:highlight w:val="white"/>
              </w:rPr>
              <w:t>â</w:t>
            </w:r>
            <w:r>
              <w:rPr>
                <w:rFonts w:ascii="Times New Roman" w:eastAsia="Times New Roman" w:hAnsi="Times New Roman" w:cs="Times New Roman"/>
                <w:highlight w:val="white"/>
              </w:rPr>
              <w:t>nd persoana fizică devine majoră, și anume la împlinirea vârstei de 18 ani.</w:t>
            </w:r>
          </w:p>
          <w:p w14:paraId="4A3E503C"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Totodată, utilizarea termenului de „tânăr” din Directivă ar crea ambiguitate în contextul național, deoarece, conform art. 2 din Legea nr. 215/2016 cu privire la tineret, această noțiune vizează persoanele cu vârsta cuprinsă </w:t>
            </w:r>
            <w:r>
              <w:rPr>
                <w:rFonts w:ascii="Times New Roman" w:eastAsia="Times New Roman" w:hAnsi="Times New Roman" w:cs="Times New Roman"/>
                <w:i/>
                <w:iCs/>
                <w:highlight w:val="white"/>
              </w:rPr>
              <w:t>între 14 și 35 de ani</w:t>
            </w:r>
            <w:r>
              <w:rPr>
                <w:rFonts w:ascii="Times New Roman" w:eastAsia="Times New Roman" w:hAnsi="Times New Roman" w:cs="Times New Roman"/>
                <w:highlight w:val="white"/>
              </w:rPr>
              <w:t>.</w:t>
            </w:r>
          </w:p>
          <w:p w14:paraId="5398DA39" w14:textId="77777777"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Astfel, sintagma „persoane până la 18 ani” este singura care delimitează precis categoria de minori salariați subiecți ai protecției speciale, evitând extinderea eronată a acestor garanții asupra tuturor tinerilor de până la 35 de ani. </w:t>
            </w:r>
          </w:p>
          <w:p w14:paraId="29F8A10A" w14:textId="6BABCDCC" w:rsidR="00603C7E" w:rsidRDefault="00000000">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Mai mult, această abordare este în deplină concordanță cu prevederile Hotărârii Guvernului nr. 541/2014 cu privire la aprobarea Nomenclatorului lucrărilor cu condiţii de muncă grele, vătămătoare şi/sau periculoase la care este interzisă aplicarea muncii persoanelor în vârstă de p</w:t>
            </w:r>
            <w:r w:rsidR="00FF5BBB">
              <w:rPr>
                <w:rFonts w:ascii="Times New Roman" w:eastAsia="Times New Roman" w:hAnsi="Times New Roman" w:cs="Times New Roman"/>
                <w:highlight w:val="white"/>
              </w:rPr>
              <w:t>â</w:t>
            </w:r>
            <w:r>
              <w:rPr>
                <w:rFonts w:ascii="Times New Roman" w:eastAsia="Times New Roman" w:hAnsi="Times New Roman" w:cs="Times New Roman"/>
                <w:highlight w:val="white"/>
              </w:rPr>
              <w:t>nă la 18 ani şi a Normelor de solicitare maximă admise pentru persoanele în vârstă de p</w:t>
            </w:r>
            <w:r w:rsidR="00FF5BBB">
              <w:rPr>
                <w:rFonts w:ascii="Times New Roman" w:eastAsia="Times New Roman" w:hAnsi="Times New Roman" w:cs="Times New Roman"/>
                <w:highlight w:val="white"/>
              </w:rPr>
              <w:t>â</w:t>
            </w:r>
            <w:r>
              <w:rPr>
                <w:rFonts w:ascii="Times New Roman" w:eastAsia="Times New Roman" w:hAnsi="Times New Roman" w:cs="Times New Roman"/>
                <w:highlight w:val="white"/>
              </w:rPr>
              <w:t>nă la 18 ani la ridicarea şi transportarea manuală a greutăţilor.</w:t>
            </w:r>
          </w:p>
          <w:p w14:paraId="4246B86D" w14:textId="77777777" w:rsidR="00603C7E" w:rsidRDefault="00603C7E">
            <w:pPr>
              <w:spacing w:line="240" w:lineRule="auto"/>
              <w:rPr>
                <w:rFonts w:ascii="Times New Roman" w:eastAsia="Times New Roman" w:hAnsi="Times New Roman" w:cs="Times New Roman"/>
                <w:b/>
                <w:bCs/>
              </w:rPr>
            </w:pPr>
          </w:p>
        </w:tc>
      </w:tr>
      <w:tr w:rsidR="00603C7E" w14:paraId="2FE13E2B"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0C568B9"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404F52A8"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E22BB8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 Totodată, proiectul național utilizează o terminologie diferită de cea prevăzută de Directiva 96/71/CE și Directiva 2014/67/UE în cazul înlocuirii termenului de</w:t>
            </w:r>
            <w:r>
              <w:rPr>
                <w:rFonts w:ascii="Times New Roman" w:eastAsia="Times New Roman" w:hAnsi="Times New Roman" w:cs="Times New Roman"/>
                <w:i/>
                <w:iCs/>
              </w:rPr>
              <w:t xml:space="preserve"> „lucrător detașat”</w:t>
            </w:r>
            <w:r>
              <w:rPr>
                <w:rFonts w:ascii="Times New Roman" w:eastAsia="Times New Roman" w:hAnsi="Times New Roman" w:cs="Times New Roman"/>
              </w:rPr>
              <w:t xml:space="preserve"> cu „</w:t>
            </w:r>
            <w:r>
              <w:rPr>
                <w:rFonts w:ascii="Times New Roman" w:eastAsia="Times New Roman" w:hAnsi="Times New Roman" w:cs="Times New Roman"/>
                <w:i/>
                <w:iCs/>
              </w:rPr>
              <w:t>salariat detașat</w:t>
            </w:r>
            <w:r>
              <w:rPr>
                <w:rFonts w:ascii="Times New Roman" w:eastAsia="Times New Roman" w:hAnsi="Times New Roman" w:cs="Times New Roman"/>
              </w:rPr>
              <w:t xml:space="preserve">”. Având în vedere că actele UE utilizează în mod expres sintagma „lucrător detașat”, iar aceeași terminologie este utilizată și în legislația națională existentă, inclusiv, în Legea nr. 200/2010 privind regimul străinilor în Republica Moldova, menținerea unei terminologii diferite în proiect va genera neuniformitate la nivelul </w:t>
            </w:r>
            <w:r>
              <w:rPr>
                <w:rFonts w:ascii="Times New Roman" w:eastAsia="Times New Roman" w:hAnsi="Times New Roman" w:cs="Times New Roman"/>
              </w:rPr>
              <w:lastRenderedPageBreak/>
              <w:t xml:space="preserve">cadrului normativ național. Prin urmare, pentru a asigura coerența terminologică și alinierea la cadrul normativ european și național, se va asigura ajustarea proiectului prin utilizarea termenului </w:t>
            </w:r>
            <w:r>
              <w:rPr>
                <w:rFonts w:ascii="Times New Roman" w:eastAsia="Times New Roman" w:hAnsi="Times New Roman" w:cs="Times New Roman"/>
                <w:b/>
                <w:bCs/>
              </w:rPr>
              <w:t>„lucrător detașat”</w:t>
            </w:r>
            <w:r>
              <w:rPr>
                <w:rFonts w:ascii="Times New Roman" w:eastAsia="Times New Roman" w:hAnsi="Times New Roman" w:cs="Times New Roman"/>
              </w:rPr>
              <w:t>.</w:t>
            </w:r>
          </w:p>
          <w:p w14:paraId="5580918A"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05C4C2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tc>
      </w:tr>
      <w:tr w:rsidR="00603C7E" w14:paraId="6275CB91"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F1AC997"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1B49B1E"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8AFB214" w14:textId="77777777" w:rsidR="00603C7E"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t>b) Analiza transpunerii dispozițiilor Directivei 2014/67/UE</w:t>
            </w:r>
          </w:p>
        </w:tc>
        <w:tc>
          <w:tcPr>
            <w:tcW w:w="5220"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474F7D8F"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4F90BE0D" w14:textId="77777777" w:rsidR="00603C7E" w:rsidRDefault="00603C7E">
            <w:pPr>
              <w:spacing w:line="240" w:lineRule="auto"/>
              <w:rPr>
                <w:rFonts w:ascii="Times New Roman" w:eastAsia="Times New Roman" w:hAnsi="Times New Roman" w:cs="Times New Roman"/>
                <w:b/>
                <w:bCs/>
              </w:rPr>
            </w:pPr>
          </w:p>
          <w:p w14:paraId="7ED7D02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Cu referire la contribuțiile angajatorului la fonduri sau instituții comune ale partenerilor sociali, nu se justifică preluarea expresă a referinței la contribuțiile către fonduri sau instituții comune ale partenerilor sociali, întrucât asemenea mecanisme nu sunt consacrate în dreptul intern.</w:t>
            </w:r>
          </w:p>
          <w:p w14:paraId="3859B420" w14:textId="77777777" w:rsidR="00603C7E" w:rsidRDefault="00603C7E">
            <w:pPr>
              <w:spacing w:line="240" w:lineRule="auto"/>
              <w:rPr>
                <w:rFonts w:ascii="Times New Roman" w:eastAsia="Times New Roman" w:hAnsi="Times New Roman" w:cs="Times New Roman"/>
              </w:rPr>
            </w:pPr>
          </w:p>
          <w:p w14:paraId="645FF395" w14:textId="77777777" w:rsidR="00603C7E" w:rsidRDefault="00603C7E">
            <w:pPr>
              <w:spacing w:line="240" w:lineRule="auto"/>
              <w:rPr>
                <w:rFonts w:ascii="Times New Roman" w:eastAsia="Times New Roman" w:hAnsi="Times New Roman" w:cs="Times New Roman"/>
              </w:rPr>
            </w:pPr>
          </w:p>
          <w:p w14:paraId="501091A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27 se completează cu alin. (3), în următoarea redacție:</w:t>
            </w:r>
          </w:p>
          <w:p w14:paraId="26B10E3C" w14:textId="77777777" w:rsidR="00603C7E" w:rsidRDefault="00603C7E">
            <w:pPr>
              <w:spacing w:line="240" w:lineRule="auto"/>
              <w:rPr>
                <w:rFonts w:ascii="Times New Roman" w:eastAsia="Times New Roman" w:hAnsi="Times New Roman" w:cs="Times New Roman"/>
              </w:rPr>
            </w:pPr>
          </w:p>
          <w:p w14:paraId="717BE7B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Prevederile prezentului articol se aplică şi în cazul în care lucrătorul detaşat a revenit din statul în care a avut loc detaşarea.</w:t>
            </w:r>
          </w:p>
          <w:p w14:paraId="3975421B" w14:textId="77777777" w:rsidR="00603C7E" w:rsidRDefault="00603C7E">
            <w:pPr>
              <w:spacing w:line="240" w:lineRule="auto"/>
              <w:rPr>
                <w:rFonts w:ascii="Times New Roman" w:eastAsia="Times New Roman" w:hAnsi="Times New Roman" w:cs="Times New Roman"/>
              </w:rPr>
            </w:pPr>
          </w:p>
        </w:tc>
      </w:tr>
      <w:tr w:rsidR="00603C7E" w14:paraId="66C6E670"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C0F57A2"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53A1D983"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03225381"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În ceea ce privește transpunerea Directivei 2014/67/UE, menționăm că urmare a expertizei de compatibilitate realizate, se constată că proiectul național asigură</w:t>
            </w:r>
            <w:r>
              <w:rPr>
                <w:rFonts w:ascii="Times New Roman" w:eastAsia="Times New Roman" w:hAnsi="Times New Roman" w:cs="Times New Roman"/>
                <w:b/>
                <w:bCs/>
              </w:rPr>
              <w:t xml:space="preserve"> transpunerea parțială a actului UE, din motivele prezentate mai jos.</w:t>
            </w:r>
          </w:p>
          <w:p w14:paraId="56EA3854" w14:textId="77777777" w:rsidR="00603C7E" w:rsidRDefault="00603C7E">
            <w:pPr>
              <w:spacing w:line="240" w:lineRule="auto"/>
              <w:rPr>
                <w:rFonts w:ascii="Times New Roman" w:eastAsia="Times New Roman" w:hAnsi="Times New Roman" w:cs="Times New Roman"/>
                <w:b/>
                <w:bCs/>
              </w:rPr>
            </w:pPr>
          </w:p>
          <w:p w14:paraId="727FDEC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rPr>
              <w:t>– Prevederile proiectului de lege de la</w:t>
            </w:r>
            <w:r>
              <w:rPr>
                <w:rFonts w:ascii="Times New Roman" w:eastAsia="Times New Roman" w:hAnsi="Times New Roman" w:cs="Times New Roman"/>
                <w:b/>
                <w:bCs/>
              </w:rPr>
              <w:t xml:space="preserve"> art. 27, care reglementează răspunderea angajatorului față de salariatul detașat, asigură transpunerea parțială a prevederilor corespondente din art. 11 (6) din Directiva 2014/67/UE</w:t>
            </w:r>
            <w:r>
              <w:rPr>
                <w:rFonts w:ascii="Times New Roman" w:eastAsia="Times New Roman" w:hAnsi="Times New Roman" w:cs="Times New Roman"/>
              </w:rPr>
              <w:t>. Astfel, potrivit normei UE, angajatorul lucrătorului detașat are, suplimentar, obligația de a rambursa, după caz, contribuțiile angajatorului la fonduri sau instituții comune ale partenerilor sociali, care au fost reținute în mod nejustificat din salariile lucrătorilor. Totodată, potrivit actului UE, aceste prevederi se aplică și în situațiile în care lucrătorii detașați au revenit din statul membru în care a avut loc detașarea, aspect care nu este reflectat în mod expres în proiectul de lege;</w:t>
            </w:r>
          </w:p>
          <w:p w14:paraId="2E91AD11" w14:textId="77777777" w:rsidR="00603C7E" w:rsidRDefault="00603C7E">
            <w:pPr>
              <w:spacing w:line="240" w:lineRule="auto"/>
              <w:rPr>
                <w:rFonts w:ascii="Times New Roman" w:eastAsia="Times New Roman" w:hAnsi="Times New Roman" w:cs="Times New Roman"/>
              </w:rPr>
            </w:pPr>
          </w:p>
        </w:tc>
        <w:tc>
          <w:tcPr>
            <w:tcW w:w="5220" w:type="dxa"/>
            <w:vMerge/>
            <w:tcBorders>
              <w:top w:val="nil"/>
              <w:left w:val="nil"/>
              <w:bottom w:val="single" w:sz="7" w:space="0" w:color="000000"/>
              <w:right w:val="single" w:sz="7" w:space="0" w:color="000000"/>
            </w:tcBorders>
            <w:tcMar>
              <w:top w:w="0" w:type="dxa"/>
              <w:left w:w="100" w:type="dxa"/>
              <w:bottom w:w="0" w:type="dxa"/>
              <w:right w:w="100" w:type="dxa"/>
            </w:tcMar>
          </w:tcPr>
          <w:p w14:paraId="25A930EE" w14:textId="77777777" w:rsidR="00603C7E" w:rsidRDefault="00603C7E">
            <w:pPr>
              <w:spacing w:line="240" w:lineRule="auto"/>
              <w:rPr>
                <w:rFonts w:ascii="Times New Roman" w:eastAsia="Times New Roman" w:hAnsi="Times New Roman" w:cs="Times New Roman"/>
              </w:rPr>
            </w:pPr>
          </w:p>
        </w:tc>
      </w:tr>
      <w:tr w:rsidR="00603C7E" w14:paraId="6E1E5426"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7833791"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FF7B08E"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5C3D339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 </w:t>
            </w:r>
            <w:r>
              <w:rPr>
                <w:rFonts w:ascii="Times New Roman" w:eastAsia="Times New Roman" w:hAnsi="Times New Roman" w:cs="Times New Roman"/>
                <w:b/>
                <w:bCs/>
              </w:rPr>
              <w:t>Proiectul de lege nu conține prevederi similare celor prevăzute la art. 13 (2) din Directiva 2014/67/UE</w:t>
            </w:r>
            <w:r>
              <w:rPr>
                <w:rFonts w:ascii="Times New Roman" w:eastAsia="Times New Roman" w:hAnsi="Times New Roman" w:cs="Times New Roman"/>
              </w:rPr>
              <w:t xml:space="preserve">, în condițiile în care art. 42 din proiect reglementează doar obligația prevăzută la alin. (1) al normei europene respective. Or, alin. </w:t>
            </w:r>
            <w:r>
              <w:rPr>
                <w:rFonts w:ascii="Times New Roman" w:eastAsia="Times New Roman" w:hAnsi="Times New Roman" w:cs="Times New Roman"/>
              </w:rPr>
              <w:lastRenderedPageBreak/>
              <w:t>(2) al art. 13 din directivă delimitează domeniul de aplicare al capitolului, stabilind că acesta se aplică sancțiunilor administrative financiare și/sau amenzilor administrative impuse sau confirmate de autoritățile ori organele competente, legate de nerespectarea Directivei 96/71/CE sau a Directivei 2014/67/UE, precum și cazurile în care aceste dispoziții nu sunt aplicabile;</w:t>
            </w:r>
          </w:p>
          <w:p w14:paraId="32F1195F" w14:textId="77777777" w:rsidR="00603C7E" w:rsidRDefault="00603C7E">
            <w:pPr>
              <w:spacing w:line="240" w:lineRule="auto"/>
              <w:rPr>
                <w:rFonts w:ascii="Times New Roman" w:eastAsia="Times New Roman" w:hAnsi="Times New Roman" w:cs="Times New Roman"/>
                <w:i/>
                <w:iCs/>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66673278"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Nu se acceptă. </w:t>
            </w:r>
          </w:p>
          <w:p w14:paraId="2008011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Aspectele vizate de art. 13 alin. (2) din Directiva 2014/67/UE sunt deja reflectate în proiect prin art. 43 și art. 44, care delimitează domeniul de aplicare al dispozițiilor privind sancțiunile contravenționale și </w:t>
            </w:r>
            <w:r>
              <w:rPr>
                <w:rFonts w:ascii="Times New Roman" w:eastAsia="Times New Roman" w:hAnsi="Times New Roman" w:cs="Times New Roman"/>
              </w:rPr>
              <w:lastRenderedPageBreak/>
              <w:t>prevăd excluderea materiei penale. Faptul că aceste elemente nu sunt concentrate în art. 42 nu echivalează cu lipsa transpunerii, ci ține de opțiunea de tehnică legislativă adoptată la nivel național.</w:t>
            </w:r>
          </w:p>
        </w:tc>
      </w:tr>
      <w:tr w:rsidR="00603C7E" w14:paraId="6AE51630"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C8F27A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3AEFD54E"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DD6E34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 </w:t>
            </w:r>
            <w:r>
              <w:rPr>
                <w:rFonts w:ascii="Times New Roman" w:eastAsia="Times New Roman" w:hAnsi="Times New Roman" w:cs="Times New Roman"/>
                <w:b/>
                <w:bCs/>
              </w:rPr>
              <w:t xml:space="preserve">Proiectul de lege nu conține elementele sau factorii orientativi destinați să ofere asistență autorităților competente în efectuarea verificărilor și controalelor </w:t>
            </w:r>
            <w:r>
              <w:rPr>
                <w:rFonts w:ascii="Times New Roman" w:eastAsia="Times New Roman" w:hAnsi="Times New Roman" w:cs="Times New Roman"/>
              </w:rPr>
              <w:t>în cazurile în care există motive să se considere că un lucrător nu poate fi calificat drept lucrător detașat, astfel cum sunt prevăzute la art. 4 alin. (2) și (3) din actul UE, iar tabelul de concordanță nu conține nicio informație în acest sens;</w:t>
            </w:r>
          </w:p>
          <w:p w14:paraId="57DB1C99"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BE4FDB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Nu se acceptă.</w:t>
            </w:r>
            <w:r>
              <w:rPr>
                <w:rFonts w:ascii="Times New Roman" w:eastAsia="Times New Roman" w:hAnsi="Times New Roman" w:cs="Times New Roman"/>
              </w:rPr>
              <w:t xml:space="preserve"> </w:t>
            </w:r>
            <w:r>
              <w:rPr>
                <w:rFonts w:ascii="Times New Roman" w:eastAsia="Times New Roman" w:hAnsi="Times New Roman" w:cs="Times New Roman"/>
              </w:rPr>
              <w:br/>
              <w:t xml:space="preserve">Aspectele vizate de art. 4 alin. (2) și (3) din Directiva 2014/67/UE sunt deja transpuse prin art. 12 din proiect, care reglementează evaluarea de ansamblu a situațiilor de detașare transnațională, distinge între elementele faptice referitoare la activitatea întreprinderii și cele referitoare la munca și situația lucrătorului detașat, precizează caracterul lor orientativ și neexhaustiv și stabilește că acestea servesc autorităților competente în efectuarea verificărilor și controalelor. Detalierea acestor elemente prin normele metodologice de aplicare reprezintă o opțiune de tehnică legislativă națională și nu echivalează cu lipsa transpunerii. Tabelul de concordanță va fi completat corespunzător pentru a reflecta aceste dispoziții. </w:t>
            </w:r>
          </w:p>
        </w:tc>
      </w:tr>
      <w:tr w:rsidR="00603C7E" w14:paraId="5BB5B240"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19113B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5AD48A3"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3C87F3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Tabelul de concordanță, la art. 30 din Directiva 2014/67/UE, indică modificări la Codul contravențional nr. 218/2008, prin completarea acestuia cu art. </w:t>
            </w:r>
            <w:r>
              <w:rPr>
                <w:rFonts w:ascii="Times New Roman" w:eastAsia="Times New Roman" w:hAnsi="Times New Roman" w:cs="Times New Roman"/>
                <w:highlight w:val="white"/>
              </w:rPr>
              <w:t>55</w:t>
            </w:r>
            <w:r>
              <w:rPr>
                <w:rFonts w:ascii="Times New Roman" w:eastAsia="Times New Roman" w:hAnsi="Times New Roman" w:cs="Times New Roman"/>
                <w:highlight w:val="white"/>
                <w:vertAlign w:val="superscript"/>
              </w:rPr>
              <w:t>6</w:t>
            </w:r>
            <w:r>
              <w:rPr>
                <w:rFonts w:ascii="Times New Roman" w:eastAsia="Times New Roman" w:hAnsi="Times New Roman" w:cs="Times New Roman"/>
              </w:rPr>
              <w:t xml:space="preserve"> „Încălcarea legislației muncii în domeniul detașării transnaționale a salariaților”, precum și la art. 11 din Codul de executare al Republicii Moldova nr. 443/2004 privind documentele executorii.</w:t>
            </w:r>
          </w:p>
          <w:p w14:paraId="7DC621D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Totodată, proiectul nu prevede aceste modificări ale actelor normative menționate, ceea ce impune </w:t>
            </w:r>
            <w:r>
              <w:rPr>
                <w:rFonts w:ascii="Times New Roman" w:eastAsia="Times New Roman" w:hAnsi="Times New Roman" w:cs="Times New Roman"/>
                <w:b/>
                <w:bCs/>
              </w:rPr>
              <w:t xml:space="preserve">clarificarea modului în care urmează a fi </w:t>
            </w:r>
            <w:r>
              <w:rPr>
                <w:rFonts w:ascii="Times New Roman" w:eastAsia="Times New Roman" w:hAnsi="Times New Roman" w:cs="Times New Roman"/>
                <w:b/>
                <w:bCs/>
              </w:rPr>
              <w:lastRenderedPageBreak/>
              <w:t>realizată transpunerea acestor prevederi ale directivei în legislația națională</w:t>
            </w:r>
            <w:r>
              <w:rPr>
                <w:rFonts w:ascii="Times New Roman" w:eastAsia="Times New Roman" w:hAnsi="Times New Roman" w:cs="Times New Roman"/>
              </w:rPr>
              <w:t xml:space="preserve">. </w:t>
            </w:r>
          </w:p>
          <w:p w14:paraId="350C6D40"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8C802BF"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Nu se acceptă. </w:t>
            </w:r>
          </w:p>
          <w:p w14:paraId="6C1E32B3" w14:textId="77777777" w:rsidR="00603C7E" w:rsidRDefault="00603C7E">
            <w:pPr>
              <w:spacing w:line="240" w:lineRule="auto"/>
              <w:rPr>
                <w:rFonts w:ascii="Times New Roman" w:eastAsia="Times New Roman" w:hAnsi="Times New Roman" w:cs="Times New Roman"/>
              </w:rPr>
            </w:pPr>
          </w:p>
          <w:p w14:paraId="5D8BEAA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Prevederile menționate, sunt reflectare în proiectul de modificare a Codului muncii și altor acte normative. </w:t>
            </w:r>
          </w:p>
        </w:tc>
      </w:tr>
      <w:tr w:rsidR="00603C7E" w14:paraId="6E42B033"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4843A2F"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3FB8FD5B"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6DC758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Respectarea mecanismului de armonizare</w:t>
            </w:r>
          </w:p>
          <w:p w14:paraId="4296BF33" w14:textId="77777777" w:rsidR="00603C7E"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t>a) Obiecții privind clauza de armonizare</w:t>
            </w:r>
          </w:p>
          <w:p w14:paraId="2C31CF9C" w14:textId="77777777" w:rsidR="00603C7E" w:rsidRDefault="00603C7E">
            <w:pPr>
              <w:spacing w:line="240" w:lineRule="auto"/>
              <w:rPr>
                <w:rFonts w:ascii="Times New Roman" w:eastAsia="Times New Roman" w:hAnsi="Times New Roman" w:cs="Times New Roman"/>
                <w:i/>
                <w:iCs/>
              </w:rPr>
            </w:pPr>
          </w:p>
          <w:p w14:paraId="0DF6637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„Prezenta lege </w:t>
            </w:r>
          </w:p>
          <w:p w14:paraId="4052DD9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transpune Directiva 96/71/CE</w:t>
            </w:r>
            <w:r>
              <w:rPr>
                <w:rFonts w:ascii="Times New Roman" w:eastAsia="Times New Roman" w:hAnsi="Times New Roman" w:cs="Times New Roman"/>
              </w:rPr>
              <w:t xml:space="preserve"> a Parlamentului European și a Consiliului din 16 decembrie 1996 privind detașarea lucrătorilor în cadrul prestării de servicii, publicată în Jurnalul Oficial al Uniunii Europene L 18 din 21 ianuarie 1997, CELEX: 31996L0071, așa cum a fost modificată ultima dată prin Directiva (UE) 2018/957 a Parlamentului European și a Consiliului din 28 iunie 2018;</w:t>
            </w:r>
          </w:p>
          <w:p w14:paraId="460BD261" w14:textId="77777777" w:rsidR="00603C7E" w:rsidRDefault="00603C7E">
            <w:pPr>
              <w:spacing w:line="240" w:lineRule="auto"/>
              <w:rPr>
                <w:rFonts w:ascii="Times New Roman" w:eastAsia="Times New Roman" w:hAnsi="Times New Roman" w:cs="Times New Roman"/>
                <w:b/>
                <w:bCs/>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E92BBF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S-a luat act. </w:t>
            </w:r>
          </w:p>
        </w:tc>
      </w:tr>
      <w:tr w:rsidR="00603C7E" w14:paraId="0D4B8E04"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F6E85D2"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1E109558"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D3E1274" w14:textId="77777777" w:rsidR="00603C7E"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rPr>
              <w:t xml:space="preserve">– </w:t>
            </w:r>
            <w:r>
              <w:rPr>
                <w:rFonts w:ascii="Times New Roman" w:eastAsia="Times New Roman" w:hAnsi="Times New Roman" w:cs="Times New Roman"/>
                <w:b/>
                <w:bCs/>
              </w:rPr>
              <w:t>transpune Directiva 2014/67/UE</w:t>
            </w:r>
            <w:r>
              <w:rPr>
                <w:rFonts w:ascii="Times New Roman" w:eastAsia="Times New Roman" w:hAnsi="Times New Roman" w:cs="Times New Roman"/>
              </w:rPr>
              <w:t xml:space="preserve"> a Parlamentului European și a Consiliului din 15 mai 2014 privind asigurarea respectării aplicării Directivei 96/71/CE privind detașarea lucrătorilor în cadrul prestării de servicii și de modificare a Regulamentului (UE) nr. 1024/2012 privind cooperarea administrativă prin intermediul Sistemului de informare al pieței interne („Regulamentul IMI”), publicată în Jurnalul Oficial al Uniunii Europene L 159 din 28 mai 2014, CELEX: 32014L0067.”</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156E2E7"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S-a luat act. </w:t>
            </w:r>
          </w:p>
        </w:tc>
      </w:tr>
      <w:tr w:rsidR="00603C7E" w14:paraId="5B3F4C48"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693D79E"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10C389AA"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884FA40" w14:textId="77777777" w:rsidR="00603C7E"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t>b) Obiecții privind tabelul de concordanță</w:t>
            </w:r>
            <w:r>
              <w:rPr>
                <w:rFonts w:ascii="Times New Roman" w:eastAsia="Times New Roman" w:hAnsi="Times New Roman" w:cs="Times New Roman"/>
              </w:rPr>
              <w:t xml:space="preserve"> </w:t>
            </w:r>
          </w:p>
        </w:tc>
        <w:tc>
          <w:tcPr>
            <w:tcW w:w="5220"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60814BA1"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Se acceptă. </w:t>
            </w:r>
          </w:p>
        </w:tc>
      </w:tr>
      <w:tr w:rsidR="00603C7E" w14:paraId="254EB2D8" w14:textId="77777777">
        <w:trPr>
          <w:trHeight w:val="43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65E5C78"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D0E3A2B"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5DA3D8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i/>
                <w:iCs/>
              </w:rPr>
              <w:t>Tabelul de concordanță cu Directiva 96/71/CE</w:t>
            </w:r>
            <w:r>
              <w:rPr>
                <w:rFonts w:ascii="Times New Roman" w:eastAsia="Times New Roman" w:hAnsi="Times New Roman" w:cs="Times New Roman"/>
              </w:rPr>
              <w:t xml:space="preserve"> Tabelul de concordanță cu Directiva 96/71/CE urmează a fi revizuit după cum urmează: </w:t>
            </w:r>
          </w:p>
          <w:p w14:paraId="5077C0A2" w14:textId="77777777" w:rsidR="00603C7E" w:rsidRDefault="00603C7E">
            <w:pPr>
              <w:spacing w:line="240" w:lineRule="auto"/>
              <w:rPr>
                <w:rFonts w:ascii="Times New Roman" w:eastAsia="Times New Roman" w:hAnsi="Times New Roman" w:cs="Times New Roman"/>
              </w:rPr>
            </w:pPr>
          </w:p>
          <w:p w14:paraId="1D25D71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La compartimentul 1, se va indica inclusiv cea mai recentă modificare a actului european, prin </w:t>
            </w:r>
            <w:r>
              <w:rPr>
                <w:rFonts w:ascii="Times New Roman" w:eastAsia="Times New Roman" w:hAnsi="Times New Roman" w:cs="Times New Roman"/>
              </w:rPr>
              <w:lastRenderedPageBreak/>
              <w:t>precizarea tipului, numărului și datei adoptării actului juridic european de modificare;</w:t>
            </w:r>
          </w:p>
        </w:tc>
        <w:tc>
          <w:tcPr>
            <w:tcW w:w="5220" w:type="dxa"/>
            <w:vMerge/>
            <w:tcBorders>
              <w:top w:val="nil"/>
              <w:left w:val="nil"/>
              <w:bottom w:val="single" w:sz="7" w:space="0" w:color="000000"/>
              <w:right w:val="single" w:sz="7" w:space="0" w:color="000000"/>
            </w:tcBorders>
            <w:tcMar>
              <w:top w:w="0" w:type="dxa"/>
              <w:left w:w="100" w:type="dxa"/>
              <w:bottom w:w="0" w:type="dxa"/>
              <w:right w:w="100" w:type="dxa"/>
            </w:tcMar>
          </w:tcPr>
          <w:p w14:paraId="4FB9C887" w14:textId="77777777" w:rsidR="00603C7E" w:rsidRDefault="00603C7E">
            <w:pPr>
              <w:spacing w:line="240" w:lineRule="auto"/>
              <w:rPr>
                <w:rFonts w:ascii="Times New Roman" w:eastAsia="Times New Roman" w:hAnsi="Times New Roman" w:cs="Times New Roman"/>
              </w:rPr>
            </w:pPr>
          </w:p>
        </w:tc>
      </w:tr>
      <w:tr w:rsidR="00603C7E" w14:paraId="180BC4C5" w14:textId="77777777">
        <w:trPr>
          <w:trHeight w:val="175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72FCD1A"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5FDC46F8"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09B80D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La compartimentul 7, pentru art. 2 din actul UE se va păstra doar corespondentul noțiunii de „lucrător detașat”, iar restul noțiunilor vor fi indicate la articolele din actul UE care și le definesc. De asemenea, la Anexa actului UE, se va exclude sintagma „al Codului muncii” de la referința art. 19, alin. (2);</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8AAB5C4"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Se acceptă. </w:t>
            </w:r>
          </w:p>
        </w:tc>
      </w:tr>
      <w:tr w:rsidR="00603C7E" w14:paraId="153CB594"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688859F"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E7AE641"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BDFF5A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La compartimentul 8, pentru art. 7–9 din actul UE, calificativul „Prevederi UE opționale” se va înlocui cu „Prevederi UE neaplicabile”.</w:t>
            </w:r>
          </w:p>
          <w:p w14:paraId="79DFB752"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1688B2B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Se acceptă. </w:t>
            </w:r>
          </w:p>
        </w:tc>
      </w:tr>
      <w:tr w:rsidR="00603C7E" w14:paraId="12255680"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50EB0DA"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FA37CFA"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DFE5E3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i/>
                <w:iCs/>
              </w:rPr>
              <w:t xml:space="preserve">Tabelul de concordanță cu Directiva 2014/67/UE </w:t>
            </w:r>
            <w:r>
              <w:rPr>
                <w:rFonts w:ascii="Times New Roman" w:eastAsia="Times New Roman" w:hAnsi="Times New Roman" w:cs="Times New Roman"/>
              </w:rPr>
              <w:t>Tabelul de concordanță cu Directiva 2014/67/UE urmează a fi revizuit după cum urmează:</w:t>
            </w:r>
          </w:p>
          <w:p w14:paraId="1271EE5B" w14:textId="77777777" w:rsidR="00603C7E" w:rsidRDefault="00603C7E">
            <w:pPr>
              <w:spacing w:line="240" w:lineRule="auto"/>
              <w:rPr>
                <w:rFonts w:ascii="Times New Roman" w:eastAsia="Times New Roman" w:hAnsi="Times New Roman" w:cs="Times New Roman"/>
              </w:rPr>
            </w:pPr>
          </w:p>
          <w:p w14:paraId="37D1C24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La compartimentul 1, se va indica inclusiv numărul și data adoptării actului juridic european;</w:t>
            </w:r>
          </w:p>
          <w:p w14:paraId="0516A72A"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1179E6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Se acceptă. </w:t>
            </w:r>
          </w:p>
        </w:tc>
      </w:tr>
      <w:tr w:rsidR="00603C7E" w14:paraId="02031E71"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D7427FE"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C2F1DA8"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6917C7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La compartimentul 7: pentru art. 2 din actul UE se vor păstra doar corespondentele noțiunilor de „autoritate competentă”, „autoritate solicitantă” și „autoritate solicitată”, iar restul noțiunilor vor fi indicate la articolele din actul UE care le definesc; pentru </w:t>
            </w:r>
            <w:r>
              <w:rPr>
                <w:rFonts w:ascii="Times New Roman" w:eastAsia="Times New Roman" w:hAnsi="Times New Roman" w:cs="Times New Roman"/>
                <w:i/>
                <w:iCs/>
              </w:rPr>
              <w:t>art. 3</w:t>
            </w:r>
            <w:r>
              <w:rPr>
                <w:rFonts w:ascii="Times New Roman" w:eastAsia="Times New Roman" w:hAnsi="Times New Roman" w:cs="Times New Roman"/>
              </w:rPr>
              <w:t xml:space="preserve"> se va include și corespondentul art. 61 alin. (7) din proiect, care prevede protecția datelor; pentru </w:t>
            </w:r>
            <w:r>
              <w:rPr>
                <w:rFonts w:ascii="Times New Roman" w:eastAsia="Times New Roman" w:hAnsi="Times New Roman" w:cs="Times New Roman"/>
                <w:i/>
                <w:iCs/>
              </w:rPr>
              <w:t xml:space="preserve">art. 5 alin. (5) </w:t>
            </w:r>
            <w:r>
              <w:rPr>
                <w:rFonts w:ascii="Times New Roman" w:eastAsia="Times New Roman" w:hAnsi="Times New Roman" w:cs="Times New Roman"/>
              </w:rPr>
              <w:t xml:space="preserve">se va revizui corespondentul acestuia; pentru </w:t>
            </w:r>
            <w:r>
              <w:rPr>
                <w:rFonts w:ascii="Times New Roman" w:eastAsia="Times New Roman" w:hAnsi="Times New Roman" w:cs="Times New Roman"/>
                <w:i/>
                <w:iCs/>
              </w:rPr>
              <w:t>art. 6</w:t>
            </w:r>
            <w:r>
              <w:rPr>
                <w:rFonts w:ascii="Times New Roman" w:eastAsia="Times New Roman" w:hAnsi="Times New Roman" w:cs="Times New Roman"/>
              </w:rPr>
              <w:t xml:space="preserve"> se va include și informația corespunzătoare art. 36 din proiectul de lege; pentru </w:t>
            </w:r>
            <w:r>
              <w:rPr>
                <w:rFonts w:ascii="Times New Roman" w:eastAsia="Times New Roman" w:hAnsi="Times New Roman" w:cs="Times New Roman"/>
                <w:i/>
                <w:iCs/>
              </w:rPr>
              <w:t xml:space="preserve">art. 15 </w:t>
            </w:r>
            <w:r>
              <w:rPr>
                <w:rFonts w:ascii="Times New Roman" w:eastAsia="Times New Roman" w:hAnsi="Times New Roman" w:cs="Times New Roman"/>
              </w:rPr>
              <w:t>alin. (1) se va indica corespondentul acestuia – art. 46 alin. (1) din proiectul de lege;</w:t>
            </w:r>
          </w:p>
          <w:p w14:paraId="3660B12E"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67A044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Se acceptă. </w:t>
            </w:r>
          </w:p>
        </w:tc>
      </w:tr>
      <w:tr w:rsidR="00603C7E" w14:paraId="793F33FD"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CB3983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0E239B1"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1CBF40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La compartimentul 8: pentru art. 4 se va preciza calificativul „parțial compatibil”, cu indicarea expresă în compartimentul 9 a proiectului care va asigura transpunerea normei UE date; pentru art. 12 alin. (8) calificativul „Prevederi UE opționale” se va înlocui cu „Prevederi UE neaplicabile”. </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85D50E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Nu se acceptă, </w:t>
            </w:r>
            <w:r>
              <w:rPr>
                <w:rFonts w:ascii="Times New Roman" w:eastAsia="Times New Roman" w:hAnsi="Times New Roman" w:cs="Times New Roman"/>
              </w:rPr>
              <w:t xml:space="preserve">cu referire la art. 4 pentru care se va preciza calificativul „parțial compatibil”. Art. 4 din Directivă este transpus în totalitate prin art. 12 din proiectul de lege. </w:t>
            </w:r>
          </w:p>
          <w:p w14:paraId="1EF5E67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cu referire la art. 12 alin. (8).</w:t>
            </w:r>
          </w:p>
          <w:p w14:paraId="5A974BAE" w14:textId="77777777" w:rsidR="00603C7E" w:rsidRDefault="00603C7E">
            <w:pPr>
              <w:spacing w:line="240" w:lineRule="auto"/>
              <w:rPr>
                <w:rFonts w:ascii="Times New Roman" w:eastAsia="Times New Roman" w:hAnsi="Times New Roman" w:cs="Times New Roman"/>
              </w:rPr>
            </w:pPr>
          </w:p>
        </w:tc>
      </w:tr>
      <w:tr w:rsidR="00603C7E" w14:paraId="68AE49AB" w14:textId="77777777">
        <w:trPr>
          <w:trHeight w:val="49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8BA72B1"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3CE947D"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57237559"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Concluzii </w:t>
            </w:r>
          </w:p>
          <w:p w14:paraId="0659AD9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 urmare a expertizei de compatibilitate realizate, se va asigura revizuirea proiectului și tabelelor de concordanță prin prisma obiecțiilor și propunerilor enunțate în prezenta Declarație de compatibilitate. Facem mențiunea că analiza Centrului de armonizare a legislației nu are în vedere elementele de oportunitate ale soluțiilor juridice incluse în proiectul de act normativ, ci se referă strict la conformitatea acestora cu Dreptul UE aplicabil, obligațiile juridice asumate în lumina Acordului de Asociere RM – UE și Cadrului de negociere cu Uniunea Europeană.</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964BCD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Am luat act. </w:t>
            </w:r>
          </w:p>
        </w:tc>
      </w:tr>
      <w:tr w:rsidR="00603C7E" w14:paraId="1DAD3D91" w14:textId="77777777">
        <w:trPr>
          <w:trHeight w:val="668"/>
        </w:trPr>
        <w:tc>
          <w:tcPr>
            <w:tcW w:w="51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14D07BB"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10.</w:t>
            </w:r>
          </w:p>
        </w:tc>
        <w:tc>
          <w:tcPr>
            <w:tcW w:w="307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032E45E9"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Casa Națională de Asigurări Sociale</w:t>
            </w:r>
          </w:p>
          <w:p w14:paraId="213CBF3C"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(nr. 4106 din 12.03.2026)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28119A1" w14:textId="77777777" w:rsidR="00603C7E" w:rsidRDefault="00000000">
            <w:pPr>
              <w:spacing w:line="240" w:lineRule="auto"/>
              <w:rPr>
                <w:rFonts w:ascii="Times New Roman" w:eastAsia="Times New Roman" w:hAnsi="Times New Roman" w:cs="Times New Roman"/>
                <w:b/>
                <w:bCs/>
                <w:i/>
                <w:iCs/>
              </w:rPr>
            </w:pPr>
            <w:r>
              <w:rPr>
                <w:rFonts w:ascii="Times New Roman" w:eastAsia="Times New Roman" w:hAnsi="Times New Roman" w:cs="Times New Roman"/>
                <w:b/>
                <w:bCs/>
                <w:i/>
                <w:iCs/>
              </w:rPr>
              <w:t xml:space="preserve"> 1. La Articolul 2 din proiect:</w:t>
            </w:r>
          </w:p>
          <w:p w14:paraId="1DC102DB" w14:textId="77777777" w:rsidR="00603C7E" w:rsidRDefault="00000000">
            <w:pPr>
              <w:spacing w:line="240" w:lineRule="auto"/>
              <w:rPr>
                <w:rFonts w:ascii="Times New Roman" w:eastAsia="Times New Roman" w:hAnsi="Times New Roman" w:cs="Times New Roman"/>
              </w:rPr>
            </w:pPr>
            <w:r>
              <w:rPr>
                <w:rFonts w:ascii="Arial Unicode MS" w:eastAsia="Arial Unicode MS" w:hAnsi="Arial Unicode MS" w:cs="Arial Unicode MS"/>
              </w:rPr>
              <w:t xml:space="preserve">➢ noțiunea </w:t>
            </w:r>
            <w:r>
              <w:rPr>
                <w:rFonts w:ascii="Times New Roman" w:eastAsia="Times New Roman" w:hAnsi="Times New Roman" w:cs="Times New Roman"/>
                <w:i/>
                <w:iCs/>
              </w:rPr>
              <w:t>„indemnizație specifică detașării transnaționale”</w:t>
            </w:r>
            <w:r>
              <w:rPr>
                <w:rFonts w:ascii="Times New Roman" w:eastAsia="Times New Roman" w:hAnsi="Times New Roman" w:cs="Times New Roman"/>
              </w:rPr>
              <w:t xml:space="preserve"> se expune în următoarea redacție: „</w:t>
            </w:r>
            <w:r>
              <w:rPr>
                <w:rFonts w:ascii="Times New Roman" w:eastAsia="Times New Roman" w:hAnsi="Times New Roman" w:cs="Times New Roman"/>
                <w:i/>
                <w:iCs/>
              </w:rPr>
              <w:t>indemnizație specifică detașării transnaționale</w:t>
            </w:r>
            <w:r>
              <w:rPr>
                <w:rFonts w:ascii="Times New Roman" w:eastAsia="Times New Roman" w:hAnsi="Times New Roman" w:cs="Times New Roman"/>
              </w:rPr>
              <w:t xml:space="preserve"> - suma de bani, acordată salariatului detașat în vederea compensării inconvenientelor cauzate de detașare, care constau în îndepărtarea acestuia de mediul său obișnuit, destinată să asigure protecția socială a salariatului, supusă impozitării și calculului contribuțiilor de asigurări sociale potrivit legislației, fără a fi considerată element al salariului de bază;”</w:t>
            </w:r>
          </w:p>
          <w:p w14:paraId="109740B9" w14:textId="77777777" w:rsidR="00603C7E" w:rsidRDefault="00603C7E">
            <w:pPr>
              <w:spacing w:line="240" w:lineRule="auto"/>
              <w:rPr>
                <w:rFonts w:ascii="Times New Roman" w:eastAsia="Times New Roman" w:hAnsi="Times New Roman" w:cs="Times New Roman"/>
              </w:rPr>
            </w:pPr>
          </w:p>
          <w:p w14:paraId="159ABB09" w14:textId="77777777" w:rsidR="00603C7E" w:rsidRDefault="00000000">
            <w:pPr>
              <w:spacing w:line="240" w:lineRule="auto"/>
              <w:rPr>
                <w:rFonts w:ascii="Times New Roman" w:eastAsia="Times New Roman" w:hAnsi="Times New Roman" w:cs="Times New Roman"/>
              </w:rPr>
            </w:pPr>
            <w:r>
              <w:rPr>
                <w:rFonts w:ascii="Arial Unicode MS" w:eastAsia="Arial Unicode MS" w:hAnsi="Arial Unicode MS" w:cs="Arial Unicode MS"/>
              </w:rPr>
              <w:t xml:space="preserve">➢ noțiunea </w:t>
            </w:r>
            <w:r>
              <w:rPr>
                <w:rFonts w:ascii="Times New Roman" w:eastAsia="Times New Roman" w:hAnsi="Times New Roman" w:cs="Times New Roman"/>
                <w:i/>
                <w:iCs/>
              </w:rPr>
              <w:t>„remunerația aplicabilă pe teritoriul Republicii Moldova”</w:t>
            </w:r>
            <w:r>
              <w:rPr>
                <w:rFonts w:ascii="Times New Roman" w:eastAsia="Times New Roman" w:hAnsi="Times New Roman" w:cs="Times New Roman"/>
              </w:rPr>
              <w:t xml:space="preserve"> se expune în redacția: „</w:t>
            </w:r>
            <w:r>
              <w:rPr>
                <w:rFonts w:ascii="Times New Roman" w:eastAsia="Times New Roman" w:hAnsi="Times New Roman" w:cs="Times New Roman"/>
                <w:i/>
                <w:iCs/>
              </w:rPr>
              <w:t xml:space="preserve">remunerația aplicabilă pe teritoriul Republicii </w:t>
            </w:r>
            <w:r>
              <w:rPr>
                <w:rFonts w:ascii="Times New Roman" w:eastAsia="Times New Roman" w:hAnsi="Times New Roman" w:cs="Times New Roman"/>
                <w:i/>
                <w:iCs/>
              </w:rPr>
              <w:lastRenderedPageBreak/>
              <w:t xml:space="preserve">Moldova </w:t>
            </w:r>
            <w:r>
              <w:rPr>
                <w:rFonts w:ascii="Times New Roman" w:eastAsia="Times New Roman" w:hAnsi="Times New Roman" w:cs="Times New Roman"/>
              </w:rPr>
              <w:t xml:space="preserve">- suma de bani, care include salariul de funcție sau tarifar, sporul pentru muncă suplimentară, sporul pentru munca în zilele de repaus săptămânal, sporul pentru munca în zilele de sărbătoare legală, sporul pentru munca prestată în timpul nopții, alte sporuri și indemnizații obligatorii conform legislației naționale, supusă impozitării și calculului contribuțiilor de asigurări sociale potrivit legislației;”. </w:t>
            </w:r>
          </w:p>
          <w:p w14:paraId="6C05FE7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i/>
                <w:iCs/>
                <w:u w:val="single"/>
              </w:rPr>
              <w:t xml:space="preserve">Argumentare: </w:t>
            </w:r>
            <w:r>
              <w:rPr>
                <w:rFonts w:ascii="Times New Roman" w:eastAsia="Times New Roman" w:hAnsi="Times New Roman" w:cs="Times New Roman"/>
              </w:rPr>
              <w:t xml:space="preserve">Potrivit cadrului normativ, contribuțiile de asigurări sociale nu se califică ca impozite și taxe, or acestea sunt reglementate de Legea nr. 489/1999 privind sistemul public de asigurări sociale. </w:t>
            </w:r>
          </w:p>
          <w:p w14:paraId="3D008B57"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8EE51F6"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Se acceptă. </w:t>
            </w:r>
          </w:p>
          <w:p w14:paraId="49CB1D8A" w14:textId="77777777" w:rsidR="00603C7E" w:rsidRDefault="00603C7E">
            <w:pPr>
              <w:spacing w:line="240" w:lineRule="auto"/>
              <w:rPr>
                <w:rFonts w:ascii="Times New Roman" w:eastAsia="Times New Roman" w:hAnsi="Times New Roman" w:cs="Times New Roman"/>
              </w:rPr>
            </w:pPr>
          </w:p>
          <w:p w14:paraId="1039027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 2 noțiunile nominalizate vor fi în următoarea redacție:</w:t>
            </w:r>
          </w:p>
          <w:p w14:paraId="761F4B37" w14:textId="77777777" w:rsidR="00603C7E" w:rsidRDefault="00603C7E">
            <w:pPr>
              <w:spacing w:line="240" w:lineRule="auto"/>
              <w:rPr>
                <w:rFonts w:ascii="Times New Roman" w:eastAsia="Times New Roman" w:hAnsi="Times New Roman" w:cs="Times New Roman"/>
              </w:rPr>
            </w:pPr>
          </w:p>
          <w:p w14:paraId="2995769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iCs/>
              </w:rPr>
              <w:t>indemnizație specifică detașării transnaționale</w:t>
            </w:r>
            <w:r>
              <w:rPr>
                <w:rFonts w:ascii="Times New Roman" w:eastAsia="Times New Roman" w:hAnsi="Times New Roman" w:cs="Times New Roman"/>
              </w:rPr>
              <w:t xml:space="preserve"> - suma de bani, acordată lucrătorului detașat în vederea compensării inconvenientelor cauzate de detașare, care constau în îndepărtarea acestuia de mediul său obișnuit, destinată să asigure protecția socială a lucrătorului, supusă impozitării și calculului contribuțiilor de asigurări sociale potrivit legislației, fără a fi considerată element al salariului de bază;”</w:t>
            </w:r>
          </w:p>
          <w:p w14:paraId="65F35133" w14:textId="77777777" w:rsidR="00603C7E" w:rsidRDefault="00603C7E">
            <w:pPr>
              <w:spacing w:line="240" w:lineRule="auto"/>
              <w:rPr>
                <w:rFonts w:ascii="Times New Roman" w:eastAsia="Times New Roman" w:hAnsi="Times New Roman" w:cs="Times New Roman"/>
              </w:rPr>
            </w:pPr>
          </w:p>
          <w:p w14:paraId="427F034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iCs/>
              </w:rPr>
              <w:t xml:space="preserve">remunerația aplicabilă pe teritoriul Republicii Moldova </w:t>
            </w:r>
            <w:r>
              <w:rPr>
                <w:rFonts w:ascii="Times New Roman" w:eastAsia="Times New Roman" w:hAnsi="Times New Roman" w:cs="Times New Roman"/>
              </w:rPr>
              <w:t xml:space="preserve">- suma de bani, care include salariul de funcție </w:t>
            </w:r>
            <w:r>
              <w:rPr>
                <w:rFonts w:ascii="Times New Roman" w:eastAsia="Times New Roman" w:hAnsi="Times New Roman" w:cs="Times New Roman"/>
              </w:rPr>
              <w:lastRenderedPageBreak/>
              <w:t>sau tarifar, sporul pentru muncă suplimentară, sporul pentru munca în zilele de repaus săptămânal, sporul pentru munca în zilele de sărbătoare legală, sporul pentru munca prestată în timpul nopții, alte sporuri și indemnizații obligatorii conform legislației naționale, supusă impozitării și calculului contribuțiilor de asigurări sociale potrivit legislației.</w:t>
            </w:r>
          </w:p>
        </w:tc>
      </w:tr>
      <w:tr w:rsidR="00603C7E" w14:paraId="6C090625" w14:textId="77777777">
        <w:trPr>
          <w:trHeight w:val="73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A1FB2CD"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4D1B351E"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7D1A72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i/>
                <w:iCs/>
              </w:rPr>
              <w:t>2. La Articolul 27</w:t>
            </w:r>
            <w:r>
              <w:rPr>
                <w:rFonts w:ascii="Times New Roman" w:eastAsia="Times New Roman" w:hAnsi="Times New Roman" w:cs="Times New Roman"/>
              </w:rPr>
              <w:t xml:space="preserve"> din proiect, alin. (2) lit. b) textul „ori contribuțiile de asigurări sociale de stat” se exclude.</w:t>
            </w:r>
          </w:p>
          <w:p w14:paraId="3106422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i/>
                <w:iCs/>
                <w:u w:val="single"/>
              </w:rPr>
              <w:t xml:space="preserve"> Argumentare:</w:t>
            </w:r>
            <w:r>
              <w:rPr>
                <w:rFonts w:ascii="Times New Roman" w:eastAsia="Times New Roman" w:hAnsi="Times New Roman" w:cs="Times New Roman"/>
              </w:rPr>
              <w:t xml:space="preserve"> Potrivit Legea nr. 489/1999 privind sistemul public de asigurări sociale, contribuțiile de asigurări sociale se calculează prin aplicarea tarifului la suma salariilor și recompenselor calculate lunar pentru toți angajații și se plătesc din mijloacele plătitorilor de contribuții de asigurări sociale (angajatorilor).</w:t>
            </w:r>
          </w:p>
          <w:p w14:paraId="5825D5B2"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E83F896"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67E4740C" w14:textId="77777777" w:rsidR="00603C7E" w:rsidRDefault="00603C7E">
            <w:pPr>
              <w:spacing w:line="240" w:lineRule="auto"/>
              <w:rPr>
                <w:rFonts w:ascii="Times New Roman" w:eastAsia="Times New Roman" w:hAnsi="Times New Roman" w:cs="Times New Roman"/>
                <w:b/>
                <w:bCs/>
              </w:rPr>
            </w:pPr>
          </w:p>
          <w:p w14:paraId="4244DD3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27 alin. (2) lit. b) textul „ori contribuțiile de asigurări sociale de stat” se exclude.</w:t>
            </w:r>
          </w:p>
          <w:p w14:paraId="66E7F759" w14:textId="77777777" w:rsidR="00603C7E" w:rsidRDefault="00603C7E">
            <w:pPr>
              <w:spacing w:line="240" w:lineRule="auto"/>
              <w:rPr>
                <w:rFonts w:ascii="Times New Roman" w:eastAsia="Times New Roman" w:hAnsi="Times New Roman" w:cs="Times New Roman"/>
              </w:rPr>
            </w:pPr>
          </w:p>
        </w:tc>
      </w:tr>
      <w:tr w:rsidR="00603C7E" w14:paraId="1E7F0809" w14:textId="77777777">
        <w:trPr>
          <w:trHeight w:val="73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13D9A1A"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34D9736"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2AEBC3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i/>
                <w:iCs/>
              </w:rPr>
              <w:t>3. La Articolul 29 din proiect</w:t>
            </w:r>
            <w:r>
              <w:rPr>
                <w:rFonts w:ascii="Times New Roman" w:eastAsia="Times New Roman" w:hAnsi="Times New Roman" w:cs="Times New Roman"/>
              </w:rPr>
              <w:t xml:space="preserve">, alin. (3) se expune în următoarea redacție: </w:t>
            </w:r>
          </w:p>
          <w:p w14:paraId="3476B23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„(3) Subcontractantul are obligația de a plăti salariatului diferența dintre suma primită de către acesta de la contractant și suma aferentă acoperirii integrale a drepturilor salariale cuvenite, precum şi obligația de a reține și plăti impozitul pe venit și calcula și plăti contribuțiile de asigurări sociale de stat aferente drepturilor salariale, în conformitate </w:t>
            </w:r>
            <w:r>
              <w:rPr>
                <w:rFonts w:ascii="Times New Roman" w:eastAsia="Times New Roman" w:hAnsi="Times New Roman" w:cs="Times New Roman"/>
              </w:rPr>
              <w:lastRenderedPageBreak/>
              <w:t xml:space="preserve">cu legislația fiscală și cu legislația sistemului public de asigurări sociale.” </w:t>
            </w:r>
          </w:p>
          <w:p w14:paraId="48A0B38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i/>
                <w:iCs/>
                <w:u w:val="single"/>
              </w:rPr>
              <w:t xml:space="preserve">Argumentare: </w:t>
            </w:r>
            <w:r>
              <w:rPr>
                <w:rFonts w:ascii="Times New Roman" w:eastAsia="Times New Roman" w:hAnsi="Times New Roman" w:cs="Times New Roman"/>
              </w:rPr>
              <w:t>Contribuțiile de asigurări sociale de stat nu se califică ca impozite şi taxe, or acestea sunt reglementate de Legea nr. 489/1999 privind sistemul public de asigurări sociale.</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81485C1"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 Se acceptă.</w:t>
            </w:r>
          </w:p>
          <w:p w14:paraId="265C280A" w14:textId="77777777" w:rsidR="00603C7E" w:rsidRDefault="00603C7E">
            <w:pPr>
              <w:spacing w:line="240" w:lineRule="auto"/>
              <w:rPr>
                <w:rFonts w:ascii="Times New Roman" w:eastAsia="Times New Roman" w:hAnsi="Times New Roman" w:cs="Times New Roman"/>
              </w:rPr>
            </w:pPr>
          </w:p>
          <w:p w14:paraId="3878C2D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29 alin. (3) va avea următoarea redacție:</w:t>
            </w:r>
          </w:p>
          <w:p w14:paraId="0BD70587" w14:textId="77777777" w:rsidR="00603C7E" w:rsidRDefault="00603C7E">
            <w:pPr>
              <w:spacing w:line="240" w:lineRule="auto"/>
              <w:rPr>
                <w:rFonts w:ascii="Times New Roman" w:eastAsia="Times New Roman" w:hAnsi="Times New Roman" w:cs="Times New Roman"/>
              </w:rPr>
            </w:pPr>
          </w:p>
          <w:p w14:paraId="52FBBC9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„(3) Subcontractantul are obligația de a plăti lucrătorului diferența dintre suma primită de către acesta de la contractant și suma aferentă acoperirii integrale a drepturilor salariale cuvenite, precum şi obligația de a reține și plăti impozitul pe venit și calcula și plăti </w:t>
            </w:r>
            <w:r>
              <w:rPr>
                <w:rFonts w:ascii="Times New Roman" w:eastAsia="Times New Roman" w:hAnsi="Times New Roman" w:cs="Times New Roman"/>
              </w:rPr>
              <w:lastRenderedPageBreak/>
              <w:t>contribuțiile de asigurări sociale de stat aferente drepturilor salariale, în conformitate cu legislația fiscală și cu legislația sistemului public de asigurări sociale.”</w:t>
            </w:r>
          </w:p>
        </w:tc>
      </w:tr>
      <w:tr w:rsidR="00603C7E" w14:paraId="5258432D" w14:textId="77777777">
        <w:trPr>
          <w:trHeight w:val="675"/>
        </w:trPr>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A63FB91"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11.</w:t>
            </w:r>
          </w:p>
        </w:tc>
        <w:tc>
          <w:tcPr>
            <w:tcW w:w="3075" w:type="dxa"/>
            <w:tcBorders>
              <w:top w:val="nil"/>
              <w:left w:val="nil"/>
              <w:bottom w:val="single" w:sz="7" w:space="0" w:color="000000"/>
              <w:right w:val="single" w:sz="7" w:space="0" w:color="000000"/>
            </w:tcBorders>
            <w:tcMar>
              <w:top w:w="0" w:type="dxa"/>
              <w:left w:w="100" w:type="dxa"/>
              <w:bottom w:w="0" w:type="dxa"/>
              <w:right w:w="100" w:type="dxa"/>
            </w:tcMar>
          </w:tcPr>
          <w:p w14:paraId="38B6A94A"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Agenția Feroviară</w:t>
            </w:r>
          </w:p>
          <w:p w14:paraId="52895DE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 01-50 din 10.03.2026)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AE3BDC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Propune revizuirea punctului 4.1 din Nota de fundamentare, în care se menționează că proiectul de lege „</w:t>
            </w:r>
            <w:r>
              <w:rPr>
                <w:rFonts w:ascii="Times New Roman" w:eastAsia="Times New Roman" w:hAnsi="Times New Roman" w:cs="Times New Roman"/>
                <w:i/>
                <w:iCs/>
              </w:rPr>
              <w:t>nu are impact asupra sectorului public, reglementările sale fiind aplicabile exclusiv sectorului privat”</w:t>
            </w:r>
            <w:r>
              <w:rPr>
                <w:rFonts w:ascii="Times New Roman" w:eastAsia="Times New Roman" w:hAnsi="Times New Roman" w:cs="Times New Roman"/>
              </w:rPr>
              <w:t xml:space="preserve">. </w:t>
            </w:r>
          </w:p>
          <w:p w14:paraId="0DF4863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Totodată, în capitolul 4.2 sunt descrise mai multe categorii de costuri administrative aferente Inspectoratului de Stat al Muncii, inclusiv creșterea numărului de inspecții, necesitatea angajării de personal suplimentar, instruirea funcționarilor și investițiile în infrastructura digitală.</w:t>
            </w:r>
          </w:p>
          <w:p w14:paraId="78CD967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În acest sens, se constată existența unei contradicții între capitolele 4.1 și 4.2 ale Notei de fundamentare, întrucât măsurile descrise implică în mod evident un impact instituțional și financiar asupra sectorului public, în special asupra Inspectoratului de Stat al Muncii. </w:t>
            </w:r>
          </w:p>
          <w:p w14:paraId="02122CB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Prin urmare, se recomandă revizuirea corespunzătoare a Notei de fundamentare, în vederea eliminării neconcordanței identificate și reflectării coerente a impactului proiectului asupra sectorului public.</w:t>
            </w:r>
          </w:p>
          <w:p w14:paraId="0E497E03"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473E84C"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5DA386B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Nota de fundamentare va fi revizuită în vederea eliminării neconcordanței dintre pct. 4.1 și pct. 4.2. În acest sens, va fi clarificat că, deși reglementările materiale ale proiectului vizează în principal raporturile de muncă din sectorul privat, implementarea acestuia implică și un impact instituțional și financiar asupra sectorului public, în special asupra Inspectoratului de Stat al Muncii, sub aspectul activităților de control, al necesarului de personal, al instruirii și al suportului logistic și digital.</w:t>
            </w:r>
          </w:p>
          <w:p w14:paraId="65743C40" w14:textId="77777777" w:rsidR="00603C7E" w:rsidRDefault="00603C7E">
            <w:pPr>
              <w:spacing w:line="240" w:lineRule="auto"/>
              <w:rPr>
                <w:rFonts w:ascii="Times New Roman" w:eastAsia="Times New Roman" w:hAnsi="Times New Roman" w:cs="Times New Roman"/>
              </w:rPr>
            </w:pPr>
          </w:p>
          <w:p w14:paraId="3738434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Pct. 4.1:</w:t>
            </w:r>
          </w:p>
          <w:p w14:paraId="047B024C" w14:textId="77777777" w:rsidR="00603C7E" w:rsidRDefault="00603C7E">
            <w:pPr>
              <w:spacing w:line="240" w:lineRule="auto"/>
              <w:rPr>
                <w:rFonts w:ascii="Times New Roman" w:eastAsia="Times New Roman" w:hAnsi="Times New Roman" w:cs="Times New Roman"/>
              </w:rPr>
            </w:pPr>
          </w:p>
          <w:p w14:paraId="7E13D3D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„Proiectul de lege produce efecte juridice în principal asupra raporturilor de muncă și a activităților economice din sectorul privat. Totodată, implementarea acestuia implică un impact instituțional și operațional asupra sectorului public, în special asupra Inspectoratului de Stat al Muncii, în partea ce ține de exercitarea atribuțiilor de control, cooperare administrativă, instruire a personalului și asigurare a suportului logistic și digital necesar aplicării legii.”</w:t>
            </w:r>
          </w:p>
          <w:p w14:paraId="59B365E1" w14:textId="77777777" w:rsidR="00603C7E" w:rsidRDefault="00603C7E">
            <w:pPr>
              <w:spacing w:line="240" w:lineRule="auto"/>
              <w:rPr>
                <w:rFonts w:ascii="Times New Roman" w:eastAsia="Times New Roman" w:hAnsi="Times New Roman" w:cs="Times New Roman"/>
                <w:b/>
                <w:bCs/>
              </w:rPr>
            </w:pPr>
          </w:p>
        </w:tc>
      </w:tr>
      <w:tr w:rsidR="00603C7E" w14:paraId="4EB55B1B" w14:textId="77777777">
        <w:trPr>
          <w:trHeight w:val="675"/>
        </w:trPr>
        <w:tc>
          <w:tcPr>
            <w:tcW w:w="51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F15F868"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12.</w:t>
            </w:r>
          </w:p>
        </w:tc>
        <w:tc>
          <w:tcPr>
            <w:tcW w:w="307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28E76634"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Grupului de lucru al Comisiei de stat pentru reglementarea activității de întreprinzător</w:t>
            </w:r>
          </w:p>
          <w:p w14:paraId="5048AA1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 38-78-3137 din 19.03.2026)</w:t>
            </w:r>
          </w:p>
          <w:p w14:paraId="0EB2F07B" w14:textId="77777777" w:rsidR="00603C7E" w:rsidRDefault="00603C7E">
            <w:pPr>
              <w:spacing w:line="240" w:lineRule="auto"/>
              <w:rPr>
                <w:rFonts w:ascii="Times New Roman" w:eastAsia="Times New Roman" w:hAnsi="Times New Roman" w:cs="Times New Roman"/>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01C05F4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b/>
                <w:bCs/>
              </w:rPr>
              <w:t>La articolul 2</w:t>
            </w:r>
            <w:r>
              <w:rPr>
                <w:rFonts w:ascii="Times New Roman" w:eastAsia="Times New Roman" w:hAnsi="Times New Roman" w:cs="Times New Roman"/>
              </w:rPr>
              <w:t xml:space="preserve"> pentru a nu crea temei de interpretare privind instituirea de noi acte permisive se recomandă de evitat cuvântul </w:t>
            </w:r>
            <w:r>
              <w:rPr>
                <w:rFonts w:ascii="Times New Roman" w:eastAsia="Times New Roman" w:hAnsi="Times New Roman" w:cs="Times New Roman"/>
                <w:i/>
                <w:iCs/>
              </w:rPr>
              <w:t>„autorizată„</w:t>
            </w:r>
            <w:r>
              <w:rPr>
                <w:rFonts w:ascii="Times New Roman" w:eastAsia="Times New Roman" w:hAnsi="Times New Roman" w:cs="Times New Roman"/>
              </w:rPr>
              <w:t xml:space="preserve"> din definiția de</w:t>
            </w:r>
            <w:r>
              <w:rPr>
                <w:rFonts w:ascii="Times New Roman" w:eastAsia="Times New Roman" w:hAnsi="Times New Roman" w:cs="Times New Roman"/>
                <w:i/>
                <w:iCs/>
              </w:rPr>
              <w:t xml:space="preserve"> „întreprindere„</w:t>
            </w:r>
            <w:r>
              <w:rPr>
                <w:rFonts w:ascii="Times New Roman" w:eastAsia="Times New Roman" w:hAnsi="Times New Roman" w:cs="Times New Roman"/>
              </w:rPr>
              <w:t>.</w:t>
            </w:r>
          </w:p>
          <w:p w14:paraId="4C13C9E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Se recomandă următoarea redacție: „</w:t>
            </w:r>
            <w:r>
              <w:rPr>
                <w:rFonts w:ascii="Times New Roman" w:eastAsia="Times New Roman" w:hAnsi="Times New Roman" w:cs="Times New Roman"/>
                <w:i/>
                <w:iCs/>
                <w:u w:val="single"/>
              </w:rPr>
              <w:t>întreprindere</w:t>
            </w:r>
            <w:r>
              <w:rPr>
                <w:rFonts w:ascii="Times New Roman" w:eastAsia="Times New Roman" w:hAnsi="Times New Roman" w:cs="Times New Roman"/>
              </w:rPr>
              <w:t xml:space="preserve"> – </w:t>
            </w:r>
            <w:r>
              <w:rPr>
                <w:rFonts w:ascii="Times New Roman" w:eastAsia="Times New Roman" w:hAnsi="Times New Roman" w:cs="Times New Roman"/>
                <w:i/>
                <w:iCs/>
              </w:rPr>
              <w:t>orice formă de organizare a unei activități economice, constituită sau înregistrată potrivit legislației statului membru de înființare, care desfășoară activități de producție, comerț sau prestări de servicii în scopul obținerii de venituri în condiții de concurență.</w:t>
            </w:r>
            <w:r>
              <w:rPr>
                <w:rFonts w:ascii="Times New Roman" w:eastAsia="Times New Roman" w:hAnsi="Times New Roman" w:cs="Times New Roman"/>
              </w:rPr>
              <w:t>”</w:t>
            </w:r>
          </w:p>
          <w:p w14:paraId="2E36B6EF"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414C8E4"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2C6B930B" w14:textId="77777777" w:rsidR="00603C7E" w:rsidRDefault="00603C7E">
            <w:pPr>
              <w:spacing w:line="240" w:lineRule="auto"/>
              <w:rPr>
                <w:rFonts w:ascii="Times New Roman" w:eastAsia="Times New Roman" w:hAnsi="Times New Roman" w:cs="Times New Roman"/>
              </w:rPr>
            </w:pPr>
          </w:p>
          <w:p w14:paraId="35F4DA0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 noțiunea nominalizată va fi în următoarea redacție:</w:t>
            </w:r>
          </w:p>
          <w:p w14:paraId="0D5CE788" w14:textId="77777777" w:rsidR="00603C7E" w:rsidRDefault="00603C7E">
            <w:pPr>
              <w:spacing w:line="240" w:lineRule="auto"/>
              <w:rPr>
                <w:rFonts w:ascii="Times New Roman" w:eastAsia="Times New Roman" w:hAnsi="Times New Roman" w:cs="Times New Roman"/>
              </w:rPr>
            </w:pPr>
          </w:p>
          <w:p w14:paraId="402B0D9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w:t>
            </w:r>
            <w:r>
              <w:rPr>
                <w:rFonts w:ascii="Times New Roman" w:eastAsia="Times New Roman" w:hAnsi="Times New Roman" w:cs="Times New Roman"/>
                <w:i/>
                <w:iCs/>
              </w:rPr>
              <w:t>întreprindere</w:t>
            </w:r>
            <w:r>
              <w:rPr>
                <w:rFonts w:ascii="Times New Roman" w:eastAsia="Times New Roman" w:hAnsi="Times New Roman" w:cs="Times New Roman"/>
              </w:rPr>
              <w:t xml:space="preserve"> – orice formă de organizare a unei activități economice, constituită sau înregistrată potrivit legislației statului membru de înființare, care desfășoară activități de producție, comerț sau prestări de servicii în scopul obținerii de venituri în condiții de concurență.”</w:t>
            </w:r>
          </w:p>
        </w:tc>
      </w:tr>
      <w:tr w:rsidR="00603C7E" w14:paraId="20385614"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E75015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9C02020"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A9D18B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b/>
                <w:bCs/>
              </w:rPr>
              <w:t>La articolul 8</w:t>
            </w:r>
            <w:r>
              <w:rPr>
                <w:rFonts w:ascii="Times New Roman" w:eastAsia="Times New Roman" w:hAnsi="Times New Roman" w:cs="Times New Roman"/>
              </w:rPr>
              <w:t>, alin. (2) pentru claritate mai mare se recomandă după textul ”</w:t>
            </w:r>
            <w:r>
              <w:rPr>
                <w:rFonts w:ascii="Times New Roman" w:eastAsia="Times New Roman" w:hAnsi="Times New Roman" w:cs="Times New Roman"/>
                <w:i/>
                <w:iCs/>
              </w:rPr>
              <w:t>potrivit regulilor privind detașarea transnațională</w:t>
            </w:r>
            <w:r>
              <w:rPr>
                <w:rFonts w:ascii="Times New Roman" w:eastAsia="Times New Roman" w:hAnsi="Times New Roman" w:cs="Times New Roman"/>
              </w:rPr>
              <w:t>” de completat cu textul ”stabilite de prezenta lege” sau „prevăzute de lege„.</w:t>
            </w:r>
          </w:p>
          <w:p w14:paraId="67CAA51C"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642D0194"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2DA285E0" w14:textId="77777777" w:rsidR="00603C7E" w:rsidRDefault="00603C7E">
            <w:pPr>
              <w:spacing w:line="240" w:lineRule="auto"/>
              <w:rPr>
                <w:rFonts w:ascii="Times New Roman" w:eastAsia="Times New Roman" w:hAnsi="Times New Roman" w:cs="Times New Roman"/>
              </w:rPr>
            </w:pPr>
          </w:p>
          <w:p w14:paraId="4EF6A68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8 alin. (2) va fi în următoarea redacție:</w:t>
            </w:r>
          </w:p>
          <w:p w14:paraId="6760A107" w14:textId="77777777" w:rsidR="00603C7E" w:rsidRDefault="00603C7E">
            <w:pPr>
              <w:spacing w:line="240" w:lineRule="auto"/>
              <w:rPr>
                <w:rFonts w:ascii="Times New Roman" w:eastAsia="Times New Roman" w:hAnsi="Times New Roman" w:cs="Times New Roman"/>
              </w:rPr>
            </w:pPr>
          </w:p>
          <w:p w14:paraId="010E64A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 Agentul de muncă temporară are obligaţia de a informa lucrătorul cu privire la modificarea locului de muncă, potrivit regulilor privind detașarea transnațională, stabilite de prezenta lege. </w:t>
            </w:r>
          </w:p>
        </w:tc>
      </w:tr>
      <w:tr w:rsidR="00603C7E" w14:paraId="1B5D323F"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C4AF6F7"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52F11B76"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06B7692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b/>
                <w:bCs/>
              </w:rPr>
              <w:t>La articolul 10</w:t>
            </w:r>
            <w:r>
              <w:rPr>
                <w:rFonts w:ascii="Times New Roman" w:eastAsia="Times New Roman" w:hAnsi="Times New Roman" w:cs="Times New Roman"/>
              </w:rPr>
              <w:t xml:space="preserve">, </w:t>
            </w:r>
            <w:r>
              <w:rPr>
                <w:rFonts w:ascii="Times New Roman" w:eastAsia="Times New Roman" w:hAnsi="Times New Roman" w:cs="Times New Roman"/>
                <w:b/>
                <w:bCs/>
              </w:rPr>
              <w:t>alin. (3)</w:t>
            </w:r>
            <w:r>
              <w:rPr>
                <w:rFonts w:ascii="Times New Roman" w:eastAsia="Times New Roman" w:hAnsi="Times New Roman" w:cs="Times New Roman"/>
              </w:rPr>
              <w:t xml:space="preserve"> rezultă că perioada de detașare poate fi prelungită până la 18 luni dacă întreprinderea transmite o notificare motivată inspectoratului teritorial de muncă.</w:t>
            </w:r>
          </w:p>
          <w:p w14:paraId="4548DE5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Totuși, legea nu explică ce înseamnă „</w:t>
            </w:r>
            <w:r>
              <w:rPr>
                <w:rFonts w:ascii="Times New Roman" w:eastAsia="Times New Roman" w:hAnsi="Times New Roman" w:cs="Times New Roman"/>
                <w:i/>
                <w:iCs/>
              </w:rPr>
              <w:t>notificare motivată</w:t>
            </w:r>
            <w:r>
              <w:rPr>
                <w:rFonts w:ascii="Times New Roman" w:eastAsia="Times New Roman" w:hAnsi="Times New Roman" w:cs="Times New Roman"/>
              </w:rPr>
              <w:t>” și ce elemente trebuie să conțină aceasta. De asemenea, nu este clar dacă prelungirea operează automat după transmiterea notificării sau dacă autoritatea poate aprecia asupra justificării prezentate.</w:t>
            </w:r>
          </w:p>
          <w:p w14:paraId="1785C6A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Formularea „</w:t>
            </w:r>
            <w:r>
              <w:rPr>
                <w:rFonts w:ascii="Times New Roman" w:eastAsia="Times New Roman" w:hAnsi="Times New Roman" w:cs="Times New Roman"/>
                <w:i/>
                <w:iCs/>
              </w:rPr>
              <w:t>cel târziu în ziua anterioară împlinirii termenului prevăzut la alin. (1)”</w:t>
            </w:r>
            <w:r>
              <w:rPr>
                <w:rFonts w:ascii="Times New Roman" w:eastAsia="Times New Roman" w:hAnsi="Times New Roman" w:cs="Times New Roman"/>
              </w:rPr>
              <w:t xml:space="preserve"> nu este suficient de clară. Nu rezultă direct la ce moment concret se referă această formulare, deoarece termenul este indicat prin trimitere la alin. (1), fără a fi menționat explicit că este vorba despre împlinirea perioadei de 12 luni de detașare.</w:t>
            </w:r>
          </w:p>
          <w:p w14:paraId="0221FC5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 astfel de formulare poate crea dificultăți de interpretare pentru întreprinderi, care trebuie să </w:t>
            </w:r>
            <w:r>
              <w:rPr>
                <w:rFonts w:ascii="Times New Roman" w:eastAsia="Times New Roman" w:hAnsi="Times New Roman" w:cs="Times New Roman"/>
              </w:rPr>
              <w:lastRenderedPageBreak/>
              <w:t xml:space="preserve">determine exact momentul până la care trebuie transmisă notificarea pentru prelungirea perioadei de detașare. Pentru a evita incertitudinile, ar fi mai clar ca textul să indice explicit că </w:t>
            </w:r>
            <w:r>
              <w:rPr>
                <w:rFonts w:ascii="Times New Roman" w:eastAsia="Times New Roman" w:hAnsi="Times New Roman" w:cs="Times New Roman"/>
                <w:i/>
                <w:iCs/>
              </w:rPr>
              <w:t>notificarea trebuie transmisă cel târziu cu o zi înainte de expirarea perioadei de 12 luni de detașare</w:t>
            </w:r>
            <w:r>
              <w:rPr>
                <w:rFonts w:ascii="Times New Roman" w:eastAsia="Times New Roman" w:hAnsi="Times New Roman" w:cs="Times New Roman"/>
              </w:rPr>
              <w:t>.</w:t>
            </w:r>
          </w:p>
          <w:p w14:paraId="6CDA2DA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În același timp, termenul stabilit pentru transmiterea notificării este relativ rigid și poate crea dificultăți practice pentru întreprinderi, în special în situațiile în care necesitatea prelungirii detașării apare într-un termen scurt. Se recomandă revizuirea normei.</w:t>
            </w:r>
          </w:p>
          <w:p w14:paraId="09166BA4"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C2C227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0432BEF8" w14:textId="77777777" w:rsidR="00603C7E" w:rsidRDefault="00603C7E">
            <w:pPr>
              <w:spacing w:line="240" w:lineRule="auto"/>
              <w:rPr>
                <w:rFonts w:ascii="Times New Roman" w:eastAsia="Times New Roman" w:hAnsi="Times New Roman" w:cs="Times New Roman"/>
                <w:b/>
                <w:bCs/>
              </w:rPr>
            </w:pPr>
          </w:p>
          <w:p w14:paraId="29D4E91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10 alin. (3) și (4) vor avea următoarea redacție:</w:t>
            </w:r>
          </w:p>
          <w:p w14:paraId="67FFE024" w14:textId="77777777" w:rsidR="00603C7E" w:rsidRDefault="00603C7E">
            <w:pPr>
              <w:spacing w:line="240" w:lineRule="auto"/>
              <w:rPr>
                <w:rFonts w:ascii="Times New Roman" w:eastAsia="Times New Roman" w:hAnsi="Times New Roman" w:cs="Times New Roman"/>
              </w:rPr>
            </w:pPr>
          </w:p>
          <w:p w14:paraId="5E46A06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În cazul în care durata efectivă a detașării depășește 12 luni, perioada prevăzută la alin. (1) poate fi prelungită până la 18 luni, cu condiția transmiterii, înainte de expirarea termenului de 12 luni, a unei notificări motivate către inspectoratul teritorial de muncă competent.</w:t>
            </w:r>
          </w:p>
          <w:p w14:paraId="5684EC75" w14:textId="77777777" w:rsidR="00603C7E" w:rsidRDefault="00603C7E">
            <w:pPr>
              <w:spacing w:line="240" w:lineRule="auto"/>
              <w:rPr>
                <w:rFonts w:ascii="Times New Roman" w:eastAsia="Times New Roman" w:hAnsi="Times New Roman" w:cs="Times New Roman"/>
              </w:rPr>
            </w:pPr>
          </w:p>
          <w:p w14:paraId="4470183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 Notificarea motivată prevăzută la alin. (3) va cuprinde cel puțin datele de identificare ale întreprinderii care detașează, datele de identificare ale lucrătorului detașat, locul desfășurării activității, data începerii detașării, durata estimată a prelungirii și motivele obiective care justifică prelungirea. În cazul respectării cerințelor prevăzute de prezentul alineat, prelungirea operează de drept de la data transmiterii notificării.”</w:t>
            </w:r>
          </w:p>
        </w:tc>
      </w:tr>
      <w:tr w:rsidR="00603C7E" w14:paraId="5958907C"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15D6CEE"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5828E2B1"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38D804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4.  De asemenea, prevederea de la </w:t>
            </w:r>
            <w:r>
              <w:rPr>
                <w:rFonts w:ascii="Times New Roman" w:eastAsia="Times New Roman" w:hAnsi="Times New Roman" w:cs="Times New Roman"/>
                <w:b/>
                <w:bCs/>
              </w:rPr>
              <w:t>art. 10 alin. (4)</w:t>
            </w:r>
            <w:r>
              <w:rPr>
                <w:rFonts w:ascii="Times New Roman" w:eastAsia="Times New Roman" w:hAnsi="Times New Roman" w:cs="Times New Roman"/>
              </w:rPr>
              <w:t xml:space="preserve"> potrivit căreia modelul notificării și condițiile de transmitere a acesteia se stabilesc de Guvern delegă reglementarea procedurii către un act subordonat legii. </w:t>
            </w:r>
          </w:p>
          <w:p w14:paraId="567F3E2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Potrivit principiilor de reglementarea a activității de întreprinzător LEGEA trebuie să stabilească normele primare sau elementele principale ale procedurii de notificare, iar Guvernul poate să aprobe doar modelul și modul de completare a formularului de notificare necesar pentru aplicarea practică a normei.</w:t>
            </w:r>
          </w:p>
          <w:p w14:paraId="6A7FF22C"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97A6EEE"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78FE7E58" w14:textId="77777777" w:rsidR="00603C7E" w:rsidRDefault="00603C7E">
            <w:pPr>
              <w:spacing w:line="240" w:lineRule="auto"/>
              <w:rPr>
                <w:rFonts w:ascii="Times New Roman" w:eastAsia="Times New Roman" w:hAnsi="Times New Roman" w:cs="Times New Roman"/>
                <w:b/>
                <w:bCs/>
              </w:rPr>
            </w:pPr>
          </w:p>
          <w:p w14:paraId="5641E6A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10 alin. (4) va avea următoarea redacție:</w:t>
            </w:r>
          </w:p>
          <w:p w14:paraId="393AC26D" w14:textId="77777777" w:rsidR="00603C7E" w:rsidRDefault="00603C7E">
            <w:pPr>
              <w:spacing w:line="240" w:lineRule="auto"/>
              <w:rPr>
                <w:rFonts w:ascii="Times New Roman" w:eastAsia="Times New Roman" w:hAnsi="Times New Roman" w:cs="Times New Roman"/>
              </w:rPr>
            </w:pPr>
          </w:p>
          <w:p w14:paraId="1E41B20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 Notificarea motivată prevăzută la alin. (3) va cuprinde cel puțin datele de identificare ale întreprinderii care detașează, datele de identificare ale lucrătorului detașat, locul desfășurării activității, data începerii detașării, durata estimată a prelungirii și motivele obiective care justifică prelungirea. În cazul respectării cerințelor prevăzute de prezentul alineat, prelungirea operează de drept de la data transmiterii notificării.”</w:t>
            </w:r>
          </w:p>
        </w:tc>
      </w:tr>
      <w:tr w:rsidR="00603C7E" w14:paraId="7F29A6DB"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5ABD73D"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1C6D121C"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F5C729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5. </w:t>
            </w:r>
            <w:r>
              <w:rPr>
                <w:rFonts w:ascii="Times New Roman" w:eastAsia="Times New Roman" w:hAnsi="Times New Roman" w:cs="Times New Roman"/>
                <w:b/>
                <w:bCs/>
              </w:rPr>
              <w:t xml:space="preserve">Articolul 12 </w:t>
            </w:r>
            <w:r>
              <w:rPr>
                <w:rFonts w:ascii="Times New Roman" w:eastAsia="Times New Roman" w:hAnsi="Times New Roman" w:cs="Times New Roman"/>
              </w:rPr>
              <w:t>instituie posibilitatea ca Inspectoratul de Stat al Muncii să realizeze o „</w:t>
            </w:r>
            <w:r>
              <w:rPr>
                <w:rFonts w:ascii="Times New Roman" w:eastAsia="Times New Roman" w:hAnsi="Times New Roman" w:cs="Times New Roman"/>
                <w:i/>
                <w:iCs/>
              </w:rPr>
              <w:t>evaluare de ansamblu a tuturor elementelor faptice</w:t>
            </w:r>
            <w:r>
              <w:rPr>
                <w:rFonts w:ascii="Times New Roman" w:eastAsia="Times New Roman" w:hAnsi="Times New Roman" w:cs="Times New Roman"/>
              </w:rPr>
              <w:t>” pentru a stabili existența unei detașări transnaționale. Totuși, legea nu definește în mod concret aceste elemente și nici criteriile după care se face evaluarea. Se utilizează formulări generale, precum „</w:t>
            </w:r>
            <w:r>
              <w:rPr>
                <w:rFonts w:ascii="Times New Roman" w:eastAsia="Times New Roman" w:hAnsi="Times New Roman" w:cs="Times New Roman"/>
                <w:i/>
                <w:iCs/>
              </w:rPr>
              <w:t>elemente faptice</w:t>
            </w:r>
            <w:r>
              <w:rPr>
                <w:rFonts w:ascii="Times New Roman" w:eastAsia="Times New Roman" w:hAnsi="Times New Roman" w:cs="Times New Roman"/>
              </w:rPr>
              <w:t>”, „</w:t>
            </w:r>
            <w:r>
              <w:rPr>
                <w:rFonts w:ascii="Times New Roman" w:eastAsia="Times New Roman" w:hAnsi="Times New Roman" w:cs="Times New Roman"/>
                <w:i/>
                <w:iCs/>
              </w:rPr>
              <w:t>factori orientativi</w:t>
            </w:r>
            <w:r>
              <w:rPr>
                <w:rFonts w:ascii="Times New Roman" w:eastAsia="Times New Roman" w:hAnsi="Times New Roman" w:cs="Times New Roman"/>
              </w:rPr>
              <w:t xml:space="preserve">” </w:t>
            </w:r>
            <w:r>
              <w:rPr>
                <w:rFonts w:ascii="Times New Roman" w:eastAsia="Times New Roman" w:hAnsi="Times New Roman" w:cs="Times New Roman"/>
              </w:rPr>
              <w:lastRenderedPageBreak/>
              <w:t>sau „</w:t>
            </w:r>
            <w:r>
              <w:rPr>
                <w:rFonts w:ascii="Times New Roman" w:eastAsia="Times New Roman" w:hAnsi="Times New Roman" w:cs="Times New Roman"/>
                <w:i/>
                <w:iCs/>
              </w:rPr>
              <w:t>evaluare adaptată fiecărui caz</w:t>
            </w:r>
            <w:r>
              <w:rPr>
                <w:rFonts w:ascii="Times New Roman" w:eastAsia="Times New Roman" w:hAnsi="Times New Roman" w:cs="Times New Roman"/>
              </w:rPr>
              <w:t>”, fără a indica limitele sau conținutul concret al acestor criterii.</w:t>
            </w:r>
          </w:p>
          <w:p w14:paraId="38A41FE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Iar alin. (8) stabilește că </w:t>
            </w:r>
            <w:r>
              <w:rPr>
                <w:rFonts w:ascii="Times New Roman" w:eastAsia="Times New Roman" w:hAnsi="Times New Roman" w:cs="Times New Roman"/>
                <w:i/>
                <w:iCs/>
              </w:rPr>
              <w:t>elementele faptice utilizate în evaluare vor fi stabilite prin normele metodologice aprobate de Guvern</w:t>
            </w:r>
            <w:r>
              <w:rPr>
                <w:rFonts w:ascii="Times New Roman" w:eastAsia="Times New Roman" w:hAnsi="Times New Roman" w:cs="Times New Roman"/>
              </w:rPr>
              <w:t>.</w:t>
            </w:r>
          </w:p>
          <w:p w14:paraId="0B69E5F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Astfel, criteriile esențiale după care se determină existența unei detașări transnaționale nu sunt prevăzute direct în lege, ci sunt lăsate pentru reglementare ulterioară printr-un act subordonat.</w:t>
            </w:r>
          </w:p>
          <w:p w14:paraId="78A751B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 fi oportun ca legea să prevadă direct principalele criterii de evaluare, iar normele metodologice să detalieze doar aspectele tehnice de aplicare.</w:t>
            </w:r>
          </w:p>
          <w:p w14:paraId="45F80E9D"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8556B2F"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5FFDD538" w14:textId="77777777" w:rsidR="00603C7E" w:rsidRDefault="00603C7E">
            <w:pPr>
              <w:spacing w:line="240" w:lineRule="auto"/>
              <w:rPr>
                <w:rFonts w:ascii="Times New Roman" w:eastAsia="Times New Roman" w:hAnsi="Times New Roman" w:cs="Times New Roman"/>
              </w:rPr>
            </w:pPr>
          </w:p>
          <w:p w14:paraId="27E9BBC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12 va fi expus în următoarea redacție:</w:t>
            </w:r>
          </w:p>
          <w:p w14:paraId="4CD6AE58" w14:textId="77777777" w:rsidR="00603C7E" w:rsidRDefault="00603C7E">
            <w:pPr>
              <w:spacing w:line="240" w:lineRule="auto"/>
              <w:rPr>
                <w:rFonts w:ascii="Times New Roman" w:eastAsia="Times New Roman" w:hAnsi="Times New Roman" w:cs="Times New Roman"/>
              </w:rPr>
            </w:pPr>
          </w:p>
          <w:p w14:paraId="62EB3E0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Articolul 12. Evaluarea detașării transnaționale de către Inspectoratul de Stat al Muncii</w:t>
            </w:r>
          </w:p>
          <w:p w14:paraId="75B6BCF9" w14:textId="77777777" w:rsidR="00603C7E" w:rsidRDefault="00603C7E">
            <w:pPr>
              <w:spacing w:line="240" w:lineRule="auto"/>
              <w:rPr>
                <w:rFonts w:ascii="Times New Roman" w:eastAsia="Times New Roman" w:hAnsi="Times New Roman" w:cs="Times New Roman"/>
              </w:rPr>
            </w:pPr>
          </w:p>
          <w:p w14:paraId="7E7C8C0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 În scopul identificării situaţiilor de detaşare transnaţională şi pentru a preveni abuzurile şi eludările </w:t>
            </w:r>
            <w:r>
              <w:rPr>
                <w:rFonts w:ascii="Times New Roman" w:eastAsia="Times New Roman" w:hAnsi="Times New Roman" w:cs="Times New Roman"/>
              </w:rPr>
              <w:lastRenderedPageBreak/>
              <w:t>dispoziţiilor prezentei legi, Inspectoratul de Stat al Muncii, prin inspectoratele teritoriale de muncă, realizează o evaluare de ansamblu a tuturor elementelor faptice care caracterizează o detaşare transnaţională, în special a:</w:t>
            </w:r>
          </w:p>
          <w:p w14:paraId="0B14ADD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 elementelor faptice care caracterizează activităţile desfăşurate de către întreprinderile prevăzute la art. 5 lit. a) în statul membru sau Confederației Elvețiene în care acestea sunt înființate şi, atunci când este necesar, în Republica Moldova;</w:t>
            </w:r>
          </w:p>
          <w:p w14:paraId="335E5EC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 elementelor faptice care caracterizează munca şi situaţia lucrătorului detaşat pe teritoriul Republicii Moldova.</w:t>
            </w:r>
          </w:p>
          <w:p w14:paraId="46670FA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 Evaluarea de ansamblu prevăzută la alin. (1) se realizează în cadrul controalelor efectuate de către inspectoratele teritoriale de muncă, pentru fiecare situaţie de detaşare transnaţională.</w:t>
            </w:r>
          </w:p>
          <w:p w14:paraId="7AD029D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La evaluarea existenței unei detașări transnaționale, inspectoratele teritoriale de muncă iau în considerare, după caz, următoarele elemente faptice:</w:t>
            </w:r>
          </w:p>
          <w:p w14:paraId="1EE23BC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 locul în care întreprinderea îşi are sediul social şi administraţia centrală;</w:t>
            </w:r>
          </w:p>
          <w:p w14:paraId="681D1CE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 locul în care întreprinderea utilizează spaţii administrative, plăteşte impozite şi contribuţii, deţine autorizaţii, licenţe sau este înregistrată la autorităţile competente, organizaţii profesionale, camere de comerţ ori alte entităţi similare, după caz;</w:t>
            </w:r>
          </w:p>
          <w:p w14:paraId="3FE9FC2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 locul în care sunt recrutaţi lucrătorii detaşaţi şi din care aceştia sunt detaşaţi;</w:t>
            </w:r>
          </w:p>
          <w:p w14:paraId="0E7ADC7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 legea aplicabilă contractelor încheiate de întreprindere cu lucrătorii săi şi cu beneficiarii serviciilor;</w:t>
            </w:r>
          </w:p>
          <w:p w14:paraId="1A680CC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 locul în care întreprinderea desfăşoară activitatea economică principală şi în care are personal administrativ;</w:t>
            </w:r>
          </w:p>
          <w:p w14:paraId="24BF28C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f) numărul contractelor executate şi/sau cuantumul cifrei de afaceri realizate de întreprindere în statul în care este stabilită, ţinând seama de specificul întreprinderilor nou-înfiinţate şi al întreprinderilor mici şi mijlocii;</w:t>
            </w:r>
          </w:p>
          <w:p w14:paraId="548D19A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 natura activităţilor desfăşurate de lucrătorul detaşat;</w:t>
            </w:r>
          </w:p>
          <w:p w14:paraId="441D61E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 faptul dacă activitatea este prestată pe teritoriul Republicii Moldova pentru o perioadă limitată;</w:t>
            </w:r>
          </w:p>
          <w:p w14:paraId="36418CA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 data începerii detaşării;</w:t>
            </w:r>
          </w:p>
          <w:p w14:paraId="0BBE6D5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 locul din care şi în care lucrătorul detaşat îşi desfăşoară în mod obişnuit activitatea;</w:t>
            </w:r>
          </w:p>
          <w:p w14:paraId="237567B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 faptul dacă lucrătorul detaşat se întoarce sau urmează să îşi reia activitatea în statul din care a fost detaşat;</w:t>
            </w:r>
          </w:p>
          <w:p w14:paraId="6A17B6E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 cheltuielile de transport, cazare şi masă sau alocaţiile acordate în acest scop, precum şi modalitatea de acordare a acestora;</w:t>
            </w:r>
          </w:p>
          <w:p w14:paraId="2AD0D8A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 orice alte elemente necesare pentru a stabili dacă lucrătorul îşi desfăşoară temporar activitatea în cadrul unei detaşări transnaţionale reale şi dacă întreprinderea desfăşoară activităţi semnificative, altele decât activităţi exclusiv interne de gestionare şi/sau administrative, în statul în care este stabilită.</w:t>
            </w:r>
          </w:p>
          <w:p w14:paraId="2914F1A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 Elementele faptice prevăzute la alin. (1) şi (3) au următoarele caracteristici:</w:t>
            </w:r>
          </w:p>
          <w:p w14:paraId="2387BC8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 sunt destinate să ofere asistenţă inspectoratelor teritoriale de muncă în cadrul verificărilor şi controalelor efectuate;</w:t>
            </w:r>
          </w:p>
          <w:p w14:paraId="29597D7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 sunt factori orientativi în evaluarea de ansamblu care se realizează de către inspectoratele teritoriale de muncă în activitatea de verificare şi control şi nu pot fi luate în considerare separat;</w:t>
            </w:r>
          </w:p>
          <w:p w14:paraId="692EE49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 nu trebuie îndeplinite cumulativ pentru fiecare caz de detaşare transnaţională, evaluarea acestora adaptându-se fiecărui caz în parte şi luând în considerare particularităţile situaţiei; nerespectarea unuia sau a mai multora dintre ele nu exclude în mod automat </w:t>
            </w:r>
            <w:r>
              <w:rPr>
                <w:rFonts w:ascii="Times New Roman" w:eastAsia="Times New Roman" w:hAnsi="Times New Roman" w:cs="Times New Roman"/>
              </w:rPr>
              <w:lastRenderedPageBreak/>
              <w:t>posibilitatea ca o situaţie dată să fie caracterizată drept situaţie de detaşare.</w:t>
            </w:r>
          </w:p>
          <w:p w14:paraId="4704750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 Elementele faptice prevăzute la alin. (1) lit. a) şi alin. (3) au rolul de a stabili dacă o întreprindere exercită în mod efectiv activităţi semnificative, altele decât cele interne de gestionare şi/sau administrative, în statul membru de înființare sau în Confederaţia Elveţiană, având ca perioadă de referinţă un interval de timp de un an anterior datei efectuării controlului.</w:t>
            </w:r>
          </w:p>
          <w:p w14:paraId="110B922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 Elementele faptice prevăzute la alin. (1) lit. b) şi alin. (3) au rolul de a evalua dacă un lucrător care îşi desfăşoară activitatea în mod obişnuit pe teritoriul unui stat membru, altul decât Republica Moldova, sau pe teritoriul Confederaţiei Elveţiene este detaşat temporar pe teritoriul Republicii Moldova.</w:t>
            </w:r>
          </w:p>
          <w:p w14:paraId="03F188A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 Elementele faptice prevăzute la alin. (1) şi (3) sunt luate în considerare de către inspectoratele teritoriale de muncă în cadrul controlului şi pentru a stabili dacă o persoană are calitatea de lucrător, în conformitate cu legislaţia Republicii Moldova, inclusiv pentru a identifica posibile cazuri de declarare a unui lucrător detaşat ca exercitând activităţi independente în scopul eludării prevederilor prezentei legi.</w:t>
            </w:r>
          </w:p>
          <w:p w14:paraId="64143CE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 În realizarea evaluării prevăzute la alin. (7), inspectoratele teritoriale de muncă au în vedere şi aspecte legate de executarea lucrărilor, de subordonarea şi de remunerarea lucrătorului, indiferent de modalitatea de exprimare a acordului de voinţă a părţilor în cadrul raporturilor de muncă.</w:t>
            </w:r>
          </w:p>
          <w:p w14:paraId="7770E8F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 Normele metodologice de aplicare a prezentei legi stabilesc modul de aplicare a elementelor prevăzute de prezentul articol, precum şi particularităţile evaluării acestora în funcţie de specificul activităţilor desfăşurate.</w:t>
            </w:r>
          </w:p>
          <w:p w14:paraId="41A557E4" w14:textId="77777777" w:rsidR="00603C7E" w:rsidRDefault="00603C7E">
            <w:pPr>
              <w:spacing w:line="240" w:lineRule="auto"/>
              <w:rPr>
                <w:rFonts w:ascii="Times New Roman" w:eastAsia="Times New Roman" w:hAnsi="Times New Roman" w:cs="Times New Roman"/>
              </w:rPr>
            </w:pPr>
          </w:p>
        </w:tc>
      </w:tr>
      <w:tr w:rsidR="00603C7E" w14:paraId="66F3FF96"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BF32860"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3A60DECA"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14FC53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b/>
                <w:bCs/>
              </w:rPr>
              <w:t xml:space="preserve"> La articolul 21</w:t>
            </w:r>
            <w:r>
              <w:rPr>
                <w:rFonts w:ascii="Times New Roman" w:eastAsia="Times New Roman" w:hAnsi="Times New Roman" w:cs="Times New Roman"/>
              </w:rPr>
              <w:t xml:space="preserve"> pentru previzibilitate juridică se recomandă înlocuirea sintagmei „</w:t>
            </w:r>
            <w:r>
              <w:rPr>
                <w:rFonts w:ascii="Times New Roman" w:eastAsia="Times New Roman" w:hAnsi="Times New Roman" w:cs="Times New Roman"/>
                <w:i/>
                <w:iCs/>
              </w:rPr>
              <w:t>organelor de control</w:t>
            </w:r>
            <w:r>
              <w:rPr>
                <w:rFonts w:ascii="Times New Roman" w:eastAsia="Times New Roman" w:hAnsi="Times New Roman" w:cs="Times New Roman"/>
              </w:rPr>
              <w:t>„ cu sintagma ”</w:t>
            </w:r>
            <w:r>
              <w:rPr>
                <w:rFonts w:ascii="Times New Roman" w:eastAsia="Times New Roman" w:hAnsi="Times New Roman" w:cs="Times New Roman"/>
                <w:i/>
                <w:iCs/>
              </w:rPr>
              <w:t>Inspectoratului de Stat al Muncii</w:t>
            </w:r>
            <w:r>
              <w:rPr>
                <w:rFonts w:ascii="Times New Roman" w:eastAsia="Times New Roman" w:hAnsi="Times New Roman" w:cs="Times New Roman"/>
              </w:rPr>
              <w:t>”.</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C4DED61"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Se acceptă. </w:t>
            </w:r>
          </w:p>
          <w:p w14:paraId="34987BA1" w14:textId="77777777" w:rsidR="00603C7E" w:rsidRDefault="00603C7E">
            <w:pPr>
              <w:spacing w:line="240" w:lineRule="auto"/>
              <w:rPr>
                <w:rFonts w:ascii="Times New Roman" w:eastAsia="Times New Roman" w:hAnsi="Times New Roman" w:cs="Times New Roman"/>
              </w:rPr>
            </w:pPr>
          </w:p>
          <w:p w14:paraId="58CB9DB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21 va fi redat în următoarea redacție:</w:t>
            </w:r>
          </w:p>
          <w:p w14:paraId="166E413C" w14:textId="77777777" w:rsidR="00603C7E" w:rsidRDefault="00603C7E">
            <w:pPr>
              <w:spacing w:line="240" w:lineRule="auto"/>
              <w:rPr>
                <w:rFonts w:ascii="Times New Roman" w:eastAsia="Times New Roman" w:hAnsi="Times New Roman" w:cs="Times New Roman"/>
              </w:rPr>
            </w:pPr>
          </w:p>
          <w:p w14:paraId="1EC966C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Articolul 21.</w:t>
            </w:r>
            <w:r>
              <w:rPr>
                <w:rFonts w:ascii="Times New Roman" w:eastAsia="Times New Roman" w:hAnsi="Times New Roman" w:cs="Times New Roman"/>
              </w:rPr>
              <w:t xml:space="preserve"> Obligațiile întreprinderilor în cadrul controlului asupra detașării transnaționale</w:t>
            </w:r>
          </w:p>
          <w:p w14:paraId="2F789AD0" w14:textId="77777777" w:rsidR="00603C7E" w:rsidRDefault="00603C7E">
            <w:pPr>
              <w:spacing w:line="240" w:lineRule="auto"/>
              <w:rPr>
                <w:rFonts w:ascii="Times New Roman" w:eastAsia="Times New Roman" w:hAnsi="Times New Roman" w:cs="Times New Roman"/>
              </w:rPr>
            </w:pPr>
          </w:p>
          <w:p w14:paraId="40D7F21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Întreprinderile prevăzute la art. 5 lit. a) au obligaţia de a pune la dispoziţia </w:t>
            </w:r>
            <w:r>
              <w:rPr>
                <w:rFonts w:ascii="Times New Roman" w:eastAsia="Times New Roman" w:hAnsi="Times New Roman" w:cs="Times New Roman"/>
                <w:b/>
                <w:bCs/>
              </w:rPr>
              <w:t>Inspectoratului de Stat al Muncii</w:t>
            </w:r>
            <w:r>
              <w:rPr>
                <w:rFonts w:ascii="Times New Roman" w:eastAsia="Times New Roman" w:hAnsi="Times New Roman" w:cs="Times New Roman"/>
              </w:rPr>
              <w:t>, la solicitarea acestora, documente din care să rezulte:</w:t>
            </w:r>
          </w:p>
          <w:p w14:paraId="376EE54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 cuantumul total al remuneraţiei aplicabile pe teritoriul Republicii Moldova de care va beneficia lucrătorul pe perioada detaşării, cu evidenţierea distinctă a indemnizaţiei specifice detaşării;</w:t>
            </w:r>
          </w:p>
          <w:p w14:paraId="345E798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 cheltuielile generate de detaşare şi modalitatea de acordare sau de rambursare a acestora, respectiv modalitatea de asigurare a transportului, cazării sau mesei, după caz, în conformitate cu legislaţia naţională aplicabilă raportului de muncă şi/sau cu practicile naţionale aplicabile raportului de muncă, respectiv condiţiile de muncă şi de încadrare în muncă aplicabile acestuia.</w:t>
            </w:r>
          </w:p>
          <w:p w14:paraId="27684A38" w14:textId="77777777" w:rsidR="00603C7E" w:rsidRDefault="00603C7E">
            <w:pPr>
              <w:spacing w:line="240" w:lineRule="auto"/>
              <w:rPr>
                <w:rFonts w:ascii="Times New Roman" w:eastAsia="Times New Roman" w:hAnsi="Times New Roman" w:cs="Times New Roman"/>
              </w:rPr>
            </w:pPr>
          </w:p>
        </w:tc>
      </w:tr>
      <w:tr w:rsidR="00603C7E" w14:paraId="5663C70E"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9A11501"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73AF9656"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2274C5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7. </w:t>
            </w:r>
            <w:r>
              <w:rPr>
                <w:rFonts w:ascii="Times New Roman" w:eastAsia="Times New Roman" w:hAnsi="Times New Roman" w:cs="Times New Roman"/>
                <w:b/>
                <w:bCs/>
              </w:rPr>
              <w:t>Articolul 39</w:t>
            </w:r>
            <w:r>
              <w:rPr>
                <w:rFonts w:ascii="Times New Roman" w:eastAsia="Times New Roman" w:hAnsi="Times New Roman" w:cs="Times New Roman"/>
              </w:rPr>
              <w:t xml:space="preserve"> prevede mecanismele de inspecție și control privind respectarea prevederilor legii, însă evită și nu face trimitere la cadrul juridic general aplicabil activității Inspectoratului de Stat al Muncii. În condițiile în care competențele, procedurile și limitele efectuării controalelor sunt stabilite în Legea nr. 140/2001 privind Inspectoratul de Stat al Muncii (unele au fost transferate din Legea nr.131/2012), ar fi oportun ca textul să prevadă expres că inspecțiile și controalele se efectuează în conformitate cu prevederile acestei legi – Legea nr.140/2001.</w:t>
            </w:r>
          </w:p>
          <w:p w14:paraId="28A788A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În lipsa unei asemenea referințe expres la această lege, va fi interpretată ca se oferă Inspectoratului de Stat al Muncii o competență autonomă de control, diferită de cea stabilită de legea speciala, ceea ce poate genera incertitudini privind procedura aplicabilă controlului.</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E317416"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Se acceptă. </w:t>
            </w:r>
          </w:p>
          <w:p w14:paraId="0A3F438A" w14:textId="77777777" w:rsidR="00603C7E" w:rsidRDefault="00603C7E">
            <w:pPr>
              <w:spacing w:line="240" w:lineRule="auto"/>
              <w:rPr>
                <w:rFonts w:ascii="Times New Roman" w:eastAsia="Times New Roman" w:hAnsi="Times New Roman" w:cs="Times New Roman"/>
              </w:rPr>
            </w:pPr>
          </w:p>
          <w:p w14:paraId="380ECCE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39 alin. (1) va fi în următoarea redacție:</w:t>
            </w:r>
          </w:p>
          <w:p w14:paraId="2AD8074C" w14:textId="77777777" w:rsidR="00603C7E" w:rsidRDefault="00603C7E">
            <w:pPr>
              <w:spacing w:line="240" w:lineRule="auto"/>
              <w:rPr>
                <w:rFonts w:ascii="Times New Roman" w:eastAsia="Times New Roman" w:hAnsi="Times New Roman" w:cs="Times New Roman"/>
              </w:rPr>
            </w:pPr>
          </w:p>
          <w:p w14:paraId="3C9CC3B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Articolul 39.</w:t>
            </w:r>
            <w:r>
              <w:rPr>
                <w:rFonts w:ascii="Times New Roman" w:eastAsia="Times New Roman" w:hAnsi="Times New Roman" w:cs="Times New Roman"/>
              </w:rPr>
              <w:t xml:space="preserve"> Mecanismele de inspecție și control al drepturilor lucrătorilor detașați pe teritoriul Republicii Moldova</w:t>
            </w:r>
          </w:p>
          <w:p w14:paraId="650D9D9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 Inspectoratul de Stat al Muncii, prin inspectoratele teritoriale de muncă, verifică aplicarea prevederilor prezentei legi, în vederea respectării drepturilor lucrătorilor detaşaţi pe teritoriul Republicii Moldova în </w:t>
            </w:r>
            <w:r>
              <w:rPr>
                <w:rFonts w:ascii="Times New Roman" w:eastAsia="Times New Roman" w:hAnsi="Times New Roman" w:cs="Times New Roman"/>
              </w:rPr>
              <w:lastRenderedPageBreak/>
              <w:t>cadrul prestării de servicii transnaţionale, conform Legii nr. 140/2001 privind Inspectoratul de Stat al Muncii.</w:t>
            </w:r>
          </w:p>
        </w:tc>
      </w:tr>
      <w:tr w:rsidR="00603C7E" w14:paraId="6118ACBC"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CD84112"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1F453957"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DB5845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8. </w:t>
            </w:r>
            <w:r>
              <w:rPr>
                <w:rFonts w:ascii="Times New Roman" w:eastAsia="Times New Roman" w:hAnsi="Times New Roman" w:cs="Times New Roman"/>
                <w:b/>
                <w:bCs/>
              </w:rPr>
              <w:t xml:space="preserve">Articolul 40, alin. (2) lit. b) </w:t>
            </w:r>
            <w:r>
              <w:rPr>
                <w:rFonts w:ascii="Times New Roman" w:eastAsia="Times New Roman" w:hAnsi="Times New Roman" w:cs="Times New Roman"/>
              </w:rPr>
              <w:t>obligă întreprinderea să păstreze documente „</w:t>
            </w:r>
            <w:r>
              <w:rPr>
                <w:rFonts w:ascii="Times New Roman" w:eastAsia="Times New Roman" w:hAnsi="Times New Roman" w:cs="Times New Roman"/>
                <w:i/>
                <w:iCs/>
              </w:rPr>
              <w:t>într-un loc accesibil și identificabil în mod clar pe teritoriul Republicii Moldova”</w:t>
            </w:r>
            <w:r>
              <w:rPr>
                <w:rFonts w:ascii="Times New Roman" w:eastAsia="Times New Roman" w:hAnsi="Times New Roman" w:cs="Times New Roman"/>
              </w:rPr>
              <w:t>. Această formulare nu este clară și poate oferi interpretări practice discreționare organului de control. Dacă scopul este accesul inspectorilor la documente, ar fi mai clar să se prevadă expres posibilitatea păstrării electronice și transmiterea la cerere, fără impunerea stabilirii obligației unei localizări fizice.</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77A3C1BE"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604C8DAF" w14:textId="77777777" w:rsidR="00603C7E" w:rsidRDefault="00603C7E">
            <w:pPr>
              <w:spacing w:line="240" w:lineRule="auto"/>
              <w:rPr>
                <w:rFonts w:ascii="Times New Roman" w:eastAsia="Times New Roman" w:hAnsi="Times New Roman" w:cs="Times New Roman"/>
                <w:b/>
                <w:bCs/>
              </w:rPr>
            </w:pPr>
          </w:p>
          <w:p w14:paraId="73E44F8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40 alin. (2) lit. b) va fi expus în următoarea redacție:</w:t>
            </w:r>
          </w:p>
          <w:p w14:paraId="18CD0AC0" w14:textId="77777777" w:rsidR="00603C7E" w:rsidRDefault="00603C7E">
            <w:pPr>
              <w:spacing w:line="240" w:lineRule="auto"/>
              <w:rPr>
                <w:rFonts w:ascii="Times New Roman" w:eastAsia="Times New Roman" w:hAnsi="Times New Roman" w:cs="Times New Roman"/>
              </w:rPr>
            </w:pPr>
          </w:p>
          <w:p w14:paraId="0D222D8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b) obligaţia de a deţine şi de a păstra, pe perioada detaşării transnaţionale, într-un loc accesibil şi identificabil în mod clar pe teritoriul Republicii Moldova, </w:t>
            </w:r>
            <w:r>
              <w:rPr>
                <w:rFonts w:ascii="Times New Roman" w:eastAsia="Times New Roman" w:hAnsi="Times New Roman" w:cs="Times New Roman"/>
                <w:b/>
                <w:bCs/>
              </w:rPr>
              <w:t>inclusiv în format electronic</w:t>
            </w:r>
            <w:r>
              <w:rPr>
                <w:rFonts w:ascii="Times New Roman" w:eastAsia="Times New Roman" w:hAnsi="Times New Roman" w:cs="Times New Roman"/>
              </w:rPr>
              <w:t>, precum şi de a pune la dispoziţia inspectorilor de muncă, la solicitarea acestora, copii ale următoarelor documente (...).</w:t>
            </w:r>
          </w:p>
          <w:p w14:paraId="7338B22F" w14:textId="77777777" w:rsidR="00603C7E" w:rsidRDefault="00603C7E">
            <w:pPr>
              <w:spacing w:line="240" w:lineRule="auto"/>
              <w:rPr>
                <w:rFonts w:ascii="Times New Roman" w:eastAsia="Times New Roman" w:hAnsi="Times New Roman" w:cs="Times New Roman"/>
              </w:rPr>
            </w:pPr>
          </w:p>
        </w:tc>
      </w:tr>
      <w:tr w:rsidR="00603C7E" w14:paraId="2DD679C6"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AA78549"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57B104F4"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D17F0C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Proiectul este unul de armonizare cu legislația UE, respectiv Metodologia AIR aprobată prin HG nr. 574/2024, prevede expres că, în cazul actelor normative cu relevanță UE, în</w:t>
            </w:r>
            <w:r>
              <w:rPr>
                <w:rFonts w:ascii="Times New Roman" w:eastAsia="Times New Roman" w:hAnsi="Times New Roman" w:cs="Times New Roman"/>
                <w:b/>
                <w:bCs/>
              </w:rPr>
              <w:t xml:space="preserve"> secțiunea 2.2.</w:t>
            </w:r>
            <w:r>
              <w:rPr>
                <w:rFonts w:ascii="Times New Roman" w:eastAsia="Times New Roman" w:hAnsi="Times New Roman" w:cs="Times New Roman"/>
              </w:rPr>
              <w:t xml:space="preserve"> nu este obligatorie argumentarea oportunității intervenției statului și nici examinarea detaliată a cauzelor problemelor care au stat la baza adoptării normelor europene. </w:t>
            </w:r>
          </w:p>
          <w:p w14:paraId="5A7C46C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Aici este suficient de prezentat succint problemele identificate în analiza de impact realizată la nivelul instituțiilor UE sau a celor menționate în preambulul actului european. </w:t>
            </w:r>
          </w:p>
          <w:p w14:paraId="6CB4F7C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La fel, metodologia stabilește o cerință esențială – NF trebuie să examineze situația națională curentă în raport cu persoanele, fenomenele sociale și procesele economice vizate de reglementarea UE, astfel încât să fie determinat nivelul de pregătire și de conformare al cadrului național la cerințele </w:t>
            </w:r>
            <w:r>
              <w:rPr>
                <w:rFonts w:ascii="Times New Roman" w:eastAsia="Times New Roman" w:hAnsi="Times New Roman" w:cs="Times New Roman"/>
              </w:rPr>
              <w:lastRenderedPageBreak/>
              <w:t>legislației europene care urmează a fi transpusă. În acest sens, se constată că descrierea situației actuale este realizată preponderent prin enumerarea lacunelor normative, fără a fi prezentată suficient situația națională existentă în raport cu procesele și mecanismele vizate de reglementarea europeană. Astfel, urmează a fi reflectate în mod explicit:</w:t>
            </w:r>
          </w:p>
          <w:p w14:paraId="75921D7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contextul instituțional actual și rolul autorităților competente în domeniul controlului relațiilor de muncă cu element transfrontalier;</w:t>
            </w:r>
          </w:p>
          <w:p w14:paraId="0181B42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nivelul de pregătire instituțională pentru exercitarea atribuțiilor de control și pentru cooperarea administrativă cu autoritățile competente din alte state;</w:t>
            </w:r>
          </w:p>
          <w:p w14:paraId="67E9061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situația mecanismelor existente de cooperare sau schimb de informații între autoritățile naționale și cele din alte state în domeniul detașării lucrătorilor.</w:t>
            </w:r>
          </w:p>
          <w:p w14:paraId="719CB7D0"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444A917"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79179B03" w14:textId="77777777" w:rsidR="00603C7E" w:rsidRDefault="00603C7E">
            <w:pPr>
              <w:spacing w:line="240" w:lineRule="auto"/>
              <w:rPr>
                <w:rFonts w:ascii="Times New Roman" w:eastAsia="Times New Roman" w:hAnsi="Times New Roman" w:cs="Times New Roman"/>
                <w:b/>
                <w:bCs/>
              </w:rPr>
            </w:pPr>
          </w:p>
          <w:p w14:paraId="19A2C31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În cazul proiectelor cu relevanță UE, secțiunea 2.2 nu impune examinarea detaliată a oportunității intervenției statului, însă observația este întemeiată în partea ce ține de necesitatea completării descrierii situației naționale curente. Nota de fundamentare va fi ajustată corespunzător prin includerea unor referiri explicite la contextul instituțional, nivelul de pregătire pentru control și cooperare administrativă, precum și la mecanismele existente de schimb de informații în domeniul detașării lucrătorilor.</w:t>
            </w:r>
          </w:p>
          <w:p w14:paraId="142427A6" w14:textId="77777777" w:rsidR="00603C7E" w:rsidRDefault="00603C7E">
            <w:pPr>
              <w:spacing w:line="240" w:lineRule="auto"/>
              <w:rPr>
                <w:rFonts w:ascii="Times New Roman" w:eastAsia="Times New Roman" w:hAnsi="Times New Roman" w:cs="Times New Roman"/>
              </w:rPr>
            </w:pPr>
          </w:p>
          <w:p w14:paraId="4A11C54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Secțiunea 2.2:</w:t>
            </w:r>
          </w:p>
          <w:p w14:paraId="26CAE514" w14:textId="77777777" w:rsidR="00603C7E" w:rsidRDefault="00603C7E">
            <w:pPr>
              <w:spacing w:line="240" w:lineRule="auto"/>
              <w:rPr>
                <w:rFonts w:ascii="Times New Roman" w:eastAsia="Times New Roman" w:hAnsi="Times New Roman" w:cs="Times New Roman"/>
                <w:b/>
                <w:bCs/>
              </w:rPr>
            </w:pPr>
          </w:p>
          <w:p w14:paraId="50C2FC6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La etapa actuală, cadrul normativ național nu reglementează într-o manieră unitară și expresă detașarea lucrătorilor în cadrul prestării de servicii </w:t>
            </w:r>
            <w:r>
              <w:rPr>
                <w:rFonts w:ascii="Times New Roman" w:eastAsia="Times New Roman" w:hAnsi="Times New Roman" w:cs="Times New Roman"/>
              </w:rPr>
              <w:lastRenderedPageBreak/>
              <w:t>transnaționale, precum și mecanismele de cooperare administrativă necesare pentru monitorizarea și controlul acesteia. În prezent, raporturile de muncă cu element transfrontalier sunt abordate prin norme generale ale legislației muncii, ale legislației privind controlul de stat și ale cooperării administrative, fără a exista un act normativ special care să stabilească în mod clar condițiile aplicabile lucrătorilor detașați, obligațiile întreprinderilor implicate și competențele autorităților naționale în această materie.</w:t>
            </w:r>
          </w:p>
          <w:p w14:paraId="63597725" w14:textId="77777777" w:rsidR="00603C7E" w:rsidRDefault="00603C7E">
            <w:pPr>
              <w:spacing w:line="240" w:lineRule="auto"/>
              <w:rPr>
                <w:rFonts w:ascii="Times New Roman" w:eastAsia="Times New Roman" w:hAnsi="Times New Roman" w:cs="Times New Roman"/>
              </w:rPr>
            </w:pPr>
          </w:p>
          <w:p w14:paraId="7A3CB91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Sub aspect instituțional, Inspectoratul de Stat al Muncii reprezintă autoritatea cu atribuții de control în domeniul relațiilor de muncă, însă cadrul actual nu conține suficiente instrumente speciale pentru verificarea situațiilor de detașare transnațională, inclusiv în ceea ce privește notificarea detașării, accesul la documente relevante, cooperarea operativă cu autoritățile competente din alte state și executarea efectivă a măsurilor sau sancțiunilor aplicabile. În lipsa unor reglementări speciale, capacitatea instituțională de intervenție în cazurile cu element transfrontalier este limitată de caracterul fragmentar al normelor existente.</w:t>
            </w:r>
          </w:p>
          <w:p w14:paraId="06953106" w14:textId="77777777" w:rsidR="00603C7E" w:rsidRDefault="00603C7E">
            <w:pPr>
              <w:spacing w:line="240" w:lineRule="auto"/>
              <w:rPr>
                <w:rFonts w:ascii="Times New Roman" w:eastAsia="Times New Roman" w:hAnsi="Times New Roman" w:cs="Times New Roman"/>
              </w:rPr>
            </w:pPr>
          </w:p>
          <w:p w14:paraId="2486774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Nivelul actual de pregătire instituțională necesită consolidare, inclusiv prin dezvoltarea procedurilor administrative, instruirea personalului cu atribuții de control și asigurarea unui suport logistic și organizațional adecvat pentru cooperarea transfrontalieră. În mod particular, este necesară stabilirea unui cadru normativ clar privind schimbul de informații, asistența reciprocă și coordonarea cu autoritățile competente din alte state, astfel încât autoritățile naționale să poată verifica în mod eficient </w:t>
            </w:r>
            <w:r>
              <w:rPr>
                <w:rFonts w:ascii="Times New Roman" w:eastAsia="Times New Roman" w:hAnsi="Times New Roman" w:cs="Times New Roman"/>
              </w:rPr>
              <w:lastRenderedPageBreak/>
              <w:t>respectarea drepturilor lucrătorilor detașați și obligațiilor întreprinderilor care detașează.</w:t>
            </w:r>
          </w:p>
          <w:p w14:paraId="559B2FFE" w14:textId="77777777" w:rsidR="00603C7E" w:rsidRDefault="00603C7E">
            <w:pPr>
              <w:spacing w:line="240" w:lineRule="auto"/>
              <w:rPr>
                <w:rFonts w:ascii="Times New Roman" w:eastAsia="Times New Roman" w:hAnsi="Times New Roman" w:cs="Times New Roman"/>
              </w:rPr>
            </w:pPr>
          </w:p>
          <w:p w14:paraId="3D8D028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În prezent, mecanismele de cooperare sau schimb de informații în domeniul detașării lucrătorilor nu sunt dezvoltate într-o formă suficient de clară și operațională la nivel legislativ național. În acest context, transpunerea actelor Uniunii Europene relevante este necesară pentru a asigura alinierea cadrului normativ național la exigențele europene, pentru a crea instrumente eficiente de control și cooperare administrativă și pentru a stabili condiții clare de protecție a lucrătorilor detașați și de conformare a angajatorilor implicați în prestarea de servicii transnaționale.</w:t>
            </w:r>
          </w:p>
          <w:p w14:paraId="65A609E5" w14:textId="77777777" w:rsidR="00603C7E" w:rsidRDefault="00603C7E">
            <w:pPr>
              <w:spacing w:line="240" w:lineRule="auto"/>
              <w:rPr>
                <w:rFonts w:ascii="Times New Roman" w:eastAsia="Times New Roman" w:hAnsi="Times New Roman" w:cs="Times New Roman"/>
                <w:b/>
                <w:bCs/>
              </w:rPr>
            </w:pPr>
          </w:p>
        </w:tc>
      </w:tr>
      <w:tr w:rsidR="00603C7E" w14:paraId="7F821EF0"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80A63C5"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1A230F1"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63C661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Problemele identificate sunt formulate exclusiv ca lipsă sau absență de reglementare ceea ce contravine Metodologiei AIR, care prevede că aici trebuie evidențiate clar consecințele practice negative ale acestor lacune legale asupra lucrătorilor, angajatorilor, autorităților publice altor părți interesate.</w:t>
            </w:r>
          </w:p>
          <w:p w14:paraId="76265B32"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8858640"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Se acceptă parțial. </w:t>
            </w:r>
          </w:p>
          <w:p w14:paraId="757C0D1A" w14:textId="77777777" w:rsidR="00603C7E" w:rsidRDefault="00603C7E">
            <w:pPr>
              <w:spacing w:line="240" w:lineRule="auto"/>
              <w:rPr>
                <w:rFonts w:ascii="Times New Roman" w:eastAsia="Times New Roman" w:hAnsi="Times New Roman" w:cs="Times New Roman"/>
              </w:rPr>
            </w:pPr>
          </w:p>
          <w:p w14:paraId="330FA61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Nota de fundamentare va fi completată în vederea sporirii clarității și coerenței expunerii. În acest sens, vor fi dezvoltate consecințele practice ale lacunelor normative identificate asupra lucrătorilor, angajatorilor și autorităților competente, vor fi delimitate mai clar obiectivele generale și obiectivele specifice urmărite prin proiect, vor fi incluse informații suplimentare privind impactul estimativ asupra sectorului privat, inclusiv costurile de conformare și categoriile de entități vizate, precum și detalii suplimentare privind procesul de consultare publică și principalele observații formulate în cadrul acestuia. Totodată, caracterul proiectului de armonizare cu legislația Uniunii Europene rămâne determinant pentru structura și nivelul de detaliere al Notei de fundamentare.</w:t>
            </w:r>
          </w:p>
          <w:p w14:paraId="7A62AB52" w14:textId="77777777" w:rsidR="00603C7E" w:rsidRDefault="00603C7E">
            <w:pPr>
              <w:spacing w:line="240" w:lineRule="auto"/>
              <w:rPr>
                <w:rFonts w:ascii="Times New Roman" w:eastAsia="Times New Roman" w:hAnsi="Times New Roman" w:cs="Times New Roman"/>
              </w:rPr>
            </w:pPr>
          </w:p>
          <w:p w14:paraId="36535E2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Pentru secțiunea 2.2:</w:t>
            </w:r>
          </w:p>
          <w:p w14:paraId="374EDCD9" w14:textId="77777777" w:rsidR="00603C7E" w:rsidRDefault="00603C7E">
            <w:pPr>
              <w:spacing w:line="240" w:lineRule="auto"/>
              <w:rPr>
                <w:rFonts w:ascii="Times New Roman" w:eastAsia="Times New Roman" w:hAnsi="Times New Roman" w:cs="Times New Roman"/>
              </w:rPr>
            </w:pPr>
          </w:p>
          <w:p w14:paraId="677B47E6"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lastRenderedPageBreak/>
              <w:t>„Lacunele cadrului normativ actual generează consecințe practice negative atât pentru lucrătorii detașați, cât și pentru angajatori și autoritățile competente. În lipsa unor reguli clare privind detașarea lucrătorilor în cadrul prestării de servicii transnaționale, există riscul unei protecții insuficiente a drepturilor lucrătorilor, al unei aplicări neuniforme a condițiilor de muncă, al dificultăților de control și cooperare administrativă și al unei incertitudini sporite pentru întreprinderile implicate în prestarea transnațională de servicii.”</w:t>
            </w:r>
          </w:p>
        </w:tc>
      </w:tr>
      <w:tr w:rsidR="00603C7E" w14:paraId="098CCCBB"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DE9DBF7"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4FA87975"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0D48587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În conformitate cu Metodologia AIR aprobată prin HG nr. 574/2024, </w:t>
            </w:r>
            <w:r>
              <w:rPr>
                <w:rFonts w:ascii="Times New Roman" w:eastAsia="Times New Roman" w:hAnsi="Times New Roman" w:cs="Times New Roman"/>
                <w:b/>
                <w:bCs/>
              </w:rPr>
              <w:t>compartimentul 3</w:t>
            </w:r>
            <w:r>
              <w:rPr>
                <w:rFonts w:ascii="Times New Roman" w:eastAsia="Times New Roman" w:hAnsi="Times New Roman" w:cs="Times New Roman"/>
              </w:rPr>
              <w:t xml:space="preserve"> al notei de fundamentare trebuie să prezinte obiectivele generale și obiectivele specifice, formulate ca schimbarea urmărită în evoluția situației identificate, în corelare cu problemele și cauzele acestora. Aici obiectivul proiectului este formulat la general - protejarea drepturilor salariaților detașați și asigurarea respectării standardelor de muncă transnaționale, însă nu sunt prezentate distinct obiectivele generale și obiectivele specifice asociate problemelor identificate în secțiunea anterioară. Respectiv unicul obiectiv este formulat într-o manieră generală, fără a evidenția în mod explicit schimbarea concretă care se urmărește la nivelul situației naționale odată cu transpunerea și implementarea legislației Uniunii Europene.</w:t>
            </w:r>
          </w:p>
          <w:p w14:paraId="2B76BAB4"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4E54D5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6BD4635C" w14:textId="77777777" w:rsidR="00603C7E" w:rsidRDefault="00603C7E">
            <w:pPr>
              <w:spacing w:line="240" w:lineRule="auto"/>
              <w:rPr>
                <w:rFonts w:ascii="Times New Roman" w:eastAsia="Times New Roman" w:hAnsi="Times New Roman" w:cs="Times New Roman"/>
              </w:rPr>
            </w:pPr>
          </w:p>
          <w:p w14:paraId="4DF4A41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„Obiectivul general al proiectului constă în asigurarea unui cadru normativ național compatibil cu legislația Uniunii Europene în materia detașării lucrătorilor în cadrul prestării de servicii transnaționale și în consolidarea protecției drepturilor acestora.</w:t>
            </w:r>
          </w:p>
          <w:p w14:paraId="3D475D3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Obiectivele specifice ale proiectului sunt:</w:t>
            </w:r>
          </w:p>
          <w:p w14:paraId="75D011E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-reglementarea condițiilor de muncă aplicabile lucrătorilor detașați pe teritoriul Republicii Moldova;</w:t>
            </w:r>
          </w:p>
          <w:p w14:paraId="4A4B754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-instituirea unor obligații clare pentru întreprinderile care detașează și pentru beneficiarii serviciilor;</w:t>
            </w:r>
          </w:p>
          <w:p w14:paraId="4BDE0A3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-consolidarea competențelor de control și a mecanismelor de cooperare administrativă între autoritățile competente;</w:t>
            </w:r>
          </w:p>
          <w:p w14:paraId="203AC463"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-crearea unor condiții de concurență loială și prevenirea eludării normelor de muncă aplicabile în context transnațional.”</w:t>
            </w:r>
          </w:p>
        </w:tc>
      </w:tr>
      <w:tr w:rsidR="00603C7E" w14:paraId="5519A317"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996CF56"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99D194B"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0AE0204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Secțiunea 4.3</w:t>
            </w:r>
            <w:r>
              <w:rPr>
                <w:rFonts w:ascii="Times New Roman" w:eastAsia="Times New Roman" w:hAnsi="Times New Roman" w:cs="Times New Roman"/>
              </w:rPr>
              <w:t xml:space="preserve"> descrie impactul potențial al proiectului de act normativ asupra sectorului privat, evidențiind creșterea responsabilităților pentru angajatori, necesitatea respectării standardelor europene de muncă și efectele asupra </w:t>
            </w:r>
            <w:r>
              <w:rPr>
                <w:rFonts w:ascii="Times New Roman" w:eastAsia="Times New Roman" w:hAnsi="Times New Roman" w:cs="Times New Roman"/>
              </w:rPr>
              <w:lastRenderedPageBreak/>
              <w:t>concurenței pe piață. Însă pentru a fi conform cu cerințele HG nr. 574/2024 urmează a fi identificate sau estimate:</w:t>
            </w:r>
          </w:p>
          <w:p w14:paraId="5341EE1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costurile de conformare administrative, generate de obligațiile de notificare, raportare și furnizare a informațiilor către autorități;</w:t>
            </w:r>
          </w:p>
          <w:p w14:paraId="23580D6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costurile de conformare substanțiale, care ar putea rezulta din adaptarea practicilor interne ale întreprinderilor la cerințele legislației privind detașarea lucrătorilor;</w:t>
            </w:r>
          </w:p>
          <w:p w14:paraId="0407C7F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numărul estimativ al entităților economice asupra cărora vor fi aplicate noile cerințe și impactul potențial asupra activității acestora.</w:t>
            </w:r>
          </w:p>
          <w:p w14:paraId="39903A5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 asemenea, analiza nu distinge între impacturile asupra diferitelor categorii de întreprinderi (de exemplu, ÎMM, companii care prestează servicii transnaționale etc.), iar consecințele economice ale noilor cerințe sunt prezentate în mod general, fără a fi corelate cu obligațiile concrete instituite prin proiectul de act normativ. La fel, în secțiune se reflectă efecte generale ale aplicării legislației europene (precum prevenirea dumpingului social sau promovarea concurenței loiale), fără a evidenția în mod suficient impactul direct al reglementărilor propuse asupra mediului de afaceri din Republica Moldova.</w:t>
            </w:r>
          </w:p>
          <w:p w14:paraId="6D1BA227"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8289DF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 parțial.</w:t>
            </w:r>
          </w:p>
          <w:p w14:paraId="2941DB70" w14:textId="77777777" w:rsidR="00603C7E" w:rsidRDefault="00603C7E">
            <w:pPr>
              <w:spacing w:line="240" w:lineRule="auto"/>
              <w:rPr>
                <w:rFonts w:ascii="Times New Roman" w:eastAsia="Times New Roman" w:hAnsi="Times New Roman" w:cs="Times New Roman"/>
              </w:rPr>
            </w:pPr>
          </w:p>
          <w:p w14:paraId="5E8C1A1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„Impactul asupra sectorului privat constă, în principal, în apariția unor costuri de conformare administrative și organizaționale pentru întreprinderile care detașează </w:t>
            </w:r>
            <w:r>
              <w:rPr>
                <w:rFonts w:ascii="Times New Roman" w:eastAsia="Times New Roman" w:hAnsi="Times New Roman" w:cs="Times New Roman"/>
              </w:rPr>
              <w:lastRenderedPageBreak/>
              <w:t>lucrători în cadrul prestării de servicii transnaționale, pentru beneficiarii unor astfel de servicii și pentru entitățile implicate în lanțuri de subcontractare. Costurile administrative pot include notificarea detașării, furnizarea și actualizarea informațiilor către autoritățile competente, păstrarea și prezentarea documentelor justificative, precum și cooperarea cu autoritățile de control. Costurile de conformare substanțiale pot rezulta din adaptarea practicilor interne ale întreprinderilor la cerințele privind condițiile de muncă aplicabile, remunerarea, evidența documentară și responsabilitățile aferente raporturilor de subcontractare. Impactul economic concret va varia în funcție de dimensiunea întreprinderii, frecvența detașărilor și complexitatea activităților prestate, fiind potențial mai pronunțat pentru întreprinderile mici și mijlocii și pentru operatorii care desfășoară în mod repetat activități transnaționale. În același timp, reglementarea propusă are efecte pozitive asupra mediului de afaceri prin creșterea previzibilității juridice, reducerea riscului de practici neloiale și promovarea unei concurențe echitabile pe piață.”</w:t>
            </w:r>
          </w:p>
          <w:p w14:paraId="3FD12232" w14:textId="77777777" w:rsidR="00603C7E" w:rsidRDefault="00603C7E">
            <w:pPr>
              <w:spacing w:line="240" w:lineRule="auto"/>
              <w:rPr>
                <w:rFonts w:ascii="Times New Roman" w:eastAsia="Times New Roman" w:hAnsi="Times New Roman" w:cs="Times New Roman"/>
                <w:b/>
                <w:bCs/>
              </w:rPr>
            </w:pPr>
          </w:p>
        </w:tc>
      </w:tr>
      <w:tr w:rsidR="00603C7E" w14:paraId="328CAD1A" w14:textId="77777777">
        <w:trPr>
          <w:trHeight w:val="67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3929BC5"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3A6EBC6B"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53F254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În </w:t>
            </w:r>
            <w:r>
              <w:rPr>
                <w:rFonts w:ascii="Times New Roman" w:eastAsia="Times New Roman" w:hAnsi="Times New Roman" w:cs="Times New Roman"/>
                <w:b/>
                <w:bCs/>
              </w:rPr>
              <w:t xml:space="preserve">Secțiunea 6 </w:t>
            </w:r>
            <w:r>
              <w:rPr>
                <w:rFonts w:ascii="Times New Roman" w:eastAsia="Times New Roman" w:hAnsi="Times New Roman" w:cs="Times New Roman"/>
              </w:rPr>
              <w:t xml:space="preserve">se indică faptul că inițiativa legislativă a fost supusă procedurilor de transparență decizională prin publicarea anunțului de inițiere pe portalul guvernamental particip.gov.md și prin organizarea unor discuții preliminare cu reprezentanți ai autorităților publice, ai partenerilor sociali și ai mediului de afaceri. Totuși, descrierea procesului de consultare </w:t>
            </w:r>
            <w:r>
              <w:rPr>
                <w:rFonts w:ascii="Times New Roman" w:eastAsia="Times New Roman" w:hAnsi="Times New Roman" w:cs="Times New Roman"/>
              </w:rPr>
              <w:lastRenderedPageBreak/>
              <w:t>este relativ succintă și nu oferă suficiente informații privind conținutul și rezultatele consultărilor desfășurate. Deși în secțiunea dată se menționează organizarea unor discuții și participarea unor categorii generale de actori - nu sunt prezentate detalii privind propunerile sau observațiile formulate de participanți, modul în care acestea au fost analizate sau eventualele modificări operate în proiectul de lege ca urmare a procesului de consultare.</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2859E1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lastRenderedPageBreak/>
              <w:t>Se acceptă parțial.</w:t>
            </w:r>
          </w:p>
          <w:p w14:paraId="7B0E798C" w14:textId="77777777" w:rsidR="00603C7E" w:rsidRDefault="00603C7E">
            <w:pPr>
              <w:spacing w:line="240" w:lineRule="auto"/>
              <w:rPr>
                <w:rFonts w:ascii="Times New Roman" w:eastAsia="Times New Roman" w:hAnsi="Times New Roman" w:cs="Times New Roman"/>
              </w:rPr>
            </w:pPr>
          </w:p>
          <w:p w14:paraId="7559DB9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„În procesul de consultare au fost implicați reprezentanți ai autorităților publice, ai partenerilor sociali și ai mediului de afaceri. Observațiile formulate au vizat, în principal, claritatea normelor privind notificarea detașării, delimitarea competențelor autorităților, impactul asupra sectorului privat, precum și necesitatea </w:t>
            </w:r>
            <w:r>
              <w:rPr>
                <w:rFonts w:ascii="Times New Roman" w:eastAsia="Times New Roman" w:hAnsi="Times New Roman" w:cs="Times New Roman"/>
              </w:rPr>
              <w:lastRenderedPageBreak/>
              <w:t>ajustării unor soluții redacționale și de tehnică legislativă. Propunerile relevante au fost analizate și, după caz, valorificate prin ajustarea textului proiectului și a Notei de fundamentare.”</w:t>
            </w:r>
          </w:p>
          <w:p w14:paraId="134AAAF1" w14:textId="77777777" w:rsidR="00603C7E" w:rsidRDefault="00603C7E">
            <w:pPr>
              <w:spacing w:line="240" w:lineRule="auto"/>
              <w:rPr>
                <w:rFonts w:ascii="Times New Roman" w:eastAsia="Times New Roman" w:hAnsi="Times New Roman" w:cs="Times New Roman"/>
              </w:rPr>
            </w:pPr>
          </w:p>
        </w:tc>
      </w:tr>
      <w:tr w:rsidR="00603C7E" w14:paraId="4F7374ED" w14:textId="77777777">
        <w:trPr>
          <w:trHeight w:val="885"/>
        </w:trPr>
        <w:tc>
          <w:tcPr>
            <w:tcW w:w="51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9D9983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13.</w:t>
            </w:r>
          </w:p>
        </w:tc>
        <w:tc>
          <w:tcPr>
            <w:tcW w:w="307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0BB11A5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Confederația Națională a Sindicatelor din Moldova</w:t>
            </w:r>
            <w:r>
              <w:rPr>
                <w:rFonts w:ascii="Times New Roman" w:eastAsia="Times New Roman" w:hAnsi="Times New Roman" w:cs="Times New Roman"/>
              </w:rPr>
              <w:t xml:space="preserve"> (nr. 04-17/158 din 19.03.2026)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44B994D" w14:textId="77777777" w:rsidR="00603C7E" w:rsidRDefault="00000000">
            <w:pPr>
              <w:spacing w:line="240" w:lineRule="auto"/>
              <w:rPr>
                <w:rFonts w:ascii="Times New Roman" w:eastAsia="Times New Roman" w:hAnsi="Times New Roman" w:cs="Times New Roman"/>
                <w:u w:val="single"/>
              </w:rPr>
            </w:pPr>
            <w:r>
              <w:rPr>
                <w:rFonts w:ascii="Times New Roman" w:eastAsia="Times New Roman" w:hAnsi="Times New Roman" w:cs="Times New Roman"/>
              </w:rPr>
              <w:t xml:space="preserve"> 1.</w:t>
            </w:r>
            <w:r>
              <w:rPr>
                <w:rFonts w:ascii="Times New Roman" w:eastAsia="Times New Roman" w:hAnsi="Times New Roman" w:cs="Times New Roman"/>
                <w:u w:val="single"/>
              </w:rPr>
              <w:t xml:space="preserve"> Referitor la articolul 1 din proiectul de lege</w:t>
            </w:r>
          </w:p>
          <w:p w14:paraId="0344ECD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În conformitate cu art. 1, alin. (1) din proiectul de lege, prezenta lege instituie un cadru comun de dispoziții, măsuri și mecanisme de control, aplicabile detașării salariaților pe teritoriul Republicii Moldova în cadrul prestării de servicii transnaționale, inclusiv măsurile de prevenire și sancționare a oricărui abuz sau a eludării acestora.</w:t>
            </w:r>
          </w:p>
          <w:p w14:paraId="063E29E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În același timp, potrivit art. 5 din proiectul de lege, prevederile acesteia se aplică:</w:t>
            </w:r>
          </w:p>
          <w:p w14:paraId="19DB49A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 întreprinderilor înființate pe teritoriul unui stat membru, altul decât Republica Moldova, sau pe teritoriul Confederației Elvețiene care, în cadrul prestării de servicii transnaționale, detașează pe teritoriul Republicii Moldova salariați cu care au stabilite raporturi de muncă;</w:t>
            </w:r>
          </w:p>
          <w:p w14:paraId="0CA68E3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 întreprinderilor înființate pe teritoriul Republicii Moldova care, în cadrul prestării de servicii transnaționale, detașează, pe teritoriul unui stat membru, altul decât Republica Moldova, sau pe teritoriul Confederației Elvețiene, salariați cu care au stabilite raporturi de muncă.</w:t>
            </w:r>
          </w:p>
          <w:p w14:paraId="6CAAA1C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Astfel, pentru a asigura concordanța între prevederile art. 1 și ale art. 5 din proiectul de lege, propunem ca la alin. (1) din art. 1 din proiectul </w:t>
            </w:r>
            <w:r>
              <w:rPr>
                <w:rFonts w:ascii="Times New Roman" w:eastAsia="Times New Roman" w:hAnsi="Times New Roman" w:cs="Times New Roman"/>
              </w:rPr>
              <w:lastRenderedPageBreak/>
              <w:t>avizat, după cuvintele „aplicabile detașării salariaților pe teritoriul Republicii Moldova” să fie completat cu cuvintele „sau din Republica Moldova pe teritoriul unui stat membru ori pe teritoriul Confederației Elvețiene”.</w:t>
            </w:r>
          </w:p>
          <w:p w14:paraId="690DC7B7"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0B3AD58"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 Se acceptă. </w:t>
            </w:r>
          </w:p>
          <w:p w14:paraId="180DD819" w14:textId="77777777" w:rsidR="00603C7E" w:rsidRDefault="00603C7E">
            <w:pPr>
              <w:spacing w:line="240" w:lineRule="auto"/>
              <w:rPr>
                <w:rFonts w:ascii="Times New Roman" w:eastAsia="Times New Roman" w:hAnsi="Times New Roman" w:cs="Times New Roman"/>
              </w:rPr>
            </w:pPr>
          </w:p>
          <w:p w14:paraId="6627E35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1 alin. (1) va fi expus în următoarea redacție:</w:t>
            </w:r>
          </w:p>
          <w:p w14:paraId="234A4E0A" w14:textId="77777777" w:rsidR="00603C7E" w:rsidRDefault="00603C7E">
            <w:pPr>
              <w:spacing w:line="240" w:lineRule="auto"/>
              <w:rPr>
                <w:rFonts w:ascii="Times New Roman" w:eastAsia="Times New Roman" w:hAnsi="Times New Roman" w:cs="Times New Roman"/>
              </w:rPr>
            </w:pPr>
          </w:p>
          <w:p w14:paraId="74A094A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 Prezenta lege instituie un cadru comun de dispoziţii, măsuri şi mecanisme de control, aplicabile detaşării lucrătorilor pe teritoriul Republicii Moldova sau din Republica Moldova pe teritoriul unui stat membru ori pe teritoriul Confederației Elvețiene, în cadrul prestării de servicii transnaţionale, inclusiv măsurile de prevenire şi sancţionare a oricărui abuz sau a eludării acestora.</w:t>
            </w:r>
          </w:p>
        </w:tc>
      </w:tr>
      <w:tr w:rsidR="00603C7E" w14:paraId="2AEE8B8C" w14:textId="77777777">
        <w:trPr>
          <w:trHeight w:val="8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B599306"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566A085F"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3CD01162" w14:textId="77777777" w:rsidR="00603C7E" w:rsidRDefault="00000000">
            <w:pPr>
              <w:spacing w:line="240" w:lineRule="auto"/>
              <w:rPr>
                <w:rFonts w:ascii="Times New Roman" w:eastAsia="Times New Roman" w:hAnsi="Times New Roman" w:cs="Times New Roman"/>
                <w:u w:val="single"/>
              </w:rPr>
            </w:pPr>
            <w:r>
              <w:rPr>
                <w:rFonts w:ascii="Times New Roman" w:eastAsia="Times New Roman" w:hAnsi="Times New Roman" w:cs="Times New Roman"/>
              </w:rPr>
              <w:t xml:space="preserve">2. </w:t>
            </w:r>
            <w:r>
              <w:rPr>
                <w:rFonts w:ascii="Times New Roman" w:eastAsia="Times New Roman" w:hAnsi="Times New Roman" w:cs="Times New Roman"/>
                <w:u w:val="single"/>
              </w:rPr>
              <w:t>Referitor la</w:t>
            </w:r>
            <w:r>
              <w:rPr>
                <w:rFonts w:ascii="Times New Roman" w:eastAsia="Times New Roman" w:hAnsi="Times New Roman" w:cs="Times New Roman"/>
                <w:b/>
                <w:bCs/>
                <w:u w:val="single"/>
              </w:rPr>
              <w:t xml:space="preserve"> articolul 2</w:t>
            </w:r>
            <w:r>
              <w:rPr>
                <w:rFonts w:ascii="Times New Roman" w:eastAsia="Times New Roman" w:hAnsi="Times New Roman" w:cs="Times New Roman"/>
                <w:u w:val="single"/>
              </w:rPr>
              <w:t xml:space="preserve"> din proiectul de lege</w:t>
            </w:r>
          </w:p>
          <w:p w14:paraId="1537B38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b/>
                <w:bCs/>
              </w:rPr>
              <w:t xml:space="preserve">În art. 2 </w:t>
            </w:r>
            <w:r>
              <w:rPr>
                <w:rFonts w:ascii="Times New Roman" w:eastAsia="Times New Roman" w:hAnsi="Times New Roman" w:cs="Times New Roman"/>
              </w:rPr>
              <w:t>din proiectul de lege, prin care se definesc mai multe noțiuni, la definirea noțiunii „</w:t>
            </w:r>
            <w:r>
              <w:rPr>
                <w:rFonts w:ascii="Times New Roman" w:eastAsia="Times New Roman" w:hAnsi="Times New Roman" w:cs="Times New Roman"/>
                <w:i/>
                <w:iCs/>
              </w:rPr>
              <w:t>sistemul de informare al pieței interne (Sistem IMI)”</w:t>
            </w:r>
            <w:r>
              <w:rPr>
                <w:rFonts w:ascii="Times New Roman" w:eastAsia="Times New Roman" w:hAnsi="Times New Roman" w:cs="Times New Roman"/>
              </w:rPr>
              <w:t xml:space="preserve">, autorul face referire la </w:t>
            </w:r>
            <w:r>
              <w:rPr>
                <w:rFonts w:ascii="Times New Roman" w:eastAsia="Times New Roman" w:hAnsi="Times New Roman" w:cs="Times New Roman"/>
                <w:i/>
                <w:iCs/>
                <w:u w:val="single"/>
              </w:rPr>
              <w:t>modul definit în conformitate cu prevederile Regulamentului (UE) nr. 1024/2012 al Parlamentului European și al Consiliului din 25 octombrie 2012 privind cooperarea administrativă prin intermediul Sistemului de informare al pieței interne și de abrogare a Deciziei 2008/49/CE a Comisiei (Regulamentul IMI).</w:t>
            </w:r>
            <w:r>
              <w:rPr>
                <w:rFonts w:ascii="Times New Roman" w:eastAsia="Times New Roman" w:hAnsi="Times New Roman" w:cs="Times New Roman"/>
              </w:rPr>
              <w:t xml:space="preserve"> Altfel spus, în schimbul transpunerii în legislația națională, prin proiectul de lege avizat, a reglementărilor CE, prin prisma Directivei 96/71/CE privind detașarea lucrătorilor în cadrul prestării de servicii și a Directivei 2014/67/UE privind asigurarea respectării aplicării Directivei 96/71/CE, așa după cum este stipulat chiar în preambulul proiectului de lege, autorul propune adoptarea normelor legale la nivel național, făcând în acest sens, o simplă trimitere către un act comunitar. Or, asemenea formă de legiferare, o considerăm total defectuoasă și necalitativă, motiv pentru care nu poate fi susținută.</w:t>
            </w:r>
          </w:p>
          <w:p w14:paraId="14EEC3C5" w14:textId="77777777" w:rsidR="00603C7E" w:rsidRDefault="00000000">
            <w:pPr>
              <w:spacing w:line="240" w:lineRule="auto"/>
              <w:rPr>
                <w:rFonts w:ascii="Times New Roman" w:eastAsia="Times New Roman" w:hAnsi="Times New Roman" w:cs="Times New Roman"/>
                <w:b/>
                <w:bCs/>
                <w:i/>
                <w:iCs/>
                <w:u w:val="single"/>
              </w:rPr>
            </w:pPr>
            <w:r>
              <w:rPr>
                <w:rFonts w:ascii="Times New Roman" w:eastAsia="Times New Roman" w:hAnsi="Times New Roman" w:cs="Times New Roman"/>
              </w:rPr>
              <w:t>În acest context, propunem revizuirea noțiunii sus-menționate în vederea realizării unei transpuneri clare și calitative a reglementărilor comunitare.</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26D916D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714EDBE6" w14:textId="77777777" w:rsidR="00603C7E" w:rsidRDefault="00603C7E">
            <w:pPr>
              <w:spacing w:line="240" w:lineRule="auto"/>
              <w:rPr>
                <w:rFonts w:ascii="Times New Roman" w:eastAsia="Times New Roman" w:hAnsi="Times New Roman" w:cs="Times New Roman"/>
              </w:rPr>
            </w:pPr>
          </w:p>
          <w:p w14:paraId="7956E88F"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 2 definiția nominalizată va fi expusă în următoarea redacție:</w:t>
            </w:r>
          </w:p>
          <w:p w14:paraId="1624A645" w14:textId="77777777" w:rsidR="00603C7E" w:rsidRDefault="00603C7E">
            <w:pPr>
              <w:spacing w:line="240" w:lineRule="auto"/>
              <w:rPr>
                <w:rFonts w:ascii="Times New Roman" w:eastAsia="Times New Roman" w:hAnsi="Times New Roman" w:cs="Times New Roman"/>
              </w:rPr>
            </w:pPr>
          </w:p>
          <w:p w14:paraId="170B635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i/>
                <w:iCs/>
              </w:rPr>
              <w:t xml:space="preserve">sistemul de informare al pieţei interne (Sistem IMI) - </w:t>
            </w:r>
            <w:r>
              <w:rPr>
                <w:rFonts w:ascii="Times New Roman" w:eastAsia="Times New Roman" w:hAnsi="Times New Roman" w:cs="Times New Roman"/>
              </w:rPr>
              <w:t>instrumentul electronic furnizat de Comisia Europeană pentru a facilita cooperarea administrativă dintre autorităţile competente ale statelor membre şi Comisia Europeană, denumit în continuare Sistemul IMI;</w:t>
            </w:r>
          </w:p>
        </w:tc>
      </w:tr>
      <w:tr w:rsidR="00603C7E" w14:paraId="5169FB65" w14:textId="77777777">
        <w:trPr>
          <w:trHeight w:val="8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C6C4145"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010AB84"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A90AA51" w14:textId="77777777" w:rsidR="00603C7E" w:rsidRDefault="00000000">
            <w:pPr>
              <w:spacing w:line="240" w:lineRule="auto"/>
              <w:rPr>
                <w:rFonts w:ascii="Times New Roman" w:eastAsia="Times New Roman" w:hAnsi="Times New Roman" w:cs="Times New Roman"/>
                <w:u w:val="single"/>
              </w:rPr>
            </w:pPr>
            <w:r>
              <w:rPr>
                <w:rFonts w:ascii="Times New Roman" w:eastAsia="Times New Roman" w:hAnsi="Times New Roman" w:cs="Times New Roman"/>
                <w:b/>
                <w:bCs/>
                <w:u w:val="single"/>
              </w:rPr>
              <w:t>2</w:t>
            </w:r>
            <w:r>
              <w:rPr>
                <w:rFonts w:ascii="Times New Roman" w:eastAsia="Times New Roman" w:hAnsi="Times New Roman" w:cs="Times New Roman"/>
                <w:u w:val="single"/>
              </w:rPr>
              <w:t>. Referitor la</w:t>
            </w:r>
            <w:r>
              <w:rPr>
                <w:rFonts w:ascii="Times New Roman" w:eastAsia="Times New Roman" w:hAnsi="Times New Roman" w:cs="Times New Roman"/>
                <w:b/>
                <w:bCs/>
                <w:u w:val="single"/>
              </w:rPr>
              <w:t xml:space="preserve"> articolul 2</w:t>
            </w:r>
            <w:r>
              <w:rPr>
                <w:rFonts w:ascii="Times New Roman" w:eastAsia="Times New Roman" w:hAnsi="Times New Roman" w:cs="Times New Roman"/>
                <w:u w:val="single"/>
              </w:rPr>
              <w:t xml:space="preserve"> din proiectul de lege</w:t>
            </w:r>
          </w:p>
          <w:p w14:paraId="3AE2A43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 În scopul corectării și simplificării definiției noțiunii de </w:t>
            </w:r>
            <w:r>
              <w:rPr>
                <w:rFonts w:ascii="Times New Roman" w:eastAsia="Times New Roman" w:hAnsi="Times New Roman" w:cs="Times New Roman"/>
                <w:i/>
                <w:iCs/>
              </w:rPr>
              <w:t>„remunerația aplicabilă pe teritoriul Republicii Moldova</w:t>
            </w:r>
            <w:r>
              <w:rPr>
                <w:rFonts w:ascii="Times New Roman" w:eastAsia="Times New Roman" w:hAnsi="Times New Roman" w:cs="Times New Roman"/>
              </w:rPr>
              <w:t>”, propunem expunerea acesteia în următoarea redacție:</w:t>
            </w:r>
          </w:p>
          <w:p w14:paraId="23C2C1B8" w14:textId="77777777" w:rsidR="00603C7E" w:rsidRDefault="00000000">
            <w:pPr>
              <w:spacing w:line="240" w:lineRule="auto"/>
              <w:rPr>
                <w:rFonts w:ascii="Times New Roman" w:eastAsia="Times New Roman" w:hAnsi="Times New Roman" w:cs="Times New Roman"/>
                <w:i/>
                <w:iCs/>
                <w:u w:val="single"/>
              </w:rPr>
            </w:pPr>
            <w:r>
              <w:rPr>
                <w:rFonts w:ascii="Times New Roman" w:eastAsia="Times New Roman" w:hAnsi="Times New Roman" w:cs="Times New Roman"/>
              </w:rPr>
              <w:t>„</w:t>
            </w:r>
            <w:r>
              <w:rPr>
                <w:rFonts w:ascii="Times New Roman" w:eastAsia="Times New Roman" w:hAnsi="Times New Roman" w:cs="Times New Roman"/>
                <w:i/>
                <w:iCs/>
              </w:rPr>
              <w:t xml:space="preserve">remunerația aplicabilă pe teritoriul Republicii Moldova </w:t>
            </w:r>
            <w:r>
              <w:rPr>
                <w:rFonts w:ascii="Times New Roman" w:eastAsia="Times New Roman" w:hAnsi="Times New Roman" w:cs="Times New Roman"/>
              </w:rPr>
              <w:t>– suma de bani, impozitată conform Codului fiscal al Republicii Moldova, care cuprinde toate elementele constitutive ale retribuirii muncii, obligatorii potrivit legislației Republicii Moldova;”.</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018E7B27"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52172956" w14:textId="77777777" w:rsidR="00603C7E" w:rsidRDefault="00603C7E">
            <w:pPr>
              <w:spacing w:line="240" w:lineRule="auto"/>
              <w:rPr>
                <w:rFonts w:ascii="Times New Roman" w:eastAsia="Times New Roman" w:hAnsi="Times New Roman" w:cs="Times New Roman"/>
              </w:rPr>
            </w:pPr>
          </w:p>
          <w:p w14:paraId="5D999B7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articolul 2, definiția vizată va fi expusă în redacția propusă de CNAS, după cum urmează:</w:t>
            </w:r>
          </w:p>
          <w:p w14:paraId="68EEE825" w14:textId="77777777" w:rsidR="00603C7E" w:rsidRDefault="00603C7E">
            <w:pPr>
              <w:spacing w:line="240" w:lineRule="auto"/>
              <w:rPr>
                <w:rFonts w:ascii="Times New Roman" w:eastAsia="Times New Roman" w:hAnsi="Times New Roman" w:cs="Times New Roman"/>
              </w:rPr>
            </w:pPr>
          </w:p>
          <w:p w14:paraId="304CB63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iCs/>
              </w:rPr>
              <w:t xml:space="preserve">remunerația aplicabilă pe teritoriul Republicii Moldova </w:t>
            </w:r>
            <w:r>
              <w:rPr>
                <w:rFonts w:ascii="Times New Roman" w:eastAsia="Times New Roman" w:hAnsi="Times New Roman" w:cs="Times New Roman"/>
              </w:rPr>
              <w:t>- suma de bani, care include salariul de funcție sau tarifar, sporul pentru muncă suplimentară, sporul pentru munca în zilele de repaus săptămânal, sporul pentru munca în zilele de sărbătoare legală, sporul pentru munca prestată în timpul nopții, alte sporuri și indemnizații obligatorii conform legislației naționale, supusă impozitării și calculului contribuțiilor de asigurări sociale potrivit legislației.”.</w:t>
            </w:r>
          </w:p>
          <w:p w14:paraId="09F68571" w14:textId="77777777" w:rsidR="00603C7E" w:rsidRDefault="00603C7E">
            <w:pPr>
              <w:spacing w:line="240" w:lineRule="auto"/>
              <w:rPr>
                <w:rFonts w:ascii="Times New Roman" w:eastAsia="Times New Roman" w:hAnsi="Times New Roman" w:cs="Times New Roman"/>
              </w:rPr>
            </w:pPr>
          </w:p>
        </w:tc>
      </w:tr>
      <w:tr w:rsidR="00603C7E" w14:paraId="3664352D" w14:textId="77777777">
        <w:trPr>
          <w:trHeight w:val="8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9DE2622"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0A69DB65"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1A125A88" w14:textId="77777777" w:rsidR="00603C7E" w:rsidRDefault="00000000">
            <w:pPr>
              <w:spacing w:line="240" w:lineRule="auto"/>
              <w:rPr>
                <w:rFonts w:ascii="Times New Roman" w:eastAsia="Times New Roman" w:hAnsi="Times New Roman" w:cs="Times New Roman"/>
                <w:u w:val="single"/>
              </w:rPr>
            </w:pPr>
            <w:r>
              <w:rPr>
                <w:rFonts w:ascii="Times New Roman" w:eastAsia="Times New Roman" w:hAnsi="Times New Roman" w:cs="Times New Roman"/>
                <w:b/>
                <w:bCs/>
                <w:u w:val="single"/>
              </w:rPr>
              <w:t>2</w:t>
            </w:r>
            <w:r>
              <w:rPr>
                <w:rFonts w:ascii="Times New Roman" w:eastAsia="Times New Roman" w:hAnsi="Times New Roman" w:cs="Times New Roman"/>
                <w:u w:val="single"/>
              </w:rPr>
              <w:t>. Referitor la</w:t>
            </w:r>
            <w:r>
              <w:rPr>
                <w:rFonts w:ascii="Times New Roman" w:eastAsia="Times New Roman" w:hAnsi="Times New Roman" w:cs="Times New Roman"/>
                <w:b/>
                <w:bCs/>
                <w:u w:val="single"/>
              </w:rPr>
              <w:t xml:space="preserve"> articolul 2</w:t>
            </w:r>
            <w:r>
              <w:rPr>
                <w:rFonts w:ascii="Times New Roman" w:eastAsia="Times New Roman" w:hAnsi="Times New Roman" w:cs="Times New Roman"/>
                <w:u w:val="single"/>
              </w:rPr>
              <w:t xml:space="preserve"> din proiectul de lege</w:t>
            </w:r>
          </w:p>
          <w:p w14:paraId="4D27C6A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b/>
                <w:bCs/>
              </w:rPr>
              <w:t xml:space="preserve"> </w:t>
            </w:r>
            <w:r>
              <w:rPr>
                <w:rFonts w:ascii="Times New Roman" w:eastAsia="Times New Roman" w:hAnsi="Times New Roman" w:cs="Times New Roman"/>
              </w:rPr>
              <w:t xml:space="preserve">Potrivit noțiunii „salariatul detașat transnațional de pe teritoriul Republicii Moldova” de la art. 2 din proiectul de lege, perioada de timp a detașării salariatului pentru munca desfășurată pe teritoriul unui stat membru este limitată și nu poate fi mai mare de 24 de luni. În același timp, potrivit alin. (2) al art. 16 din proiectul de lege, </w:t>
            </w:r>
            <w:r>
              <w:rPr>
                <w:rFonts w:ascii="Times New Roman" w:eastAsia="Times New Roman" w:hAnsi="Times New Roman" w:cs="Times New Roman"/>
                <w:i/>
                <w:iCs/>
              </w:rPr>
              <w:t>perioada detașării salariaților din Republica Moldova în cadrul prestării de servicii transnaționale, poate fi prelungită de la 12 luni până la 18 luni, în situația transmiterii de către întreprindere a unei notificări motivate la autoritatea competentă pe teritoriul statului membru unde își desfășoară activitatea salariații detașați, în condițiile legislației statului respectiv.</w:t>
            </w:r>
            <w:r>
              <w:rPr>
                <w:rFonts w:ascii="Times New Roman" w:eastAsia="Times New Roman" w:hAnsi="Times New Roman" w:cs="Times New Roman"/>
              </w:rPr>
              <w:t xml:space="preserve"> Mai mult, potrivit art. 10, alin. (3) din proiectul de lege, limita de timp stabilită pentru salariații detașați din statele membre pentru munca desfășurată pe teritoriul Republicii Moldova, de asemenea, nu poate depăși 18 luni.</w:t>
            </w:r>
          </w:p>
          <w:p w14:paraId="09FCFE2A" w14:textId="77777777" w:rsidR="00603C7E" w:rsidRDefault="00000000">
            <w:pPr>
              <w:spacing w:line="240" w:lineRule="auto"/>
              <w:rPr>
                <w:rFonts w:ascii="Times New Roman" w:eastAsia="Times New Roman" w:hAnsi="Times New Roman" w:cs="Times New Roman"/>
                <w:i/>
                <w:iCs/>
                <w:u w:val="single"/>
              </w:rPr>
            </w:pPr>
            <w:r>
              <w:rPr>
                <w:rFonts w:ascii="Times New Roman" w:eastAsia="Times New Roman" w:hAnsi="Times New Roman" w:cs="Times New Roman"/>
              </w:rPr>
              <w:lastRenderedPageBreak/>
              <w:t>Având în vedere aceste neconcordanțe, propunem revizuirea normelor specificate supra în vederea excluderii ambiguității și asigurării coerenței și clarității privind perioada maximă de prelungire a detașării.</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49AF50A6"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65B5BD67" w14:textId="77777777" w:rsidR="00603C7E" w:rsidRDefault="00603C7E">
            <w:pPr>
              <w:spacing w:line="240" w:lineRule="auto"/>
              <w:rPr>
                <w:rFonts w:ascii="Times New Roman" w:eastAsia="Times New Roman" w:hAnsi="Times New Roman" w:cs="Times New Roman"/>
              </w:rPr>
            </w:pPr>
          </w:p>
          <w:p w14:paraId="0830151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 art. 2 definiția nominalizată va fi expusă în următoarea redacție:</w:t>
            </w:r>
          </w:p>
          <w:p w14:paraId="37A64383" w14:textId="77777777" w:rsidR="00603C7E" w:rsidRDefault="00603C7E">
            <w:pPr>
              <w:spacing w:line="240" w:lineRule="auto"/>
              <w:rPr>
                <w:rFonts w:ascii="Times New Roman" w:eastAsia="Times New Roman" w:hAnsi="Times New Roman" w:cs="Times New Roman"/>
              </w:rPr>
            </w:pPr>
          </w:p>
          <w:p w14:paraId="0078D3D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iCs/>
              </w:rPr>
              <w:t>lucrător detaşat transnațional de pe teritoriul Republicii Moldova</w:t>
            </w:r>
            <w:r>
              <w:rPr>
                <w:rFonts w:ascii="Times New Roman" w:eastAsia="Times New Roman" w:hAnsi="Times New Roman" w:cs="Times New Roman"/>
              </w:rPr>
              <w:t xml:space="preserve"> - lucrătorul care, pe o perioadă limitată, își desfășoară munca pe teritoriul unui stat membru, altul decât cel în care lucrează în mod obișnuit, în cadrul unei detașări realizate de întreprinderea la care este angajat, în condițiile prezentei legi;”.</w:t>
            </w:r>
          </w:p>
        </w:tc>
      </w:tr>
      <w:tr w:rsidR="00603C7E" w14:paraId="701AF024" w14:textId="77777777">
        <w:trPr>
          <w:trHeight w:val="8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D58D72A"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14434711"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740A24B9" w14:textId="77777777" w:rsidR="00603C7E" w:rsidRDefault="00000000">
            <w:pPr>
              <w:spacing w:line="240" w:lineRule="auto"/>
              <w:rPr>
                <w:rFonts w:ascii="Times New Roman" w:eastAsia="Times New Roman" w:hAnsi="Times New Roman" w:cs="Times New Roman"/>
                <w:u w:val="single"/>
              </w:rPr>
            </w:pPr>
            <w:r>
              <w:rPr>
                <w:rFonts w:ascii="Times New Roman" w:eastAsia="Times New Roman" w:hAnsi="Times New Roman" w:cs="Times New Roman"/>
                <w:b/>
                <w:bCs/>
                <w:u w:val="single"/>
              </w:rPr>
              <w:t xml:space="preserve">3. </w:t>
            </w:r>
            <w:r>
              <w:rPr>
                <w:rFonts w:ascii="Times New Roman" w:eastAsia="Times New Roman" w:hAnsi="Times New Roman" w:cs="Times New Roman"/>
                <w:u w:val="single"/>
              </w:rPr>
              <w:t>Referitor la</w:t>
            </w:r>
            <w:r>
              <w:rPr>
                <w:rFonts w:ascii="Times New Roman" w:eastAsia="Times New Roman" w:hAnsi="Times New Roman" w:cs="Times New Roman"/>
                <w:b/>
                <w:bCs/>
                <w:u w:val="single"/>
              </w:rPr>
              <w:t xml:space="preserve"> articolul 14 </w:t>
            </w:r>
            <w:r>
              <w:rPr>
                <w:rFonts w:ascii="Times New Roman" w:eastAsia="Times New Roman" w:hAnsi="Times New Roman" w:cs="Times New Roman"/>
                <w:u w:val="single"/>
              </w:rPr>
              <w:t>din proiectul de lege</w:t>
            </w:r>
          </w:p>
          <w:p w14:paraId="442FCD5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Pentru corectarea și concretizarea lit. e) din art. 14 al proiectului de lege, propunem următoarea redacție (similară cu cea a lit. e) din alin. (1) al art. 9):</w:t>
            </w:r>
          </w:p>
          <w:p w14:paraId="78E5271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 securitatea și sănătatea în muncă;”.</w:t>
            </w:r>
          </w:p>
          <w:p w14:paraId="0A19AF2B" w14:textId="77777777" w:rsidR="00603C7E" w:rsidRDefault="00603C7E">
            <w:pPr>
              <w:spacing w:line="240" w:lineRule="auto"/>
              <w:rPr>
                <w:rFonts w:ascii="Times New Roman" w:eastAsia="Times New Roman" w:hAnsi="Times New Roman" w:cs="Times New Roman"/>
                <w:b/>
                <w:bCs/>
                <w:i/>
                <w:iCs/>
                <w:u w:val="single"/>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1661CA62"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409DC933" w14:textId="77777777" w:rsidR="00603C7E" w:rsidRDefault="00603C7E">
            <w:pPr>
              <w:spacing w:line="240" w:lineRule="auto"/>
              <w:rPr>
                <w:rFonts w:ascii="Times New Roman" w:eastAsia="Times New Roman" w:hAnsi="Times New Roman" w:cs="Times New Roman"/>
              </w:rPr>
            </w:pPr>
          </w:p>
          <w:p w14:paraId="003C7AD4"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14 lit. e) va fi expus în următoarea redacție:</w:t>
            </w:r>
            <w:r>
              <w:rPr>
                <w:rFonts w:ascii="Times New Roman" w:eastAsia="Times New Roman" w:hAnsi="Times New Roman" w:cs="Times New Roman"/>
              </w:rPr>
              <w:br/>
            </w:r>
            <w:r>
              <w:rPr>
                <w:rFonts w:ascii="Times New Roman" w:eastAsia="Times New Roman" w:hAnsi="Times New Roman" w:cs="Times New Roman"/>
              </w:rPr>
              <w:br/>
              <w:t>”e) securitatea și sănătatea în muncă;”.</w:t>
            </w:r>
          </w:p>
          <w:p w14:paraId="2B40CD91" w14:textId="77777777" w:rsidR="00603C7E" w:rsidRDefault="00603C7E">
            <w:pPr>
              <w:spacing w:line="240" w:lineRule="auto"/>
              <w:rPr>
                <w:rFonts w:ascii="Times New Roman" w:eastAsia="Times New Roman" w:hAnsi="Times New Roman" w:cs="Times New Roman"/>
              </w:rPr>
            </w:pPr>
          </w:p>
        </w:tc>
      </w:tr>
      <w:tr w:rsidR="00603C7E" w14:paraId="200C87A8" w14:textId="77777777">
        <w:trPr>
          <w:trHeight w:val="8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47B93B5"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23DE5FB2"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509FA72" w14:textId="77777777" w:rsidR="00603C7E" w:rsidRDefault="00000000">
            <w:pPr>
              <w:spacing w:line="240" w:lineRule="auto"/>
              <w:rPr>
                <w:rFonts w:ascii="Times New Roman" w:eastAsia="Times New Roman" w:hAnsi="Times New Roman" w:cs="Times New Roman"/>
                <w:u w:val="single"/>
              </w:rPr>
            </w:pPr>
            <w:r>
              <w:rPr>
                <w:rFonts w:ascii="Times New Roman" w:eastAsia="Times New Roman" w:hAnsi="Times New Roman" w:cs="Times New Roman"/>
                <w:b/>
                <w:bCs/>
              </w:rPr>
              <w:t>4</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Referitor la </w:t>
            </w:r>
            <w:r>
              <w:rPr>
                <w:rFonts w:ascii="Times New Roman" w:eastAsia="Times New Roman" w:hAnsi="Times New Roman" w:cs="Times New Roman"/>
                <w:b/>
                <w:bCs/>
                <w:u w:val="single"/>
              </w:rPr>
              <w:t>articolul 18</w:t>
            </w:r>
            <w:r>
              <w:rPr>
                <w:rFonts w:ascii="Times New Roman" w:eastAsia="Times New Roman" w:hAnsi="Times New Roman" w:cs="Times New Roman"/>
                <w:u w:val="single"/>
              </w:rPr>
              <w:t xml:space="preserve"> din proiectul de lege</w:t>
            </w:r>
          </w:p>
          <w:p w14:paraId="0AD9A58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În conformitate cu prevederile art. 18 din proiectul de lege, personalului angajatorilor înființați pe teritoriul Republicii Moldova, care efectuează operațiuni de transport internațional, fiind trimis să lucreze pentru o perioadă de timp limitată pe teritoriul unui stat membru, altul decât Republica Moldova, sau pe teritoriul Confederației Elvețiene, și care nu se încadrează în situațiile prevăzute la art. 6 alin. (2), i se aplică prevederile art. 71 și 72 al Codului muncii.</w:t>
            </w:r>
          </w:p>
          <w:p w14:paraId="5AB01C22"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Analizând prevederile articolului menționat, atragem atenția asupra faptului că detașarea conform art. 71 și art. 72 din Codul muncii nr. 154/2003 reprezintă detașarea ordinară (obișnuită), care presupune:</w:t>
            </w:r>
          </w:p>
          <w:p w14:paraId="31343A5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încheierea, între salariatul detașat și unitatea la care este detașat, a unui contract individual de muncă distinct, pe durată determinată;</w:t>
            </w:r>
          </w:p>
          <w:p w14:paraId="3BAFDED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remunerarea salariatului detașat de către unitatea la care acesta este detașat.</w:t>
            </w:r>
          </w:p>
          <w:p w14:paraId="6504F53C"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Toate acestea sunt, pe de o parte, improprii conceptului de detașare a salariaților în cadrul </w:t>
            </w:r>
            <w:r>
              <w:rPr>
                <w:rFonts w:ascii="Times New Roman" w:eastAsia="Times New Roman" w:hAnsi="Times New Roman" w:cs="Times New Roman"/>
              </w:rPr>
              <w:lastRenderedPageBreak/>
              <w:t>prestării de servicii transnaționale, iar, pe de altă parte, sunt imposibil de realizat pe teritoriul altui stat, într-o altă jurisdicție (prevederile Codului muncii al Republicii Moldova nu sunt aplicabile pe teritoriul altui stat).</w:t>
            </w:r>
          </w:p>
          <w:p w14:paraId="0A40E6CD"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Considerăm că, în situația prevăzută la art. 18 din proiectul de lege, salariatul urmează a fi tratat ca fiind trimis în deplasare în interes de serviciu, cu acordarea, de angajator, a garanțiilor prevăzute de legislația Republicii Moldova.</w:t>
            </w:r>
          </w:p>
          <w:p w14:paraId="76E2FE7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Luând în considerare cele expuse, propunem substituirea din art. 18 al proiectului de lege a cuvintelor „</w:t>
            </w:r>
            <w:r>
              <w:rPr>
                <w:rFonts w:ascii="Times New Roman" w:eastAsia="Times New Roman" w:hAnsi="Times New Roman" w:cs="Times New Roman"/>
                <w:i/>
                <w:iCs/>
              </w:rPr>
              <w:t>i se aplică prevederile art. 71 și 72 al Codului muncii”</w:t>
            </w:r>
            <w:r>
              <w:rPr>
                <w:rFonts w:ascii="Times New Roman" w:eastAsia="Times New Roman" w:hAnsi="Times New Roman" w:cs="Times New Roman"/>
              </w:rPr>
              <w:t xml:space="preserve"> cu cuvintele</w:t>
            </w:r>
            <w:r>
              <w:rPr>
                <w:rFonts w:ascii="Times New Roman" w:eastAsia="Times New Roman" w:hAnsi="Times New Roman" w:cs="Times New Roman"/>
                <w:i/>
                <w:iCs/>
              </w:rPr>
              <w:t xml:space="preserve"> „i se aplică prevederile art. 70 din Codul muncii al Republicii Moldova</w:t>
            </w:r>
            <w:r>
              <w:rPr>
                <w:rFonts w:ascii="Times New Roman" w:eastAsia="Times New Roman" w:hAnsi="Times New Roman" w:cs="Times New Roman"/>
              </w:rPr>
              <w:t>” (articolul respectiv reglementează trimiterea în deplasare în interes de serviciu)</w:t>
            </w:r>
          </w:p>
          <w:p w14:paraId="7D482930" w14:textId="77777777" w:rsidR="00603C7E" w:rsidRDefault="00603C7E">
            <w:pPr>
              <w:spacing w:line="240" w:lineRule="auto"/>
              <w:rPr>
                <w:rFonts w:ascii="Times New Roman" w:eastAsia="Times New Roman" w:hAnsi="Times New Roman" w:cs="Times New Roman"/>
                <w:b/>
                <w:bCs/>
                <w:i/>
                <w:iCs/>
                <w:u w:val="single"/>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54610541"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lastRenderedPageBreak/>
              <w:t>Nu se acceptă.</w:t>
            </w:r>
            <w:r>
              <w:rPr>
                <w:rFonts w:ascii="Times New Roman" w:eastAsia="Times New Roman" w:hAnsi="Times New Roman" w:cs="Times New Roman"/>
              </w:rPr>
              <w:t xml:space="preserve"> </w:t>
            </w:r>
          </w:p>
          <w:p w14:paraId="29138155" w14:textId="77777777" w:rsidR="00603C7E" w:rsidRDefault="00603C7E">
            <w:pPr>
              <w:spacing w:line="240" w:lineRule="auto"/>
              <w:rPr>
                <w:rFonts w:ascii="Times New Roman" w:eastAsia="Times New Roman" w:hAnsi="Times New Roman" w:cs="Times New Roman"/>
              </w:rPr>
            </w:pPr>
          </w:p>
          <w:p w14:paraId="6C5550E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Reglementarea situației personalului angajatorilor care efectuează operațiuni de transport internațional ține de un cadru special, distinct de instituțiile generale prevăzute de Codul muncii privind detașarea sau deplasarea în interes de serviciu. În cazul conducătorilor auto din transportul rutier internațional, calificarea juridică a activității desfășurate pe teritoriul altui stat nu poate fi redusă automat la instituția deplasării prevăzută la art. 70 din Codul muncii, întrucât acest domeniu este guvernat de reguli speciale care stabilesc expres situațiile în care aceștia sunt considerați detașați și situațiile în care nu au această calitate. Introducerea unei trimiteri directe la art. 70 din Codul muncii ar simplifica excesiv regimul juridic aplicabil și ar putea genera necorelări cu cadrul special incident transportului rutier internațional.</w:t>
            </w:r>
          </w:p>
        </w:tc>
      </w:tr>
      <w:tr w:rsidR="00603C7E" w14:paraId="4BCF3866" w14:textId="77777777">
        <w:trPr>
          <w:trHeight w:val="8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BBCE943"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394D6FC7"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6AC60739" w14:textId="77777777" w:rsidR="00603C7E" w:rsidRDefault="00000000">
            <w:pPr>
              <w:spacing w:line="240" w:lineRule="auto"/>
              <w:rPr>
                <w:rFonts w:ascii="Times New Roman" w:eastAsia="Times New Roman" w:hAnsi="Times New Roman" w:cs="Times New Roman"/>
                <w:u w:val="single"/>
              </w:rPr>
            </w:pPr>
            <w:r>
              <w:rPr>
                <w:rFonts w:ascii="Times New Roman" w:eastAsia="Times New Roman" w:hAnsi="Times New Roman" w:cs="Times New Roman"/>
                <w:b/>
                <w:bCs/>
                <w:u w:val="single"/>
              </w:rPr>
              <w:t>5.</w:t>
            </w:r>
            <w:r>
              <w:rPr>
                <w:rFonts w:ascii="Times New Roman" w:eastAsia="Times New Roman" w:hAnsi="Times New Roman" w:cs="Times New Roman"/>
                <w:u w:val="single"/>
              </w:rPr>
              <w:t xml:space="preserve"> Referitor la </w:t>
            </w:r>
            <w:r>
              <w:rPr>
                <w:rFonts w:ascii="Times New Roman" w:eastAsia="Times New Roman" w:hAnsi="Times New Roman" w:cs="Times New Roman"/>
                <w:b/>
                <w:bCs/>
                <w:u w:val="single"/>
              </w:rPr>
              <w:t>articolul 41</w:t>
            </w:r>
            <w:r>
              <w:rPr>
                <w:rFonts w:ascii="Times New Roman" w:eastAsia="Times New Roman" w:hAnsi="Times New Roman" w:cs="Times New Roman"/>
                <w:u w:val="single"/>
              </w:rPr>
              <w:t xml:space="preserve"> din proiectul de lege</w:t>
            </w:r>
          </w:p>
          <w:p w14:paraId="4A0FFF0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 Potrivit art. 33, alin. (7) din Codul muncii nr. 154/2003, </w:t>
            </w:r>
            <w:r>
              <w:rPr>
                <w:rFonts w:ascii="Times New Roman" w:eastAsia="Times New Roman" w:hAnsi="Times New Roman" w:cs="Times New Roman"/>
                <w:i/>
                <w:iCs/>
              </w:rPr>
              <w:t>sub incidența contractului colectiv de muncă încheiat pe unitate în ansamblu cad salariaţii unității, ai filialelor şi ai reprezentanțelor acesteia, care au împuternicit reprezentanții lor să participe la negocierile colective, să elaboreze şi să încheie contractul colectiv de muncă în numele lo</w:t>
            </w:r>
            <w:r>
              <w:rPr>
                <w:rFonts w:ascii="Times New Roman" w:eastAsia="Times New Roman" w:hAnsi="Times New Roman" w:cs="Times New Roman"/>
              </w:rPr>
              <w:t>r.</w:t>
            </w:r>
          </w:p>
          <w:p w14:paraId="62B8A4E9"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Or, salariații detașați pe teritoriul Republicii Moldova în cadrul prestării de servicii transnaționale nu cad automat sub incidența vreunui contract colectiv de muncă în țara noastră. Pentru a beneficia de prevederile vreunui contract colectiv de muncă, </w:t>
            </w:r>
            <w:r>
              <w:rPr>
                <w:rFonts w:ascii="Times New Roman" w:eastAsia="Times New Roman" w:hAnsi="Times New Roman" w:cs="Times New Roman"/>
                <w:u w:val="single"/>
              </w:rPr>
              <w:t>salariații respectivi trebuie să devină membri ai sindicatului care l-a semnat</w:t>
            </w:r>
            <w:r>
              <w:rPr>
                <w:rFonts w:ascii="Times New Roman" w:eastAsia="Times New Roman" w:hAnsi="Times New Roman" w:cs="Times New Roman"/>
              </w:rPr>
              <w:t>.</w:t>
            </w:r>
          </w:p>
          <w:p w14:paraId="609B5CE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Având în vedere aspectul relatat supra, Inspectoratul de Stat al Muncii va fi în imposibilitatea de a-i informa pe salariații detașați pe teritoriul Republici Moldova în cadrul prestării de servicii transnaționale, prin publicarea pe site-ul propriu, despre contractele colective de muncă care le sunt aplicabile în țara noastră, întrucât acestea nu există </w:t>
            </w:r>
            <w:r>
              <w:rPr>
                <w:rFonts w:ascii="Times New Roman" w:eastAsia="Times New Roman" w:hAnsi="Times New Roman" w:cs="Times New Roman"/>
                <w:i/>
                <w:iCs/>
              </w:rPr>
              <w:t>(a se vedea obligația prevăzută la lit. h), alin. (3), art. 41 din proiectul de lege</w:t>
            </w:r>
            <w:r>
              <w:rPr>
                <w:rFonts w:ascii="Times New Roman" w:eastAsia="Times New Roman" w:hAnsi="Times New Roman" w:cs="Times New Roman"/>
              </w:rPr>
              <w:t>).</w:t>
            </w:r>
          </w:p>
          <w:p w14:paraId="4347F717"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Astfel, propunem expunerea l</w:t>
            </w:r>
            <w:r>
              <w:rPr>
                <w:rFonts w:ascii="Times New Roman" w:eastAsia="Times New Roman" w:hAnsi="Times New Roman" w:cs="Times New Roman"/>
                <w:b/>
                <w:bCs/>
              </w:rPr>
              <w:t>it. h) din alin. (3) al art. 41</w:t>
            </w:r>
            <w:r>
              <w:rPr>
                <w:rFonts w:ascii="Times New Roman" w:eastAsia="Times New Roman" w:hAnsi="Times New Roman" w:cs="Times New Roman"/>
              </w:rPr>
              <w:t xml:space="preserve"> din proiectul de lege, în următoarea redacție:</w:t>
            </w:r>
          </w:p>
          <w:p w14:paraId="3ADEF9C8"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iCs/>
              </w:rPr>
              <w:t>h) date referitoare la condițiile legale pentru a beneficia de contractul colectiv de muncă încheiat la unitate, precum și, trimiteri către site-urile oficiale ale partenerilor sociali reprezentativi;</w:t>
            </w:r>
            <w:r>
              <w:rPr>
                <w:rFonts w:ascii="Times New Roman" w:eastAsia="Times New Roman" w:hAnsi="Times New Roman" w:cs="Times New Roman"/>
              </w:rPr>
              <w:t>”.</w:t>
            </w:r>
          </w:p>
          <w:p w14:paraId="172151F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2) Din considerentele expuse mai sus, propunem excluderea din alin. (6) a cuvintelor „/contractul colectiv de muncă”</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745312B3"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p>
          <w:p w14:paraId="32015B48" w14:textId="77777777" w:rsidR="00603C7E" w:rsidRDefault="00603C7E">
            <w:pPr>
              <w:spacing w:line="240" w:lineRule="auto"/>
              <w:rPr>
                <w:rFonts w:ascii="Times New Roman" w:eastAsia="Times New Roman" w:hAnsi="Times New Roman" w:cs="Times New Roman"/>
              </w:rPr>
            </w:pPr>
          </w:p>
          <w:p w14:paraId="7917B58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41 alin. (3) lit. h) și alin. (6) va fi expus în următoarea redacție:</w:t>
            </w:r>
          </w:p>
          <w:p w14:paraId="1D9C6DEA" w14:textId="77777777" w:rsidR="00603C7E" w:rsidRDefault="00603C7E">
            <w:pPr>
              <w:spacing w:line="240" w:lineRule="auto"/>
              <w:rPr>
                <w:rFonts w:ascii="Times New Roman" w:eastAsia="Times New Roman" w:hAnsi="Times New Roman" w:cs="Times New Roman"/>
              </w:rPr>
            </w:pPr>
          </w:p>
          <w:p w14:paraId="15316A60"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 date referitoare la condițiile legale pentru a beneficia de contractul colectiv de muncă încheiat la unitate, precum și, trimiteri către site-urile oficiale ale partenerilor sociali reprezentativi;”.</w:t>
            </w:r>
          </w:p>
          <w:p w14:paraId="23CA997A" w14:textId="77777777" w:rsidR="00603C7E" w:rsidRDefault="00603C7E">
            <w:pPr>
              <w:spacing w:line="240" w:lineRule="auto"/>
              <w:rPr>
                <w:rFonts w:ascii="Times New Roman" w:eastAsia="Times New Roman" w:hAnsi="Times New Roman" w:cs="Times New Roman"/>
              </w:rPr>
            </w:pPr>
          </w:p>
          <w:p w14:paraId="2E6EA46E"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 La publicarea elementelor constitutive ale remuneraţiei se face trimitere pentru fiecare element în parte la actul normativ, care reglementează respectivul drept salarial.</w:t>
            </w:r>
          </w:p>
          <w:p w14:paraId="65A6D1E5" w14:textId="77777777" w:rsidR="00603C7E" w:rsidRDefault="00603C7E">
            <w:pPr>
              <w:spacing w:line="240" w:lineRule="auto"/>
              <w:rPr>
                <w:rFonts w:ascii="Times New Roman" w:eastAsia="Times New Roman" w:hAnsi="Times New Roman" w:cs="Times New Roman"/>
              </w:rPr>
            </w:pPr>
          </w:p>
        </w:tc>
      </w:tr>
      <w:tr w:rsidR="00603C7E" w14:paraId="50C40937" w14:textId="77777777">
        <w:trPr>
          <w:trHeight w:val="885"/>
        </w:trPr>
        <w:tc>
          <w:tcPr>
            <w:tcW w:w="51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7B384B5" w14:textId="77777777" w:rsidR="00603C7E" w:rsidRDefault="00603C7E">
            <w:pPr>
              <w:spacing w:line="240" w:lineRule="auto"/>
              <w:rPr>
                <w:rFonts w:ascii="Times New Roman" w:eastAsia="Times New Roman" w:hAnsi="Times New Roman" w:cs="Times New Roman"/>
                <w:b/>
                <w:bCs/>
              </w:rPr>
            </w:pPr>
          </w:p>
        </w:tc>
        <w:tc>
          <w:tcPr>
            <w:tcW w:w="3075" w:type="dxa"/>
            <w:vMerge/>
            <w:tcBorders>
              <w:top w:val="nil"/>
              <w:left w:val="nil"/>
              <w:bottom w:val="single" w:sz="7" w:space="0" w:color="000000"/>
              <w:right w:val="single" w:sz="7" w:space="0" w:color="000000"/>
            </w:tcBorders>
            <w:tcMar>
              <w:top w:w="0" w:type="dxa"/>
              <w:left w:w="100" w:type="dxa"/>
              <w:bottom w:w="0" w:type="dxa"/>
              <w:right w:w="100" w:type="dxa"/>
            </w:tcMar>
          </w:tcPr>
          <w:p w14:paraId="6CF703EB" w14:textId="77777777" w:rsidR="00603C7E" w:rsidRDefault="00603C7E">
            <w:pPr>
              <w:spacing w:line="240" w:lineRule="auto"/>
              <w:rPr>
                <w:rFonts w:ascii="Times New Roman" w:eastAsia="Times New Roman" w:hAnsi="Times New Roman" w:cs="Times New Roman"/>
                <w:b/>
                <w:bCs/>
              </w:rPr>
            </w:pP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5B5E4B5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6. </w:t>
            </w:r>
            <w:r>
              <w:rPr>
                <w:rFonts w:ascii="Times New Roman" w:eastAsia="Times New Roman" w:hAnsi="Times New Roman" w:cs="Times New Roman"/>
              </w:rPr>
              <w:t>Referitor la articolul 61 din proiectul de lege</w:t>
            </w:r>
          </w:p>
          <w:p w14:paraId="4B7D94A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Cuvintele </w:t>
            </w:r>
            <w:r>
              <w:rPr>
                <w:rFonts w:ascii="Times New Roman" w:eastAsia="Times New Roman" w:hAnsi="Times New Roman" w:cs="Times New Roman"/>
                <w:i/>
                <w:iCs/>
              </w:rPr>
              <w:t xml:space="preserve">„al Codului muncii” </w:t>
            </w:r>
            <w:r>
              <w:rPr>
                <w:rFonts w:ascii="Times New Roman" w:eastAsia="Times New Roman" w:hAnsi="Times New Roman" w:cs="Times New Roman"/>
              </w:rPr>
              <w:t>din alin. (3) al art. 61 din proiectul de lege, nu au nicio legătură logică cu prevederile acestui alineat, motiv pentru care propunem să fie excluse.</w:t>
            </w:r>
          </w:p>
          <w:p w14:paraId="2BBBFBFF" w14:textId="77777777" w:rsidR="00603C7E" w:rsidRDefault="00603C7E">
            <w:pPr>
              <w:spacing w:line="240" w:lineRule="auto"/>
              <w:rPr>
                <w:rFonts w:ascii="Times New Roman" w:eastAsia="Times New Roman" w:hAnsi="Times New Roman" w:cs="Times New Roman"/>
              </w:rPr>
            </w:pPr>
          </w:p>
          <w:p w14:paraId="65BF23C0"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70CB6CD7"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Se acceptă.</w:t>
            </w:r>
          </w:p>
          <w:p w14:paraId="471B6A1E" w14:textId="77777777" w:rsidR="00603C7E" w:rsidRDefault="00603C7E">
            <w:pPr>
              <w:spacing w:line="240" w:lineRule="auto"/>
              <w:rPr>
                <w:rFonts w:ascii="Times New Roman" w:eastAsia="Times New Roman" w:hAnsi="Times New Roman" w:cs="Times New Roman"/>
              </w:rPr>
            </w:pPr>
          </w:p>
          <w:p w14:paraId="01C2DE0A"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Art. 61 alin. (3) va avea următoarea redacție:</w:t>
            </w:r>
          </w:p>
          <w:p w14:paraId="2BCCD0A5" w14:textId="77777777" w:rsidR="00603C7E" w:rsidRDefault="00603C7E">
            <w:pPr>
              <w:spacing w:line="240" w:lineRule="auto"/>
              <w:rPr>
                <w:rFonts w:ascii="Times New Roman" w:eastAsia="Times New Roman" w:hAnsi="Times New Roman" w:cs="Times New Roman"/>
              </w:rPr>
            </w:pPr>
          </w:p>
          <w:p w14:paraId="6B6D0775"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 Cooperarea administrativă şi asistenţa reciprocă între autorităţile competente din Republica Moldova şi autorităţile competente din Confederaţia Elveţiană se realizează în baza acordurilor de cooperare interinstituţională care nu sunt guvernate de normele dreptului internaţional public.</w:t>
            </w:r>
          </w:p>
        </w:tc>
      </w:tr>
      <w:tr w:rsidR="00603C7E" w14:paraId="3F5B7BF7" w14:textId="77777777">
        <w:trPr>
          <w:trHeight w:val="1125"/>
        </w:trPr>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BA26A9C"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14.</w:t>
            </w:r>
          </w:p>
        </w:tc>
        <w:tc>
          <w:tcPr>
            <w:tcW w:w="3075" w:type="dxa"/>
            <w:tcBorders>
              <w:top w:val="nil"/>
              <w:left w:val="nil"/>
              <w:bottom w:val="single" w:sz="7" w:space="0" w:color="000000"/>
              <w:right w:val="single" w:sz="7" w:space="0" w:color="000000"/>
            </w:tcBorders>
            <w:tcMar>
              <w:top w:w="0" w:type="dxa"/>
              <w:left w:w="100" w:type="dxa"/>
              <w:bottom w:w="0" w:type="dxa"/>
              <w:right w:w="100" w:type="dxa"/>
            </w:tcMar>
          </w:tcPr>
          <w:p w14:paraId="70E09E2A"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Confederația Națională a Patronatului din Republica Moldova</w:t>
            </w:r>
          </w:p>
          <w:p w14:paraId="742093A3"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(nr. 05/1-24 din 30.03.2026)</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20CCC116"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Lipsă de obiecții și propuneri.</w:t>
            </w: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6A183FFB"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S-a luat act.</w:t>
            </w:r>
          </w:p>
        </w:tc>
      </w:tr>
      <w:tr w:rsidR="00603C7E" w14:paraId="5FEF7294" w14:textId="77777777" w:rsidTr="006E4A09">
        <w:trPr>
          <w:trHeight w:val="1826"/>
        </w:trPr>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3AF8F45"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15.</w:t>
            </w:r>
          </w:p>
        </w:tc>
        <w:tc>
          <w:tcPr>
            <w:tcW w:w="3075" w:type="dxa"/>
            <w:tcBorders>
              <w:top w:val="nil"/>
              <w:left w:val="nil"/>
              <w:bottom w:val="single" w:sz="7" w:space="0" w:color="000000"/>
              <w:right w:val="single" w:sz="7" w:space="0" w:color="000000"/>
            </w:tcBorders>
            <w:tcMar>
              <w:top w:w="0" w:type="dxa"/>
              <w:left w:w="100" w:type="dxa"/>
              <w:bottom w:w="0" w:type="dxa"/>
              <w:right w:w="100" w:type="dxa"/>
            </w:tcMar>
          </w:tcPr>
          <w:p w14:paraId="71180A0D"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EBA Moldova</w:t>
            </w:r>
          </w:p>
        </w:tc>
        <w:tc>
          <w:tcPr>
            <w:tcW w:w="4710" w:type="dxa"/>
            <w:tcBorders>
              <w:top w:val="nil"/>
              <w:left w:val="nil"/>
              <w:bottom w:val="single" w:sz="7" w:space="0" w:color="000000"/>
              <w:right w:val="single" w:sz="7" w:space="0" w:color="000000"/>
            </w:tcBorders>
            <w:tcMar>
              <w:top w:w="0" w:type="dxa"/>
              <w:left w:w="100" w:type="dxa"/>
              <w:bottom w:w="0" w:type="dxa"/>
              <w:right w:w="100" w:type="dxa"/>
            </w:tcMar>
          </w:tcPr>
          <w:p w14:paraId="42469992" w14:textId="77777777" w:rsidR="00603C7E"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1. În contextul proiectului de lege privind detașarea lucrătorilor în cadrul prestării de servicii, considerăm că </w:t>
            </w:r>
            <w:r>
              <w:rPr>
                <w:rFonts w:ascii="Times New Roman" w:eastAsia="Times New Roman" w:hAnsi="Times New Roman" w:cs="Times New Roman"/>
                <w:u w:val="single"/>
              </w:rPr>
              <w:t>obligația întreprinderilor din statele membre de a transmite, anterior începerii activității, o declarație către Inspectoratul Teritorial de Muncă creează o sarcină administrativă disproporționată pentru prestările de servicii transfrontaliere de scurtă durată și cu caracter tehnic</w:t>
            </w:r>
            <w:r>
              <w:rPr>
                <w:rFonts w:ascii="Times New Roman" w:eastAsia="Times New Roman" w:hAnsi="Times New Roman" w:cs="Times New Roman"/>
              </w:rPr>
              <w:t xml:space="preserve"> (instalări, intervenții de mentenanță, lansări de proiecte). </w:t>
            </w:r>
          </w:p>
          <w:p w14:paraId="297E51D4" w14:textId="77777777" w:rsidR="00603C7E"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     În practică, aceste intervenții au adesea caracter urgent și sunt parte integrantă a executării contractului comercial, iar condiționarea lor de o formalitate prealabilă rigidă riscă să blocheze activitatea economică fără a aduce un plus real de protecție salariaților.</w:t>
            </w:r>
          </w:p>
          <w:p w14:paraId="6E15F90C" w14:textId="77777777" w:rsidR="00603C7E"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      Totodată, obligația presupune costuri suplimentare și proceduri birocratice pentru partenerii din UE (traduceri, consultanță juridică, proceduri administrative), ceea ce afectează competitivitatea și atractivitatea pieței Republicii Moldova pentru investiții și cooperare tehnologică.</w:t>
            </w:r>
          </w:p>
          <w:p w14:paraId="5C0022B1" w14:textId="77777777" w:rsidR="00603C7E"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     Mecanismele de control pot fi realizate prin cooperare administrativă interstatală și prin solicitarea documentelor la momentul controlului, fără impunerea unei notificări prealabile obligatorii, care în esență nu previne abuzurile, dar creează întârzieri operaționale.</w:t>
            </w:r>
          </w:p>
          <w:p w14:paraId="0C3FB858" w14:textId="77777777" w:rsidR="00603C7E" w:rsidRDefault="00000000">
            <w:pPr>
              <w:shd w:val="clear" w:color="auto" w:fill="FFFFFF"/>
              <w:spacing w:line="240" w:lineRule="auto"/>
              <w:rPr>
                <w:sz w:val="24"/>
                <w:szCs w:val="24"/>
              </w:rPr>
            </w:pPr>
            <w:r>
              <w:rPr>
                <w:rFonts w:ascii="Times New Roman" w:eastAsia="Times New Roman" w:hAnsi="Times New Roman" w:cs="Times New Roman"/>
              </w:rPr>
              <w:t xml:space="preserve">     În consecință, prevederea respectivă reprezintă o restricție nejustificată asupra libertății de prestare a serviciilor și nu respectă principiul proporționalității prevăzut de acquis-ul european, motiv pentru care solicităm eliminarea obligației notificării prealabile sau, cel puțin, limitarea </w:t>
            </w:r>
            <w:r>
              <w:rPr>
                <w:rFonts w:ascii="Times New Roman" w:eastAsia="Times New Roman" w:hAnsi="Times New Roman" w:cs="Times New Roman"/>
              </w:rPr>
              <w:lastRenderedPageBreak/>
              <w:t>acesteia doar la detașările de durată semnificativă, excluzând intervențiile tehnice temporare.</w:t>
            </w:r>
          </w:p>
          <w:p w14:paraId="038FCBDC" w14:textId="77777777" w:rsidR="00603C7E" w:rsidRDefault="00603C7E">
            <w:pPr>
              <w:spacing w:line="240" w:lineRule="auto"/>
              <w:rPr>
                <w:rFonts w:ascii="Times New Roman" w:eastAsia="Times New Roman" w:hAnsi="Times New Roman" w:cs="Times New Roman"/>
              </w:rPr>
            </w:pPr>
          </w:p>
        </w:tc>
        <w:tc>
          <w:tcPr>
            <w:tcW w:w="5220" w:type="dxa"/>
            <w:tcBorders>
              <w:top w:val="nil"/>
              <w:left w:val="nil"/>
              <w:bottom w:val="single" w:sz="7" w:space="0" w:color="000000"/>
              <w:right w:val="single" w:sz="7" w:space="0" w:color="000000"/>
            </w:tcBorders>
            <w:tcMar>
              <w:top w:w="0" w:type="dxa"/>
              <w:left w:w="100" w:type="dxa"/>
              <w:bottom w:w="0" w:type="dxa"/>
              <w:right w:w="100" w:type="dxa"/>
            </w:tcMar>
          </w:tcPr>
          <w:p w14:paraId="3E8C59C4" w14:textId="77777777" w:rsidR="00603C7E"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Nu se acceptă.</w:t>
            </w:r>
          </w:p>
          <w:p w14:paraId="295C7970" w14:textId="77777777" w:rsidR="00603C7E" w:rsidRDefault="00603C7E">
            <w:pPr>
              <w:spacing w:line="240" w:lineRule="auto"/>
              <w:rPr>
                <w:rFonts w:ascii="Times New Roman" w:eastAsia="Times New Roman" w:hAnsi="Times New Roman" w:cs="Times New Roman"/>
                <w:b/>
                <w:bCs/>
              </w:rPr>
            </w:pPr>
          </w:p>
          <w:p w14:paraId="5BAB913B" w14:textId="77777777" w:rsidR="00603C7E"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Obligația de transmitere, înainte de începerea efectivă a activității, a unei declarații către inspectoratul teritorial de muncă reprezintă o cerință administrativă și o măsură de control compatibilă cu art. 9 alin. (1) și art. 10 din Directiva 2014/67/UE, fiind necesară pentru a permite efectuarea unor controale faptice eficace la locul de muncă și pentru prevenirea eludării normelor privind detașarea transnațională. Totodată, notificarea prealabilă face posibilă evidența și monitorizarea persoanelor detașate pe teritoriul Republicii Moldova, inclusiv sub aspectul identificării întreprinderii detașante, al numărului persoanelor detașate, al locului desfășurării activității și al perioadei detașării. Excluderea acestei obligații ar crea o lacună în mecanismul de monitorizare și control și ar putea permite nedeclararea unor persoane detașate suplimentare. Cooperarea administrativă dintre autoritățile competente are caracter complementar și nu exclude obligația întreprinderii detașante de a transmite declarația prealabilă.</w:t>
            </w:r>
          </w:p>
        </w:tc>
      </w:tr>
    </w:tbl>
    <w:p w14:paraId="000B720F"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52235834"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30FBA9EB"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41B27A7B"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77119FEA"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7A30CF09"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3D83965D"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7C2C3EA1"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486BA651"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64D846C4"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581FC922"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567407D3"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3C5D07C3"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57FFA313" w14:textId="77777777" w:rsidR="00603C7E"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051FE493" w14:textId="77777777" w:rsidR="00603C7E" w:rsidRDefault="00603C7E">
      <w:pPr>
        <w:rPr>
          <w:rFonts w:ascii="Times New Roman" w:eastAsia="Times New Roman" w:hAnsi="Times New Roman" w:cs="Times New Roman"/>
        </w:rPr>
      </w:pPr>
    </w:p>
    <w:sectPr w:rsidR="00603C7E">
      <w:pgSz w:w="16834" w:h="11909" w:orient="landscape"/>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949756EB-1E4E-48ED-B067-880D0E76C569}"/>
  </w:font>
  <w:font w:name="Cambria">
    <w:panose1 w:val="02040503050406030204"/>
    <w:charset w:val="00"/>
    <w:family w:val="roman"/>
    <w:pitch w:val="variable"/>
    <w:sig w:usb0="E00006FF" w:usb1="420024FF" w:usb2="02000000" w:usb3="00000000" w:csb0="0000019F" w:csb1="00000000"/>
    <w:embedRegular r:id="rId2" w:fontKey="{FB35C75C-44EA-4F43-AE5C-45F8D5FEF12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C7E"/>
    <w:rsid w:val="000443DB"/>
    <w:rsid w:val="0051653A"/>
    <w:rsid w:val="00603C7E"/>
    <w:rsid w:val="006E4A09"/>
    <w:rsid w:val="007E5412"/>
    <w:rsid w:val="009941A0"/>
    <w:rsid w:val="00FF5BBB"/>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885B"/>
  <w15:docId w15:val="{43675B79-B6AA-4E55-A3C3-669654AD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14514</Words>
  <Characters>84184</Characters>
  <Application>Microsoft Office Word</Application>
  <DocSecurity>0</DocSecurity>
  <Lines>701</Lines>
  <Paragraphs>197</Paragraphs>
  <ScaleCrop>false</ScaleCrop>
  <Company/>
  <LinksUpToDate>false</LinksUpToDate>
  <CharactersWithSpaces>98501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Directia Coordonare Politici Publice si Integrare Europeana</cp:lastModifiedBy>
  <cp:revision>5</cp:revision>
  <dcterms:created xsi:type="dcterms:W3CDTF">2026-04-01T08:19:00Z</dcterms:created>
  <dcterms:modified xsi:type="dcterms:W3CDTF">2026-04-09T11:04:00Z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d5ff3673-d080-4307-9eab-1d45b284125c</vt:lpwstr>
  </property>
</Properties>
</file>