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4AA1C" w14:textId="77777777" w:rsidR="00477212" w:rsidRPr="00D31F43" w:rsidRDefault="00000000">
      <w:pPr>
        <w:spacing w:line="240" w:lineRule="auto"/>
        <w:ind w:firstLine="567"/>
        <w:jc w:val="center"/>
        <w:rPr>
          <w:rFonts w:ascii="Times New Roman" w:eastAsia="Times New Roman" w:hAnsi="Times New Roman" w:cs="Times New Roman"/>
          <w:b/>
          <w:bCs/>
          <w:sz w:val="24"/>
          <w:szCs w:val="24"/>
          <w:lang w:val="it-IT"/>
        </w:rPr>
      </w:pPr>
      <w:r>
        <w:rPr>
          <w:rFonts w:ascii="Times New Roman" w:eastAsia="Times New Roman" w:hAnsi="Times New Roman" w:cs="Times New Roman"/>
          <w:b/>
          <w:bCs/>
        </w:rPr>
        <w:t xml:space="preserve">   </w:t>
      </w:r>
      <w:r w:rsidRPr="00D31F43">
        <w:rPr>
          <w:rFonts w:ascii="Times New Roman" w:eastAsia="Times New Roman" w:hAnsi="Times New Roman" w:cs="Times New Roman"/>
          <w:b/>
          <w:bCs/>
          <w:sz w:val="24"/>
          <w:szCs w:val="24"/>
          <w:lang w:val="it-IT"/>
        </w:rPr>
        <w:t>SINTEZA</w:t>
      </w:r>
    </w:p>
    <w:p w14:paraId="3C5EAE18" w14:textId="77777777" w:rsidR="00477212" w:rsidRPr="00D31F43" w:rsidRDefault="00000000">
      <w:pPr>
        <w:spacing w:before="240" w:after="240"/>
        <w:jc w:val="center"/>
        <w:rPr>
          <w:rFonts w:ascii="Times New Roman" w:eastAsia="Times New Roman" w:hAnsi="Times New Roman" w:cs="Times New Roman"/>
          <w:b/>
          <w:bCs/>
          <w:sz w:val="24"/>
          <w:szCs w:val="24"/>
          <w:lang w:val="it-IT"/>
        </w:rPr>
      </w:pPr>
      <w:r w:rsidRPr="00D31F43">
        <w:rPr>
          <w:rFonts w:ascii="Times New Roman" w:eastAsia="Times New Roman" w:hAnsi="Times New Roman" w:cs="Times New Roman"/>
          <w:b/>
          <w:bCs/>
          <w:sz w:val="24"/>
          <w:szCs w:val="24"/>
          <w:lang w:val="it-IT"/>
        </w:rPr>
        <w:t>la proiectul Hotărârii Guvernului pentru aprobarea</w:t>
      </w:r>
    </w:p>
    <w:p w14:paraId="174991DC" w14:textId="77777777" w:rsidR="00477212" w:rsidRPr="00D31F43" w:rsidRDefault="00000000">
      <w:pPr>
        <w:spacing w:before="240" w:after="240"/>
        <w:jc w:val="center"/>
        <w:rPr>
          <w:rFonts w:ascii="Times New Roman" w:eastAsia="Times New Roman" w:hAnsi="Times New Roman" w:cs="Times New Roman"/>
          <w:b/>
          <w:bCs/>
          <w:sz w:val="24"/>
          <w:szCs w:val="24"/>
          <w:lang w:val="it-IT"/>
        </w:rPr>
      </w:pPr>
      <w:r w:rsidRPr="00D31F43">
        <w:rPr>
          <w:rFonts w:ascii="Times New Roman" w:eastAsia="Times New Roman" w:hAnsi="Times New Roman" w:cs="Times New Roman"/>
          <w:b/>
          <w:bCs/>
          <w:sz w:val="24"/>
          <w:szCs w:val="24"/>
          <w:lang w:val="it-IT"/>
        </w:rPr>
        <w:t>Regulamentului privind aplicarea prevederilor referitoare la</w:t>
      </w:r>
    </w:p>
    <w:p w14:paraId="7C6D65CE" w14:textId="7E8C5C94" w:rsidR="00477212" w:rsidRPr="00D31F43" w:rsidRDefault="00000000">
      <w:pPr>
        <w:spacing w:before="240" w:after="240"/>
        <w:jc w:val="center"/>
        <w:rPr>
          <w:rFonts w:ascii="Times New Roman" w:eastAsia="Times New Roman" w:hAnsi="Times New Roman" w:cs="Times New Roman"/>
          <w:b/>
          <w:bCs/>
          <w:sz w:val="24"/>
          <w:szCs w:val="24"/>
          <w:lang w:val="it-IT"/>
        </w:rPr>
      </w:pPr>
      <w:r w:rsidRPr="00D31F43">
        <w:rPr>
          <w:rFonts w:ascii="Times New Roman" w:eastAsia="Times New Roman" w:hAnsi="Times New Roman" w:cs="Times New Roman"/>
          <w:b/>
          <w:bCs/>
          <w:sz w:val="24"/>
          <w:szCs w:val="24"/>
          <w:lang w:val="it-IT"/>
        </w:rPr>
        <w:t>prevenirea și combaterea violenței și</w:t>
      </w:r>
      <w:r w:rsidR="00AE06E3">
        <w:rPr>
          <w:rFonts w:ascii="Times New Roman" w:eastAsia="Times New Roman" w:hAnsi="Times New Roman" w:cs="Times New Roman"/>
          <w:b/>
          <w:bCs/>
          <w:sz w:val="24"/>
          <w:szCs w:val="24"/>
          <w:lang w:val="it-IT"/>
        </w:rPr>
        <w:t>/sau</w:t>
      </w:r>
      <w:r w:rsidRPr="00D31F43">
        <w:rPr>
          <w:rFonts w:ascii="Times New Roman" w:eastAsia="Times New Roman" w:hAnsi="Times New Roman" w:cs="Times New Roman"/>
          <w:b/>
          <w:bCs/>
          <w:sz w:val="24"/>
          <w:szCs w:val="24"/>
          <w:lang w:val="it-IT"/>
        </w:rPr>
        <w:t xml:space="preserve"> hărțuirii în muncă în autoritățile publice</w:t>
      </w:r>
    </w:p>
    <w:p w14:paraId="0BE79B95" w14:textId="77777777" w:rsidR="00477212" w:rsidRPr="00D31F43" w:rsidRDefault="00000000">
      <w:pPr>
        <w:spacing w:before="240" w:after="240"/>
        <w:jc w:val="center"/>
        <w:rPr>
          <w:rFonts w:ascii="Times New Roman" w:eastAsia="Times New Roman" w:hAnsi="Times New Roman" w:cs="Times New Roman"/>
          <w:b/>
          <w:bCs/>
          <w:sz w:val="24"/>
          <w:szCs w:val="24"/>
          <w:lang w:val="it-IT"/>
        </w:rPr>
      </w:pPr>
      <w:r w:rsidRPr="00D31F43">
        <w:rPr>
          <w:rFonts w:ascii="Times New Roman" w:eastAsia="Times New Roman" w:hAnsi="Times New Roman" w:cs="Times New Roman"/>
          <w:b/>
          <w:bCs/>
          <w:sz w:val="24"/>
          <w:szCs w:val="24"/>
          <w:lang w:val="it-IT"/>
        </w:rPr>
        <w:t>(</w:t>
      </w:r>
      <w:r w:rsidRPr="00D31F43">
        <w:rPr>
          <w:rFonts w:ascii="Times New Roman" w:eastAsia="Times New Roman" w:hAnsi="Times New Roman" w:cs="Times New Roman"/>
          <w:b/>
          <w:bCs/>
          <w:i/>
          <w:iCs/>
          <w:sz w:val="24"/>
          <w:szCs w:val="24"/>
          <w:lang w:val="it-IT"/>
        </w:rPr>
        <w:t>număr unic</w:t>
      </w:r>
      <w:r w:rsidRPr="00D31F43">
        <w:rPr>
          <w:rFonts w:ascii="Times New Roman" w:eastAsia="Times New Roman" w:hAnsi="Times New Roman" w:cs="Times New Roman"/>
          <w:b/>
          <w:bCs/>
          <w:sz w:val="24"/>
          <w:szCs w:val="24"/>
          <w:lang w:val="it-IT"/>
        </w:rPr>
        <w:t xml:space="preserve"> 88/MMPS/2026)</w:t>
      </w:r>
    </w:p>
    <w:p w14:paraId="4F484D76" w14:textId="77777777" w:rsidR="00477212" w:rsidRPr="00D31F43" w:rsidRDefault="00477212">
      <w:pPr>
        <w:spacing w:line="240" w:lineRule="auto"/>
        <w:ind w:firstLine="567"/>
        <w:jc w:val="center"/>
        <w:rPr>
          <w:rFonts w:ascii="Times New Roman" w:eastAsia="Times New Roman" w:hAnsi="Times New Roman" w:cs="Times New Roman"/>
          <w:b/>
          <w:bCs/>
          <w:lang w:val="it-IT"/>
        </w:rPr>
      </w:pPr>
    </w:p>
    <w:p w14:paraId="23D099C3" w14:textId="77777777" w:rsidR="00477212" w:rsidRPr="00D31F43" w:rsidRDefault="00000000">
      <w:pPr>
        <w:spacing w:line="240" w:lineRule="auto"/>
        <w:ind w:firstLine="567"/>
        <w:jc w:val="center"/>
        <w:rPr>
          <w:rFonts w:ascii="Times New Roman" w:eastAsia="Times New Roman" w:hAnsi="Times New Roman" w:cs="Times New Roman"/>
          <w:b/>
          <w:bCs/>
          <w:sz w:val="24"/>
          <w:szCs w:val="24"/>
          <w:lang w:val="it-IT"/>
        </w:rPr>
      </w:pPr>
      <w:r w:rsidRPr="00D31F43">
        <w:rPr>
          <w:rFonts w:ascii="Times New Roman" w:eastAsia="Times New Roman" w:hAnsi="Times New Roman" w:cs="Times New Roman"/>
          <w:b/>
          <w:bCs/>
          <w:sz w:val="24"/>
          <w:szCs w:val="24"/>
          <w:lang w:val="it-IT"/>
        </w:rPr>
        <w:t xml:space="preserve"> </w:t>
      </w:r>
    </w:p>
    <w:tbl>
      <w:tblPr>
        <w:tblStyle w:val="a"/>
        <w:tblpPr w:leftFromText="180" w:rightFromText="180" w:vertAnchor="text"/>
        <w:tblW w:w="15015"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675"/>
        <w:gridCol w:w="1730"/>
        <w:gridCol w:w="6685"/>
        <w:gridCol w:w="5925"/>
      </w:tblGrid>
      <w:tr w:rsidR="00477212" w14:paraId="0AE7BA7D" w14:textId="77777777">
        <w:trPr>
          <w:trHeight w:val="621"/>
        </w:trPr>
        <w:tc>
          <w:tcPr>
            <w:tcW w:w="675" w:type="dxa"/>
          </w:tcPr>
          <w:p w14:paraId="14A784EA" w14:textId="77777777" w:rsidR="00477212"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Nr. d/o</w:t>
            </w:r>
          </w:p>
        </w:tc>
        <w:tc>
          <w:tcPr>
            <w:tcW w:w="1730" w:type="dxa"/>
          </w:tcPr>
          <w:p w14:paraId="79A2CBE3" w14:textId="77777777" w:rsidR="00477212"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Autorul propunerilor şi obiecţiilor</w:t>
            </w:r>
          </w:p>
        </w:tc>
        <w:tc>
          <w:tcPr>
            <w:tcW w:w="6685" w:type="dxa"/>
          </w:tcPr>
          <w:p w14:paraId="7574BD38" w14:textId="77777777" w:rsidR="00477212" w:rsidRDefault="00000000">
            <w:pPr>
              <w:keepNext/>
              <w:spacing w:line="240" w:lineRule="auto"/>
              <w:ind w:firstLine="567"/>
              <w:jc w:val="center"/>
              <w:rPr>
                <w:rFonts w:ascii="Times New Roman" w:eastAsia="Times New Roman" w:hAnsi="Times New Roman" w:cs="Times New Roman"/>
              </w:rPr>
            </w:pPr>
            <w:r>
              <w:rPr>
                <w:rFonts w:ascii="Times New Roman" w:eastAsia="Times New Roman" w:hAnsi="Times New Roman" w:cs="Times New Roman"/>
              </w:rPr>
              <w:t>Conținutul propunerilor, obiecțiilor</w:t>
            </w:r>
          </w:p>
        </w:tc>
        <w:tc>
          <w:tcPr>
            <w:tcW w:w="5925" w:type="dxa"/>
          </w:tcPr>
          <w:p w14:paraId="1A8C13FE" w14:textId="77777777" w:rsidR="00477212" w:rsidRDefault="00000000">
            <w:pPr>
              <w:spacing w:line="240" w:lineRule="auto"/>
              <w:ind w:firstLine="567"/>
              <w:jc w:val="center"/>
              <w:rPr>
                <w:rFonts w:ascii="Times New Roman" w:eastAsia="Times New Roman" w:hAnsi="Times New Roman" w:cs="Times New Roman"/>
              </w:rPr>
            </w:pPr>
            <w:r>
              <w:rPr>
                <w:rFonts w:ascii="Times New Roman" w:eastAsia="Times New Roman" w:hAnsi="Times New Roman" w:cs="Times New Roman"/>
              </w:rPr>
              <w:t>Argumentare</w:t>
            </w:r>
          </w:p>
        </w:tc>
      </w:tr>
      <w:tr w:rsidR="00477212" w14:paraId="37E35526" w14:textId="77777777">
        <w:trPr>
          <w:trHeight w:val="267"/>
        </w:trPr>
        <w:tc>
          <w:tcPr>
            <w:tcW w:w="675" w:type="dxa"/>
          </w:tcPr>
          <w:p w14:paraId="76E9FE43" w14:textId="77777777" w:rsidR="00477212" w:rsidRDefault="00000000">
            <w:pPr>
              <w:spacing w:line="240" w:lineRule="auto"/>
              <w:ind w:firstLine="567"/>
              <w:rPr>
                <w:rFonts w:ascii="Times New Roman" w:eastAsia="Times New Roman" w:hAnsi="Times New Roman" w:cs="Times New Roman"/>
                <w:i/>
                <w:iCs/>
              </w:rPr>
            </w:pPr>
            <w:r>
              <w:rPr>
                <w:rFonts w:ascii="Times New Roman" w:eastAsia="Times New Roman" w:hAnsi="Times New Roman" w:cs="Times New Roman"/>
                <w:i/>
                <w:iCs/>
              </w:rPr>
              <w:t>1</w:t>
            </w:r>
          </w:p>
        </w:tc>
        <w:tc>
          <w:tcPr>
            <w:tcW w:w="1730" w:type="dxa"/>
          </w:tcPr>
          <w:p w14:paraId="09CC3AAB" w14:textId="77777777" w:rsidR="00477212" w:rsidRDefault="00000000">
            <w:pPr>
              <w:spacing w:line="240" w:lineRule="auto"/>
              <w:ind w:firstLine="567"/>
              <w:rPr>
                <w:rFonts w:ascii="Times New Roman" w:eastAsia="Times New Roman" w:hAnsi="Times New Roman" w:cs="Times New Roman"/>
                <w:i/>
                <w:iCs/>
              </w:rPr>
            </w:pPr>
            <w:r>
              <w:rPr>
                <w:rFonts w:ascii="Times New Roman" w:eastAsia="Times New Roman" w:hAnsi="Times New Roman" w:cs="Times New Roman"/>
                <w:i/>
                <w:iCs/>
              </w:rPr>
              <w:t>2</w:t>
            </w:r>
          </w:p>
        </w:tc>
        <w:tc>
          <w:tcPr>
            <w:tcW w:w="6685" w:type="dxa"/>
          </w:tcPr>
          <w:p w14:paraId="7AF35C01" w14:textId="77777777" w:rsidR="00477212"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i/>
                <w:iCs/>
              </w:rPr>
              <w:t>3</w:t>
            </w:r>
          </w:p>
        </w:tc>
        <w:tc>
          <w:tcPr>
            <w:tcW w:w="5925" w:type="dxa"/>
          </w:tcPr>
          <w:p w14:paraId="651D80CE" w14:textId="77777777" w:rsidR="00477212" w:rsidRDefault="00000000">
            <w:pPr>
              <w:spacing w:line="240" w:lineRule="auto"/>
              <w:ind w:firstLine="567"/>
              <w:jc w:val="center"/>
              <w:rPr>
                <w:rFonts w:ascii="Times New Roman" w:eastAsia="Times New Roman" w:hAnsi="Times New Roman" w:cs="Times New Roman"/>
                <w:i/>
                <w:iCs/>
              </w:rPr>
            </w:pPr>
            <w:r>
              <w:rPr>
                <w:rFonts w:ascii="Times New Roman" w:eastAsia="Times New Roman" w:hAnsi="Times New Roman" w:cs="Times New Roman"/>
                <w:i/>
                <w:iCs/>
              </w:rPr>
              <w:t>4</w:t>
            </w:r>
          </w:p>
        </w:tc>
      </w:tr>
      <w:tr w:rsidR="00477212" w:rsidRPr="00AE06E3" w14:paraId="41849282" w14:textId="77777777">
        <w:trPr>
          <w:trHeight w:val="600"/>
        </w:trPr>
        <w:tc>
          <w:tcPr>
            <w:tcW w:w="675" w:type="dxa"/>
          </w:tcPr>
          <w:p w14:paraId="27466561" w14:textId="77777777" w:rsidR="00477212" w:rsidRDefault="00477212">
            <w:pPr>
              <w:numPr>
                <w:ilvl w:val="0"/>
                <w:numId w:val="9"/>
              </w:numPr>
              <w:spacing w:line="240" w:lineRule="auto"/>
              <w:ind w:firstLine="567"/>
              <w:rPr>
                <w:rFonts w:ascii="Times New Roman" w:eastAsia="Times New Roman" w:hAnsi="Times New Roman" w:cs="Times New Roman"/>
                <w:b/>
                <w:bCs/>
              </w:rPr>
            </w:pPr>
          </w:p>
          <w:p w14:paraId="52ABF428"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1730" w:type="dxa"/>
          </w:tcPr>
          <w:p w14:paraId="29C28C08"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Dezvoltării Economice și Digitalizării</w:t>
            </w:r>
          </w:p>
          <w:p w14:paraId="2782DF28" w14:textId="77777777" w:rsidR="00477212" w:rsidRDefault="00477212">
            <w:pPr>
              <w:spacing w:line="240" w:lineRule="auto"/>
              <w:ind w:firstLine="567"/>
              <w:jc w:val="center"/>
              <w:rPr>
                <w:rFonts w:ascii="Times New Roman" w:eastAsia="Times New Roman" w:hAnsi="Times New Roman" w:cs="Times New Roman"/>
                <w:b/>
                <w:bCs/>
                <w:highlight w:val="yellow"/>
              </w:rPr>
            </w:pPr>
          </w:p>
          <w:p w14:paraId="62B7C99C" w14:textId="77777777" w:rsidR="00477212" w:rsidRDefault="00000000">
            <w:pPr>
              <w:spacing w:line="240" w:lineRule="auto"/>
              <w:jc w:val="center"/>
              <w:rPr>
                <w:rFonts w:ascii="Times New Roman" w:eastAsia="Times New Roman" w:hAnsi="Times New Roman" w:cs="Times New Roman"/>
                <w:i/>
                <w:iCs/>
              </w:rPr>
            </w:pPr>
            <w:r>
              <w:rPr>
                <w:rFonts w:ascii="Times New Roman" w:eastAsia="Times New Roman" w:hAnsi="Times New Roman" w:cs="Times New Roman"/>
                <w:i/>
                <w:iCs/>
              </w:rPr>
              <w:t>Nr. 17-662 din 26.02.2026</w:t>
            </w:r>
          </w:p>
        </w:tc>
        <w:tc>
          <w:tcPr>
            <w:tcW w:w="6685" w:type="dxa"/>
          </w:tcPr>
          <w:p w14:paraId="3FBE5BD6" w14:textId="77777777" w:rsidR="00477212" w:rsidRDefault="00000000">
            <w:pPr>
              <w:numPr>
                <w:ilvl w:val="0"/>
                <w:numId w:val="8"/>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highlight w:val="white"/>
              </w:rPr>
              <w:t>Se propune instituirea unei verificări preliminare de admisibilitate, distinctă de analiza fondului, cu specificarea expresă a sesizărilor care pot fi respinse ca inadmisibile.</w:t>
            </w:r>
          </w:p>
          <w:p w14:paraId="04D5E561" w14:textId="77777777" w:rsidR="00477212" w:rsidRDefault="00000000">
            <w:pPr>
              <w:numPr>
                <w:ilvl w:val="0"/>
                <w:numId w:val="8"/>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highlight w:val="white"/>
              </w:rPr>
              <w:t>Regulamentul nu conține dispoziții privind obligația petenților de a exercita cu bună-credință dreptul de sesizare și nici nu reglementează consecințele formulării unei sesizări cu rea-credință. În lipsa unei asemenea prevederi, mecanismul instituit poate fi utilizat în mod abuziv. Se propune completarea Regulamentului cu o normă distinctă privind exercitarea cu bună-credință a dreptului de sesizare și stabilirea răspunderii persoanei care formulează o sesizare cu rea-credință.</w:t>
            </w:r>
          </w:p>
          <w:p w14:paraId="1CCD7C67" w14:textId="77777777" w:rsidR="00477212" w:rsidRDefault="00000000">
            <w:pPr>
              <w:numPr>
                <w:ilvl w:val="0"/>
                <w:numId w:val="8"/>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highlight w:val="white"/>
              </w:rPr>
              <w:t>Regulamentul nu reglementează situația în care persoana reclamată nu mai activează în cadrul autorității publice la momentul examinării sesizării. În condițiile în care încetarea raporturilor de muncă exclude aplicarea unei sancțiuni disciplinare, nu este clar dacă procedura de investigare continuă sau cauza se clasează.</w:t>
            </w:r>
          </w:p>
          <w:p w14:paraId="122A3DCF"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r>
              <w:rPr>
                <w:rFonts w:ascii="Times New Roman" w:eastAsia="Times New Roman" w:hAnsi="Times New Roman" w:cs="Times New Roman"/>
                <w:highlight w:val="white"/>
              </w:rPr>
              <w:t xml:space="preserve">Potrivit pct. 15 din Regulament, „Persoanele care, prin acțiuni sau omisiuni,împiedică, obstrucționează, influențează sau deturnează în orice mod desfășurarea procedurilor interne privind prevenirea și </w:t>
            </w:r>
            <w:r>
              <w:rPr>
                <w:rFonts w:ascii="Times New Roman" w:eastAsia="Times New Roman" w:hAnsi="Times New Roman" w:cs="Times New Roman"/>
                <w:highlight w:val="white"/>
              </w:rPr>
              <w:lastRenderedPageBreak/>
              <w:t xml:space="preserve">combaterea violenței și hărțuirii în muncă poartă răspundere în condițiile legislației în vigoare și ale politicilor interne ale autorității publice”. Sintagma „în orice mod” are un caracter general și nu asigură claritatea și previzibilitatea normei, iar referirea la „politicile interne” în materia angajării răspunderii este improprie, întrucât temeiul juridic al răspunderii (fie disciplinară, contravențională, penală, materială) îl constituie doar legea. </w:t>
            </w:r>
            <w:r w:rsidRPr="00D31F43">
              <w:rPr>
                <w:rFonts w:ascii="Times New Roman" w:eastAsia="Times New Roman" w:hAnsi="Times New Roman" w:cs="Times New Roman"/>
                <w:highlight w:val="white"/>
                <w:lang w:val="it-IT"/>
              </w:rPr>
              <w:t>Se propune revizuirea redacției prin eliminarea formulărilor vagi și indicarea expresă a răspunderii în condițiile legislației în vigoare.</w:t>
            </w:r>
          </w:p>
          <w:p w14:paraId="7991DF20"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highlight w:val="white"/>
                <w:lang w:val="it-IT"/>
              </w:rPr>
              <w:t>Pct. 18 prevede că sesizarea este „semnată”. Nu este clar dacă sesizările anonime sunt inadmisibile sau pot fi examinate din oficiu.</w:t>
            </w:r>
          </w:p>
          <w:p w14:paraId="6C29BFEA" w14:textId="77777777" w:rsidR="00477212" w:rsidRDefault="00000000">
            <w:pPr>
              <w:numPr>
                <w:ilvl w:val="0"/>
                <w:numId w:val="8"/>
              </w:numPr>
              <w:spacing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highlight w:val="white"/>
                <w:lang w:val="it-IT"/>
              </w:rPr>
              <w:t xml:space="preserve">Potrivit pct. 19, „Persoana desemnată sau, după caz, comisia desemnată pentru investigarea cazului are obligația de a înregistra de îndată sesizarea într-un registru special și de a asigura evidența și păstrarea acesteia în conformitate cu procedurile interne ale autorității publice (conform Anexei nr. 2 la Regulament)”. Sintagma „de îndată” nu corespunde cerințelor de claritate, precizie și previzibilitate a normei, întrucât nu stabilește un termen determinat pentru executarea obligației. </w:t>
            </w:r>
            <w:r>
              <w:rPr>
                <w:rFonts w:ascii="Times New Roman" w:eastAsia="Times New Roman" w:hAnsi="Times New Roman" w:cs="Times New Roman"/>
                <w:highlight w:val="white"/>
              </w:rPr>
              <w:t>Se propune substituirea acesteia prin indicarea unui termen concret și realist.</w:t>
            </w:r>
          </w:p>
          <w:p w14:paraId="18B4666D" w14:textId="77777777" w:rsidR="00477212" w:rsidRDefault="00000000">
            <w:pPr>
              <w:numPr>
                <w:ilvl w:val="0"/>
                <w:numId w:val="8"/>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highlight w:val="white"/>
              </w:rPr>
              <w:t>Potrivit pct. 20 și 21, pentru fiecare sesizare conducătorul autorității publice desemnează, prin ordin, o persoană responsabilă sau constituie o comisie de investigare, iar componența acesteia poate varia de la un caz la altul. Totodată, potrivit pct. 23 subpct. 23.1, persoana desemnată sau membrii comisiei trebuie să dețină instruire specifică în domeniul prevenirii și combaterii violenței și hărțuirii în muncă. Constituirea ad-hoc a comisiei, cu componență variabilă, este dificil de corelat cu cerința de instruire obligatorie în domeniu. În practică, conducătorul va desemna, de regulă, aceeași persoană sau aceeași comisie. Se propune instituirea unei comisii permanente, cu componență stabilă, desemnată prin act administrativ, pentru a asigura profesionalizarea și aplicarea uniformă a procedurii.</w:t>
            </w:r>
          </w:p>
          <w:p w14:paraId="5BCA2529" w14:textId="77777777" w:rsidR="00477212" w:rsidRDefault="00000000">
            <w:pPr>
              <w:numPr>
                <w:ilvl w:val="0"/>
                <w:numId w:val="8"/>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highlight w:val="white"/>
              </w:rPr>
              <w:t xml:space="preserve">Potrivit pct. 23 subpct. 23.2 se prevede „lipsa oricărui conflict de interese”, iar potrivit pct. 24, persoana aflată în conflict de interese se abține sau este înlăturată prin act administrativ al conducătorului </w:t>
            </w:r>
            <w:r>
              <w:rPr>
                <w:rFonts w:ascii="Times New Roman" w:eastAsia="Times New Roman" w:hAnsi="Times New Roman" w:cs="Times New Roman"/>
                <w:highlight w:val="white"/>
              </w:rPr>
              <w:lastRenderedPageBreak/>
              <w:t>autorității publice. Norma nu precizează ce situații constituie conflict de interese, cine constată existența acestuia și în baza căror criterii obiective se face această apreciere, astfel cum sunt reglementate, spre exemplu, la art. 49 din Codul administrativ. În lipsa unei reglementări clare, există riscul unor aprecieri subiective sau al aplicării neuniforme a dispoziției. Se propune indicarea expresă a criteriilor și a cadrului normativ aplicabil pentru determinarea conflictului de interese.</w:t>
            </w:r>
          </w:p>
          <w:p w14:paraId="75006D42" w14:textId="77777777" w:rsidR="00477212" w:rsidRDefault="00000000">
            <w:pPr>
              <w:numPr>
                <w:ilvl w:val="0"/>
                <w:numId w:val="8"/>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highlight w:val="white"/>
              </w:rPr>
              <w:t>Potrivit pct. 25, sintagmele „în timp util” și „toate etapele procedurii” nu sunt suficient de clare, întrucât nu indică momentul informării (etapa procedurală), forma acesteia (verbală și/sau scrisă) și nici subiectul responsabil (persoana desemnată/comisia ori conducătorul autorității). Totodată, norma necesită corelare cu dispozițiile privind confidențialitatea, deoarece informarea „cu privire la toate etapele” poate intra în contradicție cu obligația de protejare a datelor și a identității persoanelor implicate.</w:t>
            </w:r>
          </w:p>
          <w:p w14:paraId="2C6C753D" w14:textId="77777777" w:rsidR="00477212" w:rsidRDefault="00000000">
            <w:pPr>
              <w:numPr>
                <w:ilvl w:val="0"/>
                <w:numId w:val="8"/>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highlight w:val="white"/>
              </w:rPr>
              <w:t>Potrivit pct. 26, „Toate părțile implicate beneficiază de dreptul la apărare, având posibilitatea de a formula explicații, de a prezenta probe, de a propune martori și de a beneficia de asistență juridică, după caz”. Norma are caracter general și nu stabilește cadrul procedural de exercitare a dreptului la apărare (termenul, forma și momentul procesual), iar sintagma „asistență juridică” nu este definită, nefiind clar dacă se are în vedere un avocat, un consilier juridic, un reprezentant sindical sau un alt reprezentant.</w:t>
            </w:r>
          </w:p>
          <w:p w14:paraId="57DA6D2A"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proofErr w:type="spellStart"/>
            <w:r w:rsidRPr="00D31F43">
              <w:rPr>
                <w:rFonts w:ascii="Times New Roman" w:eastAsia="Times New Roman" w:hAnsi="Times New Roman" w:cs="Times New Roman"/>
                <w:highlight w:val="white"/>
                <w:lang w:val="en-GB"/>
              </w:rPr>
              <w:t>Potrivit</w:t>
            </w:r>
            <w:proofErr w:type="spellEnd"/>
            <w:r w:rsidRPr="00D31F43">
              <w:rPr>
                <w:rFonts w:ascii="Times New Roman" w:eastAsia="Times New Roman" w:hAnsi="Times New Roman" w:cs="Times New Roman"/>
                <w:highlight w:val="white"/>
                <w:lang w:val="en-GB"/>
              </w:rPr>
              <w:t xml:space="preserve"> pct. 27, „</w:t>
            </w:r>
            <w:proofErr w:type="spellStart"/>
            <w:r w:rsidRPr="00D31F43">
              <w:rPr>
                <w:rFonts w:ascii="Times New Roman" w:eastAsia="Times New Roman" w:hAnsi="Times New Roman" w:cs="Times New Roman"/>
                <w:highlight w:val="white"/>
                <w:lang w:val="en-GB"/>
              </w:rPr>
              <w:t>Toate</w:t>
            </w:r>
            <w:proofErr w:type="spellEnd"/>
            <w:r w:rsidRPr="00D31F43">
              <w:rPr>
                <w:rFonts w:ascii="Times New Roman" w:eastAsia="Times New Roman" w:hAnsi="Times New Roman" w:cs="Times New Roman"/>
                <w:highlight w:val="white"/>
                <w:lang w:val="en-GB"/>
              </w:rPr>
              <w:t xml:space="preserve"> </w:t>
            </w:r>
            <w:proofErr w:type="spellStart"/>
            <w:r w:rsidRPr="00D31F43">
              <w:rPr>
                <w:rFonts w:ascii="Times New Roman" w:eastAsia="Times New Roman" w:hAnsi="Times New Roman" w:cs="Times New Roman"/>
                <w:highlight w:val="white"/>
                <w:lang w:val="en-GB"/>
              </w:rPr>
              <w:t>informațiile</w:t>
            </w:r>
            <w:proofErr w:type="spellEnd"/>
            <w:r w:rsidRPr="00D31F43">
              <w:rPr>
                <w:rFonts w:ascii="Times New Roman" w:eastAsia="Times New Roman" w:hAnsi="Times New Roman" w:cs="Times New Roman"/>
                <w:highlight w:val="white"/>
                <w:lang w:val="en-GB"/>
              </w:rPr>
              <w:t xml:space="preserve"> [...] sunt </w:t>
            </w:r>
            <w:proofErr w:type="spellStart"/>
            <w:r w:rsidRPr="00D31F43">
              <w:rPr>
                <w:rFonts w:ascii="Times New Roman" w:eastAsia="Times New Roman" w:hAnsi="Times New Roman" w:cs="Times New Roman"/>
                <w:highlight w:val="white"/>
                <w:lang w:val="en-GB"/>
              </w:rPr>
              <w:t>supuse</w:t>
            </w:r>
            <w:proofErr w:type="spellEnd"/>
            <w:r w:rsidRPr="00D31F43">
              <w:rPr>
                <w:rFonts w:ascii="Times New Roman" w:eastAsia="Times New Roman" w:hAnsi="Times New Roman" w:cs="Times New Roman"/>
                <w:highlight w:val="white"/>
                <w:lang w:val="en-GB"/>
              </w:rPr>
              <w:t xml:space="preserve"> </w:t>
            </w:r>
            <w:proofErr w:type="spellStart"/>
            <w:r w:rsidRPr="00D31F43">
              <w:rPr>
                <w:rFonts w:ascii="Times New Roman" w:eastAsia="Times New Roman" w:hAnsi="Times New Roman" w:cs="Times New Roman"/>
                <w:highlight w:val="white"/>
                <w:lang w:val="en-GB"/>
              </w:rPr>
              <w:t>unui</w:t>
            </w:r>
            <w:proofErr w:type="spellEnd"/>
            <w:r w:rsidRPr="00D31F43">
              <w:rPr>
                <w:rFonts w:ascii="Times New Roman" w:eastAsia="Times New Roman" w:hAnsi="Times New Roman" w:cs="Times New Roman"/>
                <w:highlight w:val="white"/>
                <w:lang w:val="en-GB"/>
              </w:rPr>
              <w:t xml:space="preserve"> </w:t>
            </w:r>
            <w:proofErr w:type="spellStart"/>
            <w:r w:rsidRPr="00D31F43">
              <w:rPr>
                <w:rFonts w:ascii="Times New Roman" w:eastAsia="Times New Roman" w:hAnsi="Times New Roman" w:cs="Times New Roman"/>
                <w:highlight w:val="white"/>
                <w:lang w:val="en-GB"/>
              </w:rPr>
              <w:t>regim</w:t>
            </w:r>
            <w:proofErr w:type="spellEnd"/>
            <w:r w:rsidRPr="00D31F43">
              <w:rPr>
                <w:rFonts w:ascii="Times New Roman" w:eastAsia="Times New Roman" w:hAnsi="Times New Roman" w:cs="Times New Roman"/>
                <w:highlight w:val="white"/>
                <w:lang w:val="en-GB"/>
              </w:rPr>
              <w:t xml:space="preserve"> strict de </w:t>
            </w:r>
            <w:proofErr w:type="spellStart"/>
            <w:r w:rsidRPr="00D31F43">
              <w:rPr>
                <w:rFonts w:ascii="Times New Roman" w:eastAsia="Times New Roman" w:hAnsi="Times New Roman" w:cs="Times New Roman"/>
                <w:highlight w:val="white"/>
                <w:lang w:val="en-GB"/>
              </w:rPr>
              <w:t>confidențialitate</w:t>
            </w:r>
            <w:proofErr w:type="spellEnd"/>
            <w:r w:rsidRPr="00D31F43">
              <w:rPr>
                <w:rFonts w:ascii="Times New Roman" w:eastAsia="Times New Roman" w:hAnsi="Times New Roman" w:cs="Times New Roman"/>
                <w:highlight w:val="white"/>
                <w:lang w:val="en-GB"/>
              </w:rPr>
              <w:t xml:space="preserve"> [...]”. </w:t>
            </w:r>
            <w:r w:rsidRPr="00D31F43">
              <w:rPr>
                <w:rFonts w:ascii="Times New Roman" w:eastAsia="Times New Roman" w:hAnsi="Times New Roman" w:cs="Times New Roman"/>
                <w:highlight w:val="white"/>
                <w:lang w:val="pt-BR"/>
              </w:rPr>
              <w:t xml:space="preserve">Noțiunea de „regim strict de confidențialitate” nu este utilizată în legislația națională și nu este definită în cuprinsul Regulamentului. </w:t>
            </w:r>
            <w:r w:rsidRPr="00D31F43">
              <w:rPr>
                <w:rFonts w:ascii="Times New Roman" w:eastAsia="Times New Roman" w:hAnsi="Times New Roman" w:cs="Times New Roman"/>
                <w:highlight w:val="white"/>
                <w:lang w:val="it-IT"/>
              </w:rPr>
              <w:t>Se propune utilizarea unei terminologii conforme cadrului normativ în vigoare.</w:t>
            </w:r>
          </w:p>
          <w:p w14:paraId="719AD373"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highlight w:val="white"/>
                <w:lang w:val="it-IT"/>
              </w:rPr>
              <w:t xml:space="preserve">Potrivit pct. 30–31, persoana desemnată sau comisia de investigare întocmește un raport de constatare care cuprinde concluzii și propuneri de măsuri, iar potrivit pct. 34 conducătorul autorității publice „dispune măsurile necesare”, în funcție de concluziile incluse în raport. Regulamentul nu precizează dacă raportul are caracter obligatoriu sau consultativ pentru conducător și nici dacă acesta poate dispune măsuri diferite de cele propuse.Regulamentul nu conține o normă privind </w:t>
            </w:r>
            <w:r w:rsidRPr="00D31F43">
              <w:rPr>
                <w:rFonts w:ascii="Times New Roman" w:eastAsia="Times New Roman" w:hAnsi="Times New Roman" w:cs="Times New Roman"/>
                <w:highlight w:val="white"/>
                <w:lang w:val="it-IT"/>
              </w:rPr>
              <w:lastRenderedPageBreak/>
              <w:t>soluția de finalizare a procedurii în cazul în care faptele sesizate nu se confirmă (clasarea/încetarea examinării sesizării și forma actului emis). Se propune completarea cu o dispoziție distinctă care să prevadă expres că, în cazul neconfirmării faptelor, sesizarea se clasează (procedura încetează), cu comunicarea soluției motivate părților implicate.</w:t>
            </w:r>
          </w:p>
          <w:p w14:paraId="5BAED1E5"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highlight w:val="white"/>
                <w:lang w:val="it-IT"/>
              </w:rPr>
              <w:t>Potrivit subpct. 34.1 al Regulamentului, în funcție de concluziile investigației incluse în raport, conducătorul autorității publice poate dispune inițierea procedurii disciplinare, în vederea aplicării sancțiunilor corespunzătoare. Or, procedura disciplinară, conform Regulamentului privind comisia de disciplină din Anexa nr. 7 la Hotărârea Guvernului nr. 201/2009, presupune efectuarea unei anchete de serviciu, cu audierea persoanei care a formulat sesizarea, administrarea probelor și verificarea documentelor și declarațiilor. În aceste condiții, inițierea procedurii disciplinare conduce la reluarea examinării acelorași fapte deja investigate în cadrul procedurii prevăzute de prezentul Regulament. Se impune analizarea oportunității reglementării unei singure proceduri, pentru a evita prelungirea nejustificată a examinării și riscul expirării termenului de prescripție pentru aplicarea sancțiunii disciplinare.</w:t>
            </w:r>
          </w:p>
          <w:p w14:paraId="5CB7266A" w14:textId="77777777" w:rsidR="00477212" w:rsidRPr="00D31F43" w:rsidRDefault="00000000">
            <w:pPr>
              <w:numPr>
                <w:ilvl w:val="0"/>
                <w:numId w:val="8"/>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highlight w:val="white"/>
                <w:lang w:val="it-IT"/>
              </w:rPr>
              <w:t>Potrivit pct. 34 și 35, soluția finală se dispune și se comunică în formă scrisă, fără a fi stabilite expres forma actului și regimul juridic al acestuia (răspuns sau ordin). Norma nu precizează dacă actul emis este susceptibil de contestare și nici care sunt persoanele îndreptățite să îl atace (persoana vizată sau persoana reclamată). Se propune completarea dispoziției prin indicarea expresă a formei actului administrativ și a posibilității contestării acestuia în condițiile Codului administrativ.</w:t>
            </w:r>
          </w:p>
          <w:p w14:paraId="7949A3BF" w14:textId="77777777" w:rsidR="00477212" w:rsidRPr="00D31F43" w:rsidRDefault="00477212">
            <w:pPr>
              <w:spacing w:line="240" w:lineRule="auto"/>
              <w:jc w:val="both"/>
              <w:rPr>
                <w:rFonts w:ascii="Times New Roman" w:eastAsia="Times New Roman" w:hAnsi="Times New Roman" w:cs="Times New Roman"/>
                <w:highlight w:val="white"/>
                <w:lang w:val="it-IT"/>
              </w:rPr>
            </w:pPr>
          </w:p>
        </w:tc>
        <w:tc>
          <w:tcPr>
            <w:tcW w:w="5925" w:type="dxa"/>
          </w:tcPr>
          <w:p w14:paraId="191BBE2A"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585B1AC3" w14:textId="77777777" w:rsidR="00477212"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hanging="141"/>
              <w:jc w:val="both"/>
              <w:rPr>
                <w:rFonts w:ascii="Times New Roman" w:eastAsia="Times New Roman" w:hAnsi="Times New Roman" w:cs="Times New Roman"/>
                <w:highlight w:val="white"/>
              </w:rPr>
            </w:pPr>
            <w:r>
              <w:rPr>
                <w:rFonts w:ascii="Times New Roman" w:eastAsia="Times New Roman" w:hAnsi="Times New Roman" w:cs="Times New Roman"/>
                <w:highlight w:val="white"/>
              </w:rPr>
              <w:t>Nu se susține instituirea unei etape distincte de verificare preliminară a admisibilității sesizărilor. Procedura prevăzută de Regulament include deja mecanisme administrative de verificare și completare a sesizărilor, iar introducerea unei astfel de etape ar putea crea bariere nejustificate în accesul la mecanismul intern de raportare și investigare a faptelor de violență și hărțuire în muncă. În plus, respingerea sesizărilor ca inadmisibile ar contraveni scopului Regulamentului, care urmărește facilitarea raportării și examinarea efectivă a situațiilor semnalate.</w:t>
            </w:r>
          </w:p>
          <w:p w14:paraId="3A1E8BF3" w14:textId="77777777" w:rsidR="00477212" w:rsidRPr="00D31F4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pt-BR"/>
              </w:rPr>
            </w:pPr>
            <w:r>
              <w:rPr>
                <w:rFonts w:ascii="Times New Roman" w:eastAsia="Times New Roman" w:hAnsi="Times New Roman" w:cs="Times New Roman"/>
                <w:highlight w:val="white"/>
              </w:rPr>
              <w:t xml:space="preserve">Nu se susține completarea Regulamentului cu o normă distinctă privind exercitarea cu bună-credință a dreptului de sesizare. Buna-credință se prezumă în exercitarea drepturilor, potrivit principiilor generale ale dreptului. Totodată, modelul de sesizare prevăzut în anexă conține declarația pe propria </w:t>
            </w:r>
            <w:r>
              <w:rPr>
                <w:rFonts w:ascii="Times New Roman" w:eastAsia="Times New Roman" w:hAnsi="Times New Roman" w:cs="Times New Roman"/>
                <w:highlight w:val="white"/>
              </w:rPr>
              <w:lastRenderedPageBreak/>
              <w:t xml:space="preserve">răspundere a persoanei vizate privind veridicitatea informațiilor prezentate, ceea ce constituie o garanție suficientă împotriva eventualelor sesizări formulate cu rea-credință. În cazul în care se constată formularea unei sesizări cu rea-credință, persoana respectivă poate răspunde în condițiile legislației aplicabile (disciplinar, contravențional sau civil, după caz), fără a fi necesară instituirea unei norme suplimentare în Regulament. </w:t>
            </w:r>
            <w:r w:rsidRPr="00D31F43">
              <w:rPr>
                <w:rFonts w:ascii="Times New Roman" w:eastAsia="Times New Roman" w:hAnsi="Times New Roman" w:cs="Times New Roman"/>
                <w:highlight w:val="white"/>
                <w:lang w:val="pt-BR"/>
              </w:rPr>
              <w:t>De asemenea, introducerea unor astfel de prevederi ar putea descuraja raportarea situațiilor de violență sau hărțuire.</w:t>
            </w:r>
          </w:p>
          <w:p w14:paraId="40EBAC57" w14:textId="77777777" w:rsidR="00477212"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rPr>
            </w:pPr>
            <w:r w:rsidRPr="00D31F43">
              <w:rPr>
                <w:rFonts w:ascii="Times New Roman" w:eastAsia="Times New Roman" w:hAnsi="Times New Roman" w:cs="Times New Roman"/>
                <w:highlight w:val="white"/>
                <w:lang w:val="pt-BR"/>
              </w:rPr>
              <w:t xml:space="preserve">Nu se susține completarea Regulamentului cu o normă distinctă privind această situație. Încetarea raporturilor de muncă împiedică doar aplicarea unei sancțiuni disciplinare, însă nu exclude posibilitatea continuării examinării sesizării în vederea clarificării situației de fapt și, după caz, sesizării autorităților competente dacă faptele întrunesc elementele unei contravenții sau infracțiuni. De asemenea, inițierea unei proceduri interne nu lipsește persoana vizată de dreptul de a utiliza și alte mecanisme legale de protecție, inclusiv adresarea către Inspectoratul de Stat al Muncii, instanțele de judecată, Consiliul pentru egalitate sau organele de drept, după caz. </w:t>
            </w:r>
            <w:r>
              <w:rPr>
                <w:rFonts w:ascii="Times New Roman" w:eastAsia="Times New Roman" w:hAnsi="Times New Roman" w:cs="Times New Roman"/>
                <w:highlight w:val="white"/>
              </w:rPr>
              <w:t>Prin urmare, lipsa unui raport de muncă în curs nu justifică clasarea automată a sesizării.</w:t>
            </w:r>
          </w:p>
          <w:p w14:paraId="2C3F4EE3" w14:textId="77777777" w:rsidR="00477212" w:rsidRPr="00D31F4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it-IT"/>
              </w:rPr>
            </w:pPr>
            <w:r>
              <w:rPr>
                <w:rFonts w:ascii="Times New Roman" w:eastAsia="Times New Roman" w:hAnsi="Times New Roman" w:cs="Times New Roman"/>
                <w:highlight w:val="white"/>
              </w:rPr>
              <w:t xml:space="preserve">Se acceptă revizuirea redacției pct. 15 prin eliminarea sintagmei „în orice mod”, care are un caracter excesiv de general și poate afecta claritatea normei. </w:t>
            </w:r>
            <w:r w:rsidRPr="00D31F43">
              <w:rPr>
                <w:rFonts w:ascii="Times New Roman" w:eastAsia="Times New Roman" w:hAnsi="Times New Roman" w:cs="Times New Roman"/>
                <w:highlight w:val="white"/>
                <w:lang w:val="it-IT"/>
              </w:rPr>
              <w:t>Referirea la politicile interne ale autorității publice se menține, întrucât acestea pot stabili obligații și reguli de conduită aplicabile în cadrul procedurilor interne.</w:t>
            </w:r>
          </w:p>
          <w:p w14:paraId="13C226AC" w14:textId="77777777" w:rsidR="00477212" w:rsidRPr="00D31F4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Se precizează că sesizările anonime nu pot fi examinate în cadrul procedurii prevăzute de Regulament, întrucât pct. 18 stabilește expres că sesizarea se depune în formă scrisă și este semnată de persoana vizată sau de reprezentantul acesteia. Lipsa semnăturii face imposibilă identificarea persoanei care formulează sesizarea și exercitarea drepturilor procedurale ale </w:t>
            </w:r>
            <w:r w:rsidRPr="00D31F43">
              <w:rPr>
                <w:rFonts w:ascii="Times New Roman" w:eastAsia="Times New Roman" w:hAnsi="Times New Roman" w:cs="Times New Roman"/>
                <w:highlight w:val="white"/>
                <w:lang w:val="it-IT"/>
              </w:rPr>
              <w:lastRenderedPageBreak/>
              <w:t>părților, inclusiv verificarea faptelor și asigurarea dreptului la apărare.</w:t>
            </w:r>
          </w:p>
          <w:p w14:paraId="1A523D8C" w14:textId="77777777" w:rsidR="00477212" w:rsidRPr="00D31F43"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Se acceptă revizuirea redacției pct. 19 prin substituirea sintagmei „de îndată” cu indicarea unui termen concret. În vederea asigurării clarității și previzibilității normei, se va stabili obligația persoanei desemnate sau, după caz, a comisiei de investigare de a înregistra sesizarea în registrul special în aceeași zi sau în ziua lucrătoare următoarea. </w:t>
            </w:r>
          </w:p>
          <w:p w14:paraId="600FEC04" w14:textId="77777777" w:rsidR="00477212"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rPr>
            </w:pPr>
            <w:r w:rsidRPr="00D31F43">
              <w:rPr>
                <w:rFonts w:ascii="Times New Roman" w:eastAsia="Times New Roman" w:hAnsi="Times New Roman" w:cs="Times New Roman"/>
                <w:highlight w:val="white"/>
                <w:lang w:val="it-IT"/>
              </w:rPr>
              <w:t xml:space="preserve">Nu se susține instituirea unei comisii permanente. Soluția propusă de Regulament – desemnarea unei persoane responsabile sau constituirea unei comisii pentru fiecare caz – este justificată prin necesitatea asigurării imparțialității și evitării conflictelor de interese. În cazul unei comisii permanente există riscul ca unul dintre membri să fie persoana vizată, persoana reclamată sau să se afle într-o relație care ar putea afecta obiectivitatea examinării, situație care ar impune înlocuiri repetate și ar diminua eficiența mecanismului. Totodată, cerința prevăzută la pct. 23 privind instruirea specifică nu presupune limitarea acesteia doar la membrii unei comisii permanente. Dimpotrivă, pentru a asigura funcționarea efectivă a mecanismului și pentru a preveni apariția conflictelor de interese, este oportun ca instruirea în domeniul prevenirii și combaterii violenței și hărțuirii în muncă să fie realizată la nivelul autorității pentru un număr suficient de persoane, astfel încât conducătorul instituției să poată desemna, în fiecare caz, persoane competente și imparțiale. </w:t>
            </w:r>
            <w:r>
              <w:rPr>
                <w:rFonts w:ascii="Times New Roman" w:eastAsia="Times New Roman" w:hAnsi="Times New Roman" w:cs="Times New Roman"/>
                <w:highlight w:val="white"/>
              </w:rPr>
              <w:t>Această abordare asigură atât flexibilitatea procedurii, cât și respectarea principiilor de obiectivitate și independență în investigarea sesizărilor.</w:t>
            </w:r>
          </w:p>
          <w:p w14:paraId="5DDE2C38" w14:textId="77777777" w:rsidR="00477212"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Nu se susține completarea Regulamentului cu o enumerare detaliată a situațiilor care constituie conflict de interese. Noțiunea de conflict de interese este deja reglementată la nivel legislativ în cadrul normativ aplicabil funcției publice, precum și în Codul administrativ, iar aceste dispoziții sunt aplicabile și în contextul procedurilor interne prevăzute de Regulament. Introducerea unor criterii suplimentare la nivel de </w:t>
            </w:r>
            <w:r>
              <w:rPr>
                <w:rFonts w:ascii="Times New Roman" w:eastAsia="Times New Roman" w:hAnsi="Times New Roman" w:cs="Times New Roman"/>
                <w:highlight w:val="white"/>
              </w:rPr>
              <w:lastRenderedPageBreak/>
              <w:t>regulament ar putea genera paralelisme normative sau interpretări divergente. În aceste condiții, aprecierea existenței unui conflict de interese se realizează în baza cadrului normativ general și a circumstanțelor concrete ale fiecărui caz.</w:t>
            </w:r>
          </w:p>
          <w:p w14:paraId="2F534739" w14:textId="77777777" w:rsidR="00477212" w:rsidRDefault="00000000">
            <w:pPr>
              <w:numPr>
                <w:ilvl w:val="0"/>
                <w:numId w:val="24"/>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Nu se susține revizuirea redacției pct. 25. Norma are un caracter general în mod intenționat, pentru a permite aplicarea flexibilă a procedurii interne, în funcție de circumstanțele concrete ale fiecărui caz. Sintagmele „în timp util” și „toate etapele procedurii” reflectă obligația de informare a părților fără a rigidiza procedura prin stabilirea unor termene sau formalități strict determinate. Stabilirea unor termene concrete nu este oportună, întrucât acestea pot varia în funcție de complexitatea cazului, numărul persoanelor implicate, administrarea probelor sau alte circumstanțe specifice fiecărei investigații. Totodată, această dispoziție se aplică în mod coroborat cu prevederile privind confidențialitatea, astfel încât informarea părților se realizează cu respectarea obligației de protejare a datelor cu caracter personal și a identității persoanelor implicate.</w:t>
            </w:r>
          </w:p>
          <w:p w14:paraId="28E0183F"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10. Nu se susține detalierea suplimentară a cadrului procedural de exercitare a dreptului la apărare. Regulamentul instituie o procedură internă de investigare, iar dreptul la apărare este deja garantat prin posibilitatea părților de a formula explicații, de a prezenta probe și de a propune martori. Exercitarea dreptului la apărare, inclusiv sub aspectul asistenței juridice, se realizează în condițiile generale prevăzute de legislația aplicabilă, fără a fi necesară reglementarea detaliată a acestor aspecte la nivelul Regulamentului. Stabilirea unor reguli procedurale suplimentare ar depăși scopul actului și ar rigidiza nejustificat procedura internă.</w:t>
            </w:r>
          </w:p>
          <w:p w14:paraId="380EE7C1"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11. Se acceptă revizuirea redacției pct. 27 prin eliminarea sintagmei „regim strict de confidențialitate”. În consecință, punctul 27 va avea următoarea redacție:</w:t>
            </w:r>
          </w:p>
          <w:p w14:paraId="2EDD99CD"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highlight w:val="white"/>
              </w:rPr>
              <w:lastRenderedPageBreak/>
              <w:t>„</w:t>
            </w:r>
            <w:r>
              <w:rPr>
                <w:rFonts w:ascii="Times New Roman" w:eastAsia="Times New Roman" w:hAnsi="Times New Roman" w:cs="Times New Roman"/>
                <w:i/>
                <w:iCs/>
                <w:highlight w:val="white"/>
              </w:rPr>
              <w:t>28. Toate informațiile, datele cu caracter personal și identitățile persoanelor implicate sunt supuse obligației de confidențialitate, accesul la acestea fiind permis exclusiv persoanelor autorizate, potrivit procedurilor interne și legislației aplicabile.”</w:t>
            </w:r>
          </w:p>
          <w:p w14:paraId="06621A47"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12. Nu se susține completarea Regulamentului cu prevederi suplimentare privind caracterul raportului de constatare sau instituirea unei soluții distincte de clasare. Raportul întocmit de persoana desemnată sau de comisia de investigare are caracter de constatare și include concluzii și propuneri de măsuri, însă decizia privind măsurile ce urmează a fi dispuse aparține conducătorului autorității publice, în limitele competențelor legale.</w:t>
            </w:r>
          </w:p>
          <w:p w14:paraId="7C96D03C"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în situația în care faptele sesizate nu se confirmă, acest aspect rezultă din concluziile raportului de constatare, iar procedura se finalizează prin comunicarea rezultatului către părțile implicate, în condițiile pct. 35 din Regulament, nefiind necesară reglementarea expresă a unei soluții de clasare.</w:t>
            </w:r>
          </w:p>
          <w:p w14:paraId="40BF81B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13. Nu se susține instituirea unei singure proceduri. Procedura prevăzută de Regulament are caracter </w:t>
            </w:r>
            <w:r w:rsidRPr="00D31F43">
              <w:rPr>
                <w:rFonts w:ascii="Times New Roman" w:eastAsia="Times New Roman" w:hAnsi="Times New Roman" w:cs="Times New Roman"/>
                <w:b/>
                <w:bCs/>
                <w:highlight w:val="white"/>
                <w:lang w:val="it-IT"/>
              </w:rPr>
              <w:t>premergător</w:t>
            </w:r>
            <w:r w:rsidRPr="00D31F43">
              <w:rPr>
                <w:rFonts w:ascii="Times New Roman" w:eastAsia="Times New Roman" w:hAnsi="Times New Roman" w:cs="Times New Roman"/>
                <w:highlight w:val="white"/>
                <w:lang w:val="it-IT"/>
              </w:rPr>
              <w:t>, fiind destinată examinării sesizărilor privind situații de violență și hărțuire în muncă și stabilirii circumstanțelor de fapt. În baza concluziilor raportului de constatare, conducătorul autorității publice decide, în limitele competențelor legale, asupra măsurilor ce urmează a fi dispuse, inclusiv inițierea unei proceduri disciplinare.</w:t>
            </w:r>
          </w:p>
          <w:p w14:paraId="0DDFFCF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Inițierea procedurii disciplinare nu reprezintă o reluare nejustificată a examinării, ci aplicarea cadrului procedural specific prevăzut de legislația în vigoare pentru angajarea răspunderii disciplinare. Totodată, nu fiecare procedură disciplinară se finalizează cu aplicarea unei sancțiuni disciplinare, iar raportul întocmit în cadrul procedurii prevăzute </w:t>
            </w:r>
            <w:r w:rsidRPr="00D31F43">
              <w:rPr>
                <w:rFonts w:ascii="Times New Roman" w:eastAsia="Times New Roman" w:hAnsi="Times New Roman" w:cs="Times New Roman"/>
                <w:highlight w:val="white"/>
                <w:lang w:val="it-IT"/>
              </w:rPr>
              <w:lastRenderedPageBreak/>
              <w:t>de Regulament poate constitui un element relevant pentru aprecierea oportunității declanșării acesteia. De asemenea, în funcție de circumstanțele cazului, conducătorul autorității poate dispune și alte măsuri organizatorice sau de protecție, care nu au caracter disciplinar.</w:t>
            </w:r>
          </w:p>
          <w:p w14:paraId="64F814AC"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14. </w:t>
            </w:r>
            <w:r w:rsidRPr="00D31F43">
              <w:rPr>
                <w:rFonts w:ascii="Times New Roman" w:eastAsia="Times New Roman" w:hAnsi="Times New Roman" w:cs="Times New Roman"/>
                <w:b/>
                <w:bCs/>
                <w:highlight w:val="white"/>
                <w:lang w:val="it-IT"/>
              </w:rPr>
              <w:t xml:space="preserve">Se acceptă. </w:t>
            </w:r>
            <w:r w:rsidRPr="00D31F43">
              <w:rPr>
                <w:rFonts w:ascii="Times New Roman" w:eastAsia="Times New Roman" w:hAnsi="Times New Roman" w:cs="Times New Roman"/>
                <w:highlight w:val="white"/>
                <w:lang w:val="it-IT"/>
              </w:rPr>
              <w:t>În vederea clarificării regimului juridic al soluției adoptate în urma procedurii de investigare, prevederile pct. 34 și 35 vor fi completate prin indicarea expresă a formei actului prin care sunt dispuse măsurile, precum și prin precizarea posibilității de contestare a acestuia. În acest sens, se va stabili că măsurile se dispun prin ordin al conducătorului autorității publice, iar ordinul emis poate fi contestat în condițiile generale prevăzute de legislația muncii și de legislația administrativă, după caz.</w:t>
            </w:r>
          </w:p>
          <w:p w14:paraId="1C3E0A3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În situația în care, ulterior desfășurării procedurii disciplinare, se aplică o sancțiune disciplinară, aceasta poate fi contestată în condițiile generale prevăzute de Codul administrativ și de legislația specifică raporturilor de muncă sau de serviciu. În aceste condiții, regimul juridic al actelor prin care se aplică sancțiuni disciplinare este deja reglementat de legislația în vigoare, nefiind necesară instituirea unor prevederi suplimentare în Regulament.</w:t>
            </w:r>
          </w:p>
          <w:p w14:paraId="131B9463"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p w14:paraId="241865B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p w14:paraId="57030FD2"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p w14:paraId="2B82CC2C"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p w14:paraId="53DF8881"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tc>
      </w:tr>
      <w:tr w:rsidR="00477212" w:rsidRPr="00AE06E3" w14:paraId="696C08F4" w14:textId="77777777">
        <w:trPr>
          <w:trHeight w:val="600"/>
        </w:trPr>
        <w:tc>
          <w:tcPr>
            <w:tcW w:w="675" w:type="dxa"/>
          </w:tcPr>
          <w:p w14:paraId="15F5504F"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it-IT"/>
              </w:rPr>
            </w:pPr>
          </w:p>
          <w:p w14:paraId="7F169A52"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1730" w:type="dxa"/>
          </w:tcPr>
          <w:p w14:paraId="212B41C3"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w:t>
            </w:r>
            <w:r>
              <w:rPr>
                <w:rFonts w:ascii="Times New Roman" w:eastAsia="Times New Roman" w:hAnsi="Times New Roman" w:cs="Times New Roman"/>
                <w:highlight w:val="white"/>
              </w:rPr>
              <w:t xml:space="preserve"> </w:t>
            </w:r>
            <w:r>
              <w:rPr>
                <w:rFonts w:ascii="Times New Roman" w:eastAsia="Times New Roman" w:hAnsi="Times New Roman" w:cs="Times New Roman"/>
                <w:b/>
                <w:bCs/>
                <w:highlight w:val="white"/>
              </w:rPr>
              <w:t>Finanțelor</w:t>
            </w:r>
          </w:p>
          <w:p w14:paraId="1386A6FD" w14:textId="77777777" w:rsidR="00477212" w:rsidRDefault="00477212">
            <w:pPr>
              <w:spacing w:line="240" w:lineRule="auto"/>
              <w:ind w:firstLine="567"/>
              <w:jc w:val="center"/>
              <w:rPr>
                <w:rFonts w:ascii="Times New Roman" w:eastAsia="Times New Roman" w:hAnsi="Times New Roman" w:cs="Times New Roman"/>
                <w:b/>
                <w:bCs/>
                <w:highlight w:val="white"/>
              </w:rPr>
            </w:pPr>
          </w:p>
          <w:p w14:paraId="2FC106E3"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07/2-03/22/198</w:t>
            </w:r>
          </w:p>
          <w:p w14:paraId="1B31F72D"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din 02.03.2026</w:t>
            </w:r>
          </w:p>
          <w:p w14:paraId="66E4427A" w14:textId="77777777" w:rsidR="00477212" w:rsidRDefault="00477212">
            <w:pPr>
              <w:spacing w:line="240" w:lineRule="auto"/>
              <w:jc w:val="center"/>
              <w:rPr>
                <w:rFonts w:ascii="Times New Roman" w:eastAsia="Times New Roman" w:hAnsi="Times New Roman" w:cs="Times New Roman"/>
                <w:i/>
                <w:iCs/>
                <w:highlight w:val="yellow"/>
              </w:rPr>
            </w:pPr>
          </w:p>
          <w:p w14:paraId="5DD726F3" w14:textId="77777777" w:rsidR="00477212" w:rsidRDefault="00477212">
            <w:pPr>
              <w:spacing w:line="240" w:lineRule="auto"/>
              <w:jc w:val="center"/>
              <w:rPr>
                <w:rFonts w:ascii="Times New Roman" w:eastAsia="Times New Roman" w:hAnsi="Times New Roman" w:cs="Times New Roman"/>
                <w:i/>
                <w:iCs/>
                <w:highlight w:val="yellow"/>
              </w:rPr>
            </w:pPr>
          </w:p>
          <w:p w14:paraId="21FE0FF2" w14:textId="77777777" w:rsidR="00477212" w:rsidRDefault="00477212">
            <w:pPr>
              <w:spacing w:line="240" w:lineRule="auto"/>
              <w:jc w:val="center"/>
              <w:rPr>
                <w:rFonts w:ascii="Times New Roman" w:eastAsia="Times New Roman" w:hAnsi="Times New Roman" w:cs="Times New Roman"/>
                <w:i/>
                <w:iCs/>
              </w:rPr>
            </w:pPr>
          </w:p>
        </w:tc>
        <w:tc>
          <w:tcPr>
            <w:tcW w:w="6685" w:type="dxa"/>
          </w:tcPr>
          <w:p w14:paraId="2AB67E53" w14:textId="77777777" w:rsidR="00477212" w:rsidRPr="00D31F43" w:rsidRDefault="00000000">
            <w:pPr>
              <w:numPr>
                <w:ilvl w:val="0"/>
                <w:numId w:val="26"/>
              </w:numPr>
              <w:spacing w:line="240" w:lineRule="auto"/>
              <w:ind w:left="283"/>
              <w:jc w:val="both"/>
              <w:rPr>
                <w:rFonts w:ascii="Times New Roman" w:eastAsia="Times New Roman" w:hAnsi="Times New Roman" w:cs="Times New Roman"/>
                <w:lang w:val="it-IT"/>
              </w:rPr>
            </w:pPr>
            <w:r>
              <w:rPr>
                <w:rFonts w:ascii="Times New Roman" w:eastAsia="Times New Roman" w:hAnsi="Times New Roman" w:cs="Times New Roman"/>
              </w:rPr>
              <w:t xml:space="preserve">La cap. II pct.11.5 nu sunt definite în mod explicit metodele și mecanismele prin care vor fi protejate persoanele/victimele expuse oricărei forme de violență sau hărțuire. </w:t>
            </w:r>
            <w:r w:rsidRPr="00D31F43">
              <w:rPr>
                <w:rFonts w:ascii="Times New Roman" w:eastAsia="Times New Roman" w:hAnsi="Times New Roman" w:cs="Times New Roman"/>
                <w:lang w:val="it-IT"/>
              </w:rPr>
              <w:t>Absența unor proceduri clare și detaliate poate conduce la interpretări diferite, cu potențial impact asupra responsabilităților autorităților publice.</w:t>
            </w:r>
          </w:p>
          <w:p w14:paraId="3618ED9A" w14:textId="77777777" w:rsidR="00477212" w:rsidRPr="00D31F43" w:rsidRDefault="00000000">
            <w:pPr>
              <w:numPr>
                <w:ilvl w:val="0"/>
                <w:numId w:val="26"/>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De asemenea la pct.11.7 din același capitol, nu este precizat dacă persoanele desemnate sau comisiile responsabile pentru preluarea sesizărilor, analiza și investigarea cazurilor de violență și hărțuire vor fi constituite din personalul autorității publice sau din persoane terțe. Această omisiune are relevanță directă asupra resurselor financiare și administrative, întrucât implicarea unor specialiști externi ar presupune costuri suplimentare, iar desemnarea personalului intern ar determina redistribuirea atribuțiilor și creșterea volumului de muncă, cu posibile consecințe asupra cheltuielilor de personal.</w:t>
            </w:r>
          </w:p>
          <w:p w14:paraId="755FF04E" w14:textId="77777777" w:rsidR="00477212" w:rsidRPr="00AE06E3" w:rsidRDefault="00000000">
            <w:pPr>
              <w:numPr>
                <w:ilvl w:val="0"/>
                <w:numId w:val="26"/>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Totodată, la cap. IV, pct.40.4 nu este clar dacă concediul plătit acordat persoanei vizate va fi suportat din drepturile de concediu existente ale acesteia sau dacă va constitui o cheltuială suplimentară din bugetul autorității publice. </w:t>
            </w:r>
            <w:r w:rsidRPr="00AE06E3">
              <w:rPr>
                <w:rFonts w:ascii="Times New Roman" w:eastAsia="Times New Roman" w:hAnsi="Times New Roman" w:cs="Times New Roman"/>
                <w:lang w:val="it-IT"/>
              </w:rPr>
              <w:t>În lipsa acestei precizări, nu poate fi evaluat în mod realist impactul bugetar al măsurii propuse.</w:t>
            </w:r>
          </w:p>
          <w:p w14:paraId="7C92C57C" w14:textId="77777777" w:rsidR="00477212" w:rsidRPr="00AE06E3" w:rsidRDefault="00000000">
            <w:pPr>
              <w:numPr>
                <w:ilvl w:val="0"/>
                <w:numId w:val="26"/>
              </w:numPr>
              <w:spacing w:line="240" w:lineRule="auto"/>
              <w:ind w:left="283"/>
              <w:jc w:val="both"/>
              <w:rPr>
                <w:rFonts w:ascii="Times New Roman" w:eastAsia="Times New Roman" w:hAnsi="Times New Roman" w:cs="Times New Roman"/>
                <w:lang w:val="it-IT"/>
              </w:rPr>
            </w:pPr>
            <w:r w:rsidRPr="00AE06E3">
              <w:rPr>
                <w:rFonts w:ascii="Times New Roman" w:eastAsia="Times New Roman" w:hAnsi="Times New Roman" w:cs="Times New Roman"/>
                <w:lang w:val="it-IT"/>
              </w:rPr>
              <w:t>La Nota de fundamentare. Compartimentul 4.2 ,,Impactul financiar și argumentarea costurilor estimative” prevede că impactul financiar al proiectului este redus. Totodată, considerăm, că în realitate impactul financiar nu poate fi considerat unul redus, deoarece implementarea măsurilor propuse implică costuri suplimentare aferente salarizării personalului desemnat, organizării sesiunilor de instruire, precum și achiziționării materialelor metodologice necesare.</w:t>
            </w:r>
          </w:p>
          <w:p w14:paraId="25AF2EA5" w14:textId="77777777" w:rsidR="00477212" w:rsidRPr="00AE06E3" w:rsidRDefault="00477212">
            <w:pPr>
              <w:spacing w:line="240" w:lineRule="auto"/>
              <w:jc w:val="both"/>
              <w:rPr>
                <w:rFonts w:ascii="Times New Roman" w:eastAsia="Times New Roman" w:hAnsi="Times New Roman" w:cs="Times New Roman"/>
                <w:lang w:val="it-IT"/>
              </w:rPr>
            </w:pPr>
          </w:p>
        </w:tc>
        <w:tc>
          <w:tcPr>
            <w:tcW w:w="5925" w:type="dxa"/>
          </w:tcPr>
          <w:p w14:paraId="4C9D2883"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rPr>
            </w:pPr>
            <w:r>
              <w:rPr>
                <w:rFonts w:ascii="Times New Roman" w:eastAsia="Times New Roman" w:hAnsi="Times New Roman" w:cs="Times New Roman"/>
                <w:b/>
                <w:bCs/>
              </w:rPr>
              <w:t>Nu se acceptă</w:t>
            </w:r>
          </w:p>
          <w:p w14:paraId="442808C0" w14:textId="77777777" w:rsidR="00477212" w:rsidRPr="00D31F43" w:rsidRDefault="00000000">
            <w:pPr>
              <w:numPr>
                <w:ilvl w:val="0"/>
                <w:numId w:val="28"/>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Nu se susține completarea pct. 11.5 cu detalierea metodelor și mecanismelor de protecție. Prevederea stabilește obligația generală a autorității publice de a asigura protecția persoanelor care denunță sau sunt victime ale unor fapte de violență și/sau hărțuire, precum și a martorilor implicați în procedură, împotriva oricăror forme de presiune, intimidare sau tratament nefavorabil. Detalierea modalităților concrete de aplicare a acestor măsuri nu este necesară la nivelul Regulamentului, întrucât acestea pot varia în funcție de circumstanțele fiecărui caz și de specificul autorității publice. Măsurile de protecție pot fi stabilite și aplicate în cadrul procedurii interne și al măsurilor provizorii de protecție prevăzute în Capitolul IV, în funcție de riscurile identificate și de situația concretă. Stabilirea exhaustivă a unor mecanisme la nivel normativ ar putea limita flexibilitatea necesară pentru protejarea efectivă a persoanelor implicate.</w:t>
            </w:r>
          </w:p>
          <w:p w14:paraId="4EE47B73" w14:textId="77777777" w:rsidR="00477212" w:rsidRPr="00D31F43" w:rsidRDefault="00000000">
            <w:pPr>
              <w:numPr>
                <w:ilvl w:val="0"/>
                <w:numId w:val="28"/>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Nu se susține completarea pct. 11.7 cu precizări suplimentare în sensul propus. Din natura normelor și din structura procedurii prevăzute de Regulament rezultă în mod evident că persoanele desemnate sau membrii comisiilor responsabile pentru preluarea și investigarea sesizărilor sunt desemnați din cadrul personalului autorității publice. Regulamentul instituie un mecanism intern de raportare și investigare, aplicabil în cadrul autorității publice, iar desemnarea persoanelor responsabile se realizează prin act administrativ al conducătorului instituției, în funcție de structura organizatorică și resursele existente. În aceste condiții, nu se instituie obligația implicării unor specialiști externi și nici costuri suplimentare în sarcina autorităților publice.</w:t>
            </w:r>
          </w:p>
          <w:p w14:paraId="2E60D27B" w14:textId="77777777" w:rsidR="00477212" w:rsidRPr="00D31F43" w:rsidRDefault="00000000">
            <w:pPr>
              <w:numPr>
                <w:ilvl w:val="0"/>
                <w:numId w:val="28"/>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Nu se susține modificarea subpct. 40.4. Prevederea nu instituie un tip nou de concediu și nu derogă de la prevederile Codului muncii. Acordarea concediului plătit sau neplătit se </w:t>
            </w:r>
            <w:r w:rsidRPr="00D31F43">
              <w:rPr>
                <w:rFonts w:ascii="Times New Roman" w:eastAsia="Times New Roman" w:hAnsi="Times New Roman" w:cs="Times New Roman"/>
                <w:lang w:val="it-IT"/>
              </w:rPr>
              <w:lastRenderedPageBreak/>
              <w:t xml:space="preserve">realizează din zilele de concediu la care salariatul are deja dreptul potrivit legislației muncii, la solicitarea persoanei vizate și cu acordul acesteia, fără a institui un concediu suplimentar sau nereglementat. Prin urmare, măsura prevăzută la subpct. 40.4 reprezintă doar </w:t>
            </w:r>
            <w:r w:rsidRPr="00D31F43">
              <w:rPr>
                <w:rFonts w:ascii="Times New Roman" w:eastAsia="Times New Roman" w:hAnsi="Times New Roman" w:cs="Times New Roman"/>
                <w:b/>
                <w:bCs/>
                <w:lang w:val="it-IT"/>
              </w:rPr>
              <w:t xml:space="preserve">o </w:t>
            </w:r>
            <w:r w:rsidRPr="00D31F43">
              <w:rPr>
                <w:rFonts w:ascii="Times New Roman" w:eastAsia="Times New Roman" w:hAnsi="Times New Roman" w:cs="Times New Roman"/>
                <w:lang w:val="it-IT"/>
              </w:rPr>
              <w:t>modalitate temporară de protecți</w:t>
            </w:r>
            <w:r w:rsidRPr="00D31F43">
              <w:rPr>
                <w:rFonts w:ascii="Times New Roman" w:eastAsia="Times New Roman" w:hAnsi="Times New Roman" w:cs="Times New Roman"/>
                <w:b/>
                <w:bCs/>
                <w:lang w:val="it-IT"/>
              </w:rPr>
              <w:t>e</w:t>
            </w:r>
            <w:r w:rsidRPr="00D31F43">
              <w:rPr>
                <w:rFonts w:ascii="Times New Roman" w:eastAsia="Times New Roman" w:hAnsi="Times New Roman" w:cs="Times New Roman"/>
                <w:lang w:val="it-IT"/>
              </w:rPr>
              <w:t>, aplicată în contextul procedurii de investigare, cu respectarea cadrului legal existent. Totodată, aplicarea acestei măsuri nu împiedică desfășurarea investigației, întrucât participarea persoanei vizate la procedură poate fi asigurată prin alte modalități adecvate circumstanțelor cazului.</w:t>
            </w:r>
          </w:p>
          <w:p w14:paraId="53777B25" w14:textId="77777777" w:rsidR="00477212" w:rsidRPr="00D31F43" w:rsidRDefault="00000000">
            <w:pPr>
              <w:numPr>
                <w:ilvl w:val="0"/>
                <w:numId w:val="28"/>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Nu se susține modificarea compartimentului 4.2 din Nota de fundamentare. Implementarea prevederilor proiectului nu generează costuri bugetare suplimentare semnificative, întrucât măsurile prevăzute de Regulament se realizează prin utilizarea resurselor instituționale existente. Desemnarea persoanelor responsabile sau constituirea comisiilor de investigare se realizează din rândul personalului autorității publice, fără instituirea unor funcții noi sau a unor plăți suplimentare. De asemenea, activitățile de instruire și informare pot fi realizate în cadrul programelor interne de formare sau prin utilizarea materialelor metodologice disponibile, fără a implica în mod necesar cheltuieli suplimentare. </w:t>
            </w:r>
            <w:r w:rsidRPr="00D31F43">
              <w:rPr>
                <w:rFonts w:ascii="Times New Roman" w:eastAsia="Times New Roman" w:hAnsi="Times New Roman" w:cs="Times New Roman"/>
                <w:lang w:val="pt-BR"/>
              </w:rPr>
              <w:t xml:space="preserve">În aceste condiții, aprecierea impactului financiar ca fiind </w:t>
            </w:r>
            <w:r w:rsidRPr="00D31F43">
              <w:rPr>
                <w:rFonts w:ascii="Times New Roman" w:eastAsia="Times New Roman" w:hAnsi="Times New Roman" w:cs="Times New Roman"/>
                <w:b/>
                <w:bCs/>
                <w:lang w:val="pt-BR"/>
              </w:rPr>
              <w:t>redus</w:t>
            </w:r>
            <w:r w:rsidRPr="00D31F43">
              <w:rPr>
                <w:rFonts w:ascii="Times New Roman" w:eastAsia="Times New Roman" w:hAnsi="Times New Roman" w:cs="Times New Roman"/>
                <w:lang w:val="pt-BR"/>
              </w:rPr>
              <w:t xml:space="preserve"> rămâne justificată.</w:t>
            </w:r>
          </w:p>
          <w:p w14:paraId="29BC18B4"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p>
          <w:p w14:paraId="300C7833"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pt-BR"/>
              </w:rPr>
            </w:pPr>
          </w:p>
        </w:tc>
      </w:tr>
      <w:tr w:rsidR="00477212" w:rsidRPr="00AE06E3" w14:paraId="30A169B3" w14:textId="77777777">
        <w:trPr>
          <w:trHeight w:val="600"/>
        </w:trPr>
        <w:tc>
          <w:tcPr>
            <w:tcW w:w="675" w:type="dxa"/>
          </w:tcPr>
          <w:p w14:paraId="70A05CF8" w14:textId="77777777" w:rsidR="00477212" w:rsidRPr="00D31F43" w:rsidRDefault="00477212">
            <w:pPr>
              <w:spacing w:line="240" w:lineRule="auto"/>
              <w:ind w:firstLine="567"/>
              <w:rPr>
                <w:rFonts w:ascii="Times New Roman" w:eastAsia="Times New Roman" w:hAnsi="Times New Roman" w:cs="Times New Roman"/>
                <w:lang w:val="pt-BR"/>
              </w:rPr>
            </w:pPr>
          </w:p>
        </w:tc>
        <w:tc>
          <w:tcPr>
            <w:tcW w:w="1730" w:type="dxa"/>
          </w:tcPr>
          <w:p w14:paraId="531B7840"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Energiei</w:t>
            </w:r>
          </w:p>
        </w:tc>
        <w:tc>
          <w:tcPr>
            <w:tcW w:w="6685" w:type="dxa"/>
          </w:tcPr>
          <w:p w14:paraId="5FE1074A" w14:textId="77777777" w:rsidR="00477212" w:rsidRDefault="00000000">
            <w:pPr>
              <w:numPr>
                <w:ilvl w:val="0"/>
                <w:numId w:val="7"/>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În urma examinării conținutului Regulamentului, se constată utilizarea neuniformă a expresiilor „violență și hărțuire” și „violență și/sau hărțuire”. În acest context, se propune uniformizarea terminologiei prin utilizarea consecventă a sintagmei „violență și/sau hărțuire”, în vederea asigurării clarității și excluderii oricărui echivoc.</w:t>
            </w:r>
          </w:p>
          <w:p w14:paraId="56E18C21"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La Capitolul I -Dispoziții generale, punctul 5, subpunctul 5.5, se propune următoarea redacție:</w:t>
            </w:r>
          </w:p>
          <w:p w14:paraId="25C9BD8F"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„5.5. Sesizare - comunicare scrisă sau electronică prin care persoana vizată, o persoană terță ori reprezentantul acesteia aduce la cunoștința angajatorului existența unor situații, acțiuni, conduite sau împrejurări susceptibile de a constitui violență și/sau hărțuire în muncă și care impun examinarea acestora în cadrul procedurii interne prevăzute de prezentul Regulament.” În contextul definirii termenului de „sesizare”, se propune corelarea acestuia cu prevederile anexei nr. 7 din Hotărârea Guvernului nr. 201/2009, emisă în aplicarea Legii nr. 158 privind funcția publică și statutul funcționarului public, astfel încât toate sesizările depuse împotriva funcționarilor publici, indiferent de natura și obiectul acestora, să fie examinate de comisia de disciplină a autorității în care activează persoana vizată.</w:t>
            </w:r>
          </w:p>
          <w:p w14:paraId="4779DC2F"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La Capitolul II – Măsuri și responsabilități instituționale în domeniul prevenirii și combaterii violenței și hărțuirii în muncă, sunt prevăzute măsurile aplicabile, totodată la punctul 9, potrivit căruia autoritatea publică are obligația de a asigura instruirea persoanelor desemnate și a membrilor comisiei de investigare în domeniul prevenirii și combaterii violenței și hărțuirii în muncă. </w:t>
            </w:r>
            <w:r w:rsidRPr="00D31F43">
              <w:rPr>
                <w:rFonts w:ascii="Times New Roman" w:eastAsia="Times New Roman" w:hAnsi="Times New Roman" w:cs="Times New Roman"/>
                <w:lang w:val="pt-BR"/>
              </w:rPr>
              <w:t xml:space="preserve">Totodată, proiectul regulamentului nu stabilește expres momentul desemnării persoanei responsabile sau al instituirii comisiei de investigare, precum și modul de organizare și funcționare a acesteia. Astfel, nu sunt reglementate aspecte esențiale precum numărul de membri ai comisiei, procedura de desemnare a președintelui, funcționarul împuternicit să exercite funcția de președinte, desemnarea secretarului comisiei, precum și condițiile pe care trebuie să le întrunească aceștia. De asemenea, nu este prevăzut dacă președintele și secretarul comisiei trebuie desemnați prin analogie cu prevederile aplicabile comisiei de disciplină prin anexa nr. 7 din Hotărârea Guvernului nr. 201/2009, unde secretarul este, de regulă, un funcționar public din cadrul subdiviziunii responsabile de asigurarea juridică a activității autorității publice, reprezentarea acesteia în instanțele de judecată și asigurarea respectării uniforme a legislației. În lipsa posibilității desemnării unui astfel de funcționar, secretarul comisiei de disciplină este desemnat din rândul funcționarilor publici </w:t>
            </w:r>
            <w:r w:rsidRPr="00D31F43">
              <w:rPr>
                <w:rFonts w:ascii="Times New Roman" w:eastAsia="Times New Roman" w:hAnsi="Times New Roman" w:cs="Times New Roman"/>
                <w:lang w:val="pt-BR"/>
              </w:rPr>
              <w:lastRenderedPageBreak/>
              <w:t>cu atribuții în domeniul managementului resurselor umane, iar în cazul autorităților administrației publice locale de nivelul întâi, după caz, din rândul funcționarilor publici de execuție.În același timp, nu este  stabilit termenul mandatului membrilor comisiei, și nici necesitatea desemnării membrilor supleanți, aspecte care pot afecta continuitatea și eficiența activității comisiei de investigare. În cazul sesizărilor depuse împotriva persoanelor care nu dețin funcții publice, se propune aplicarea aceleiași abordări, cu respectarea prevederilor Capitolului II „Disciplina muncii” din Codul muncii al Republicii Moldova. Instituirea unei comisii separate pentru examinarea sesizărilor privind violența la locul de muncă poate genera paralelism procedural, suprapuneri de competență, soluții contradictorii și incertitudine privind natura juridică a concluziilor. Examinarea sesizărilor de către o singură Comisie de disciplină asigură o abordare unitară, claritate procedurală și evitarea fragmentării competențelor. Totodată, examinarea de către această comisie prevede dublarea procedurilor, contribuie la implicarea excesivă a personalului și determină soluționarea cauzelor într-un termen lung. O faptă calificată drept abatere disciplinară nu poate fi examinată de mai multe ori, iar investigarea paralelă sau succesivă a aceleiași conduite poate conduce la denaturarea probelor și la lipsa unei viziuni unitare asupra situației de fapt. În acest context, se reține că atât Codul muncii, cât și Hotărârea Guvernului nr. 201/2009 reglementează în mod complet procedura de examinare a sesizărilor, inclusiv termenele, cazurile de suspendare și reluare a anchetei. Multiplicarea procedurilor poate exercita o presiune suplimentară asupra părților implicate și poate afecta climatul organizațional și credibilitatea mecanismelor interne de examinare.</w:t>
            </w:r>
          </w:p>
          <w:p w14:paraId="2900CA9F"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La Capitolul III Procedura de raportare, investigare și soluționare a cazurilor de violență și hărțuire în muncă, și anume la punctul 24, se impune precizarea că, la momentul desemnării membrilor comisiei de investigare, conducătorul autorității cunoaște cerințele și criteriile aplicabile persoanelor care vor examina cauza. În acest context, se propune excluderea sintagmei „ori nu îndeplinește criteriile prevăzute de punctul 23”. Totodată, expresia „se abține de la examinarea cauzei” este neclară și susceptibilă de interpretări. De asemenea, nu este </w:t>
            </w:r>
            <w:r w:rsidRPr="00D31F43">
              <w:rPr>
                <w:rFonts w:ascii="Times New Roman" w:eastAsia="Times New Roman" w:hAnsi="Times New Roman" w:cs="Times New Roman"/>
                <w:lang w:val="pt-BR"/>
              </w:rPr>
              <w:lastRenderedPageBreak/>
              <w:t xml:space="preserve">justificat de ce doar persoana care a formulat sesizarea, și nu și persoana vizată, poate solicita excluderea unui membru al comisiei. Nu este clar când și prin ce modalitate persoana care a depus sesizarea ia cunoștință de componența comisiei, termenul în care poate solicita excluderea, momentul procedural la care aceasta poate fi cerută, precum și temeiurile de înlăturare. </w:t>
            </w:r>
            <w:r w:rsidRPr="00D31F43">
              <w:rPr>
                <w:rFonts w:ascii="Times New Roman" w:eastAsia="Times New Roman" w:hAnsi="Times New Roman" w:cs="Times New Roman"/>
                <w:lang w:val="it-IT"/>
              </w:rPr>
              <w:t>Lipsa acestor reglementări generează riscul interpretărilor divergente și al tergiversării procedurii.</w:t>
            </w:r>
          </w:p>
          <w:p w14:paraId="1E69FD8C"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punctul 26, deși se prevede dreptul părților la asistență juridică, nu este clar cine asigură această asistență, nici conținutul și limitele acesteia.</w:t>
            </w:r>
          </w:p>
          <w:p w14:paraId="633097C8"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punctul 28, este necesară clarificarea informațiilor cu caracter confidențial și a modalității de asigurare a confidențialității, în special în cadrul autorităților cu un număr redus de angajați, unde implicarea mai multor persoane face dificilă respectarea acestui principiu.</w:t>
            </w:r>
          </w:p>
          <w:p w14:paraId="5A3BCF23"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Propunem punctul 29, se impune stabilirea termenelor de examinare, precum și a temeiurilor de suspendare a procedurii, fiind oportună aplicarea, prin analogie, a prevederilor din anexa nr. 7 la Hotărârea Guvernului nr. 201/2009.</w:t>
            </w:r>
          </w:p>
          <w:p w14:paraId="438658BE"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În contextul subpunctul 34.1, constatarea existenței violenței și/sau hărțuirii la locul de muncă de către comisia de investigare generează un paralelism procedural cu cercetarea disciplinară, implicând audierea repetată a părților și martorilor, cu riscul unor concluzii contradictorii. În acest sens, nu este clar: care concluzii prevalează; care este prioritatea juridică între comisii; efectul juridic al constatărilor divergente; și în ce măsură conducătorul autorității este ținut de concluziile acestora. În asemenea condiții, există riscul ca rolul Comisiei de disciplină să devină formal, ceea ce poate afecta independența cercetării disciplinare, prezumția nevinovăției, imparțialitatea comisiei și principiul examinării obiective și complete a probelor.</w:t>
            </w:r>
          </w:p>
          <w:p w14:paraId="14074180"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De asemenea, la Capitolul IV - Măsuri provizorii de protecție în cadrul procedurii de investigare a cazurilor de violență și hărțuire în muncă, punctul 40, subpunctul 40.4, se impune clarificarea normei, întrucât aceasta se abate de la prevederile Codului muncii. Astfel, Titlul IV - Timpul de muncă și timpul de odihnă, de la Capitolul I până la </w:t>
            </w:r>
            <w:r w:rsidRPr="00D31F43">
              <w:rPr>
                <w:rFonts w:ascii="Times New Roman" w:eastAsia="Times New Roman" w:hAnsi="Times New Roman" w:cs="Times New Roman"/>
                <w:lang w:val="it-IT"/>
              </w:rPr>
              <w:lastRenderedPageBreak/>
              <w:t>Capitolul IV, reglementează în mod exhaustiv tipurile de concedii acordate salariaților, inclusiv cele plătite de către angajator, fără a prevedea existența unui concediu plătit sau neplătit acordat „cu titlu de excepție”, ca măsură de protecție în cadrul unei proceduri de investigare. Prin urmare, formularea prevăzută la subpunctul 40.4, referitoare la „acordarea, cu titlu de excepție, la cererea persoanei vizate și cu acordul scris al acesteia, a unui concediu plătit sau neplătit”, nu corespunde categoriilor de concedii reglementate de Codul muncii, ceea ce poate genera incertitudine, dificultăți de aplicare practică și un dezechilibru normativ în raport cu actele legislative în vigoare, totodată absența persoanei vătămate ar împiedica desfășurarea investigației.</w:t>
            </w:r>
          </w:p>
          <w:p w14:paraId="7568821F" w14:textId="77777777" w:rsidR="00477212" w:rsidRPr="00D31F43" w:rsidRDefault="00000000">
            <w:pPr>
              <w:numPr>
                <w:ilvl w:val="0"/>
                <w:numId w:val="7"/>
              </w:numPr>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La punctul 55, se propune excluderea sintagmei „poziția persoanei în cadrul autorității publice”, întrucât menținerea acestui criteriu poate genera riscul încălcării principiului egalității de tratament în raporturile de serviciu. </w:t>
            </w:r>
            <w:r w:rsidRPr="00D31F43">
              <w:rPr>
                <w:rFonts w:ascii="Times New Roman" w:eastAsia="Times New Roman" w:hAnsi="Times New Roman" w:cs="Times New Roman"/>
                <w:lang w:val="pt-BR"/>
              </w:rPr>
              <w:t>Sancționarea aceleiași fapte ar putea varia în funcție de funcția deținută, și nu exclusiv în funcție de gravitatea obiectivă a conduitei. O asemenea abordare poate conduce la tratament privilegiat sau excesiv pentru anumite categorii de persoane, la aparența unor standarde diferite de răspundere disciplinară și la afectarea percepției de imparțialitate și echitate în cadrul autorității publice. Inter alia, criteriile relevante și suficiente pentru individualizarea sancțiunii sunt: gravitatea faptei, circumstanțele concrete ale săvârșirii acesteia, consecințele produse, conduita anterioară și eventualele situații de recidivă. Suplimentar, față de prevederile proiectului de regulament, se propune includerea expresă a faptei respective ca abatere disciplinară atât în Legea nr. 158/2008, cât și în Codul muncii.</w:t>
            </w:r>
          </w:p>
          <w:p w14:paraId="4554C90F" w14:textId="77777777" w:rsidR="00477212" w:rsidRDefault="00000000">
            <w:pPr>
              <w:numPr>
                <w:ilvl w:val="0"/>
                <w:numId w:val="7"/>
              </w:numPr>
              <w:spacing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lang w:val="pt-BR"/>
              </w:rPr>
              <w:t xml:space="preserve">La Capitolul VI Răspunderea pentru încălcarea prevederilor regulamentului, în conținutul capitolului este reglementat răspunderea pentru încălcare, dar, răspunderea disciplinară poate fi angajată doar în cazul săvârșirii unei abateri disciplinare, ca formă a faptei ilicite. Aplicarea sancțiunii disciplinare presupune, în mod necesar, existența unei asemenea abateri comise de funcționarul public. Spre deosebire de reglementările din Codul muncii, unde abaterea disciplinară este definită generic, în cazul funcționarilor publici abaterile disciplinare </w:t>
            </w:r>
            <w:r w:rsidRPr="00D31F43">
              <w:rPr>
                <w:rFonts w:ascii="Times New Roman" w:eastAsia="Times New Roman" w:hAnsi="Times New Roman" w:cs="Times New Roman"/>
                <w:lang w:val="pt-BR"/>
              </w:rPr>
              <w:lastRenderedPageBreak/>
              <w:t xml:space="preserve">sunt prevăzute expres de lege, pentru a preveni arbitrariul și a limita puterea discreționară a conducătorului autorității publice. Conform art. 57 din Legea nr. 158/2008, lista abaterilor disciplinare are caracter enunțiativ, acestea putând fi stabilite și prin acte subsecvente legii, cu condiția ca legea-cadru să prevadă expres această posibilitate. </w:t>
            </w:r>
            <w:r>
              <w:rPr>
                <w:rFonts w:ascii="Times New Roman" w:eastAsia="Times New Roman" w:hAnsi="Times New Roman" w:cs="Times New Roman"/>
              </w:rPr>
              <w:t>Totodată, sancțiunea disciplinară poate fi aplicată exclusiv pentru fapte calificate de lege ca abateri disciplinare, în respectarea principiului legalității.</w:t>
            </w:r>
          </w:p>
          <w:p w14:paraId="60B23092" w14:textId="77777777" w:rsidR="00477212" w:rsidRDefault="00477212">
            <w:pPr>
              <w:spacing w:line="240" w:lineRule="auto"/>
              <w:jc w:val="both"/>
              <w:rPr>
                <w:rFonts w:ascii="Times New Roman" w:eastAsia="Times New Roman" w:hAnsi="Times New Roman" w:cs="Times New Roman"/>
              </w:rPr>
            </w:pPr>
          </w:p>
        </w:tc>
        <w:tc>
          <w:tcPr>
            <w:tcW w:w="5925" w:type="dxa"/>
          </w:tcPr>
          <w:p w14:paraId="2EFE2F00"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685DE44C" w14:textId="77777777" w:rsidR="00477212"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hanging="141"/>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acceptă uniformizarea terminologiei utilizate în Regulament. În acest sens, sintagma „violență și hărțuire” va fi substituită cu sintagma „violență și/sau hărțuire”, în vederea </w:t>
            </w:r>
            <w:r>
              <w:rPr>
                <w:rFonts w:ascii="Times New Roman" w:eastAsia="Times New Roman" w:hAnsi="Times New Roman" w:cs="Times New Roman"/>
                <w:highlight w:val="white"/>
              </w:rPr>
              <w:lastRenderedPageBreak/>
              <w:t>asigurării unei utilizări consecvente a terminologiei și a excluderii oricărui echivoc în interpretarea prevederilor actului normativ.</w:t>
            </w:r>
          </w:p>
          <w:p w14:paraId="750C1484"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se susține corelarea definiției termenului „sesizare” cu prevederile anexei nr. 7 la Hotărârea Guvernului nr. 201/2009. Sesizările privind fapte de violență și/sau hărțuire în muncă sunt examinate în cadrul procedurii interne prevăzute de prezentul Regulament, care are un obiect specific și un mecanism propriu de investigare. Totodată, nu în toate cazurile faptele sesizate vor constitui abatere disciplinară. În funcție de circumstanțele cazului, pot fi dispuse și alte măsuri organizatorice sau de protecție, fără a fi necesară inițierea procedurii disciplinare. Procedura disciplinară poate fi declanșată ulterior doar în situația în care concluziile investigației indică existența unei abateri disciplinare.</w:t>
            </w:r>
          </w:p>
          <w:p w14:paraId="6B7C1525"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se susține examinarea sesizărilor privind violența și/sau hărțuirea în muncă exclusiv de către comisia de disciplină și nici instituirea unei comisii permanente cu structură similară celei prevăzute de Hotărârea Guvernului nr. 201/2009. Procedura instituită prin prezentul Regulament are un obiect și o finalitate distinctă față de procedura disciplinară reglementată de Codul muncii și de cadrul normativ aplicabil funcției publice. Scopul acesteia este investigarea situațiilor de violență și/sau hărțuire în muncă și stabilirea circumstanțelor de fapt, inclusiv dispunerea unor măsuri de protecție, organizatorice sau preventive, care nu au în mod necesar caracter disciplinar.</w:t>
            </w:r>
          </w:p>
          <w:p w14:paraId="12441CC3"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în toate cazurile faptele sesizate vor constitui abateri disciplinare, iar limitarea examinării acestora la comisia de disciplină ar restrânge nejustificat sfera mecanismului instituit de Regulament. Procedura disciplinară poate fi inițiată ulterior doar în situația în care concluziile investigației indică existența unei abateri disciplinare.</w:t>
            </w:r>
          </w:p>
          <w:p w14:paraId="5A10231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Totodată, Regulamentul prevede desemnarea unei persoane responsabile sau constituirea unei comisii de investigare pentru fiecare caz, tocmai pentru a asigura flexibilitatea procedurii și pentru a evita situațiile de conflict de interese.</w:t>
            </w:r>
            <w:r w:rsidRPr="00D31F43">
              <w:rPr>
                <w:rFonts w:ascii="Times New Roman" w:eastAsia="Times New Roman" w:hAnsi="Times New Roman" w:cs="Times New Roman"/>
                <w:b/>
                <w:bCs/>
                <w:highlight w:val="white"/>
                <w:lang w:val="it-IT"/>
              </w:rPr>
              <w:t xml:space="preserve"> </w:t>
            </w:r>
            <w:r w:rsidRPr="00D31F43">
              <w:rPr>
                <w:rFonts w:ascii="Times New Roman" w:eastAsia="Times New Roman" w:hAnsi="Times New Roman" w:cs="Times New Roman"/>
                <w:highlight w:val="white"/>
                <w:lang w:val="it-IT"/>
              </w:rPr>
              <w:t>Stabilirea unei componențe fixe și a unui mandat permanent ar rigidiza procedura și ar depăși scopul Regulamentului.</w:t>
            </w:r>
          </w:p>
          <w:p w14:paraId="381F9A7A"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sz w:val="14"/>
                <w:szCs w:val="14"/>
                <w:highlight w:val="white"/>
                <w:lang w:val="it-IT"/>
              </w:rPr>
            </w:pPr>
            <w:r w:rsidRPr="00D31F43">
              <w:rPr>
                <w:rFonts w:ascii="Times New Roman" w:eastAsia="Times New Roman" w:hAnsi="Times New Roman" w:cs="Times New Roman"/>
                <w:highlight w:val="white"/>
                <w:lang w:val="it-IT"/>
              </w:rPr>
              <w:t>În ceea ce privește organizarea internă a comisiei, președintele și secretarul comisiei sunt desemnați de către membrii comisiei dintre ei, în funcție de circumstanțele fiecărui caz, ceea ce permite organizarea operativă a activității acesteia .</w:t>
            </w:r>
            <w:r w:rsidRPr="00D31F43">
              <w:rPr>
                <w:rFonts w:ascii="Times New Roman" w:eastAsia="Times New Roman" w:hAnsi="Times New Roman" w:cs="Times New Roman"/>
                <w:sz w:val="14"/>
                <w:szCs w:val="14"/>
                <w:highlight w:val="white"/>
                <w:lang w:val="it-IT"/>
              </w:rPr>
              <w:tab/>
            </w:r>
          </w:p>
          <w:p w14:paraId="2F7601BA"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pt-BR"/>
              </w:rPr>
            </w:pPr>
            <w:r w:rsidRPr="00D31F43">
              <w:rPr>
                <w:rFonts w:ascii="Times New Roman" w:eastAsia="Times New Roman" w:hAnsi="Times New Roman" w:cs="Times New Roman"/>
                <w:i/>
                <w:iCs/>
                <w:highlight w:val="white"/>
                <w:lang w:val="it-IT"/>
              </w:rPr>
              <w:t xml:space="preserve">“22. Componența numerică a fiecărei comisii desemnate pentru investigarea cazurilor de violență și/sau hărțuire în muncă se stabilește de către conducătorul autorității publice, prin ordin, și poate varia de la un caz la altul, în funcție de natura, circumstanțele și complexitatea situației investigate. </w:t>
            </w:r>
            <w:r w:rsidRPr="00D31F43">
              <w:rPr>
                <w:rFonts w:ascii="Times New Roman" w:eastAsia="Times New Roman" w:hAnsi="Times New Roman" w:cs="Times New Roman"/>
                <w:i/>
                <w:iCs/>
                <w:highlight w:val="white"/>
                <w:lang w:val="pt-BR"/>
              </w:rPr>
              <w:t>Președintele și secretarul comisiei se aleg dintre membrii acesteia, prin votul majorității membrilor comisiei.”</w:t>
            </w:r>
          </w:p>
          <w:p w14:paraId="5D2D1A61"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pt-BR"/>
              </w:rPr>
            </w:pPr>
          </w:p>
          <w:p w14:paraId="2659E4F7"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0" w:firstLine="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Se acceptă completarea pct. 24 în sensul acordării posibilității atât persoanei care a formulat sesizarea, cât și persoanei reclamate de a solicita înlăturarea unui membru al comisiei de investigare în cazul existenței unui conflict de interese sau al neîndeplinirii criteriilor prevăzute la pct. 23. Totodată, se precizează că părțile iau cunoștință de componența comisiei de investigare la momentul audierii, iar eventualele cereri de recuzare sau declarații privind existența unui conflict de interese pot fi formulate în cadrul acestei etape procedurale. În consecință, pct. 24 se completează corespunzător pentru a reflecta aceste aspecte.</w:t>
            </w:r>
          </w:p>
          <w:p w14:paraId="61B1968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141"/>
              <w:jc w:val="both"/>
              <w:rPr>
                <w:rFonts w:ascii="Times New Roman" w:eastAsia="Times New Roman" w:hAnsi="Times New Roman" w:cs="Times New Roman"/>
                <w:i/>
                <w:iCs/>
                <w:highlight w:val="white"/>
                <w:lang w:val="pt-BR"/>
              </w:rPr>
            </w:pPr>
            <w:r w:rsidRPr="00D31F43">
              <w:rPr>
                <w:rFonts w:ascii="Times New Roman" w:eastAsia="Times New Roman" w:hAnsi="Times New Roman" w:cs="Times New Roman"/>
                <w:i/>
                <w:iCs/>
                <w:highlight w:val="white"/>
                <w:lang w:val="pt-BR"/>
              </w:rPr>
              <w:lastRenderedPageBreak/>
              <w:t>“25. Persoana desemnată sau membrii comisiei de investigare care se află în conflict de interese ori nu îndeplinesc criteriile prevăzute la pct. 23 se abțin de la examinarea cauzei sau, după caz, sunt înlăturați de la examinare. Înlăturarea se dispune de conducătorul autorității publice, prin act administrativ, la cererea motivată a persoanei care a formulat sesizarea sau a persoanei reclamate. Părțile iau cunoștință de componența comisiei la momentul audierii și pot formula, în cadrul acestei etape, cereri de recuzare motivate.</w:t>
            </w:r>
            <w:r w:rsidRPr="00D31F43">
              <w:rPr>
                <w:rFonts w:ascii="Times New Roman" w:eastAsia="Times New Roman" w:hAnsi="Times New Roman" w:cs="Times New Roman"/>
                <w:i/>
                <w:iCs/>
                <w:sz w:val="14"/>
                <w:szCs w:val="14"/>
                <w:highlight w:val="white"/>
                <w:lang w:val="pt-BR"/>
              </w:rPr>
              <w:t xml:space="preserve">  </w:t>
            </w:r>
            <w:r w:rsidRPr="00D31F43">
              <w:rPr>
                <w:rFonts w:ascii="Georgia" w:eastAsia="Georgia" w:hAnsi="Georgia" w:cs="Georgia"/>
                <w:i/>
                <w:iCs/>
                <w:sz w:val="24"/>
                <w:szCs w:val="24"/>
                <w:highlight w:val="white"/>
                <w:lang w:val="pt-BR"/>
              </w:rPr>
              <w:t>Î</w:t>
            </w:r>
            <w:r w:rsidRPr="00D31F43">
              <w:rPr>
                <w:rFonts w:ascii="Times New Roman" w:eastAsia="Times New Roman" w:hAnsi="Times New Roman" w:cs="Times New Roman"/>
                <w:i/>
                <w:iCs/>
                <w:highlight w:val="white"/>
                <w:lang w:val="pt-BR"/>
              </w:rPr>
              <w:t>n cazul abținerii sau înlăturării unui membru, conducătorul autorității publice desemnează, prin ordin, un alt membru al comisiei de investigare.”</w:t>
            </w:r>
          </w:p>
          <w:p w14:paraId="74E84E65"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highlight w:val="white"/>
                <w:lang w:val="pt-BR"/>
              </w:rPr>
            </w:pPr>
          </w:p>
          <w:p w14:paraId="0F146FFB" w14:textId="77777777" w:rsidR="00477212"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firstLine="0"/>
              <w:jc w:val="both"/>
              <w:rPr>
                <w:rFonts w:ascii="Times New Roman" w:eastAsia="Times New Roman" w:hAnsi="Times New Roman" w:cs="Times New Roman"/>
                <w:highlight w:val="white"/>
              </w:rPr>
            </w:pPr>
            <w:r w:rsidRPr="00D31F43">
              <w:rPr>
                <w:rFonts w:ascii="Times New Roman" w:eastAsia="Times New Roman" w:hAnsi="Times New Roman" w:cs="Times New Roman"/>
                <w:highlight w:val="white"/>
                <w:lang w:val="pt-BR"/>
              </w:rPr>
              <w:t xml:space="preserve"> Nu se susține detalierea suplimentară a cadrului procedural de exercitare a dreptului la apărare. Regulamentul instituie o procedură internă de investigare, iar dreptul la apărare este deja garantat prin posibilitatea părților de a formula explicații, de a prezenta probe și de a propune martori. Exercitarea dreptului la apărare, inclusiv sub aspectul asistenței juridice, se realizează în condițiile generale prevăzute de legislația aplicabilă, fără a fi necesară reglementarea detaliată a acestor aspecte la nivelul Regulamentului. </w:t>
            </w:r>
            <w:r>
              <w:rPr>
                <w:rFonts w:ascii="Times New Roman" w:eastAsia="Times New Roman" w:hAnsi="Times New Roman" w:cs="Times New Roman"/>
                <w:highlight w:val="white"/>
              </w:rPr>
              <w:t>Stabilirea unor reguli procedurale suplimentare ar depăși scopul actului și ar rigidiza nejustificat procedura internă.</w:t>
            </w:r>
          </w:p>
          <w:p w14:paraId="1E18AA41"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pt-BR"/>
              </w:rPr>
            </w:pPr>
            <w:r>
              <w:rPr>
                <w:rFonts w:ascii="Times New Roman" w:eastAsia="Times New Roman" w:hAnsi="Times New Roman" w:cs="Times New Roman"/>
                <w:highlight w:val="white"/>
              </w:rPr>
              <w:t xml:space="preserve">Nu se susține completarea pct. 28. Prevederea stabilește în mod clar obligația tuturor persoanelor implicate în procedura de investigare de a respecta confidențialitatea informațiilor, a datelor cu caracter personal și a identității persoanelor implicate, precum și răspunderea în cazul încălcării acestei obligații. </w:t>
            </w:r>
            <w:r w:rsidRPr="00D31F43">
              <w:rPr>
                <w:rFonts w:ascii="Times New Roman" w:eastAsia="Times New Roman" w:hAnsi="Times New Roman" w:cs="Times New Roman"/>
                <w:highlight w:val="white"/>
                <w:lang w:val="pt-BR"/>
              </w:rPr>
              <w:t xml:space="preserve">Detalierea suplimentară a modalităților de asigurare a confidențialității nu este necesară la nivelul Regulamentului, întrucât aceste aspecte țin de organizarea internă a autorității publice și de aplicarea legislației privind protecția datelor cu </w:t>
            </w:r>
            <w:r w:rsidRPr="00D31F43">
              <w:rPr>
                <w:rFonts w:ascii="Times New Roman" w:eastAsia="Times New Roman" w:hAnsi="Times New Roman" w:cs="Times New Roman"/>
                <w:highlight w:val="white"/>
                <w:lang w:val="pt-BR"/>
              </w:rPr>
              <w:lastRenderedPageBreak/>
              <w:t>caracter personal. În cazul autorităților cu un număr redus de angajați, respectarea principiului confidențialității se asigură prin limitarea accesului la informații doar la persoanele implicate în procedură și prin respectarea obligațiilor legale aplicabile.</w:t>
            </w:r>
          </w:p>
          <w:p w14:paraId="334850B0"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pt-BR"/>
              </w:rPr>
              <w:t xml:space="preserve">Nu se susține completarea pct. 29 cu prevederi privind stabilirea termenelor de examinare sau a temeiurilor de suspendare a procedurii prin analogie cu anexa nr. 7 la Hotărârea Guvernului nr. 201/2009. Procedura instituită prin Regulament are un scop diferit de procedura disciplinară, fiind orientată în primul rând spre investigarea situațiilor de violență și/sau hărțuire în muncă și identificarea măsurilor adecvate pentru restabilirea unui mediu de muncă sigur. Aplicarea prin analogie a normelor privind comisia de disciplină nu este justificată, întrucât nu în toate cazurile faptele examinate vor constitui abateri disciplinare. </w:t>
            </w:r>
            <w:r w:rsidRPr="00D31F43">
              <w:rPr>
                <w:rFonts w:ascii="Times New Roman" w:eastAsia="Times New Roman" w:hAnsi="Times New Roman" w:cs="Times New Roman"/>
                <w:highlight w:val="white"/>
                <w:lang w:val="it-IT"/>
              </w:rPr>
              <w:t>În aceste situații pot fi dispuse și alte măsuri organizatorice sau de protecție, fără declanșarea procedurii disciplinare. Totodată, stabilirea unor termene rigide sau a unor temeiuri expres de suspendare ar putea limita flexibilitatea necesară investigării, având în vedere că durata examinării poate varia în funcție de complexitatea cazului, numărul persoanelor implicate sau necesitatea administrării probelor. Prin urmare, nu se consideră oportună completarea Regulamentului cu prevederi similare celor aplicabile procedurii disciplinare.</w:t>
            </w:r>
          </w:p>
          <w:p w14:paraId="784C37F1"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Nu se susține existența unui paralelism procedural între procedura prevăzută de Regulament și cercetarea disciplinară. Procedura de investigare a cazurilor de violență și/sau hărțuire în muncă are un caracter distinct și premergător, fiind orientată spre clarificarea circumstanțelor de fapt și identificarea măsurilor adecvate pentru protejarea persoanelor implicate și restabilirea unui mediu de muncă sigur. Constatările formulate în raportul comisiei de investigare nu substituie și nu limitează competența comisiei de disciplină, iar declanșarea procedurii disciplinare se realizează doar în situația în care concluziile </w:t>
            </w:r>
            <w:r w:rsidRPr="00D31F43">
              <w:rPr>
                <w:rFonts w:ascii="Times New Roman" w:eastAsia="Times New Roman" w:hAnsi="Times New Roman" w:cs="Times New Roman"/>
                <w:highlight w:val="white"/>
                <w:lang w:val="it-IT"/>
              </w:rPr>
              <w:lastRenderedPageBreak/>
              <w:t>investigației indică existența unei posibile abateri disciplinare. În acest caz, comisia de disciplină examinează cauza în mod autonom, potrivit cadrului normativ aplicabil, administrând probele și audiind părțile conform procedurii specifice. Prin urmare, raportul comisiei de investigare are caracter constatator și orientativ, iar conducătorul autorității publice decide asupra măsurilor ce urmează a fi dispuse în limitele competențelor legale. Procedura disciplinară rămâne guvernată de regulile prevăzute de legislația aplicabilă, nefiind afectate principiile independenței cercetării disciplinare, prezumției nevinovăției și imparțialității comisiei de disciplină.</w:t>
            </w:r>
          </w:p>
          <w:p w14:paraId="1F0B07BF" w14:textId="77777777" w:rsidR="00477212" w:rsidRPr="00D31F43" w:rsidRDefault="00000000">
            <w:pPr>
              <w:numPr>
                <w:ilvl w:val="0"/>
                <w:numId w:val="11"/>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se susține modificarea subpct. 40.4. Prevederea nu instituie un tip nou de concediu și nu derogă de la prevederile Codului muncii. Acordarea concediului plătit sau neplătit se realizează din zilele de concediu la care salariatul are deja dreptul potrivit legislației muncii, la solicitarea persoanei vizate și cu acordul acesteia, fără a institui un concediu suplimentar sau nereglementat. Prin urmare, măsura prevăzută la subpct. 40.4 reprezintă doar o modalitate temporară de protecție, aplicată în contextul procedurii de investigare, cu respectarea cadrului legal existent. Totodată, aplicarea acestei măsuri nu împiedică desfășurarea investigației, întrucât participarea persoanei vizate la procedură poate fi asigurată prin alte modalități adecvate circumstanțelor cazului.</w:t>
            </w:r>
          </w:p>
          <w:p w14:paraId="0534F32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10. Se acceptă excluderea sintagmei „poziția persoanei în cadrul autorității publice”, în vederea asigurării respectării principiului egalității de tratament și al aplicării uniforme a răspunderii disciplinare. Noua redacție a pct. 55:</w:t>
            </w:r>
          </w:p>
          <w:p w14:paraId="5B60943A"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it-IT"/>
              </w:rPr>
            </w:pPr>
            <w:r w:rsidRPr="00D31F43">
              <w:rPr>
                <w:rFonts w:ascii="Times New Roman" w:eastAsia="Times New Roman" w:hAnsi="Times New Roman" w:cs="Times New Roman"/>
                <w:b/>
                <w:bCs/>
                <w:highlight w:val="white"/>
                <w:lang w:val="it-IT"/>
              </w:rPr>
              <w:t>„</w:t>
            </w:r>
            <w:r w:rsidRPr="00D31F43">
              <w:rPr>
                <w:rFonts w:ascii="Times New Roman" w:eastAsia="Times New Roman" w:hAnsi="Times New Roman" w:cs="Times New Roman"/>
                <w:b/>
                <w:bCs/>
                <w:i/>
                <w:iCs/>
                <w:highlight w:val="white"/>
                <w:lang w:val="it-IT"/>
              </w:rPr>
              <w:t>57.</w:t>
            </w:r>
            <w:r w:rsidRPr="00D31F43">
              <w:rPr>
                <w:rFonts w:ascii="Times New Roman" w:eastAsia="Times New Roman" w:hAnsi="Times New Roman" w:cs="Times New Roman"/>
                <w:i/>
                <w:iCs/>
                <w:highlight w:val="white"/>
                <w:lang w:val="it-IT"/>
              </w:rPr>
              <w:t xml:space="preserve"> </w:t>
            </w:r>
            <w:r w:rsidRPr="00D31F43">
              <w:rPr>
                <w:rFonts w:ascii="Times New Roman" w:eastAsia="Times New Roman" w:hAnsi="Times New Roman" w:cs="Times New Roman"/>
                <w:i/>
                <w:iCs/>
                <w:sz w:val="14"/>
                <w:szCs w:val="14"/>
                <w:highlight w:val="white"/>
                <w:lang w:val="it-IT"/>
              </w:rPr>
              <w:tab/>
            </w:r>
            <w:r w:rsidRPr="00D31F43">
              <w:rPr>
                <w:rFonts w:ascii="Times New Roman" w:eastAsia="Times New Roman" w:hAnsi="Times New Roman" w:cs="Times New Roman"/>
                <w:i/>
                <w:iCs/>
                <w:highlight w:val="white"/>
                <w:lang w:val="it-IT"/>
              </w:rPr>
              <w:t>La stabilirea sancțiunii disciplinare se au în vedere natura și gravitatea faptei, circumstanțele săvârșirii acesteia, consecințele produse, poziția persoanei în cadrul autorității publice, conduita anterioară și eventualele situații de recidivă</w:t>
            </w:r>
            <w:r w:rsidRPr="00D31F43">
              <w:rPr>
                <w:rFonts w:ascii="Georgia" w:eastAsia="Georgia" w:hAnsi="Georgia" w:cs="Georgia"/>
                <w:i/>
                <w:iCs/>
                <w:sz w:val="24"/>
                <w:szCs w:val="24"/>
                <w:highlight w:val="white"/>
                <w:lang w:val="it-IT"/>
              </w:rPr>
              <w:t>.</w:t>
            </w:r>
            <w:r w:rsidRPr="00D31F43">
              <w:rPr>
                <w:rFonts w:ascii="Times New Roman" w:eastAsia="Times New Roman" w:hAnsi="Times New Roman" w:cs="Times New Roman"/>
                <w:i/>
                <w:iCs/>
                <w:highlight w:val="white"/>
                <w:lang w:val="it-IT"/>
              </w:rPr>
              <w:t>”</w:t>
            </w:r>
          </w:p>
          <w:p w14:paraId="23236158"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 xml:space="preserve">11. Nu se susține modificarea prevederilor Capitolului VI. Cadrul normativ existent reglementează deja condițiile în care poate fi angajată răspunderea disciplinară a funcționarilor publici. În acest sens, </w:t>
            </w:r>
            <w:r w:rsidRPr="00D31F43">
              <w:rPr>
                <w:rFonts w:ascii="Times New Roman" w:eastAsia="Times New Roman" w:hAnsi="Times New Roman" w:cs="Times New Roman"/>
                <w:b/>
                <w:bCs/>
                <w:highlight w:val="white"/>
                <w:lang w:val="it-IT"/>
              </w:rPr>
              <w:t>art. 57 din Legea nr. 158/2008 privind funcția publică și statutul funcționarului public</w:t>
            </w:r>
            <w:r w:rsidRPr="00D31F43">
              <w:rPr>
                <w:rFonts w:ascii="Times New Roman" w:eastAsia="Times New Roman" w:hAnsi="Times New Roman" w:cs="Times New Roman"/>
                <w:highlight w:val="white"/>
                <w:lang w:val="it-IT"/>
              </w:rPr>
              <w:t xml:space="preserve"> prevede expres cazurile în care poate interveni răspunderea disciplinară.</w:t>
            </w:r>
          </w:p>
          <w:p w14:paraId="1F5A3281"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Totodată, potrivit art. 57 lit. </w:t>
            </w:r>
            <w:r w:rsidRPr="00D31F43">
              <w:rPr>
                <w:rFonts w:ascii="Times New Roman" w:eastAsia="Times New Roman" w:hAnsi="Times New Roman" w:cs="Times New Roman"/>
                <w:b/>
                <w:bCs/>
                <w:highlight w:val="white"/>
                <w:lang w:val="it-IT"/>
              </w:rPr>
              <w:t>j)</w:t>
            </w:r>
            <w:r w:rsidRPr="00D31F43">
              <w:rPr>
                <w:rFonts w:ascii="Times New Roman" w:eastAsia="Times New Roman" w:hAnsi="Times New Roman" w:cs="Times New Roman"/>
                <w:highlight w:val="white"/>
                <w:lang w:val="it-IT"/>
              </w:rPr>
              <w:t xml:space="preserve"> din legea menționată, constituie abatere disciplinară </w:t>
            </w:r>
            <w:r w:rsidRPr="00D31F43">
              <w:rPr>
                <w:rFonts w:ascii="Times New Roman" w:eastAsia="Times New Roman" w:hAnsi="Times New Roman" w:cs="Times New Roman"/>
                <w:b/>
                <w:bCs/>
                <w:highlight w:val="white"/>
                <w:lang w:val="it-IT"/>
              </w:rPr>
              <w:t>încălcarea prevederilor referitoare la obligații și restricții stabilite prin lege</w:t>
            </w:r>
            <w:r w:rsidRPr="00D31F43">
              <w:rPr>
                <w:rFonts w:ascii="Times New Roman" w:eastAsia="Times New Roman" w:hAnsi="Times New Roman" w:cs="Times New Roman"/>
                <w:highlight w:val="white"/>
                <w:lang w:val="it-IT"/>
              </w:rPr>
              <w:t xml:space="preserve">, iar lit. </w:t>
            </w:r>
            <w:r w:rsidRPr="00D31F43">
              <w:rPr>
                <w:rFonts w:ascii="Times New Roman" w:eastAsia="Times New Roman" w:hAnsi="Times New Roman" w:cs="Times New Roman"/>
                <w:b/>
                <w:bCs/>
                <w:highlight w:val="white"/>
                <w:lang w:val="it-IT"/>
              </w:rPr>
              <w:t>l)</w:t>
            </w:r>
            <w:r w:rsidRPr="00D31F43">
              <w:rPr>
                <w:rFonts w:ascii="Times New Roman" w:eastAsia="Times New Roman" w:hAnsi="Times New Roman" w:cs="Times New Roman"/>
                <w:highlight w:val="white"/>
                <w:lang w:val="it-IT"/>
              </w:rPr>
              <w:t xml:space="preserve"> prevede că pot constitui abateri disciplinare și </w:t>
            </w:r>
            <w:r w:rsidRPr="00D31F43">
              <w:rPr>
                <w:rFonts w:ascii="Times New Roman" w:eastAsia="Times New Roman" w:hAnsi="Times New Roman" w:cs="Times New Roman"/>
                <w:b/>
                <w:bCs/>
                <w:highlight w:val="white"/>
                <w:lang w:val="it-IT"/>
              </w:rPr>
              <w:t>alte fapte considerate ca atare în legislația din domeniul funcției publice și al funcționarilor publici sau în legile speciale</w:t>
            </w:r>
            <w:r w:rsidRPr="00D31F43">
              <w:rPr>
                <w:rFonts w:ascii="Times New Roman" w:eastAsia="Times New Roman" w:hAnsi="Times New Roman" w:cs="Times New Roman"/>
                <w:highlight w:val="white"/>
                <w:lang w:val="it-IT"/>
              </w:rPr>
              <w:t>.</w:t>
            </w:r>
          </w:p>
          <w:p w14:paraId="625047E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Prin urmare, cadrul legislativ existent permite angajarea răspunderii disciplinare în cazul încălcării prevederilor stabilite prin acte normative relevante, inclusiv cele referitoare la prevenirea și combaterea violenței și/sau hărțuirii în muncă, fără a fi necesară o reglementare suplimentară în cuprinsul Regulamentului.</w:t>
            </w:r>
          </w:p>
          <w:p w14:paraId="3CE3E00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it-IT"/>
              </w:rPr>
            </w:pPr>
          </w:p>
          <w:p w14:paraId="0D166EB2"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highlight w:val="white"/>
                <w:lang w:val="it-IT"/>
              </w:rPr>
            </w:pPr>
          </w:p>
        </w:tc>
      </w:tr>
      <w:tr w:rsidR="00477212" w:rsidRPr="00AE06E3" w14:paraId="1EB2BF43" w14:textId="77777777">
        <w:trPr>
          <w:trHeight w:val="600"/>
        </w:trPr>
        <w:tc>
          <w:tcPr>
            <w:tcW w:w="675" w:type="dxa"/>
          </w:tcPr>
          <w:p w14:paraId="3B60B2FF"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it-IT"/>
              </w:rPr>
            </w:pPr>
          </w:p>
          <w:p w14:paraId="07BFB89B"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1730" w:type="dxa"/>
          </w:tcPr>
          <w:p w14:paraId="6119CF39"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Agriculturii și Industriei Alimentare</w:t>
            </w:r>
          </w:p>
          <w:p w14:paraId="362FB166" w14:textId="77777777" w:rsidR="00477212" w:rsidRDefault="00477212">
            <w:pPr>
              <w:spacing w:line="240" w:lineRule="auto"/>
              <w:jc w:val="center"/>
              <w:rPr>
                <w:rFonts w:ascii="Times New Roman" w:eastAsia="Times New Roman" w:hAnsi="Times New Roman" w:cs="Times New Roman"/>
                <w:i/>
                <w:iCs/>
                <w:highlight w:val="white"/>
              </w:rPr>
            </w:pPr>
          </w:p>
          <w:p w14:paraId="5EB55AEA"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2026PHG-511</w:t>
            </w:r>
          </w:p>
          <w:p w14:paraId="6E6D9A12" w14:textId="77777777" w:rsidR="00477212" w:rsidRDefault="00477212">
            <w:pPr>
              <w:spacing w:line="240" w:lineRule="auto"/>
              <w:rPr>
                <w:rFonts w:ascii="Times New Roman" w:eastAsia="Times New Roman" w:hAnsi="Times New Roman" w:cs="Times New Roman"/>
                <w:i/>
                <w:iCs/>
                <w:highlight w:val="white"/>
              </w:rPr>
            </w:pPr>
          </w:p>
          <w:p w14:paraId="7DBCA749"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din 20.02.2026</w:t>
            </w:r>
          </w:p>
          <w:p w14:paraId="496A9A5F" w14:textId="77777777" w:rsidR="00477212" w:rsidRDefault="00477212">
            <w:pPr>
              <w:spacing w:line="240" w:lineRule="auto"/>
              <w:jc w:val="center"/>
              <w:rPr>
                <w:rFonts w:ascii="Times New Roman" w:eastAsia="Times New Roman" w:hAnsi="Times New Roman" w:cs="Times New Roman"/>
                <w:i/>
                <w:iCs/>
                <w:highlight w:val="white"/>
              </w:rPr>
            </w:pPr>
          </w:p>
          <w:p w14:paraId="19B11C49" w14:textId="77777777" w:rsidR="00477212" w:rsidRDefault="00477212">
            <w:pPr>
              <w:spacing w:line="240" w:lineRule="auto"/>
              <w:jc w:val="center"/>
              <w:rPr>
                <w:rFonts w:ascii="Times New Roman" w:eastAsia="Times New Roman" w:hAnsi="Times New Roman" w:cs="Times New Roman"/>
                <w:i/>
                <w:iCs/>
              </w:rPr>
            </w:pPr>
          </w:p>
          <w:p w14:paraId="3A96D3F8" w14:textId="77777777" w:rsidR="00477212" w:rsidRDefault="00477212">
            <w:pPr>
              <w:spacing w:line="240" w:lineRule="auto"/>
              <w:jc w:val="center"/>
              <w:rPr>
                <w:rFonts w:ascii="Times New Roman" w:eastAsia="Times New Roman" w:hAnsi="Times New Roman" w:cs="Times New Roman"/>
                <w:i/>
                <w:iCs/>
              </w:rPr>
            </w:pPr>
          </w:p>
        </w:tc>
        <w:tc>
          <w:tcPr>
            <w:tcW w:w="6685" w:type="dxa"/>
          </w:tcPr>
          <w:p w14:paraId="474E9474" w14:textId="77777777" w:rsidR="00477212" w:rsidRDefault="00000000">
            <w:pPr>
              <w:numPr>
                <w:ilvl w:val="0"/>
                <w:numId w:val="30"/>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lastRenderedPageBreak/>
              <w:t>În denumire și pct. 1, reieșind din sfera subiecților față de care se va aplica viitorul regulament, care include, potrivit pct. 2 din Regulament, atît autoritățile publice centrale cît și instituțiile și structurile organizatorice aflate în subordinea acestora, considerăm necesar reformularea denumirii Hotărîrii și a Regulamentului aprobat prin acesta. Drept soluție ar putea servi substituirea textului „ în autoritățile publice” prin textul „în cadrul persoanelor juridice de drept public” sau „în entitățile publice”.</w:t>
            </w:r>
          </w:p>
          <w:p w14:paraId="2CA20B4C" w14:textId="77777777" w:rsidR="00477212" w:rsidRDefault="00000000">
            <w:pPr>
              <w:numPr>
                <w:ilvl w:val="0"/>
                <w:numId w:val="30"/>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 xml:space="preserve">La pct. 5, întrucît ca rezultat al adoptării proiectului supus avizării autoritățile publice urmează să emită politica internă Politica internă </w:t>
            </w:r>
            <w:r>
              <w:rPr>
                <w:rFonts w:ascii="Times New Roman" w:eastAsia="Times New Roman" w:hAnsi="Times New Roman" w:cs="Times New Roman"/>
              </w:rPr>
              <w:lastRenderedPageBreak/>
              <w:t>privind prevenirea și combaterea violenței și hărțuirii în muncă; să instituie registrul de evidență de evidență a sesizărilor privind cazurile de violență și/sau hărțuire în muncă; instruiască persoanelor desemnate de investigare în domeniul prevenirii și combaterii violenței și hărțuirii în muncă, considerăm necesar ca proiectul să intre în vigoare la trei luni de la publicarea în Monitorul Oficial al Republicii Moldova.</w:t>
            </w:r>
          </w:p>
          <w:p w14:paraId="5F981E53" w14:textId="77777777" w:rsidR="00477212" w:rsidRDefault="00000000">
            <w:pPr>
              <w:numPr>
                <w:ilvl w:val="0"/>
                <w:numId w:val="30"/>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Pct. 3.1, pentru asigurarea unității terminologice cu Legea nr. 199/2010 cu privire la statutul persoanelor cu funcții de demnitate publică, propunem substituirea textului „demnitarii publici” cu textul „persoanele cu funcții de demnitate publică”</w:t>
            </w:r>
          </w:p>
          <w:p w14:paraId="69D04D70" w14:textId="77777777" w:rsidR="00477212" w:rsidRPr="00D31F43" w:rsidRDefault="00000000">
            <w:pPr>
              <w:numPr>
                <w:ilvl w:val="0"/>
                <w:numId w:val="30"/>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en-GB"/>
              </w:rPr>
              <w:t xml:space="preserve">Pct. 4, </w:t>
            </w:r>
            <w:proofErr w:type="spellStart"/>
            <w:r w:rsidRPr="00D31F43">
              <w:rPr>
                <w:rFonts w:ascii="Times New Roman" w:eastAsia="Times New Roman" w:hAnsi="Times New Roman" w:cs="Times New Roman"/>
                <w:lang w:val="en-GB"/>
              </w:rPr>
              <w:t>observăm</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că</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textul</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acestui</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punct</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reproduc</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prevederile</w:t>
            </w:r>
            <w:proofErr w:type="spellEnd"/>
            <w:r w:rsidRPr="00D31F43">
              <w:rPr>
                <w:rFonts w:ascii="Times New Roman" w:eastAsia="Times New Roman" w:hAnsi="Times New Roman" w:cs="Times New Roman"/>
                <w:lang w:val="en-GB"/>
              </w:rPr>
              <w:t xml:space="preserve"> art. 81 </w:t>
            </w:r>
            <w:proofErr w:type="spellStart"/>
            <w:r w:rsidRPr="00D31F43">
              <w:rPr>
                <w:rFonts w:ascii="Times New Roman" w:eastAsia="Times New Roman" w:hAnsi="Times New Roman" w:cs="Times New Roman"/>
                <w:lang w:val="en-GB"/>
              </w:rPr>
              <w:t>alin</w:t>
            </w:r>
            <w:proofErr w:type="spellEnd"/>
            <w:r w:rsidRPr="00D31F43">
              <w:rPr>
                <w:rFonts w:ascii="Times New Roman" w:eastAsia="Times New Roman" w:hAnsi="Times New Roman" w:cs="Times New Roman"/>
                <w:lang w:val="en-GB"/>
              </w:rPr>
              <w:t xml:space="preserve">. </w:t>
            </w:r>
            <w:r w:rsidRPr="00D31F43">
              <w:rPr>
                <w:rFonts w:ascii="Times New Roman" w:eastAsia="Times New Roman" w:hAnsi="Times New Roman" w:cs="Times New Roman"/>
                <w:lang w:val="it-IT"/>
              </w:rPr>
              <w:t>(2) din Codul muncii, prin care fapt se încalcă prevederile articolului 55 alin. (1) din Legea nr.100/2017 cu privire la actele normative care stabilește că „Reglementările de acelaşi nivel şi avînd acelaşi obiect de reglementare se cuprind, de regulă, într-un singur act normativ”. Același articol stabilește la alin. (5), că ”pentru evitarea reproducerii normelor complementare se face trimitere la elementul structural sau constitutiv respectiv, indicîndu-se denumirea, numărul şi anul adoptării, aprobării sau emiterii actului citat”.</w:t>
            </w:r>
          </w:p>
          <w:p w14:paraId="7737A21E" w14:textId="77777777" w:rsidR="00477212" w:rsidRPr="00D31F43" w:rsidRDefault="00000000">
            <w:pPr>
              <w:numPr>
                <w:ilvl w:val="0"/>
                <w:numId w:val="30"/>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pct. 5.3., observăm că potrivit pct. 3 în categoria subiecților față de care se aplică Regulamentul se includ experți, consultanți, asistenți tehnici, persoane care apațin altor insitiuții sau organizații, ceea ce în opinia Ministerului, va ridica problema posibilității inițierii unei investigații în care aceste persoane să fie vizate ca persoane reclamate, atîta timp cît ele nimijlocit nu se află în raporturi de subordonare.</w:t>
            </w:r>
          </w:p>
          <w:p w14:paraId="2C535056" w14:textId="77777777" w:rsidR="00477212" w:rsidRPr="00D31F43" w:rsidRDefault="00000000">
            <w:pPr>
              <w:numPr>
                <w:ilvl w:val="0"/>
                <w:numId w:val="30"/>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La pct. 11.3., în opinia Ministerului, efectuarea anuală a evaluării riscurilor de violență și hărțuire în muncă, nu se justifică și presupune costuri de timp și de personal ridacte. </w:t>
            </w:r>
            <w:r w:rsidRPr="00D31F43">
              <w:rPr>
                <w:rFonts w:ascii="Times New Roman" w:eastAsia="Times New Roman" w:hAnsi="Times New Roman" w:cs="Times New Roman"/>
                <w:lang w:val="it-IT"/>
              </w:rPr>
              <w:t>Prin urmare, considerăm necesar revizuirea termenului stabilit și fixarea unui termen de cel puțin odată la 3 ani.</w:t>
            </w:r>
          </w:p>
          <w:p w14:paraId="133DBB67" w14:textId="77777777" w:rsidR="00477212" w:rsidRDefault="00000000">
            <w:pPr>
              <w:numPr>
                <w:ilvl w:val="0"/>
                <w:numId w:val="30"/>
              </w:numPr>
              <w:spacing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În Anexa nr. 4: pct. 9, în opinia Ministerului, momentul depunerii înregistării nu poate depinde de două evenimente diferite: data înregistrării în registru de evidență a sesizărilor sau data primirii acesteia pe adresa electronică, întrucît se crează o incertitudine a momentului depunerii și, pe cale de consecință, a termenului de </w:t>
            </w:r>
            <w:r w:rsidRPr="00D31F43">
              <w:rPr>
                <w:rFonts w:ascii="Times New Roman" w:eastAsia="Times New Roman" w:hAnsi="Times New Roman" w:cs="Times New Roman"/>
                <w:lang w:val="it-IT"/>
              </w:rPr>
              <w:lastRenderedPageBreak/>
              <w:t xml:space="preserve">examinare a sesizării. </w:t>
            </w:r>
            <w:r>
              <w:rPr>
                <w:rFonts w:ascii="Times New Roman" w:eastAsia="Times New Roman" w:hAnsi="Times New Roman" w:cs="Times New Roman"/>
              </w:rPr>
              <w:t>Prin urmare, se va opta doar pentru unul dintre aceste evenimente.</w:t>
            </w:r>
          </w:p>
          <w:p w14:paraId="424B0ED2" w14:textId="77777777" w:rsidR="00477212" w:rsidRDefault="00000000">
            <w:pPr>
              <w:numPr>
                <w:ilvl w:val="0"/>
                <w:numId w:val="30"/>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La Regulament: la pct. 11.6, pentru a reduce costurile de instruire a salariaților, propunem inserarea în textul Regulamentului a unei prevederi în baza căreia autoritățile administrației publice centrale pot organiza centralizat instruiri periodice pentru personalul structurilor organizatorice din sfera sa de competență, astfel încît la aceste instruiri să participe nu personalul autorității, ci și a entităților din subordine, fără ca acestea din urmă să aibă obligația de a mai organiza astfel de instruiri.</w:t>
            </w:r>
          </w:p>
          <w:p w14:paraId="5484752A" w14:textId="77777777" w:rsidR="00477212" w:rsidRDefault="00000000">
            <w:pPr>
              <w:numPr>
                <w:ilvl w:val="0"/>
                <w:numId w:val="30"/>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La pct. 24, propunem completarea punctului cu textului „sau din oficiu”, astfel încît înlăturarea persoanei desemnate în comisia de investigare care se află în conflict de interese să se dispună nu doar la cererea persoanei vizate dar și din oficiu.</w:t>
            </w:r>
          </w:p>
          <w:p w14:paraId="788FB527" w14:textId="77777777" w:rsidR="00477212" w:rsidRDefault="00477212">
            <w:pPr>
              <w:spacing w:line="240" w:lineRule="auto"/>
              <w:jc w:val="both"/>
              <w:rPr>
                <w:rFonts w:ascii="Times New Roman" w:eastAsia="Times New Roman" w:hAnsi="Times New Roman" w:cs="Times New Roman"/>
              </w:rPr>
            </w:pPr>
          </w:p>
        </w:tc>
        <w:tc>
          <w:tcPr>
            <w:tcW w:w="5925" w:type="dxa"/>
          </w:tcPr>
          <w:p w14:paraId="3C25A4C3"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Se acceptă parțial</w:t>
            </w:r>
          </w:p>
          <w:p w14:paraId="0B2E8F9B" w14:textId="77777777" w:rsidR="00477212"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0" w:firstLine="0"/>
              <w:jc w:val="both"/>
              <w:rPr>
                <w:rFonts w:ascii="Times New Roman" w:eastAsia="Times New Roman" w:hAnsi="Times New Roman" w:cs="Times New Roman"/>
              </w:rPr>
            </w:pPr>
            <w:r>
              <w:rPr>
                <w:rFonts w:ascii="Times New Roman" w:eastAsia="Times New Roman" w:hAnsi="Times New Roman" w:cs="Times New Roman"/>
              </w:rPr>
              <w:t xml:space="preserve">Propunerea nu se acceptă. Potrivit Legii nr. 194/2025 pentru modificarea Codului muncii al Republicii Moldova, Guvernul este împuternicit să elaboreze și să aprobe cadrul normativ necesar pentru punerea în aplicare a prevederilor legii de către autoritățile publice. În acest sens, formularea utilizată în proiectul hotărârii și în Regulament este în concordanță directă cu mandatul stabilit prin lege. Substituirea sintagmei „în autoritățile publice” cu noțiuni precum „persoane juridice de </w:t>
            </w:r>
            <w:r>
              <w:rPr>
                <w:rFonts w:ascii="Times New Roman" w:eastAsia="Times New Roman" w:hAnsi="Times New Roman" w:cs="Times New Roman"/>
              </w:rPr>
              <w:lastRenderedPageBreak/>
              <w:t>drept public” sau „entități publice” ar extinde sfera de aplicare a actului normativ dincolo de limitele stabilite prin lege, întrucât aceste noțiuni includ o categorie mai largă de subiecți decât cea avută în vedere de legiuitor. Prin urmare, menținerea formulării „în autoritățile publice” este necesară pentru a asigura concordanța cu împuternicirea prevăzută de Legea nr. 194/2025 și pentru a evita extinderea nejustificată a domeniului de reglementare al actului normativ.</w:t>
            </w:r>
          </w:p>
          <w:p w14:paraId="1447DAB8" w14:textId="77777777" w:rsidR="00477212" w:rsidRPr="00D31F43"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Nu se susține amânarea intrării în vigoare a proiectului pentru un termen de trei luni de la publicarea în Monitorul Oficial. De la adoptarea Legii nr. 194 din 10.07.2025 pentru modificarea Codului muncii al Republicii Moldova nr. 154/2003</w:t>
            </w:r>
            <w:r w:rsidRPr="00D31F43">
              <w:rPr>
                <w:rFonts w:ascii="Times New Roman" w:eastAsia="Times New Roman" w:hAnsi="Times New Roman" w:cs="Times New Roman"/>
                <w:b/>
                <w:bCs/>
                <w:lang w:val="it-IT"/>
              </w:rPr>
              <w:t xml:space="preserve"> </w:t>
            </w:r>
            <w:r w:rsidRPr="00D31F43">
              <w:rPr>
                <w:rFonts w:ascii="Times New Roman" w:eastAsia="Times New Roman" w:hAnsi="Times New Roman" w:cs="Times New Roman"/>
                <w:lang w:val="it-IT"/>
              </w:rPr>
              <w:t xml:space="preserve">și până la intrarea în vigoare a acesteia a fost prevăzut deja un termen de aproximativ  6 luni, perioadă care a oferit autorităților publice timpul necesar pentru pregătirea implementării noilor prevederi. Totodată, hotărârea propusă pune la dispoziția autorităților instrumentele și documentele necesare pentru implementare, inclusiv: modelul sesizării privind fapte susceptibile de a constitui violență și/sau hărțuire în muncă; registrul de evidență a sesizărilor privind cazurile de violență și/sau hărțuire în muncă; modelul raportului de constatare întocmit în urma investigării sesizării; modelul politicii interne privind prevenirea și combaterea violenței și hărțuirii în muncă. </w:t>
            </w:r>
            <w:r w:rsidRPr="00D31F43">
              <w:rPr>
                <w:rFonts w:ascii="Times New Roman" w:eastAsia="Times New Roman" w:hAnsi="Times New Roman" w:cs="Times New Roman"/>
                <w:lang w:val="pt-BR"/>
              </w:rPr>
              <w:t>Aceste documente au caracter orientativ și pot fi preluate și adaptate de autorități, astfel încât implementarea prevederilor Regulamentului nu necesită o perioadă suplimentară de pregătire</w:t>
            </w:r>
          </w:p>
          <w:p w14:paraId="239E7B2B" w14:textId="77777777" w:rsidR="00477212"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rPr>
            </w:pPr>
            <w:r w:rsidRPr="00D31F43">
              <w:rPr>
                <w:rFonts w:ascii="Times New Roman" w:eastAsia="Times New Roman" w:hAnsi="Times New Roman" w:cs="Times New Roman"/>
                <w:lang w:val="pt-BR"/>
              </w:rPr>
              <w:t xml:space="preserve">Se acceptă propunerea în vederea asigurării unității terminologice cu Legea nr. 199/2010 cu privire la statutul persoanelor cu funcții de demnitate publică. În acest sens, textul „demnitarii publici” se substituie cu textul „persoanele cu funcții de demnitate publică”. </w:t>
            </w:r>
            <w:r>
              <w:rPr>
                <w:rFonts w:ascii="Times New Roman" w:eastAsia="Times New Roman" w:hAnsi="Times New Roman" w:cs="Times New Roman"/>
              </w:rPr>
              <w:t>Noua redacție a pct. 3.1:</w:t>
            </w:r>
          </w:p>
          <w:p w14:paraId="11E7EE8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pt-BR"/>
              </w:rPr>
            </w:pPr>
            <w:r w:rsidRPr="00D31F43">
              <w:rPr>
                <w:rFonts w:ascii="Times New Roman" w:eastAsia="Times New Roman" w:hAnsi="Times New Roman" w:cs="Times New Roman"/>
                <w:i/>
                <w:iCs/>
                <w:lang w:val="pt-BR"/>
              </w:rPr>
              <w:lastRenderedPageBreak/>
              <w:t>„3.1. persoanele cu funcții de demnitate publică, indiferent de funcția de demnitate publică exercitată sau de nivelul autorității în care își desfășoară activitatea;”</w:t>
            </w:r>
          </w:p>
          <w:p w14:paraId="09B7471B" w14:textId="77777777" w:rsidR="00477212" w:rsidRPr="00D31F43"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Nu se susține excluderea sau reformularea pct. 4 în sensul propus. Prevederile acestuia au rolul de a delimita explicit domeniul de aplicare al Regulamentului, prin indicarea situațiilor și spațiilor asociate activității profesionale în care pot surveni fapte de violență și/sau hărțuire în muncă, în contextul raporturilor de muncă din cadrul autorităților publice. Deși formularea este corelată cu art. 81 alin. (2) din Codul muncii al Republicii Moldova nr. 154/2003, includerea acestor prevederi în Regulament este justificată de necesitatea asigurării clarității și previzibilității normei, precum și a unei aplicări uniforme la nivelul entităților vizate. În lipsa unei asemenea precizări, ar putea apărea interpretări divergente cu privire la situațiile concrete în care se aplică mecanismele de prevenire și investigare prevăzute de Regulament. Totodată, prevederea nu reproduce integral norma legală, ci o detaliază și o adaptează obiectului specific al actului normativ, respectiv prevenirii și combaterii violenței și/sau hărțuirii în muncă în cadrul autorităților publice. În aceste condiții, nu se consideră că textul contravine dispozițiilor art. 55 alin. (1) și alin. (5) din Legea nr. 100/2017 cu privire la actele normative, întrucât includerea acestei norme are caracter explicativ și facilitează aplicarea practică a Regulamentului de către autoritățile vizate.</w:t>
            </w:r>
          </w:p>
          <w:p w14:paraId="572F8CE8" w14:textId="77777777" w:rsidR="00477212"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r w:rsidRPr="00D31F43">
              <w:rPr>
                <w:rFonts w:ascii="Times New Roman" w:eastAsia="Times New Roman" w:hAnsi="Times New Roman" w:cs="Times New Roman"/>
                <w:lang w:val="pt-BR"/>
              </w:rPr>
              <w:t xml:space="preserve">Includerea acestor categorii de persoane este justificată de faptul că actele de violență și/sau hărțuire pot surveni în cadrul relațiilor profesionale, chiar și în lipsa unui raport direct de subordonare. Procedura de investigare prevăzută de Regulament are ca scop clarificarea circumstanțelor faptelor și adoptarea măsurilor adecvate pentru asigurarea unui mediu de muncă sigur, iar aceasta nu se limitează exclusiv la situațiile care implică raporturi ierarhice. În cazul în care persoana reclamată nu se află în raporturi de muncă sau de serviciu cu </w:t>
            </w:r>
            <w:r w:rsidRPr="00D31F43">
              <w:rPr>
                <w:rFonts w:ascii="Times New Roman" w:eastAsia="Times New Roman" w:hAnsi="Times New Roman" w:cs="Times New Roman"/>
                <w:lang w:val="pt-BR"/>
              </w:rPr>
              <w:lastRenderedPageBreak/>
              <w:t xml:space="preserve">autoritatea publică, rezultatul investigației poate conduce, după caz, la adoptarea unor măsuri organizatorice, contractuale sau la sesizarea instituțiilor competente, în funcție de statutul persoanei implicate și de cadrul juridic aplicabil. </w:t>
            </w:r>
            <w:r>
              <w:rPr>
                <w:rFonts w:ascii="Times New Roman" w:eastAsia="Times New Roman" w:hAnsi="Times New Roman" w:cs="Times New Roman"/>
              </w:rPr>
              <w:t>Astfel, includerea acestor categorii de persoane nu generează impedimente juridice în desfășurarea procedurii.</w:t>
            </w:r>
          </w:p>
          <w:p w14:paraId="563D7FAA" w14:textId="77777777" w:rsidR="00477212"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Nu se susține modificarea pct. 11.3 în sensul stabilirii unui termen de cel puțin o dată la 3 ani. Evaluarea periodică a riscurilor de violență și/sau hărțuire în muncă cel puțin o dată pe an este justificată de necesitatea identificării și gestionării prompte a factorilor de risc care pot afecta mediul de muncă. Totodată, evaluarea anuală nu presupune instituirea unei proceduri complexe sau a unor costuri suplimentare semnificative, aceasta putând fi realizată în cadrul mecanismelor interne existente de analiză a climatului organizațional și de gestionare a resurselor umane. De asemenea, stabilirea unei perioade mai îndelungate ar putea limita capacitatea autorităților publice de a identifica în timp util riscurile și de a adopta măsuri preventive adecvate, având în vedere caracterul dinamic al relațiilor de muncă și al mediului organizațional. </w:t>
            </w:r>
            <w:r>
              <w:rPr>
                <w:rFonts w:ascii="Times New Roman" w:eastAsia="Times New Roman" w:hAnsi="Times New Roman" w:cs="Times New Roman"/>
              </w:rPr>
              <w:t>În aceste condiții, menținerea evaluării periodice cel puțin o dată pe an este considerată oportună.</w:t>
            </w:r>
          </w:p>
          <w:p w14:paraId="10577F5E" w14:textId="77777777" w:rsidR="00477212" w:rsidRDefault="00000000">
            <w:pPr>
              <w:numPr>
                <w:ilvl w:val="0"/>
                <w:numId w:val="14"/>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jc w:val="both"/>
              <w:rPr>
                <w:rFonts w:ascii="Times New Roman" w:eastAsia="Times New Roman" w:hAnsi="Times New Roman" w:cs="Times New Roman"/>
              </w:rPr>
            </w:pPr>
            <w:r>
              <w:rPr>
                <w:rFonts w:ascii="Times New Roman" w:eastAsia="Times New Roman" w:hAnsi="Times New Roman" w:cs="Times New Roman"/>
              </w:rPr>
              <w:t>7. Se acceptă revizuirea pct. 9 din Anexa nr. 4, în vederea asigurării clarității momentului depunerii sesizării și a determinării termenului de examinare. În acest sens, momentul depunerii sesizării va fi stabilit în mod unic ca fiind data înregistrării acesteia în registrul de evidență a sesizărilor privind cazurile de violență și/sau hărțuire în muncă.</w:t>
            </w:r>
          </w:p>
          <w:p w14:paraId="07BDEE20"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141"/>
              <w:jc w:val="both"/>
              <w:rPr>
                <w:rFonts w:ascii="Times New Roman" w:eastAsia="Times New Roman" w:hAnsi="Times New Roman" w:cs="Times New Roman"/>
              </w:rPr>
            </w:pPr>
            <w:r>
              <w:rPr>
                <w:rFonts w:ascii="Times New Roman" w:eastAsia="Times New Roman" w:hAnsi="Times New Roman" w:cs="Times New Roman"/>
              </w:rPr>
              <w:t xml:space="preserve">8. Nu se susține completarea pct. 11.6 în sensul propus. Regulamentul stabilește obligația fiecărei autorități publice de a asigura instruirea periodică a salariaților în domeniul prevenirii și combaterii violenței și/sau hărțuirii în muncă, în funcție de specificul activității și de riscurile identificate la nivel instituțional. Organizarea instruirilor la nivel centralizat poate </w:t>
            </w:r>
            <w:r>
              <w:rPr>
                <w:rFonts w:ascii="Times New Roman" w:eastAsia="Times New Roman" w:hAnsi="Times New Roman" w:cs="Times New Roman"/>
              </w:rPr>
              <w:lastRenderedPageBreak/>
              <w:t>constitui o bună practică administrativă, însă instituirea unei asemenea posibilități la nivel normativ, însoțită de exonerarea entităților din subordine de obligația de a organiza instruiri proprii, nu este oportună. Fiecare autoritate publică rămâne responsabilă pentru asigurarea instruirii personalului propriu, având posibilitatea de a alege modalitățile adecvate de realizare a acesteia, inclusiv prin participarea la programe de instruire organizate la nivelul autorităților ierarhic superioare.</w:t>
            </w:r>
          </w:p>
          <w:p w14:paraId="1C65053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141"/>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9. Nu se susține completarea pct. 24 cu sintagma „sau din oficiu”. Comisia de investigare este constituită ad hoc, prin act administrativ al conducătorului autorității publice, care, la momentul desemnării membrilor, cunoaște criteriile și cerințele prevăzute de Regulament, inclusiv lipsa conflictului de interese.</w:t>
            </w:r>
          </w:p>
          <w:p w14:paraId="6A85BC4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În aceste condiții, conducătorul autorității publice are obligația de a desemna persoane care îndeplinesc criteriile prevăzute la pct. 23, astfel încât, în mod normal, situațiile de conflict de interese trebuie prevenite încă de la momentul desemnării comisiei. Mecanismul prevăzut de pct. 24, care permite formularea unei cereri de recuzare de către părțile implicate, constituie o garanție procedurală suficientă pentru înlăturarea unui eventual conflict de interese identificat ulterior.</w:t>
            </w:r>
          </w:p>
          <w:p w14:paraId="27961EC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141"/>
              <w:jc w:val="both"/>
              <w:rPr>
                <w:rFonts w:ascii="Times New Roman" w:eastAsia="Times New Roman" w:hAnsi="Times New Roman" w:cs="Times New Roman"/>
                <w:lang w:val="pt-BR"/>
              </w:rPr>
            </w:pPr>
          </w:p>
          <w:p w14:paraId="4527B0B4"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pt-BR"/>
              </w:rPr>
            </w:pPr>
          </w:p>
        </w:tc>
      </w:tr>
      <w:tr w:rsidR="00477212" w:rsidRPr="00AE06E3" w14:paraId="499731BB" w14:textId="77777777">
        <w:trPr>
          <w:trHeight w:val="600"/>
        </w:trPr>
        <w:tc>
          <w:tcPr>
            <w:tcW w:w="675" w:type="dxa"/>
          </w:tcPr>
          <w:p w14:paraId="4A6026F6"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pt-BR"/>
              </w:rPr>
            </w:pPr>
          </w:p>
          <w:p w14:paraId="65C378FE"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1730" w:type="dxa"/>
          </w:tcPr>
          <w:p w14:paraId="17058902"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Educației și Cercetării</w:t>
            </w:r>
          </w:p>
          <w:p w14:paraId="4A65D84F" w14:textId="77777777" w:rsidR="00477212" w:rsidRDefault="00477212">
            <w:pPr>
              <w:spacing w:line="240" w:lineRule="auto"/>
              <w:ind w:firstLine="567"/>
              <w:jc w:val="center"/>
              <w:rPr>
                <w:rFonts w:ascii="Times New Roman" w:eastAsia="Times New Roman" w:hAnsi="Times New Roman" w:cs="Times New Roman"/>
                <w:b/>
                <w:bCs/>
              </w:rPr>
            </w:pPr>
          </w:p>
          <w:p w14:paraId="40282C96" w14:textId="77777777" w:rsidR="00477212" w:rsidRDefault="00000000">
            <w:pPr>
              <w:spacing w:line="240" w:lineRule="auto"/>
              <w:jc w:val="center"/>
              <w:rPr>
                <w:rFonts w:ascii="Times New Roman" w:eastAsia="Times New Roman" w:hAnsi="Times New Roman" w:cs="Times New Roman"/>
                <w:i/>
                <w:iCs/>
              </w:rPr>
            </w:pPr>
            <w:r>
              <w:rPr>
                <w:rFonts w:ascii="Times New Roman" w:eastAsia="Times New Roman" w:hAnsi="Times New Roman" w:cs="Times New Roman"/>
                <w:i/>
                <w:iCs/>
              </w:rPr>
              <w:t>nr. 13/102/26</w:t>
            </w:r>
          </w:p>
          <w:p w14:paraId="604340D2" w14:textId="77777777" w:rsidR="00477212" w:rsidRDefault="00000000">
            <w:pPr>
              <w:spacing w:line="240" w:lineRule="auto"/>
              <w:jc w:val="center"/>
              <w:rPr>
                <w:rFonts w:ascii="Times New Roman" w:eastAsia="Times New Roman" w:hAnsi="Times New Roman" w:cs="Times New Roman"/>
                <w:i/>
                <w:iCs/>
              </w:rPr>
            </w:pPr>
            <w:r>
              <w:rPr>
                <w:rFonts w:ascii="Times New Roman" w:eastAsia="Times New Roman" w:hAnsi="Times New Roman" w:cs="Times New Roman"/>
                <w:i/>
                <w:iCs/>
              </w:rPr>
              <w:t>din 17.02.2026</w:t>
            </w:r>
          </w:p>
          <w:p w14:paraId="0F1A9953" w14:textId="77777777" w:rsidR="00477212" w:rsidRDefault="00477212">
            <w:pPr>
              <w:spacing w:line="240" w:lineRule="auto"/>
              <w:jc w:val="center"/>
              <w:rPr>
                <w:rFonts w:ascii="Times New Roman" w:eastAsia="Times New Roman" w:hAnsi="Times New Roman" w:cs="Times New Roman"/>
                <w:i/>
                <w:iCs/>
              </w:rPr>
            </w:pPr>
          </w:p>
          <w:p w14:paraId="0A78C140" w14:textId="77777777" w:rsidR="00477212" w:rsidRDefault="00477212">
            <w:pPr>
              <w:spacing w:line="240" w:lineRule="auto"/>
              <w:jc w:val="center"/>
              <w:rPr>
                <w:rFonts w:ascii="Times New Roman" w:eastAsia="Times New Roman" w:hAnsi="Times New Roman" w:cs="Times New Roman"/>
                <w:i/>
                <w:iCs/>
              </w:rPr>
            </w:pPr>
          </w:p>
        </w:tc>
        <w:tc>
          <w:tcPr>
            <w:tcW w:w="6685" w:type="dxa"/>
          </w:tcPr>
          <w:p w14:paraId="559A5B49" w14:textId="77777777" w:rsidR="00477212" w:rsidRPr="00D31F43" w:rsidRDefault="00000000">
            <w:pPr>
              <w:numPr>
                <w:ilvl w:val="0"/>
                <w:numId w:val="10"/>
              </w:numPr>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La pct. 11.4 și pct. 11.6 de exclus sintagma “ dar nu mai rar de o dată pe an”. </w:t>
            </w:r>
          </w:p>
          <w:p w14:paraId="1DACF1B6" w14:textId="77777777" w:rsidR="00477212" w:rsidRPr="00D31F43" w:rsidRDefault="00000000">
            <w:pPr>
              <w:numPr>
                <w:ilvl w:val="0"/>
                <w:numId w:val="10"/>
              </w:numPr>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Pct 11.7 “desemnarea persoanelor sau constituirea comisiilor responsabile pentru preluarea sesizărilor analiza și investigarea cazurilor de violență și hărțuire, cu respectarea principiilor imparțialității și confidențialității”. - de exclus</w:t>
            </w:r>
          </w:p>
        </w:tc>
        <w:tc>
          <w:tcPr>
            <w:tcW w:w="5925" w:type="dxa"/>
          </w:tcPr>
          <w:p w14:paraId="0EC1A611"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rPr>
            </w:pPr>
            <w:r>
              <w:rPr>
                <w:rFonts w:ascii="Times New Roman" w:eastAsia="Times New Roman" w:hAnsi="Times New Roman" w:cs="Times New Roman"/>
                <w:b/>
                <w:bCs/>
              </w:rPr>
              <w:t>Nu se acceptă</w:t>
            </w:r>
          </w:p>
          <w:p w14:paraId="360C9093" w14:textId="77777777" w:rsidR="00477212" w:rsidRDefault="00000000">
            <w:pPr>
              <w:numPr>
                <w:ilvl w:val="0"/>
                <w:numId w:val="18"/>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lang w:val="pt-BR"/>
              </w:rPr>
              <w:t xml:space="preserve">Nu se susține excluderea sintagmei „dar nu mai rar de o dată pe an”. Termenul respectiv este prevăzut în mod expres și în Codul muncii, care stabilește obligația angajatorului de a asigura informarea și instruirea periodică a salariaților cel puțin o dată pe an. Menținerea acestei formulări în </w:t>
            </w:r>
            <w:r w:rsidRPr="00D31F43">
              <w:rPr>
                <w:rFonts w:ascii="Times New Roman" w:eastAsia="Times New Roman" w:hAnsi="Times New Roman" w:cs="Times New Roman"/>
                <w:lang w:val="pt-BR"/>
              </w:rPr>
              <w:lastRenderedPageBreak/>
              <w:t xml:space="preserve">Regulament asigură corelarea cu cadrul normativ existent și stabilește un standard minim de informare, fără a limita posibilitatea angajatorului de a organiza astfel de instruiri sau informări mai frecvent, în funcție de necesitățile instituției sau de riscurile identificate. </w:t>
            </w:r>
            <w:r>
              <w:rPr>
                <w:rFonts w:ascii="Times New Roman" w:eastAsia="Times New Roman" w:hAnsi="Times New Roman" w:cs="Times New Roman"/>
              </w:rPr>
              <w:t>Astfel, prevederea nu restrânge marja de apreciere a angajatorului, ci stabilește doar o frecvență minimă obligatorie.</w:t>
            </w:r>
          </w:p>
          <w:p w14:paraId="1B132C4C" w14:textId="77777777" w:rsidR="00477212" w:rsidRPr="00D31F43" w:rsidRDefault="00000000">
            <w:pPr>
              <w:numPr>
                <w:ilvl w:val="0"/>
                <w:numId w:val="18"/>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Nu se susține excluderea pct. 11.7. Prevederea este necesară pentru a asigura existența unui mecanism instituțional clar de preluare și investigare a sesizărilor privind violența și hărțuirea în muncă. Totodată, această prevedere este esențială pentru consolidarea încrederii persoanelor care formulează sesizări. Persoana care depune o sesizare trebuie să aibă convingerea că aceasta va fi examinată de persoane competente, în mod imparțial, iar informațiile și datele furnizate vor fi tratate cu respectarea confidențialității. Eliminarea acestei dispoziții ar putea afecta percepția de siguranță și eficiență a mecanismului instituit prin Regulament.</w:t>
            </w:r>
          </w:p>
        </w:tc>
      </w:tr>
      <w:tr w:rsidR="00477212" w:rsidRPr="00AE06E3" w14:paraId="6A04C5E4" w14:textId="77777777">
        <w:trPr>
          <w:trHeight w:val="600"/>
        </w:trPr>
        <w:tc>
          <w:tcPr>
            <w:tcW w:w="675" w:type="dxa"/>
          </w:tcPr>
          <w:p w14:paraId="485BAFC5"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pt-BR"/>
              </w:rPr>
            </w:pPr>
          </w:p>
          <w:p w14:paraId="0072F46F"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7.</w:t>
            </w:r>
          </w:p>
        </w:tc>
        <w:tc>
          <w:tcPr>
            <w:tcW w:w="1730" w:type="dxa"/>
          </w:tcPr>
          <w:p w14:paraId="5517EDF6"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Cancelaria de Stat</w:t>
            </w:r>
          </w:p>
          <w:p w14:paraId="1210D395" w14:textId="77777777" w:rsidR="00477212" w:rsidRDefault="00477212">
            <w:pPr>
              <w:spacing w:line="240" w:lineRule="auto"/>
              <w:ind w:firstLine="567"/>
              <w:jc w:val="center"/>
              <w:rPr>
                <w:rFonts w:ascii="Times New Roman" w:eastAsia="Times New Roman" w:hAnsi="Times New Roman" w:cs="Times New Roman"/>
                <w:b/>
                <w:bCs/>
              </w:rPr>
            </w:pPr>
          </w:p>
          <w:p w14:paraId="2A91B892" w14:textId="77777777" w:rsidR="00477212" w:rsidRDefault="00000000">
            <w:pPr>
              <w:spacing w:line="240" w:lineRule="auto"/>
              <w:jc w:val="center"/>
              <w:rPr>
                <w:rFonts w:ascii="Times New Roman" w:eastAsia="Times New Roman" w:hAnsi="Times New Roman" w:cs="Times New Roman"/>
                <w:i/>
                <w:iCs/>
              </w:rPr>
            </w:pPr>
            <w:r>
              <w:rPr>
                <w:rFonts w:ascii="Times New Roman" w:eastAsia="Times New Roman" w:hAnsi="Times New Roman" w:cs="Times New Roman"/>
                <w:i/>
                <w:iCs/>
              </w:rPr>
              <w:t>Nr. 22-69-1902</w:t>
            </w:r>
          </w:p>
          <w:p w14:paraId="336290C8"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i/>
                <w:iCs/>
              </w:rPr>
              <w:t>din 20.02.2026</w:t>
            </w:r>
          </w:p>
          <w:p w14:paraId="67591707" w14:textId="77777777" w:rsidR="00477212" w:rsidRDefault="00477212">
            <w:pPr>
              <w:spacing w:line="240" w:lineRule="auto"/>
              <w:jc w:val="center"/>
              <w:rPr>
                <w:rFonts w:ascii="Times New Roman" w:eastAsia="Times New Roman" w:hAnsi="Times New Roman" w:cs="Times New Roman"/>
                <w:b/>
                <w:bCs/>
              </w:rPr>
            </w:pPr>
          </w:p>
        </w:tc>
        <w:tc>
          <w:tcPr>
            <w:tcW w:w="6685" w:type="dxa"/>
          </w:tcPr>
          <w:p w14:paraId="5FD56798" w14:textId="77777777" w:rsidR="00477212" w:rsidRDefault="00000000">
            <w:pPr>
              <w:numPr>
                <w:ilvl w:val="0"/>
                <w:numId w:val="4"/>
              </w:numPr>
              <w:spacing w:line="240" w:lineRule="auto"/>
              <w:ind w:left="0" w:firstLine="0"/>
              <w:jc w:val="both"/>
              <w:rPr>
                <w:rFonts w:ascii="Times New Roman" w:eastAsia="Times New Roman" w:hAnsi="Times New Roman" w:cs="Times New Roman"/>
              </w:rPr>
            </w:pPr>
            <w:r>
              <w:rPr>
                <w:rFonts w:ascii="Times New Roman" w:eastAsia="Times New Roman" w:hAnsi="Times New Roman" w:cs="Times New Roman"/>
              </w:rPr>
              <w:t>La pct. 3, subpct.3.1 din proiectul Regulamentului, în temeiul prevederilor Legii nr.199/2010 cu privire la statutul persoanelor cu funcţii de demnitate publică, și art. 54 alin. (1) lit. c) din Legea nr.100/2017, în vederea asigurării unui limbaj juridic uniform, se va utiliza noțiunea de „demnitar”.</w:t>
            </w:r>
          </w:p>
          <w:p w14:paraId="18F41C52" w14:textId="77777777" w:rsidR="00477212"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2. La pct. 16- 19 din Regulament, se constată că, deși prevederile nominalizate instituie obligația autorității publice de a adopta o procedură internă privind prevenirea și combaterea violenței și hărțuirii în muncă, reglementarea propusă prezintă o serie de neclarități și lacune care pot afecta previzibilitatea și aplicarea unitară a normei. În acest context, textul nu stabilește termene procedurale concrete pentru etapele procedurii, respectiv înregistrarea sesizării, efectuarea investigației, soluționarea cazului și comunicarea rezultatului către părțile implicate.</w:t>
            </w:r>
          </w:p>
          <w:p w14:paraId="67EF310E" w14:textId="77777777" w:rsidR="00477212"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Utilizarea sintagmei „de îndată” în privința înregistrării sesizării nu asigură suficientă claritate și poate genera practici neuniforme.</w:t>
            </w:r>
          </w:p>
          <w:p w14:paraId="5E39D9EC" w14:textId="77777777" w:rsidR="00477212"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3. Cu referire la prevederile pct.18 din Regulament, textul „reprezentantul desemnat în condițiile legii” poate genera dificultăți de interpretare și aplicare deoarece nu precizează modul de atestare a împuternicirilor și condițiile în care reprezentantul acționează în numele persoanei vizate. De asemenea, utilizarea repetată a noțiunii de „desemnare” fără indicarea expresă a autorității competente și a temeiului juridic al desemnării afectează previzibilitatea normei.</w:t>
            </w:r>
          </w:p>
          <w:p w14:paraId="6C6A2BE4" w14:textId="77777777" w:rsidR="00477212"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4. La fel, Regulamentul nu stabilește garanțiile procedurale aplicabile în cadrul activității de investigare, precum dreptul la apărare al persoanei reclamate, dreptul părților de a fi audiate,posibilitatea administrării de probe ori respectarea principiului contradictorialității. Absența acestor elemente poate ridica probleme sub aspectul echității și imparțialității procedurii.</w:t>
            </w:r>
          </w:p>
          <w:p w14:paraId="4022BF04" w14:textId="77777777" w:rsidR="00477212" w:rsidRPr="00D31F43" w:rsidRDefault="00000000">
            <w:pPr>
              <w:spacing w:line="240" w:lineRule="auto"/>
              <w:jc w:val="both"/>
              <w:rPr>
                <w:rFonts w:ascii="Times New Roman" w:eastAsia="Times New Roman" w:hAnsi="Times New Roman" w:cs="Times New Roman"/>
                <w:lang w:val="pt-BR"/>
              </w:rPr>
            </w:pPr>
            <w:r>
              <w:rPr>
                <w:rFonts w:ascii="Times New Roman" w:eastAsia="Times New Roman" w:hAnsi="Times New Roman" w:cs="Times New Roman"/>
              </w:rPr>
              <w:t xml:space="preserve">5. De asemenea, textul nu clarifică modalitatea de desemnare a persoanei sau a comisiei responsabile pentru preluarea sesizărilor, analiza și investigarea cazurilor, criteriile de selecție, eventualele incompatibilități și obligații. </w:t>
            </w:r>
            <w:r w:rsidRPr="00D31F43">
              <w:rPr>
                <w:rFonts w:ascii="Times New Roman" w:eastAsia="Times New Roman" w:hAnsi="Times New Roman" w:cs="Times New Roman"/>
                <w:lang w:val="pt-BR"/>
              </w:rPr>
              <w:t>În lipsa unor astfel de precizări, există riscul apariției unor situații de conflict de interese sau al contestării obiectivității investigației.</w:t>
            </w:r>
          </w:p>
          <w:p w14:paraId="1006D998"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6. Conex, se recomandă autorului examinarea posibilității reglementării procedurii de contestare a rezultatelor activității de investigare, în scopul asigurării unui proces echitabil.</w:t>
            </w:r>
          </w:p>
          <w:p w14:paraId="71D6473A"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7. Subsecvent, în conformitate cu prevederile pct. 20 și 21 din Regulament, pentru fiecare sesizare referitoare la fapte susceptibile de a constitui violență sau hărțuire în muncă, conducătorul autorității publice desemnează o persoană responsabilă sau o comisie de investigare, componența numerică a acesteia fiind stabilită în funcție de natura, circumstanțele și complexitatea cazului investigat. Respectiv, se recomandă autorului examinarea oportunității instituirii unei comisii</w:t>
            </w:r>
          </w:p>
          <w:p w14:paraId="44775FF3"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permanente de investigare a cazurilor.</w:t>
            </w:r>
          </w:p>
          <w:p w14:paraId="32A8CC10"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8. Adițional, potrivit pct. 22 din Regulament, în situația în care persoana reclamată este conducătorul autorității publice, iar în structura administrativă există o autoritate ierarhic superioară, comisia de investigare este desemnată de către aceasta, conducătorul reclamat fiind</w:t>
            </w:r>
          </w:p>
          <w:p w14:paraId="10A9530A"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exclus de la orice implicare în procedura de desemnare și desfășurare a investigației. Deși soluția instituie o garanție de imparțialitate, textul nu </w:t>
            </w:r>
            <w:r w:rsidRPr="00D31F43">
              <w:rPr>
                <w:rFonts w:ascii="Times New Roman" w:eastAsia="Times New Roman" w:hAnsi="Times New Roman" w:cs="Times New Roman"/>
                <w:lang w:val="pt-BR"/>
              </w:rPr>
              <w:lastRenderedPageBreak/>
              <w:t xml:space="preserve">reglementează ipoteza în care autoritatea publică nu se află în subordinea unei autorități ierarhic superioare. </w:t>
            </w:r>
            <w:r w:rsidRPr="00D31F43">
              <w:rPr>
                <w:rFonts w:ascii="Times New Roman" w:eastAsia="Times New Roman" w:hAnsi="Times New Roman" w:cs="Times New Roman"/>
                <w:lang w:val="it-IT"/>
              </w:rPr>
              <w:t>Lipsa unui mecanism alternativ de desemnare poate genera blocaje procedurale și poate conduce la imposibilitatea efectivă de investigare a sesizării.</w:t>
            </w:r>
          </w:p>
          <w:p w14:paraId="4AE35636"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9. În ceea ce privește cerințele care trebuie îndeplinite de către persoana desemnată sau membrii comisiei de investigare, enumerate la pct. 23 din Regulament, se remarcă că majoritatea dintre acestea (imparțialitate, obiectivitate, lipsa oricărui conflict de interese, respectarea confidențialității) reprezintă obligații/principii în exercitarea sarcinilor ce țin de desfășurarea procedurii de investigare, și nu criterii obiective de selecție/desemnare. Mai mult, cerința „competență profesională, prin deținerea unei instruiri specifice” nu este suficient determinată.</w:t>
            </w:r>
          </w:p>
          <w:p w14:paraId="0E6F3C92"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Textul nu precizează ce tip de instruire este necesară, entitatea care o validează, dacă este obligatorie o certificare formală sau dacă este suficientă participarea la cursuri interne.</w:t>
            </w:r>
          </w:p>
          <w:p w14:paraId="5C73768B"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10.La pct. 34, subpct. 34.1 din Regulament se precizează că, în funcție de concluziile procedurii de investigare, conducătorul autorității publice poate dispune inițierea procedurii disciplinare împotriva persoanei care a săvârșit fapta. </w:t>
            </w:r>
            <w:r w:rsidRPr="00D31F43">
              <w:rPr>
                <w:rFonts w:ascii="Times New Roman" w:eastAsia="Times New Roman" w:hAnsi="Times New Roman" w:cs="Times New Roman"/>
                <w:lang w:val="pt-BR"/>
              </w:rPr>
              <w:t>Astfel, nu este clar mecanismul de aplicare al acestei măsuri în situația în care persoana reclamată este un funcționar public. Or, conform prevederilor punctului indicat supra, urmare a Raportului de constatare, conducătorul autorității publice poate dispune inițierea procedurii disciplinare, care pentru funcționarii publici, este reglementată în Capitolul VIII din Legea nr. 158/2008 privind funcția publică și statutul funcționarului public, precum și in Regulamentul comisiei de disciplină aprobat prin Anexa nr. 7 la HG nr. 201/2009. În acest caz, rezultă că persoana desemnată/comisia de investigare și comisia de disciplină instituită în cadrul autorității publice își dublează atribuțiile în ceea ce privește examinarea/investigarea cazului sesizat.</w:t>
            </w:r>
          </w:p>
          <w:p w14:paraId="5497939A" w14:textId="77777777" w:rsidR="00477212" w:rsidRPr="00D31F43" w:rsidRDefault="00000000">
            <w:pPr>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11.În aceeași ordine de idei, pct.48-50 din Regulament prevăd obligația autorităților publice de a monitoriza aplicarea măsurilor și procedurilor interne privind prevenirea și combaterea violenței și hărțuirii în muncă și de a întocmi anual un raport intern privind aplicarea măsurilor și procedurilor. Astfel, nu se indică persoana/structura desemnată, și </w:t>
            </w:r>
            <w:r w:rsidRPr="00D31F43">
              <w:rPr>
                <w:rFonts w:ascii="Times New Roman" w:eastAsia="Times New Roman" w:hAnsi="Times New Roman" w:cs="Times New Roman"/>
                <w:lang w:val="pt-BR"/>
              </w:rPr>
              <w:lastRenderedPageBreak/>
              <w:t>termenul de întocmire a raportului, ceea ce poate genera confuzii și aplicări neuniforme la nivelul autorităților publice.</w:t>
            </w:r>
          </w:p>
          <w:p w14:paraId="5606645E"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12. La Anexa nr.4 din Regulament, Capitolul VI. Responsabilități instituționale, se menționează obligativitatea asigurării formării și dezvoltării continue în domeniul prevenirii și combaterii violenței și hărțuirii în muncă. În acest context, se impune clarificarea mecanismului</w:t>
            </w:r>
          </w:p>
          <w:p w14:paraId="4E4559CB" w14:textId="77777777" w:rsidR="00477212" w:rsidRPr="00D31F43" w:rsidRDefault="00000000">
            <w:pPr>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de implementare (organizare internă sau prin formatori externi), precum și identificarea expresă a sursei de finanțare (buget propriu, fonduri aprobate cu această destinație etc.), pentru a evita dificultăți în aplicare și eventuale blocaje administrative.</w:t>
            </w:r>
          </w:p>
          <w:p w14:paraId="55928CF2" w14:textId="77777777" w:rsidR="00477212" w:rsidRPr="00D31F43" w:rsidRDefault="00477212">
            <w:pPr>
              <w:spacing w:line="240" w:lineRule="auto"/>
              <w:jc w:val="both"/>
              <w:rPr>
                <w:rFonts w:ascii="Times New Roman" w:eastAsia="Times New Roman" w:hAnsi="Times New Roman" w:cs="Times New Roman"/>
                <w:lang w:val="it-IT"/>
              </w:rPr>
            </w:pPr>
          </w:p>
          <w:p w14:paraId="723615B3" w14:textId="77777777" w:rsidR="00477212" w:rsidRPr="00D31F43" w:rsidRDefault="00477212">
            <w:pPr>
              <w:spacing w:line="240" w:lineRule="auto"/>
              <w:jc w:val="both"/>
              <w:rPr>
                <w:rFonts w:ascii="Times New Roman" w:eastAsia="Times New Roman" w:hAnsi="Times New Roman" w:cs="Times New Roman"/>
                <w:lang w:val="it-IT"/>
              </w:rPr>
            </w:pPr>
          </w:p>
          <w:p w14:paraId="1FEB628D" w14:textId="77777777" w:rsidR="00477212" w:rsidRPr="00D31F43" w:rsidRDefault="00477212">
            <w:pPr>
              <w:spacing w:line="240" w:lineRule="auto"/>
              <w:jc w:val="both"/>
              <w:rPr>
                <w:rFonts w:ascii="Times New Roman" w:eastAsia="Times New Roman" w:hAnsi="Times New Roman" w:cs="Times New Roman"/>
                <w:lang w:val="it-IT"/>
              </w:rPr>
            </w:pPr>
          </w:p>
          <w:p w14:paraId="24306BB4" w14:textId="77777777" w:rsidR="00477212" w:rsidRPr="00D31F43" w:rsidRDefault="00477212">
            <w:pPr>
              <w:spacing w:line="240" w:lineRule="auto"/>
              <w:jc w:val="both"/>
              <w:rPr>
                <w:rFonts w:ascii="Times New Roman" w:eastAsia="Times New Roman" w:hAnsi="Times New Roman" w:cs="Times New Roman"/>
                <w:lang w:val="it-IT"/>
              </w:rPr>
            </w:pPr>
          </w:p>
          <w:p w14:paraId="70A09FDF" w14:textId="77777777" w:rsidR="00477212" w:rsidRPr="00D31F43" w:rsidRDefault="00477212">
            <w:pPr>
              <w:spacing w:line="240" w:lineRule="auto"/>
              <w:jc w:val="both"/>
              <w:rPr>
                <w:rFonts w:ascii="Times New Roman" w:eastAsia="Times New Roman" w:hAnsi="Times New Roman" w:cs="Times New Roman"/>
                <w:lang w:val="it-IT"/>
              </w:rPr>
            </w:pPr>
          </w:p>
          <w:p w14:paraId="5D2212CA" w14:textId="77777777" w:rsidR="00477212" w:rsidRPr="00D31F43" w:rsidRDefault="00477212">
            <w:pPr>
              <w:spacing w:line="240" w:lineRule="auto"/>
              <w:jc w:val="both"/>
              <w:rPr>
                <w:rFonts w:ascii="Times New Roman" w:eastAsia="Times New Roman" w:hAnsi="Times New Roman" w:cs="Times New Roman"/>
                <w:lang w:val="it-IT"/>
              </w:rPr>
            </w:pPr>
          </w:p>
          <w:p w14:paraId="7F37B50F" w14:textId="77777777" w:rsidR="00477212" w:rsidRPr="00D31F43" w:rsidRDefault="00477212">
            <w:pPr>
              <w:spacing w:line="240" w:lineRule="auto"/>
              <w:jc w:val="both"/>
              <w:rPr>
                <w:rFonts w:ascii="Times New Roman" w:eastAsia="Times New Roman" w:hAnsi="Times New Roman" w:cs="Times New Roman"/>
                <w:lang w:val="it-IT"/>
              </w:rPr>
            </w:pPr>
          </w:p>
        </w:tc>
        <w:tc>
          <w:tcPr>
            <w:tcW w:w="5925" w:type="dxa"/>
          </w:tcPr>
          <w:p w14:paraId="1729ECF3" w14:textId="77777777" w:rsidR="00477212" w:rsidRDefault="00000000">
            <w:pPr>
              <w:spacing w:before="240" w:after="24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Se accepta parțial</w:t>
            </w:r>
          </w:p>
          <w:p w14:paraId="3E73DA5A" w14:textId="77777777" w:rsidR="00477212"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141" w:firstLine="0"/>
              <w:jc w:val="both"/>
              <w:rPr>
                <w:rFonts w:ascii="Times New Roman" w:eastAsia="Times New Roman" w:hAnsi="Times New Roman" w:cs="Times New Roman"/>
              </w:rPr>
            </w:pPr>
            <w:r>
              <w:rPr>
                <w:rFonts w:ascii="Times New Roman" w:eastAsia="Times New Roman" w:hAnsi="Times New Roman" w:cs="Times New Roman"/>
              </w:rPr>
              <w:t xml:space="preserve">Se acceptă propunerea în vederea asigurării unității terminologice cu Legea nr. 199/2010 cu privire la statutul persoanelor cu funcții de demnitate publică. </w:t>
            </w:r>
            <w:r w:rsidRPr="00D31F43">
              <w:rPr>
                <w:rFonts w:ascii="Times New Roman" w:eastAsia="Times New Roman" w:hAnsi="Times New Roman" w:cs="Times New Roman"/>
                <w:lang w:val="pt-BR"/>
              </w:rPr>
              <w:t xml:space="preserve">În acest sens, textul „demnitarii publici” se substituie cu textul „persoanele cu funcții de demnitate publică”. </w:t>
            </w:r>
            <w:r>
              <w:rPr>
                <w:rFonts w:ascii="Times New Roman" w:eastAsia="Times New Roman" w:hAnsi="Times New Roman" w:cs="Times New Roman"/>
              </w:rPr>
              <w:t>Noua redacție a pct. 3.1:</w:t>
            </w:r>
          </w:p>
          <w:p w14:paraId="7D8C91B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pt-BR"/>
              </w:rPr>
            </w:pPr>
            <w:r w:rsidRPr="00D31F43">
              <w:rPr>
                <w:rFonts w:ascii="Times New Roman" w:eastAsia="Times New Roman" w:hAnsi="Times New Roman" w:cs="Times New Roman"/>
                <w:i/>
                <w:iCs/>
                <w:lang w:val="pt-BR"/>
              </w:rPr>
              <w:t>„3.1. persoanele cu funcții de demnitate publică, indiferent de funcția de demnitate publică exercitată sau de nivelul autorității în care își desfășoară activitatea;”</w:t>
            </w:r>
          </w:p>
          <w:p w14:paraId="14C0518A" w14:textId="77777777" w:rsidR="00477212" w:rsidRPr="00D31F43" w:rsidRDefault="00000000">
            <w:pPr>
              <w:numPr>
                <w:ilvl w:val="0"/>
                <w:numId w:val="31"/>
              </w:numPr>
              <w:spacing w:before="240" w:line="240" w:lineRule="auto"/>
              <w:ind w:left="141" w:hanging="141"/>
              <w:jc w:val="both"/>
              <w:rPr>
                <w:rFonts w:ascii="Times New Roman" w:eastAsia="Times New Roman" w:hAnsi="Times New Roman" w:cs="Times New Roman"/>
                <w:b/>
                <w:bCs/>
                <w:lang w:val="it-IT"/>
              </w:rPr>
            </w:pPr>
            <w:r w:rsidRPr="00D31F43">
              <w:rPr>
                <w:rFonts w:ascii="Times New Roman" w:eastAsia="Times New Roman" w:hAnsi="Times New Roman" w:cs="Times New Roman"/>
                <w:lang w:val="pt-BR"/>
              </w:rPr>
              <w:t xml:space="preserve">Se acceptă observația privind necesitatea clarificării momentului înregistrării sesizării. În acest sens, redacția pct. 19 va fi revizuită prin substituirea sintagmei „de îndată” cu </w:t>
            </w:r>
            <w:r w:rsidRPr="00D31F43">
              <w:rPr>
                <w:rFonts w:ascii="Times New Roman" w:eastAsia="Times New Roman" w:hAnsi="Times New Roman" w:cs="Times New Roman"/>
                <w:lang w:val="pt-BR"/>
              </w:rPr>
              <w:lastRenderedPageBreak/>
              <w:t xml:space="preserve">indicarea unui termen concret, urmând a se stabili obligația persoanei sau structurii desemnate de a înregistra sesizarea în registrul special în termen de cel mult o zi de la primirea acesteia, în vederea asigurării clarității și previzibilității normei. Totodată, termenul general de examinare a sesizării este deja stabilit în Regulament, în concordanță cu art. 82 alin. (2) lit. f¹) din Codul muncii, respectiv 30 de zile de la data înregistrării sesizării, cu posibilitatea prelungirii o singură dată, în mod justificat, pentru cel mult 15 zile. În ceea ce privește stabilirea unor termene procedurale intermediare pentru etapele interne ale investigației, acestea nu se consideră necesare, întrucât durata realizării acestor etape poate varia în funcție de circumstanțele concrete ale fiecărui caz, complexitatea situației și necesitatea administrării probelor. </w:t>
            </w:r>
            <w:r w:rsidRPr="00D31F43">
              <w:rPr>
                <w:rFonts w:ascii="Times New Roman" w:eastAsia="Times New Roman" w:hAnsi="Times New Roman" w:cs="Times New Roman"/>
                <w:lang w:val="it-IT"/>
              </w:rPr>
              <w:t>Menținerea unei reglementări flexibile permite desfășurarea eficientă a procedurii fără a crea constrângeri procedurale nejustificate</w:t>
            </w:r>
            <w:r w:rsidRPr="00D31F43">
              <w:rPr>
                <w:rFonts w:ascii="Times New Roman" w:eastAsia="Times New Roman" w:hAnsi="Times New Roman" w:cs="Times New Roman"/>
                <w:b/>
                <w:bCs/>
                <w:lang w:val="it-IT"/>
              </w:rPr>
              <w:t>.</w:t>
            </w:r>
          </w:p>
          <w:p w14:paraId="3104C611" w14:textId="77777777" w:rsidR="00477212"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b/>
                <w:bCs/>
              </w:rPr>
            </w:pPr>
            <w:r w:rsidRPr="00D31F43">
              <w:rPr>
                <w:rFonts w:ascii="Times New Roman" w:eastAsia="Times New Roman" w:hAnsi="Times New Roman" w:cs="Times New Roman"/>
                <w:highlight w:val="white"/>
                <w:lang w:val="it-IT"/>
              </w:rPr>
              <w:t xml:space="preserve">Nu se susține detalierea suplimentară a cadrului procedural de exercitare a dreptului la apărare. Regulamentul instituie o procedură internă de investigare, iar dreptul la apărare este deja garantat prin posibilitatea părților de a formula explicații, de a prezenta probe și de a propune martori. Exercitarea dreptului la apărare, inclusiv sub aspectul asistenței juridice, se realizează în condițiile generale prevăzute de legislația aplicabilă, fără a fi necesară reglementarea detaliată a acestor aspecte la nivelul Regulamentului. </w:t>
            </w:r>
            <w:r>
              <w:rPr>
                <w:rFonts w:ascii="Times New Roman" w:eastAsia="Times New Roman" w:hAnsi="Times New Roman" w:cs="Times New Roman"/>
                <w:highlight w:val="white"/>
              </w:rPr>
              <w:t>Stabilirea unor reguli procedurale suplimentare ar depăși scopul actului și ar rigidiza nejustificat procedura internă.</w:t>
            </w:r>
          </w:p>
          <w:p w14:paraId="1F2F5717" w14:textId="77777777" w:rsidR="00477212" w:rsidRPr="00D31F43" w:rsidRDefault="00000000">
            <w:pPr>
              <w:numPr>
                <w:ilvl w:val="0"/>
                <w:numId w:val="31"/>
              </w:numPr>
              <w:spacing w:line="240" w:lineRule="auto"/>
              <w:ind w:left="141" w:firstLine="0"/>
              <w:jc w:val="both"/>
              <w:rPr>
                <w:rFonts w:ascii="Times New Roman" w:eastAsia="Times New Roman" w:hAnsi="Times New Roman" w:cs="Times New Roman"/>
                <w:lang w:val="it-IT"/>
              </w:rPr>
            </w:pPr>
            <w:r>
              <w:rPr>
                <w:rFonts w:ascii="Times New Roman" w:eastAsia="Times New Roman" w:hAnsi="Times New Roman" w:cs="Times New Roman"/>
              </w:rPr>
              <w:t xml:space="preserve">Nu se susține completarea Regulamentului în sensul propus. Garanțiile procedurale menționate sunt deja prevăzute în mod expres în cuprinsul Regulamentului. Astfel, pct. 25 stabilește dreptul părților de a fi informate cu privire la etapele procedurii și drepturile procedurale de care beneficiază, iar pct. 26 consacră dreptul la apărare, inclusiv posibilitatea de a formula explicații, de a prezenta probe și de a propune martori. Totodată, prevederile privind evaluarea probelor, audierea </w:t>
            </w:r>
            <w:r>
              <w:rPr>
                <w:rFonts w:ascii="Times New Roman" w:eastAsia="Times New Roman" w:hAnsi="Times New Roman" w:cs="Times New Roman"/>
              </w:rPr>
              <w:lastRenderedPageBreak/>
              <w:t xml:space="preserve">părților și întocmirea raportului de constatare reflectă respectarea principiilor obiectivității, imparțialității și contradictorialității în cadrul procedurii de investigare. </w:t>
            </w:r>
            <w:r w:rsidRPr="00D31F43">
              <w:rPr>
                <w:rFonts w:ascii="Times New Roman" w:eastAsia="Times New Roman" w:hAnsi="Times New Roman" w:cs="Times New Roman"/>
                <w:lang w:val="it-IT"/>
              </w:rPr>
              <w:t>În aceste condiții, se consideră că Regulamentul conține deja garanțiile procedurale necesare pentru asigurarea unei examinări echitabile și imparțiale a cazurilor.</w:t>
            </w:r>
          </w:p>
          <w:p w14:paraId="762CC9D2" w14:textId="77777777" w:rsidR="00477212" w:rsidRPr="00D31F43" w:rsidRDefault="00000000">
            <w:pPr>
              <w:numPr>
                <w:ilvl w:val="0"/>
                <w:numId w:val="31"/>
              </w:numPr>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Regulamentul reglementează deja aceste aspecte. Potrivit pct. 19, persoana sau structura desemnată în cadrul autorității publice pentru primirea sesizărilor are obligația de a le înregistra într-un registru special și de a asigura evidența și păstrarea acestora. Totodată, conform pct. 20, conducătorul autorității publice desemnează prin ordin persoana responsabilă sau comisia de investigare pentru fiecare caz. De asemenea, criteriile pe care trebuie să le îndeplinească persoana desemnată sau membrii comisiei sunt prevăzute la pct. 23, iar conflictul de interese și obligația de abținere sunt reglementate la pct. 24. În aceste condiții, Regulamentul conține deja garanțiile necesare pentru asigurarea obiectivității și imparțialității procedurii, nefiind necesară completarea suplimentară a textului.</w:t>
            </w:r>
          </w:p>
          <w:p w14:paraId="2F476D88" w14:textId="77777777" w:rsidR="00477212" w:rsidRPr="00D31F43" w:rsidRDefault="00000000">
            <w:pPr>
              <w:numPr>
                <w:ilvl w:val="0"/>
                <w:numId w:val="31"/>
              </w:numPr>
              <w:spacing w:line="240" w:lineRule="auto"/>
              <w:ind w:left="141" w:firstLine="141"/>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Nu se susține reglementarea unei proceduri distincte de contestare a rezultatelor investigației în cuprinsul Regulamentului. Actele emise în urma procedurii de investigare sunt supuse regimului juridic general al actelor administrative sau al actelor emise în cadrul raporturilor de muncă ori de serviciu, după caz. Astfel, acestea pot fi contestate în condițiile generale prevăzute de Codul administrativ sau de legislația muncii, în funcție de natura actului emis. </w:t>
            </w:r>
            <w:r w:rsidRPr="00D31F43">
              <w:rPr>
                <w:rFonts w:ascii="Times New Roman" w:eastAsia="Times New Roman" w:hAnsi="Times New Roman" w:cs="Times New Roman"/>
                <w:lang w:val="it-IT"/>
              </w:rPr>
              <w:t>În aceste condiții, instituirea unei proceduri speciale de contestare la nivelul Regulamentului nu se consideră necesară.</w:t>
            </w:r>
          </w:p>
          <w:p w14:paraId="6241D824" w14:textId="77777777" w:rsidR="00477212"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r w:rsidRPr="00D31F43">
              <w:rPr>
                <w:rFonts w:ascii="Times New Roman" w:eastAsia="Times New Roman" w:hAnsi="Times New Roman" w:cs="Times New Roman"/>
                <w:highlight w:val="white"/>
                <w:lang w:val="it-IT"/>
              </w:rPr>
              <w:t xml:space="preserve">Nu se susține instituirea unei comisii permanente. Soluția propusă de Regulament – desemnarea unei persoane responsabile sau constituirea unei comisii pentru fiecare caz – este justificată prin necesitatea asigurării imparțialității și evitării conflictelor de interese. În cazul unei comisii permanente există riscul ca unul dintre membri să fie persoana </w:t>
            </w:r>
            <w:r w:rsidRPr="00D31F43">
              <w:rPr>
                <w:rFonts w:ascii="Times New Roman" w:eastAsia="Times New Roman" w:hAnsi="Times New Roman" w:cs="Times New Roman"/>
                <w:highlight w:val="white"/>
                <w:lang w:val="it-IT"/>
              </w:rPr>
              <w:lastRenderedPageBreak/>
              <w:t xml:space="preserve">vizată, persoana reclamată sau să se afle într-o relație care ar putea afecta obiectivitatea examinării, situație care ar impune înlocuiri repetate și ar diminua eficiența mecanismului. Totodată, cerința prevăzută la pct. 23 privind instruirea specifică nu presupune limitarea acesteia doar la membrii unei comisii permanente. Dimpotrivă, pentru a asigura funcționarea efectivă a mecanismului și pentru a preveni apariția conflictelor de interese, este oportun ca instruirea în domeniul prevenirii și combaterii violenței și hărțuirii în muncă să fie realizată la nivelul autorității pentru un număr suficient de persoane, astfel încât conducătorul instituției să poată desemna, în fiecare caz, persoane competente și imparțiale. </w:t>
            </w:r>
            <w:r>
              <w:rPr>
                <w:rFonts w:ascii="Times New Roman" w:eastAsia="Times New Roman" w:hAnsi="Times New Roman" w:cs="Times New Roman"/>
                <w:highlight w:val="white"/>
              </w:rPr>
              <w:t>Această abordare asigură atât flexibilitatea procedurii, cât și respectarea principiilor de obiectivitate și independență în investigarea sesizărilor.</w:t>
            </w:r>
          </w:p>
          <w:p w14:paraId="130DBFD6" w14:textId="77777777" w:rsidR="00477212"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Nu se susține completarea Regulamentului în sensul propus. Prevederea de la pct. 22 instituie o garanție de imparțialitate, stabilind că, în situația în care persoana reclamată este conducătorul autorității publice, iar în structura administrativă există o autoritate ierarhic superioară, comisia de investigare este desemnată de aceasta.În cazul în care autoritatea publică nu se află în subordinea unei autorități ierarhic superioare, persoana vizată poate face uz de alte mecanisme legale de protecție, inclusiv adresarea către Inspectoratul de Stat al Muncii (ISM), Consiliul pentru egalitate, organele de urmărire penală sau, după caz, către instanțele de judecată. Prin urmare, nu se consideră că lipsa unei reglementări suplimentare în Regulament ar genera blocaje procedurale sau ar împiedica investigarea situațiilor semnalate. </w:t>
            </w:r>
          </w:p>
          <w:p w14:paraId="118537A8" w14:textId="77777777" w:rsidR="00477212" w:rsidRPr="00D31F43"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141"/>
              <w:jc w:val="both"/>
              <w:rPr>
                <w:rFonts w:ascii="Times New Roman" w:eastAsia="Times New Roman" w:hAnsi="Times New Roman" w:cs="Times New Roman"/>
                <w:highlight w:val="white"/>
                <w:lang w:val="pt-BR"/>
              </w:rPr>
            </w:pPr>
            <w:r>
              <w:rPr>
                <w:rFonts w:ascii="Times New Roman" w:eastAsia="Times New Roman" w:hAnsi="Times New Roman" w:cs="Times New Roman"/>
                <w:highlight w:val="white"/>
              </w:rPr>
              <w:t xml:space="preserve">Nu se susține modificarea pct. 23 în sensul propus. Prevederile respective stabilesc cerințele generale de integritate, imparțialitate și competență pe care trebuie să le îndeplinească persoana desemnată sau membrii comisiei de investigare, acestea având rolul de a asigura desfășurarea procedurii în condiții de obiectivitate și confidențialitate. Totodată, cerința privind competența profesională prin </w:t>
            </w:r>
            <w:r>
              <w:rPr>
                <w:rFonts w:ascii="Times New Roman" w:eastAsia="Times New Roman" w:hAnsi="Times New Roman" w:cs="Times New Roman"/>
                <w:highlight w:val="white"/>
              </w:rPr>
              <w:lastRenderedPageBreak/>
              <w:t xml:space="preserve">deținerea unei instruiri specifice nu impune un anumit tip de certificare formală, întrucât instruirea poate fi realizată în diverse forme, inclusiv prin programe interne de instruire, cursuri organizate de autorități publice sau alte activități de formare relevante în domeniul prevenirii și combaterii violenței și hărțuirii în muncă. </w:t>
            </w:r>
            <w:r w:rsidRPr="00D31F43">
              <w:rPr>
                <w:rFonts w:ascii="Times New Roman" w:eastAsia="Times New Roman" w:hAnsi="Times New Roman" w:cs="Times New Roman"/>
                <w:highlight w:val="white"/>
                <w:lang w:val="pt-BR"/>
              </w:rPr>
              <w:t>Stabilirea exhaustivă a tipului de instruire sau a entității care o validează nu este necesară la nivelul Regulamentului și ar putea limita flexibilitatea autorităților publice în organizarea acestor activități de formare.</w:t>
            </w:r>
          </w:p>
          <w:p w14:paraId="3EB4E360" w14:textId="77777777" w:rsidR="00477212" w:rsidRPr="00D31F43"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141"/>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se susține instituirea unei singure proceduri. Procedura prevăzută de Regulament are caracter premergător, fiind destinată examinării sesizărilor privind situații de violență și hărțuire în muncă și stabilirii circumstanțelor de fapt. În baza concluziilor raportului de constatare, conducătorul autorității publice decide, în limitele competențelor legale, asupra măsurilor ce urmează a fi dispuse, inclusiv inițierea unei proceduri disciplinare. Inițierea procedurii disciplinare nu reprezintă o reluare nejustificată a examinării, ci aplicarea cadrului procedural specific prevăzut de legislația în vigoare pentru angajarea răspunderii disciplinare. Totodată, nu fiecare procedură disciplinară se finalizează cu aplicarea unei sancțiuni disciplinare, iar raportul întocmit în cadrul procedurii prevăzute de Regulament poate constitui un element relevant pentru aprecierea oportunității declanșării acesteia. De asemenea, în funcție de circumstanțele cazului, conducătorul autorității poate dispune și alte măsuri organizatorice sau de protecție, care nu au caracter disciplinar.</w:t>
            </w:r>
          </w:p>
          <w:p w14:paraId="3C83AE52" w14:textId="77777777" w:rsidR="00477212" w:rsidRPr="00D31F43"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Nu se susține completarea Regulamentului în sensul propus. Prevederile pct. 48–50 stabilesc obligația autorității publice de a monitoriza aplicarea măsurilor și procedurilor interne privind prevenirea și combaterea violenței și hărțuirii în muncă și de a întocmi un raport anual, fără a impune o structură rigidă de organizare. Desemnarea persoanei sau structurii responsabile pentru elaborarea raportului ține de </w:t>
            </w:r>
            <w:r w:rsidRPr="00D31F43">
              <w:rPr>
                <w:rFonts w:ascii="Times New Roman" w:eastAsia="Times New Roman" w:hAnsi="Times New Roman" w:cs="Times New Roman"/>
                <w:b/>
                <w:bCs/>
                <w:highlight w:val="white"/>
                <w:lang w:val="it-IT"/>
              </w:rPr>
              <w:t>organizarea internă a fiecărei autorități publice</w:t>
            </w:r>
            <w:r w:rsidRPr="00D31F43">
              <w:rPr>
                <w:rFonts w:ascii="Times New Roman" w:eastAsia="Times New Roman" w:hAnsi="Times New Roman" w:cs="Times New Roman"/>
                <w:highlight w:val="white"/>
                <w:lang w:val="it-IT"/>
              </w:rPr>
              <w:t xml:space="preserve">, iar stabilirea unui termen </w:t>
            </w:r>
            <w:r w:rsidRPr="00D31F43">
              <w:rPr>
                <w:rFonts w:ascii="Times New Roman" w:eastAsia="Times New Roman" w:hAnsi="Times New Roman" w:cs="Times New Roman"/>
                <w:highlight w:val="white"/>
                <w:lang w:val="it-IT"/>
              </w:rPr>
              <w:lastRenderedPageBreak/>
              <w:t xml:space="preserve">unic de întocmire nu este necesară la nivelul Regulamentului. Menținerea unei reglementări flexibile permite autorităților publice să stabilească aceste aspecte </w:t>
            </w:r>
            <w:r w:rsidRPr="00D31F43">
              <w:rPr>
                <w:rFonts w:ascii="Times New Roman" w:eastAsia="Times New Roman" w:hAnsi="Times New Roman" w:cs="Times New Roman"/>
                <w:b/>
                <w:bCs/>
                <w:highlight w:val="white"/>
                <w:lang w:val="it-IT"/>
              </w:rPr>
              <w:t>prin procedurile interne</w:t>
            </w:r>
            <w:r w:rsidRPr="00D31F43">
              <w:rPr>
                <w:rFonts w:ascii="Times New Roman" w:eastAsia="Times New Roman" w:hAnsi="Times New Roman" w:cs="Times New Roman"/>
                <w:highlight w:val="white"/>
                <w:lang w:val="it-IT"/>
              </w:rPr>
              <w:t>, în funcție de structura instituțională și de particularitățile activității desfășurate.</w:t>
            </w:r>
          </w:p>
          <w:p w14:paraId="22C34E77" w14:textId="77777777" w:rsidR="00477212" w:rsidRPr="00D31F43" w:rsidRDefault="00000000">
            <w:pPr>
              <w:numPr>
                <w:ilvl w:val="0"/>
                <w:numId w:val="31"/>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it-IT"/>
              </w:rPr>
              <w:t xml:space="preserve">Organizarea activităților de formare și dezvoltare profesională în domeniul prevenirii și combaterii violenței și hărțuirii în muncă ține de organizarea internă a fiecărei autorități publice, în funcție de resursele și capacitățile instituționale existente. De regulă, instruirile pot fi realizate prin mecanisme interne de formare, utilizând resursele instituționale disponibile. Totodată, în măsura în care autoritatea publică dispune de resurse financiare suficiente, aceasta poate recurge și la implicarea unor formatori sau experți externi, în condițiile legislației aplicabile. </w:t>
            </w:r>
            <w:r w:rsidRPr="00D31F43">
              <w:rPr>
                <w:rFonts w:ascii="Times New Roman" w:eastAsia="Times New Roman" w:hAnsi="Times New Roman" w:cs="Times New Roman"/>
                <w:highlight w:val="white"/>
                <w:lang w:val="pt-BR"/>
              </w:rPr>
              <w:t>În aceste condiții, nu se consideră necesară reglementarea expresă a mecanismului de implementare sau a sursei de finanțare la nivelul Regulamentului.</w:t>
            </w:r>
          </w:p>
          <w:p w14:paraId="39A5FA6E"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pt-BR"/>
              </w:rPr>
            </w:pPr>
          </w:p>
          <w:p w14:paraId="2F852794" w14:textId="77777777" w:rsidR="00477212" w:rsidRPr="00D31F43" w:rsidRDefault="00477212">
            <w:pPr>
              <w:spacing w:line="240" w:lineRule="auto"/>
              <w:jc w:val="both"/>
              <w:rPr>
                <w:rFonts w:ascii="Times New Roman" w:eastAsia="Times New Roman" w:hAnsi="Times New Roman" w:cs="Times New Roman"/>
                <w:lang w:val="pt-BR"/>
              </w:rPr>
            </w:pPr>
          </w:p>
          <w:p w14:paraId="224C1589" w14:textId="77777777" w:rsidR="00477212" w:rsidRPr="00D31F43" w:rsidRDefault="00477212">
            <w:pPr>
              <w:spacing w:line="240" w:lineRule="auto"/>
              <w:jc w:val="both"/>
              <w:rPr>
                <w:rFonts w:ascii="Times New Roman" w:eastAsia="Times New Roman" w:hAnsi="Times New Roman" w:cs="Times New Roman"/>
                <w:lang w:val="pt-BR"/>
              </w:rPr>
            </w:pPr>
          </w:p>
          <w:p w14:paraId="5BE2E828" w14:textId="77777777" w:rsidR="00477212" w:rsidRPr="00D31F43" w:rsidRDefault="00477212">
            <w:pPr>
              <w:spacing w:line="240" w:lineRule="auto"/>
              <w:jc w:val="both"/>
              <w:rPr>
                <w:rFonts w:ascii="Times New Roman" w:eastAsia="Times New Roman" w:hAnsi="Times New Roman" w:cs="Times New Roman"/>
                <w:lang w:val="pt-BR"/>
              </w:rPr>
            </w:pPr>
          </w:p>
          <w:p w14:paraId="2AF139FF" w14:textId="77777777" w:rsidR="00477212" w:rsidRPr="00D31F43" w:rsidRDefault="00477212">
            <w:pPr>
              <w:spacing w:line="240" w:lineRule="auto"/>
              <w:jc w:val="both"/>
              <w:rPr>
                <w:rFonts w:ascii="Times New Roman" w:eastAsia="Times New Roman" w:hAnsi="Times New Roman" w:cs="Times New Roman"/>
                <w:lang w:val="pt-BR"/>
              </w:rPr>
            </w:pPr>
          </w:p>
          <w:p w14:paraId="034AC1F5" w14:textId="77777777" w:rsidR="00477212" w:rsidRPr="00D31F43" w:rsidRDefault="00477212">
            <w:pPr>
              <w:spacing w:line="240" w:lineRule="auto"/>
              <w:jc w:val="both"/>
              <w:rPr>
                <w:rFonts w:ascii="Times New Roman" w:eastAsia="Times New Roman" w:hAnsi="Times New Roman" w:cs="Times New Roman"/>
                <w:lang w:val="pt-BR"/>
              </w:rPr>
            </w:pPr>
          </w:p>
          <w:p w14:paraId="65FF9112" w14:textId="77777777" w:rsidR="00477212" w:rsidRPr="00D31F43" w:rsidRDefault="00477212">
            <w:pPr>
              <w:spacing w:line="240" w:lineRule="auto"/>
              <w:jc w:val="both"/>
              <w:rPr>
                <w:rFonts w:ascii="Times New Roman" w:eastAsia="Times New Roman" w:hAnsi="Times New Roman" w:cs="Times New Roman"/>
                <w:lang w:val="pt-BR"/>
              </w:rPr>
            </w:pPr>
          </w:p>
          <w:p w14:paraId="186D3ACF" w14:textId="77777777" w:rsidR="00477212" w:rsidRPr="00D31F43" w:rsidRDefault="00477212">
            <w:pPr>
              <w:spacing w:line="240" w:lineRule="auto"/>
              <w:jc w:val="both"/>
              <w:rPr>
                <w:rFonts w:ascii="Times New Roman" w:eastAsia="Times New Roman" w:hAnsi="Times New Roman" w:cs="Times New Roman"/>
                <w:lang w:val="pt-BR"/>
              </w:rPr>
            </w:pPr>
          </w:p>
          <w:p w14:paraId="3175C475" w14:textId="77777777" w:rsidR="00477212" w:rsidRPr="00D31F43" w:rsidRDefault="00477212">
            <w:pPr>
              <w:spacing w:line="240" w:lineRule="auto"/>
              <w:jc w:val="both"/>
              <w:rPr>
                <w:rFonts w:ascii="Times New Roman" w:eastAsia="Times New Roman" w:hAnsi="Times New Roman" w:cs="Times New Roman"/>
                <w:lang w:val="pt-BR"/>
              </w:rPr>
            </w:pPr>
          </w:p>
          <w:p w14:paraId="0DFE8B42" w14:textId="77777777" w:rsidR="00477212" w:rsidRPr="00D31F43" w:rsidRDefault="00477212">
            <w:pPr>
              <w:spacing w:line="240" w:lineRule="auto"/>
              <w:jc w:val="both"/>
              <w:rPr>
                <w:rFonts w:ascii="Times New Roman" w:eastAsia="Times New Roman" w:hAnsi="Times New Roman" w:cs="Times New Roman"/>
                <w:lang w:val="pt-BR"/>
              </w:rPr>
            </w:pPr>
          </w:p>
          <w:p w14:paraId="793112C7" w14:textId="77777777" w:rsidR="00477212" w:rsidRPr="00D31F43" w:rsidRDefault="00477212">
            <w:pPr>
              <w:spacing w:line="240" w:lineRule="auto"/>
              <w:jc w:val="both"/>
              <w:rPr>
                <w:rFonts w:ascii="Times New Roman" w:eastAsia="Times New Roman" w:hAnsi="Times New Roman" w:cs="Times New Roman"/>
                <w:lang w:val="pt-BR"/>
              </w:rPr>
            </w:pPr>
          </w:p>
          <w:p w14:paraId="6AAA5826" w14:textId="77777777" w:rsidR="00477212" w:rsidRPr="00D31F43" w:rsidRDefault="00477212">
            <w:pPr>
              <w:spacing w:line="240" w:lineRule="auto"/>
              <w:jc w:val="both"/>
              <w:rPr>
                <w:rFonts w:ascii="Times New Roman" w:eastAsia="Times New Roman" w:hAnsi="Times New Roman" w:cs="Times New Roman"/>
                <w:lang w:val="pt-BR"/>
              </w:rPr>
            </w:pPr>
          </w:p>
          <w:p w14:paraId="24048D63" w14:textId="77777777" w:rsidR="00477212" w:rsidRPr="00D31F43" w:rsidRDefault="00477212">
            <w:pPr>
              <w:spacing w:line="240" w:lineRule="auto"/>
              <w:jc w:val="both"/>
              <w:rPr>
                <w:rFonts w:ascii="Times New Roman" w:eastAsia="Times New Roman" w:hAnsi="Times New Roman" w:cs="Times New Roman"/>
                <w:lang w:val="pt-BR"/>
              </w:rPr>
            </w:pPr>
          </w:p>
          <w:p w14:paraId="5DB0D1CD" w14:textId="77777777" w:rsidR="00477212" w:rsidRPr="00D31F43" w:rsidRDefault="00477212">
            <w:pPr>
              <w:spacing w:line="240" w:lineRule="auto"/>
              <w:jc w:val="both"/>
              <w:rPr>
                <w:rFonts w:ascii="Times New Roman" w:eastAsia="Times New Roman" w:hAnsi="Times New Roman" w:cs="Times New Roman"/>
                <w:lang w:val="pt-BR"/>
              </w:rPr>
            </w:pPr>
          </w:p>
          <w:p w14:paraId="636D8035" w14:textId="77777777" w:rsidR="00477212" w:rsidRPr="00D31F43" w:rsidRDefault="00477212">
            <w:pPr>
              <w:spacing w:line="240" w:lineRule="auto"/>
              <w:jc w:val="both"/>
              <w:rPr>
                <w:rFonts w:ascii="Times New Roman" w:eastAsia="Times New Roman" w:hAnsi="Times New Roman" w:cs="Times New Roman"/>
                <w:lang w:val="pt-BR"/>
              </w:rPr>
            </w:pPr>
          </w:p>
          <w:p w14:paraId="7ADC702E" w14:textId="77777777" w:rsidR="00477212" w:rsidRPr="00D31F43" w:rsidRDefault="00477212">
            <w:pPr>
              <w:spacing w:line="240" w:lineRule="auto"/>
              <w:jc w:val="both"/>
              <w:rPr>
                <w:rFonts w:ascii="Times New Roman" w:eastAsia="Times New Roman" w:hAnsi="Times New Roman" w:cs="Times New Roman"/>
                <w:lang w:val="pt-BR"/>
              </w:rPr>
            </w:pPr>
          </w:p>
          <w:p w14:paraId="75C8895F" w14:textId="77777777" w:rsidR="00477212" w:rsidRPr="00D31F43" w:rsidRDefault="00477212">
            <w:pPr>
              <w:spacing w:line="240" w:lineRule="auto"/>
              <w:jc w:val="both"/>
              <w:rPr>
                <w:rFonts w:ascii="Times New Roman" w:eastAsia="Times New Roman" w:hAnsi="Times New Roman" w:cs="Times New Roman"/>
                <w:lang w:val="pt-BR"/>
              </w:rPr>
            </w:pPr>
          </w:p>
          <w:p w14:paraId="294AFAAC" w14:textId="77777777" w:rsidR="00477212" w:rsidRPr="00D31F43" w:rsidRDefault="00477212">
            <w:pPr>
              <w:spacing w:line="240" w:lineRule="auto"/>
              <w:jc w:val="both"/>
              <w:rPr>
                <w:rFonts w:ascii="Times New Roman" w:eastAsia="Times New Roman" w:hAnsi="Times New Roman" w:cs="Times New Roman"/>
                <w:lang w:val="pt-BR"/>
              </w:rPr>
            </w:pPr>
          </w:p>
          <w:p w14:paraId="3C7F6762" w14:textId="77777777" w:rsidR="00477212" w:rsidRPr="00D31F43" w:rsidRDefault="00477212">
            <w:pPr>
              <w:spacing w:line="240" w:lineRule="auto"/>
              <w:jc w:val="both"/>
              <w:rPr>
                <w:rFonts w:ascii="Times New Roman" w:eastAsia="Times New Roman" w:hAnsi="Times New Roman" w:cs="Times New Roman"/>
                <w:lang w:val="pt-BR"/>
              </w:rPr>
            </w:pPr>
          </w:p>
          <w:p w14:paraId="7EADFEB4" w14:textId="77777777" w:rsidR="00477212" w:rsidRPr="00D31F43" w:rsidRDefault="00477212">
            <w:pPr>
              <w:spacing w:line="240" w:lineRule="auto"/>
              <w:jc w:val="both"/>
              <w:rPr>
                <w:rFonts w:ascii="Times New Roman" w:eastAsia="Times New Roman" w:hAnsi="Times New Roman" w:cs="Times New Roman"/>
                <w:lang w:val="pt-BR"/>
              </w:rPr>
            </w:pPr>
          </w:p>
          <w:p w14:paraId="74113301" w14:textId="77777777" w:rsidR="00477212" w:rsidRPr="00D31F43" w:rsidRDefault="00477212">
            <w:pPr>
              <w:spacing w:line="240" w:lineRule="auto"/>
              <w:jc w:val="both"/>
              <w:rPr>
                <w:rFonts w:ascii="Times New Roman" w:eastAsia="Times New Roman" w:hAnsi="Times New Roman" w:cs="Times New Roman"/>
                <w:lang w:val="pt-BR"/>
              </w:rPr>
            </w:pPr>
          </w:p>
          <w:p w14:paraId="52DE91B1" w14:textId="77777777" w:rsidR="00477212" w:rsidRPr="00D31F43" w:rsidRDefault="00477212">
            <w:pPr>
              <w:spacing w:line="240" w:lineRule="auto"/>
              <w:jc w:val="both"/>
              <w:rPr>
                <w:rFonts w:ascii="Times New Roman" w:eastAsia="Times New Roman" w:hAnsi="Times New Roman" w:cs="Times New Roman"/>
                <w:lang w:val="pt-BR"/>
              </w:rPr>
            </w:pPr>
          </w:p>
          <w:p w14:paraId="3F881588" w14:textId="77777777" w:rsidR="00477212" w:rsidRPr="00D31F43" w:rsidRDefault="00477212">
            <w:pPr>
              <w:spacing w:line="240" w:lineRule="auto"/>
              <w:jc w:val="both"/>
              <w:rPr>
                <w:rFonts w:ascii="Times New Roman" w:eastAsia="Times New Roman" w:hAnsi="Times New Roman" w:cs="Times New Roman"/>
                <w:lang w:val="pt-BR"/>
              </w:rPr>
            </w:pPr>
          </w:p>
          <w:p w14:paraId="62AEE144" w14:textId="77777777" w:rsidR="00477212" w:rsidRPr="00D31F43" w:rsidRDefault="00477212">
            <w:pPr>
              <w:spacing w:line="240" w:lineRule="auto"/>
              <w:jc w:val="both"/>
              <w:rPr>
                <w:rFonts w:ascii="Times New Roman" w:eastAsia="Times New Roman" w:hAnsi="Times New Roman" w:cs="Times New Roman"/>
                <w:lang w:val="pt-BR"/>
              </w:rPr>
            </w:pPr>
          </w:p>
        </w:tc>
      </w:tr>
      <w:tr w:rsidR="00477212" w:rsidRPr="00AE06E3" w14:paraId="5E8CFEBA" w14:textId="77777777">
        <w:trPr>
          <w:trHeight w:val="600"/>
        </w:trPr>
        <w:tc>
          <w:tcPr>
            <w:tcW w:w="675" w:type="dxa"/>
          </w:tcPr>
          <w:p w14:paraId="5428B403"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pt-BR"/>
              </w:rPr>
            </w:pPr>
          </w:p>
          <w:p w14:paraId="388EBE6B"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10.</w:t>
            </w:r>
          </w:p>
        </w:tc>
        <w:tc>
          <w:tcPr>
            <w:tcW w:w="1730" w:type="dxa"/>
          </w:tcPr>
          <w:p w14:paraId="572BD4DA" w14:textId="77777777" w:rsidR="00477212" w:rsidRPr="00D31F43" w:rsidRDefault="00000000">
            <w:pPr>
              <w:spacing w:line="240" w:lineRule="auto"/>
              <w:jc w:val="center"/>
              <w:rPr>
                <w:rFonts w:ascii="Times New Roman" w:eastAsia="Times New Roman" w:hAnsi="Times New Roman" w:cs="Times New Roman"/>
                <w:b/>
                <w:bCs/>
                <w:highlight w:val="white"/>
                <w:lang w:val="it-IT"/>
              </w:rPr>
            </w:pPr>
            <w:r w:rsidRPr="00D31F43">
              <w:rPr>
                <w:rFonts w:ascii="Times New Roman" w:eastAsia="Times New Roman" w:hAnsi="Times New Roman" w:cs="Times New Roman"/>
                <w:b/>
                <w:bCs/>
                <w:highlight w:val="white"/>
                <w:lang w:val="it-IT"/>
              </w:rPr>
              <w:t>Consiliul pentru egalitate</w:t>
            </w:r>
          </w:p>
          <w:p w14:paraId="4791A20F" w14:textId="77777777" w:rsidR="00477212" w:rsidRPr="00D31F43" w:rsidRDefault="00477212">
            <w:pPr>
              <w:spacing w:line="240" w:lineRule="auto"/>
              <w:ind w:firstLine="567"/>
              <w:rPr>
                <w:rFonts w:ascii="Times New Roman" w:eastAsia="Times New Roman" w:hAnsi="Times New Roman" w:cs="Times New Roman"/>
                <w:b/>
                <w:bCs/>
                <w:highlight w:val="yellow"/>
                <w:lang w:val="it-IT"/>
              </w:rPr>
            </w:pPr>
          </w:p>
          <w:p w14:paraId="390304BF" w14:textId="77777777" w:rsidR="00477212" w:rsidRPr="00D31F43" w:rsidRDefault="00000000">
            <w:pPr>
              <w:spacing w:line="240" w:lineRule="auto"/>
              <w:jc w:val="center"/>
              <w:rPr>
                <w:rFonts w:ascii="Times New Roman" w:eastAsia="Times New Roman" w:hAnsi="Times New Roman" w:cs="Times New Roman"/>
                <w:b/>
                <w:bCs/>
                <w:lang w:val="it-IT"/>
              </w:rPr>
            </w:pPr>
            <w:r w:rsidRPr="00D31F43">
              <w:rPr>
                <w:rFonts w:ascii="Times New Roman" w:eastAsia="Times New Roman" w:hAnsi="Times New Roman" w:cs="Times New Roman"/>
                <w:i/>
                <w:iCs/>
                <w:lang w:val="it-IT"/>
              </w:rPr>
              <w:t>Nr. 04/254 din 24.02.2026</w:t>
            </w:r>
          </w:p>
        </w:tc>
        <w:tc>
          <w:tcPr>
            <w:tcW w:w="6685" w:type="dxa"/>
          </w:tcPr>
          <w:p w14:paraId="43D9F16C" w14:textId="77777777" w:rsidR="00477212" w:rsidRDefault="00000000">
            <w:pPr>
              <w:numPr>
                <w:ilvl w:val="0"/>
                <w:numId w:val="25"/>
              </w:numPr>
              <w:spacing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Consiliul atrage atenția asupra faptului că titlul Regulamentului conține sintagma „în autoritățile publice”, iar potrivit prevederilor pct. 2 se aplică autorităților publice centrale și locale, autorităților publice autonome, precum și instituțiilor și structurilor organizatorice aflate în subordinea sau coordonarea acestora. Prin urmare, deducem că cercul de subiecți (angajatori) din sectorul public în privința cărora este aplicabil Regulamentul nu se limitează doar la autorități publice. </w:t>
            </w:r>
            <w:r>
              <w:rPr>
                <w:rFonts w:ascii="Times New Roman" w:eastAsia="Times New Roman" w:hAnsi="Times New Roman" w:cs="Times New Roman"/>
              </w:rPr>
              <w:t>Din aceste considerente, Consiliul propune revizuirea titlului Regulamentului examinat.</w:t>
            </w:r>
          </w:p>
          <w:p w14:paraId="1B0F9481"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Pr>
                <w:rFonts w:ascii="Times New Roman" w:eastAsia="Times New Roman" w:hAnsi="Times New Roman" w:cs="Times New Roman"/>
              </w:rPr>
              <w:t xml:space="preserve">De asemenea, cu privire la sintagma “structurilor organizatorice aflate în subordinea sau coordonarea acestora”, nu este clar la care structuri se referă aceasta, or art. 2 alin. </w:t>
            </w:r>
            <w:r w:rsidRPr="00D31F43">
              <w:rPr>
                <w:rFonts w:ascii="Times New Roman" w:eastAsia="Times New Roman" w:hAnsi="Times New Roman" w:cs="Times New Roman"/>
                <w:lang w:val="it-IT"/>
              </w:rPr>
              <w:t>(1) al Legii privind administraţia publică centrală de specialitate nr. 98/2012, prin alte autorităţi administrative centrale subordonate Guvernului şi structurile organizaţionale din sfera lor de competență se referă la autoritățile administrative din subordine inclusiv, serviciile publice desconcentrate şi cele aflate în subordine, precum şi instituţiile publice în care ministerul, Cancelaria de Stat sau altă autoritate administrativă centrală are calitatea de fondator. În acest sens, Consiliul atrage atenția asupra necesității revizuirii pct. 2 în vederea clarificării autorităților publice și instituțiilor care cad sub incidența Regulamentului.</w:t>
            </w:r>
          </w:p>
          <w:p w14:paraId="3FC0CB4A"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În continuare, Consiliul reține că la pct. 3 sunt enumerate categoriile de persoane din cadrul entităților menționate mai sus cărora li se aplică prevederile Regulamentului. În această privință, Consiliul atrage atenția că în aparatul central al Ministerului Afacerilor Interne, în cadrul autorităților administrative şi instituțiilor din subordinea acestuia, sunt instituite funcții cu statut special, în conformitate cu art. </w:t>
            </w:r>
            <w:r w:rsidRPr="00D31F43">
              <w:rPr>
                <w:rFonts w:ascii="Times New Roman" w:eastAsia="Times New Roman" w:hAnsi="Times New Roman" w:cs="Times New Roman"/>
                <w:lang w:val="it-IT"/>
              </w:rPr>
              <w:lastRenderedPageBreak/>
              <w:t>(1) al Legii nr. 288/2016 privind funcționarul public cu statut special din cadrul Ministerului Afacerilor Interne. Din aceste considerente, având în vedere că Regulamentul se aplică tuturor persoanelor aflate în raporturi de muncă sau în alte raporturi legate nemijlocit de acestea din cadrul autorității publice, Consiliul propune completarea listei prevăzute la pct. 3 cu un nou subpunct: “funcționarii publici cu statut special”.</w:t>
            </w:r>
          </w:p>
          <w:p w14:paraId="6243B916" w14:textId="77777777" w:rsidR="00477212" w:rsidRDefault="00000000">
            <w:pPr>
              <w:numPr>
                <w:ilvl w:val="0"/>
                <w:numId w:val="25"/>
              </w:numPr>
              <w:spacing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La subpct. 3.1, nu este clară relevanța textului “indiferent de funcția de demnitate publică exercitată sau de nivelul autorității în care își desfășoară activitatea”. </w:t>
            </w:r>
            <w:r w:rsidRPr="00D31F43">
              <w:rPr>
                <w:rFonts w:ascii="Times New Roman" w:eastAsia="Times New Roman" w:hAnsi="Times New Roman" w:cs="Times New Roman"/>
                <w:lang w:val="pt-BR"/>
              </w:rPr>
              <w:t xml:space="preserve">De asemenea, la subpct. 3.2, nu este clară relevanța textului “indiferent de categoria, treapta sau funcția publică deținută”. </w:t>
            </w:r>
            <w:r>
              <w:rPr>
                <w:rFonts w:ascii="Times New Roman" w:eastAsia="Times New Roman" w:hAnsi="Times New Roman" w:cs="Times New Roman"/>
              </w:rPr>
              <w:t>Având în vedere lipsa de oportunitate, Consiliul propune excluderea textelor în cauză.</w:t>
            </w:r>
          </w:p>
          <w:p w14:paraId="5B206DB6" w14:textId="77777777" w:rsidR="00477212" w:rsidRDefault="00000000">
            <w:pPr>
              <w:numPr>
                <w:ilvl w:val="0"/>
                <w:numId w:val="25"/>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 xml:space="preserve">De asemenea, Consiliul notează că în cadrul prevederilor art. 81 alin. (6) și (7) din Codul Muncii nr. 154/2003, legiuitorul distinge două categorii de angajatori în funcție de numărul angajaților și distinge că prevederile referitoare la elaborarea și implementarea politicilor interne, instituirea procedurilor de raportare, investigare și de soluționare a cazurilor de violență și hărțuire în muncă, precum și la desemnarea persoanelor sau a comisiilor de investigare, se aplică în mod obligatoriu angajatorilor care au cel puțin 50 de salariați angajați în cadrul unității, iar angajatorii care au sub 50 de salariați adoptă măsuri rezonabile și adecvate pentru prevenirea și combaterea violenței și a hărțuirii în muncă, proporțional cu numărul de angajați, natura activității și structura organizatorică, cu respectarea principiilor de prevenire, imparțialitate, confidențialitate și de protecție efectivă a persoanelor vizate. În această privință, Consiliul notează lipsa oricărei prevederi în Regulament care să reglementeze distinct obligațiile autorităților publice/ instituțiilor în calitatea acestora de angajatori în dependență de numărul de angajați, așa cum prevede Codul Muncii. Prin urmare, Consiliul recomandă completarea Regulamentului cu prevederi care să distingă în mod analogic între autorități publice/instituții în dependență de numărul de angajați al acestora, stabilind obligațiile corespunzătoare ce le revin – fie de a elabora politică internă privind prevenirea și combaterea violenței și hărțuirii </w:t>
            </w:r>
            <w:r>
              <w:rPr>
                <w:rFonts w:ascii="Times New Roman" w:eastAsia="Times New Roman" w:hAnsi="Times New Roman" w:cs="Times New Roman"/>
              </w:rPr>
              <w:lastRenderedPageBreak/>
              <w:t>în muncă, fie de a pune în aplicare măsuri rezonabile și adecvate pentru prevenirea și combaterea violenței și hărțuirii în muncă.</w:t>
            </w:r>
          </w:p>
          <w:p w14:paraId="061DCE77" w14:textId="77777777" w:rsidR="00477212" w:rsidRDefault="00000000">
            <w:pPr>
              <w:numPr>
                <w:ilvl w:val="0"/>
                <w:numId w:val="25"/>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Deși pct.8 din Regulament conține prevederi care urmează a fi incluse în politica internă privind prevenirea și combaterea violenței și hărțurii în muncă, în pct. 11.1 al Regulamentului, iarăși se menționează ce trebuie să includă politica, fiind indicate niște compartimente suplimentare, care nu se regăsesc în pct.8, cum ar fi drepturile, obligațiile. Drept urmare, Consiliul propune excludere din pct. 11.1 a sintagmei „care să includă dispoziții clare privind drepturile, obligațiile, procedurile și mecanismele interne aplicabile” și daca este necesar completarea pct. 8 cu drepturi și obligații. De asemenea, Consiliul constată o discrepanță dintre pct.8 al Regulamentului și pct. 2 din Politica internă privind prevenirea și combaterea violenței și hărțurii în muncă din Anexa nr.4. Consiliul recomandă uniformizarea acestor prevederi, pentru a fi clar care este conținutul unei Politici interne privind prevenirea și combaterea violenței și hărțurii în muncă.</w:t>
            </w:r>
          </w:p>
          <w:p w14:paraId="40865B8F" w14:textId="77777777" w:rsidR="00477212" w:rsidRDefault="00000000">
            <w:pPr>
              <w:numPr>
                <w:ilvl w:val="0"/>
                <w:numId w:val="25"/>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În altă ordine de idei, pct. 18 din Regulament stabilește că sesizările se depun în formă scrisă, pe suport de hârtie sau prin mijloace electronice, și se transmit persoanei sau structurii desemnate să le preia în cadrul autorității publice. În continuare, pct. 19 prevede că sesizările sunt înregistrate imediat de către persoana desemnată sau, după caz, de comisia desemnată pentru investigarea cazului într-un registru special. În același timp, potrivit subpct. 11.1. al Politicii interne privind prevenirea și combaterea violenței și hărțuirii în muncă din Anexa 4 la Regulament, conducătorul autorității desemnează, prin ordin, o persoană responsabilă sau constituie o comisie de investigare, în termen de cel mult 3 zile lucrătoare de la înregistrarea sesizării complete. În aceste circumstanțe, este neclară stabilirea obligației persoanei desemnate sau, după caz, comisiei desemnate pentru investigarea cazului de a înregistra imediat sesizarea, din moment ce persoana sau comisia de investigare sunt desemnate în termen de 3 zile lucrătoare de la înregistrarea sesizării. În această privință, Consiliul propune completarea Regulamentului cu prevederi care să clarifice modalitatea de înregistrare a sesizării și persoana responsabilă de înregistrarea acesteia.</w:t>
            </w:r>
          </w:p>
          <w:p w14:paraId="7D735CDB"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Pr>
                <w:rFonts w:ascii="Times New Roman" w:eastAsia="Times New Roman" w:hAnsi="Times New Roman" w:cs="Times New Roman"/>
              </w:rPr>
              <w:lastRenderedPageBreak/>
              <w:t xml:space="preserve">În egală măsură, Consiliul reține lipsa unor criterii clare care să delimiteze situațiile în care se desemnează o persoană responsabilă de cele în care se constituie o comisie de investigare. De asemenea, în Regulament lipsesc prevederi care să stabilească durata maximă a procedurii de investigare, în timp ce potrivit pct. 13 al Politicii interne investigația se desfășoară și se finalizează într-un termen rezonabil, care nu va depăși 30 de zile calendaristice de la data înregistrării sesizării, cu posibilitatea prelungirii cu 15 zile calendaristice. </w:t>
            </w:r>
            <w:r w:rsidRPr="00D31F43">
              <w:rPr>
                <w:rFonts w:ascii="Times New Roman" w:eastAsia="Times New Roman" w:hAnsi="Times New Roman" w:cs="Times New Roman"/>
                <w:lang w:val="it-IT"/>
              </w:rPr>
              <w:t>În acest sens, Consiliul propune completarea proiectului cu prevederi care să elimine lacunele relevate.</w:t>
            </w:r>
          </w:p>
          <w:p w14:paraId="4DBE2A94"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Examinând pct. 23 al Regulamentului, observă că sunt indicate pentru persoana desemnată sau membrii comisiei de investigare drept cerințe: respectarea confidențialități, imparțialitate și obiectivitate. Totodată, Consiliul atrage atenția că examinarea pct. 11.7, 22, 28, 29 și Cap.II din Politica internă privind prevenirea și combaterea violenței și hărțurii în muncă denotă că imparțialitatea și obiectivitatea și confidențialitatea sunt principii ale procedurii de investigare a cazurilor de hărțuire și violență. Drept urmare, Consiliul recomandă excluderea din pct. 23 ca cerințe imparțialitatea, obiectivitatea și confidențialitatea, deoarece acestea sunt principii ale procedurii.</w:t>
            </w:r>
          </w:p>
          <w:p w14:paraId="137454B2"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Consiliul notează că potrivit pct. 24, persoana desemnată în comisia de investigare care se află în conflict de interese ori nu îndeplinește criteriile prevăzute de pct.23 se abține de la examinarea cauzei sau, după caz, este înlăturată de la examinare. Totuși, în această situație nu este clar dacă comisia continuă investigarea cauzei în lipsa persoanei care s-a abținut sau a fost înlăturată sau urmează a fi desemnat un nou membru în comisie. Consiliul propune completarea Regulamentului cu prevederi care să clarifice această situație.</w:t>
            </w:r>
          </w:p>
          <w:p w14:paraId="70E1FDD6"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Potrivit pct. 34.1 al Regulamentului, în funcție de concluziile procedurii de investigare incluse în raport, conducătorul autorității publice poate dispune inițierea procedurii disciplinare, în temeiul constatărilor rezultate din investigație, în vederea aplicării sancțiunilor corespunzătoare persoanei care a săvârșit fapta. Totuși, Consiliul observă că procedura disciplinară, conform Regulamentului cu privire la comisia de disciplină din Anexa nr. 7 la Hotărârea Guvernului nr. </w:t>
            </w:r>
            <w:r w:rsidRPr="00D31F43">
              <w:rPr>
                <w:rFonts w:ascii="Times New Roman" w:eastAsia="Times New Roman" w:hAnsi="Times New Roman" w:cs="Times New Roman"/>
                <w:lang w:val="it-IT"/>
              </w:rPr>
              <w:lastRenderedPageBreak/>
              <w:t>201/2009, presupune o anchetă de serviciu care include audierea persoanei care a formulat sesizarea, administrarea probelor, precum și verificarea documentelor și a declarațiilor prezentate. Astfel, prin inițierea procedurii disciplinare în vederea aplicării sancțiunilor se atestă o dublare a procedurii de investigare prin examinarea faptelor invocate de către comisia de disciplină. Examinarea oportunității de aplicare doar a unei proceduri, pentru a nu duce la o durată prelungită a investigației, care ar putea duce la expirarea termenului de prescripție pentru aplicarea sancțiunii disciplinare.</w:t>
            </w:r>
          </w:p>
          <w:p w14:paraId="28D3FE65"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Consiliul reține că proiectul conține, la pct. 40.4, următoarea măsură provizorie de protecție: acordarea, cu titlu de excepție, la cererea persoanei vizate și cu acordul scris al acesteia, a unui concediu plătit sau neplătit, în situațiile în care această măsură constituie singura formă adecvată de protecție. Consiliul consideră că în ambele cazuri persoana vizată este dezavantajată, întrucât este impusă să își folosească concediul de odihnă sau să beneficieze de un concediu neplătit - caz în care persoana rămâne fără vreo sursă de venit, suportând consecințele comportamentului persoanei reclamate. Din această perspectivă, Consiliul propune includerea ca măsură provizorie a posibilității pentru persoana vizată de a desfășura munca la domiciliu sau la distanță, așa cum prevede art. 191 din Legea nr. 158/2008.</w:t>
            </w:r>
          </w:p>
          <w:p w14:paraId="67D321B6"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De asemenea, Consiliul notează, că în Anexa nr. 4 la Regulament, autorul proiectului propune un model tipizat de Politică internă. Consiliul reține că, deși Politica internă este elaborată pentru a preveni și combate violența și hărțuirea în muncă, în textul acesteia nu se regăsesc noțiunile esențiale care să faciliteze înțelegerea de către angajați a comportamentelor care sunt interzise și inacceptabile. În acest sens, Consiliul recomandă completarea Politicii interne cu definițiile noțiunilor de violență în muncă și hărțuire în muncă, în concordanță cu Codul muncii nr. 154/2003, precum și cu situații exemplificative ale acestora.</w:t>
            </w:r>
          </w:p>
          <w:p w14:paraId="29C125B9" w14:textId="77777777" w:rsidR="00477212" w:rsidRPr="00D31F43" w:rsidRDefault="00000000">
            <w:pPr>
              <w:numPr>
                <w:ilvl w:val="0"/>
                <w:numId w:val="2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Cu referire la pct. 9 din Anexa nr. 4, Consiliul observă că sesizarea se consideră depusă, după caz, la data primirii acesteia pe adresa electronică a autorității. Consiliul recomandă autorului proiectului să prevadă transmiterea sesizărilor către o adresă de e-mail special creată </w:t>
            </w:r>
            <w:r w:rsidRPr="00D31F43">
              <w:rPr>
                <w:rFonts w:ascii="Times New Roman" w:eastAsia="Times New Roman" w:hAnsi="Times New Roman" w:cs="Times New Roman"/>
                <w:lang w:val="it-IT"/>
              </w:rPr>
              <w:lastRenderedPageBreak/>
              <w:t>în acest scop, astfel încât acestea să fie vizualizate exclusiv de persoanele abilitate să asigure confidențialitatea informațiilor și, totodată, să permită inițierea examinării situației conform modului și termenilor stabiliți în prezentul document.</w:t>
            </w:r>
          </w:p>
          <w:p w14:paraId="71D1058B" w14:textId="77777777" w:rsidR="00477212" w:rsidRPr="00D31F43" w:rsidRDefault="00477212">
            <w:pPr>
              <w:spacing w:line="240" w:lineRule="auto"/>
              <w:jc w:val="both"/>
              <w:rPr>
                <w:rFonts w:ascii="Times New Roman" w:eastAsia="Times New Roman" w:hAnsi="Times New Roman" w:cs="Times New Roman"/>
                <w:lang w:val="it-IT"/>
              </w:rPr>
            </w:pPr>
          </w:p>
        </w:tc>
        <w:tc>
          <w:tcPr>
            <w:tcW w:w="5925" w:type="dxa"/>
          </w:tcPr>
          <w:p w14:paraId="7ACE8F71"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r>
              <w:rPr>
                <w:rFonts w:ascii="Times New Roman" w:eastAsia="Times New Roman" w:hAnsi="Times New Roman" w:cs="Times New Roman"/>
                <w:b/>
                <w:bCs/>
              </w:rPr>
              <w:lastRenderedPageBreak/>
              <w:t>Se acceptă parțial</w:t>
            </w:r>
          </w:p>
          <w:p w14:paraId="6161DC42" w14:textId="77777777" w:rsidR="00477212"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Reformularea denumirii Hotărârii și a Propunerea nu se acceptă. Potrivit Legii nr. 194/2025 pentru modificarea Codului muncii al Republicii Moldova, Guvernul este împuternicit să elaboreze și să aprobe cadrul normativ necesar pentru punerea în aplicare a prevederilor legii de către autoritățile publice. În acest sens, formularea utilizată în proiectul hotărârii și în Regulament este în concordanță directă cu mandatul stabilit prin lege. Substituirea sintagmei „în autoritățile publice” cu noțiuni precum „persoane juridice de drept public” sau „entități publice” ar extinde sfera de aplicare a actului normativ dincolo de limitele stabilite prin lege, întrucât aceste noțiuni includ o categorie mai largă de subiecți decât cea avută în vedere de legiuitor. Prin urmare, menținerea formulării „în autoritățile publice” este necesară pentru a asigura concordanța cu împuternicirea prevăzută de Legea nr. 194/2025 și pentru a evita extinderea nejustificată a domeniului de reglementare al actului normativ.</w:t>
            </w:r>
          </w:p>
          <w:p w14:paraId="024BB3B6" w14:textId="77777777" w:rsidR="00477212"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 xml:space="preserve">Nu se susține revizuirea pct. 2 în sensul propus. Sintagma „structurilor organizatorice aflate în subordinea sau coordonarea acestora” are rolul de a asigura aplicarea Regulamentului într-o manieră cuprinzătoare, asupra tuturor entităților care își desfășoară activitatea în cadrul sistemului autorităților publice sau în sfera lor organizatorică. Formularea utilizată permite includerea instituțiilor și structurilor organizatorice aflate în subordinea, coordonarea sau în sfera de competență a autorităților publice, fără a fi </w:t>
            </w:r>
            <w:r>
              <w:rPr>
                <w:rFonts w:ascii="Times New Roman" w:eastAsia="Times New Roman" w:hAnsi="Times New Roman" w:cs="Times New Roman"/>
              </w:rPr>
              <w:lastRenderedPageBreak/>
              <w:t>necesară enumerarea exhaustivă a acestora. Stabilirea unei liste detaliate ar putea conduce la rigidizarea normei și la excluderea unor entități care, în practică, funcționează în cadrul acestor autorități. Totodată, interpretarea noțiunii se realizează în corelare cu legislația relevantă în domeniul administrației publice, inclusiv cu Legea nr. 98/2012 privind administrația publică centrală de specialitate, astfel încât nu se consideră necesară o reformulare suplimentară a textului.</w:t>
            </w:r>
          </w:p>
          <w:p w14:paraId="2D39F787" w14:textId="77777777" w:rsidR="00477212"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283" w:firstLine="141"/>
              <w:jc w:val="both"/>
              <w:rPr>
                <w:rFonts w:ascii="Times New Roman" w:eastAsia="Times New Roman" w:hAnsi="Times New Roman" w:cs="Times New Roman"/>
              </w:rPr>
            </w:pPr>
            <w:r>
              <w:rPr>
                <w:rFonts w:ascii="Times New Roman" w:eastAsia="Times New Roman" w:hAnsi="Times New Roman" w:cs="Times New Roman"/>
              </w:rPr>
              <w:t xml:space="preserve">Se acceptă completarea pct. 3 din Regulament cu o categorie distinctă de subiecți, în vederea includerii funcționarilor publici cu statut special, în conformitate cu Legea nr. 288/2016 privind funcționarul public cu statut special din cadrul Ministerului Afacerilor Interne. Noua redacție a pct. </w:t>
            </w:r>
          </w:p>
          <w:p w14:paraId="23D9C88B"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rPr>
            </w:pPr>
            <w:r>
              <w:rPr>
                <w:rFonts w:ascii="Times New Roman" w:eastAsia="Times New Roman" w:hAnsi="Times New Roman" w:cs="Times New Roman"/>
              </w:rPr>
              <w:t xml:space="preserve">“3. </w:t>
            </w:r>
            <w:r>
              <w:rPr>
                <w:rFonts w:ascii="Times New Roman" w:eastAsia="Times New Roman" w:hAnsi="Times New Roman" w:cs="Times New Roman"/>
                <w:i/>
                <w:iCs/>
              </w:rPr>
              <w:t>Regulamentul se aplică tuturor persoanelor aflate în raporturi de muncă sau în alte raporturi legate nemijlocit de acestea din cadrul autorității publice, inclusiv, dar fără a se limita la:</w:t>
            </w:r>
            <w:r>
              <w:rPr>
                <w:rFonts w:ascii="Times New Roman" w:eastAsia="Times New Roman" w:hAnsi="Times New Roman" w:cs="Times New Roman"/>
                <w:i/>
                <w:iCs/>
              </w:rPr>
              <w:br/>
              <w:t xml:space="preserve"> 3.1. demnitarii publici, indiferent de funcția de demnitate publică exercitată sau de nivelul autorității în care își desfășoară activitatea;</w:t>
            </w:r>
            <w:r>
              <w:rPr>
                <w:rFonts w:ascii="Times New Roman" w:eastAsia="Times New Roman" w:hAnsi="Times New Roman" w:cs="Times New Roman"/>
                <w:i/>
                <w:iCs/>
              </w:rPr>
              <w:br/>
              <w:t xml:space="preserve"> 3.2. funcționarii publici, indiferent de categoria, treapta sau funcția publică deținută;</w:t>
            </w:r>
            <w:r>
              <w:rPr>
                <w:rFonts w:ascii="Times New Roman" w:eastAsia="Times New Roman" w:hAnsi="Times New Roman" w:cs="Times New Roman"/>
                <w:i/>
                <w:iCs/>
              </w:rPr>
              <w:br/>
              <w:t xml:space="preserve"> 3.3. funcționarii publici cu statut special, în condițiile legislației speciale aplicabile;</w:t>
            </w:r>
            <w:r>
              <w:rPr>
                <w:rFonts w:ascii="Times New Roman" w:eastAsia="Times New Roman" w:hAnsi="Times New Roman" w:cs="Times New Roman"/>
                <w:i/>
                <w:iCs/>
              </w:rPr>
              <w:br/>
              <w:t xml:space="preserve"> 3.4. salariații angajați în baza contractului individual de muncă, indiferent de durata, forma sau modalitatea de executare a acestuia;</w:t>
            </w:r>
            <w:r>
              <w:rPr>
                <w:rFonts w:ascii="Times New Roman" w:eastAsia="Times New Roman" w:hAnsi="Times New Roman" w:cs="Times New Roman"/>
                <w:i/>
                <w:iCs/>
              </w:rPr>
              <w:br/>
              <w:t xml:space="preserve"> 3.5. persoanele detașate, delegate, transferate temporar sau puse la dispoziția autorității publice în orice formă permisă de lege;</w:t>
            </w:r>
            <w:r>
              <w:rPr>
                <w:rFonts w:ascii="Times New Roman" w:eastAsia="Times New Roman" w:hAnsi="Times New Roman" w:cs="Times New Roman"/>
                <w:i/>
                <w:iCs/>
              </w:rPr>
              <w:br/>
              <w:t xml:space="preserve"> 3.6. stagiarii, voluntarii, persoanele aflate în programe de practică, instruire profesională sau formare continuă, precum și alte persoane care desfășoară activități în cadrul autorității </w:t>
            </w:r>
            <w:r>
              <w:rPr>
                <w:rFonts w:ascii="Times New Roman" w:eastAsia="Times New Roman" w:hAnsi="Times New Roman" w:cs="Times New Roman"/>
                <w:i/>
                <w:iCs/>
              </w:rPr>
              <w:lastRenderedPageBreak/>
              <w:t>publice fără a deține un contract individual de muncă;</w:t>
            </w:r>
            <w:r>
              <w:rPr>
                <w:rFonts w:ascii="Times New Roman" w:eastAsia="Times New Roman" w:hAnsi="Times New Roman" w:cs="Times New Roman"/>
                <w:i/>
                <w:iCs/>
              </w:rPr>
              <w:br/>
              <w:t xml:space="preserve"> 3.7. colaboratorii externi, experții, consultanții, asistenții tehnici, precum și alte persoane care își desfășoară activitatea în sediile, spațiile sau locațiile aflate în gestiunea autorității publice ori în cadrul activităților realizate pentru sau în legătură cu atribuțiile autorității publice;</w:t>
            </w:r>
            <w:r>
              <w:rPr>
                <w:rFonts w:ascii="Times New Roman" w:eastAsia="Times New Roman" w:hAnsi="Times New Roman" w:cs="Times New Roman"/>
                <w:i/>
                <w:iCs/>
              </w:rPr>
              <w:br/>
              <w:t xml:space="preserve"> 3.8. persoanele aparținând altor instituții sau organizații cu care autoritatea publică interacționează instituțional, în măsura în care această interacțiune are loc în contextul exercitării atribuțiilor de serviciu;</w:t>
            </w:r>
            <w:r>
              <w:rPr>
                <w:rFonts w:ascii="Times New Roman" w:eastAsia="Times New Roman" w:hAnsi="Times New Roman" w:cs="Times New Roman"/>
                <w:i/>
                <w:iCs/>
              </w:rPr>
              <w:br/>
              <w:t xml:space="preserve"> 3.9. orice alte persoane față de care pot surveni acte de violență sau hărțuire în muncă, dacă acestea se manifestă în legătură nemijlocită cu exercitarea atribuțiilor de serviciu în cadrul autorității publice."</w:t>
            </w:r>
          </w:p>
          <w:p w14:paraId="74EF4673"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0" w:firstLine="141"/>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Nu se susține excluderea textelor menționate la subpct. 3.1 și 3.2. Formulările respective au rolul de a preciza că Regulamentul se aplică tuturor persoanelor din categoriile respective, fără a face distincție în funcție de funcția exercitată, nivelul autorității sau categoria funcției publice. </w:t>
            </w:r>
            <w:r w:rsidRPr="00D31F43">
              <w:rPr>
                <w:rFonts w:ascii="Times New Roman" w:eastAsia="Times New Roman" w:hAnsi="Times New Roman" w:cs="Times New Roman"/>
                <w:lang w:val="it-IT"/>
              </w:rPr>
              <w:t>Menținerea acestor precizări contribuie la claritatea și aplicarea uniformă a normei, evitând interpretările restrictive cu privire la sfera subiecților vizați.</w:t>
            </w:r>
          </w:p>
          <w:p w14:paraId="1A6E8E55" w14:textId="77777777" w:rsidR="00477212"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0"/>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Nu se susține completarea Regulamentului în sensul propus. Regulamentul stabilește un cadru general aplicabil autorităților publice, iar prevederile sale sunt concepute astfel încât să poată fi aplicate indiferent de dimensiunea instituției. Totodată, mecanismul instituit este unul flexibil, întrucât Regulamentul permite desemnarea unei persoane responsabile în locul constituirii unei comisii, în funcție de structura organizatorică și capacitatea instituțională a autorității. De asemenea, având în vedere rolul și responsabilitățile autorităților publice, inclusiv cele cu un număr redus de angajați, se consideră important ca acestea să dispună de o politică internă clară privind prevenirea și combaterea violenței și hărțuirii în muncă, în </w:t>
            </w:r>
            <w:r w:rsidRPr="00D31F43">
              <w:rPr>
                <w:rFonts w:ascii="Times New Roman" w:eastAsia="Times New Roman" w:hAnsi="Times New Roman" w:cs="Times New Roman"/>
                <w:lang w:val="it-IT"/>
              </w:rPr>
              <w:lastRenderedPageBreak/>
              <w:t xml:space="preserve">vederea asigurării unui mediu de muncă sigur și a aplicării unor standarde uniforme la nivelul sectorului public. </w:t>
            </w:r>
            <w:r>
              <w:rPr>
                <w:rFonts w:ascii="Times New Roman" w:eastAsia="Times New Roman" w:hAnsi="Times New Roman" w:cs="Times New Roman"/>
              </w:rPr>
              <w:t>În aceste condiții, nu se consideră necesară instituirea unor reglementări diferențiate în funcție de numărul de salariați.</w:t>
            </w:r>
          </w:p>
          <w:p w14:paraId="1E5723BB" w14:textId="77777777" w:rsidR="00477212"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141"/>
              <w:jc w:val="both"/>
              <w:rPr>
                <w:rFonts w:ascii="Times New Roman" w:eastAsia="Times New Roman" w:hAnsi="Times New Roman" w:cs="Times New Roman"/>
              </w:rPr>
            </w:pPr>
            <w:r>
              <w:rPr>
                <w:rFonts w:ascii="Times New Roman" w:eastAsia="Times New Roman" w:hAnsi="Times New Roman" w:cs="Times New Roman"/>
              </w:rPr>
              <w:t xml:space="preserve">Nu se susține excluderea sintagmei menționate din pct. 11.1. Prevederea are rolul de a </w:t>
            </w:r>
            <w:r>
              <w:rPr>
                <w:rFonts w:ascii="Times New Roman" w:eastAsia="Times New Roman" w:hAnsi="Times New Roman" w:cs="Times New Roman"/>
                <w:b/>
                <w:bCs/>
              </w:rPr>
              <w:t>clarifica conținutul minim al politicii interne</w:t>
            </w:r>
            <w:r>
              <w:rPr>
                <w:rFonts w:ascii="Times New Roman" w:eastAsia="Times New Roman" w:hAnsi="Times New Roman" w:cs="Times New Roman"/>
              </w:rPr>
              <w:t xml:space="preserve">, inclusiv prin indicarea drepturilor, obligațiilor, procedurilor și mecanismelor interne aplicabile, aspecte esențiale pentru buna înțelegere și aplicare a acesteia de către salariați. Totodată, pct. 8 și pct. 11.1 nu se află în contradicție, ci au </w:t>
            </w:r>
            <w:r>
              <w:rPr>
                <w:rFonts w:ascii="Times New Roman" w:eastAsia="Times New Roman" w:hAnsi="Times New Roman" w:cs="Times New Roman"/>
                <w:b/>
                <w:bCs/>
              </w:rPr>
              <w:t>un rol complementar</w:t>
            </w:r>
            <w:r>
              <w:rPr>
                <w:rFonts w:ascii="Times New Roman" w:eastAsia="Times New Roman" w:hAnsi="Times New Roman" w:cs="Times New Roman"/>
              </w:rPr>
              <w:t xml:space="preserve">: pct. 8 stabilește elementele generale care trebuie incluse în politica internă, iar pct. 11.1 detaliază anumite componente ale acesteia în contextul măsurilor instituționale ce trebuie adoptate de autoritățile publice.În același sens, prevederile din </w:t>
            </w:r>
            <w:r>
              <w:rPr>
                <w:rFonts w:ascii="Times New Roman" w:eastAsia="Times New Roman" w:hAnsi="Times New Roman" w:cs="Times New Roman"/>
                <w:b/>
                <w:bCs/>
              </w:rPr>
              <w:t>Anexa nr. 4</w:t>
            </w:r>
            <w:r>
              <w:rPr>
                <w:rFonts w:ascii="Times New Roman" w:eastAsia="Times New Roman" w:hAnsi="Times New Roman" w:cs="Times New Roman"/>
              </w:rPr>
              <w:t xml:space="preserve"> reprezintă un </w:t>
            </w:r>
            <w:r>
              <w:rPr>
                <w:rFonts w:ascii="Times New Roman" w:eastAsia="Times New Roman" w:hAnsi="Times New Roman" w:cs="Times New Roman"/>
                <w:b/>
                <w:bCs/>
              </w:rPr>
              <w:t>model orientativ de politică internă</w:t>
            </w:r>
            <w:r>
              <w:rPr>
                <w:rFonts w:ascii="Times New Roman" w:eastAsia="Times New Roman" w:hAnsi="Times New Roman" w:cs="Times New Roman"/>
              </w:rPr>
              <w:t>, menit să faciliteze implementarea Regulamentului, fără a limita autoritățile publice în adaptarea documentului la specificul organizatoric al fiecărei instituții. Prin urmare, nu se consideră necesară modificarea textului în sensul propus.</w:t>
            </w:r>
          </w:p>
          <w:p w14:paraId="1002700A" w14:textId="77777777" w:rsidR="00477212"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0"/>
              <w:jc w:val="both"/>
              <w:rPr>
                <w:rFonts w:ascii="Times New Roman" w:eastAsia="Times New Roman" w:hAnsi="Times New Roman" w:cs="Times New Roman"/>
              </w:rPr>
            </w:pPr>
            <w:r>
              <w:rPr>
                <w:rFonts w:ascii="Times New Roman" w:eastAsia="Times New Roman" w:hAnsi="Times New Roman" w:cs="Times New Roman"/>
              </w:rPr>
              <w:t xml:space="preserve">Se acceptă revizuirea pct. 19, în vederea clarificării responsabilității privind </w:t>
            </w:r>
            <w:r>
              <w:rPr>
                <w:rFonts w:ascii="Times New Roman" w:eastAsia="Times New Roman" w:hAnsi="Times New Roman" w:cs="Times New Roman"/>
                <w:b/>
                <w:bCs/>
              </w:rPr>
              <w:t>înregistrarea și evidența sesizărilor</w:t>
            </w:r>
            <w:r>
              <w:rPr>
                <w:rFonts w:ascii="Times New Roman" w:eastAsia="Times New Roman" w:hAnsi="Times New Roman" w:cs="Times New Roman"/>
              </w:rPr>
              <w:t xml:space="preserve">. </w:t>
            </w:r>
            <w:r>
              <w:rPr>
                <w:rFonts w:ascii="Times New Roman" w:eastAsia="Times New Roman" w:hAnsi="Times New Roman" w:cs="Times New Roman"/>
                <w:b/>
                <w:bCs/>
                <w:i/>
                <w:iCs/>
              </w:rPr>
              <w:t>„20.</w:t>
            </w:r>
            <w:r>
              <w:rPr>
                <w:rFonts w:ascii="Times New Roman" w:eastAsia="Times New Roman" w:hAnsi="Times New Roman" w:cs="Times New Roman"/>
                <w:i/>
                <w:iCs/>
              </w:rPr>
              <w:t xml:space="preserve"> Persoana sau structura desemnată în cadrul autorității publice pentru primirea sesizărilor înregistrează sesizarea într-un registru special în aceeași zi</w:t>
            </w:r>
            <w:r>
              <w:rPr>
                <w:rFonts w:ascii="Times New Roman" w:eastAsia="Times New Roman" w:hAnsi="Times New Roman" w:cs="Times New Roman"/>
                <w:b/>
                <w:bCs/>
                <w:i/>
                <w:iCs/>
              </w:rPr>
              <w:t xml:space="preserve"> </w:t>
            </w:r>
            <w:r>
              <w:rPr>
                <w:rFonts w:ascii="Times New Roman" w:eastAsia="Times New Roman" w:hAnsi="Times New Roman" w:cs="Times New Roman"/>
                <w:i/>
                <w:iCs/>
              </w:rPr>
              <w:t>sau cel târziu în prima zi lucrătoare următoare primirii acesteia, asigură evidența și păstrarea sesizărilor în conformitate cu procedurile interne ale autorității publice (conform Anexei nr. 3 la Regulament) și verifică existența informațiilor esențiale necesare demarării procedurii</w:t>
            </w:r>
            <w:r>
              <w:rPr>
                <w:rFonts w:ascii="Times New Roman" w:eastAsia="Times New Roman" w:hAnsi="Times New Roman" w:cs="Times New Roman"/>
                <w:b/>
                <w:bCs/>
                <w:i/>
                <w:iCs/>
              </w:rPr>
              <w:t>.</w:t>
            </w:r>
            <w:r>
              <w:rPr>
                <w:rFonts w:ascii="Times New Roman" w:eastAsia="Times New Roman" w:hAnsi="Times New Roman" w:cs="Times New Roman"/>
                <w:i/>
                <w:iCs/>
              </w:rPr>
              <w:t xml:space="preserve"> În cazul în care sesizarea este incompletă, solicită persoanei vizate clarificări sau completări în termen de cel mult 3 zile lucrătoare de la data înregistrării</w:t>
            </w:r>
            <w:r>
              <w:rPr>
                <w:rFonts w:ascii="Times New Roman" w:eastAsia="Times New Roman" w:hAnsi="Times New Roman" w:cs="Times New Roman"/>
                <w:b/>
                <w:bCs/>
                <w:i/>
                <w:iCs/>
              </w:rPr>
              <w:t>.</w:t>
            </w:r>
          </w:p>
          <w:p w14:paraId="4890DE76" w14:textId="77777777" w:rsidR="00477212"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0" w:firstLine="0"/>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Se acceptă completarea Capitolului III al Regulamentului cu o prevedere care să asigure corelarea cu art. 82 alin. (2) lit. f¹) din Codul muncii al Republicii Moldova nr. </w:t>
            </w:r>
            <w:r w:rsidRPr="00D31F43">
              <w:rPr>
                <w:rFonts w:ascii="Times New Roman" w:eastAsia="Times New Roman" w:hAnsi="Times New Roman" w:cs="Times New Roman"/>
                <w:lang w:val="it-IT"/>
              </w:rPr>
              <w:lastRenderedPageBreak/>
              <w:t xml:space="preserve">154/2003, referitor la termenul de soluționare a sesizării. </w:t>
            </w:r>
            <w:r>
              <w:rPr>
                <w:rFonts w:ascii="Times New Roman" w:eastAsia="Times New Roman" w:hAnsi="Times New Roman" w:cs="Times New Roman"/>
              </w:rPr>
              <w:t>În acest sens, Capitolul III se completează cu un punct nou, cu următorul cuprins:</w:t>
            </w:r>
          </w:p>
          <w:p w14:paraId="78B342DC"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b/>
                <w:bCs/>
                <w:lang w:val="it-IT"/>
              </w:rPr>
              <w:t>„</w:t>
            </w:r>
            <w:r w:rsidRPr="00D31F43">
              <w:rPr>
                <w:rFonts w:ascii="Times New Roman" w:eastAsia="Times New Roman" w:hAnsi="Times New Roman" w:cs="Times New Roman"/>
                <w:i/>
                <w:iCs/>
                <w:lang w:val="it-IT"/>
              </w:rPr>
              <w:t>38. Sesizarea se examinează într-un termen rezonabil, care nu va depăși 30 de zile de la data înregistrării acesteia. În cazuri justificate, termenul poate fi prelungit o singură dată, prin ordin motivat, pentru o perioadă de cel mult 15 zile, cu informarea părților implicate.</w:t>
            </w:r>
            <w:r w:rsidRPr="00D31F43">
              <w:rPr>
                <w:rFonts w:ascii="Times New Roman" w:eastAsia="Times New Roman" w:hAnsi="Times New Roman" w:cs="Times New Roman"/>
                <w:i/>
                <w:iCs/>
                <w:highlight w:val="white"/>
                <w:lang w:val="it-IT"/>
              </w:rPr>
              <w:t xml:space="preserve"> Ordinul de prelungire a termenului se comunică persoanei vizate și persoanei reclamate în termen de maximum 3 zile lucrătoare de la emiterea acestuia, cu indicarea motivelor care justifică prelungirea.</w:t>
            </w:r>
            <w:r w:rsidRPr="00D31F43">
              <w:rPr>
                <w:rFonts w:ascii="Times New Roman" w:eastAsia="Times New Roman" w:hAnsi="Times New Roman" w:cs="Times New Roman"/>
                <w:b/>
                <w:bCs/>
                <w:lang w:val="it-IT"/>
              </w:rPr>
              <w:t>”</w:t>
            </w:r>
          </w:p>
          <w:p w14:paraId="1018E4A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Regulamentul prevede deja că se poate desemna o persoană responsabilă sau constitui o comisie de investigare, în funcție de circumstanțele cazului. Alegerea se face în dependență de complexitatea cazului și de structura organizatorică a autorității publice, motiv pentru care nu este necesară stabilirea unor criterii suplimentare în Regulament.</w:t>
            </w:r>
          </w:p>
          <w:p w14:paraId="26081EA7"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0" w:firstLine="0"/>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Nu se susține excluderea acestor elemente din pct. 23. Deși </w:t>
            </w:r>
            <w:r w:rsidRPr="00D31F43">
              <w:rPr>
                <w:rFonts w:ascii="Times New Roman" w:eastAsia="Times New Roman" w:hAnsi="Times New Roman" w:cs="Times New Roman"/>
                <w:b/>
                <w:bCs/>
                <w:lang w:val="pt-BR"/>
              </w:rPr>
              <w:t>imparțialitatea, obiectivitatea și confidențialitatea</w:t>
            </w:r>
            <w:r w:rsidRPr="00D31F43">
              <w:rPr>
                <w:rFonts w:ascii="Times New Roman" w:eastAsia="Times New Roman" w:hAnsi="Times New Roman" w:cs="Times New Roman"/>
                <w:lang w:val="pt-BR"/>
              </w:rPr>
              <w:t xml:space="preserve"> sunt prevăzute ca principii ale procedurii de investigare, includerea lor și în pct. 23 are rolul de a le consacra și ca </w:t>
            </w:r>
            <w:r w:rsidRPr="00D31F43">
              <w:rPr>
                <w:rFonts w:ascii="Times New Roman" w:eastAsia="Times New Roman" w:hAnsi="Times New Roman" w:cs="Times New Roman"/>
                <w:b/>
                <w:bCs/>
                <w:lang w:val="pt-BR"/>
              </w:rPr>
              <w:t>cerințe aplicabile persoanei desemnate sau membrilor comisiei de investigare</w:t>
            </w:r>
            <w:r w:rsidRPr="00D31F43">
              <w:rPr>
                <w:rFonts w:ascii="Times New Roman" w:eastAsia="Times New Roman" w:hAnsi="Times New Roman" w:cs="Times New Roman"/>
                <w:lang w:val="pt-BR"/>
              </w:rPr>
              <w:t xml:space="preserve">. </w:t>
            </w:r>
            <w:r w:rsidRPr="00D31F43">
              <w:rPr>
                <w:rFonts w:ascii="Times New Roman" w:eastAsia="Times New Roman" w:hAnsi="Times New Roman" w:cs="Times New Roman"/>
                <w:lang w:val="it-IT"/>
              </w:rPr>
              <w:t xml:space="preserve">Astfel, norma nu se limitează la stabilirea principiilor procedurii, ci indică </w:t>
            </w:r>
            <w:r w:rsidRPr="00D31F43">
              <w:rPr>
                <w:rFonts w:ascii="Times New Roman" w:eastAsia="Times New Roman" w:hAnsi="Times New Roman" w:cs="Times New Roman"/>
                <w:b/>
                <w:bCs/>
                <w:lang w:val="it-IT"/>
              </w:rPr>
              <w:t>standardele de conduită și responsabilitate</w:t>
            </w:r>
            <w:r w:rsidRPr="00D31F43">
              <w:rPr>
                <w:rFonts w:ascii="Times New Roman" w:eastAsia="Times New Roman" w:hAnsi="Times New Roman" w:cs="Times New Roman"/>
                <w:lang w:val="it-IT"/>
              </w:rPr>
              <w:t xml:space="preserve"> pe care trebuie să le respecte persoanele implicate în examinarea sesizărilor. În aceste condiții, menținerea acestor prevederi contribuie la </w:t>
            </w:r>
            <w:r w:rsidRPr="00D31F43">
              <w:rPr>
                <w:rFonts w:ascii="Times New Roman" w:eastAsia="Times New Roman" w:hAnsi="Times New Roman" w:cs="Times New Roman"/>
                <w:b/>
                <w:bCs/>
                <w:lang w:val="it-IT"/>
              </w:rPr>
              <w:t>asigurarea credibilității și integrității procedurii de investigare</w:t>
            </w:r>
            <w:r w:rsidRPr="00D31F43">
              <w:rPr>
                <w:rFonts w:ascii="Times New Roman" w:eastAsia="Times New Roman" w:hAnsi="Times New Roman" w:cs="Times New Roman"/>
                <w:lang w:val="it-IT"/>
              </w:rPr>
              <w:t>, motiv pentru care nu se consideră oportună excluderea lor.</w:t>
            </w:r>
          </w:p>
          <w:p w14:paraId="208CB38D" w14:textId="77777777" w:rsidR="00477212"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0" w:firstLine="141"/>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Se acceptă completarea pct. 24 din Regulament în vederea clarificării situației în care un membru al comisiei de </w:t>
            </w:r>
            <w:r w:rsidRPr="00D31F43">
              <w:rPr>
                <w:rFonts w:ascii="Times New Roman" w:eastAsia="Times New Roman" w:hAnsi="Times New Roman" w:cs="Times New Roman"/>
                <w:lang w:val="it-IT"/>
              </w:rPr>
              <w:lastRenderedPageBreak/>
              <w:t xml:space="preserve">investigare se abține sau este înlăturat de la examinarea cauzei. </w:t>
            </w:r>
            <w:r>
              <w:rPr>
                <w:rFonts w:ascii="Times New Roman" w:eastAsia="Times New Roman" w:hAnsi="Times New Roman" w:cs="Times New Roman"/>
              </w:rPr>
              <w:t>În acest sens, norma se modifică și va avea următoarea redacție:</w:t>
            </w:r>
          </w:p>
          <w:p w14:paraId="50D0FB9E"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b/>
                <w:bCs/>
              </w:rPr>
              <w:t>„26.</w:t>
            </w:r>
            <w:r>
              <w:rPr>
                <w:rFonts w:ascii="Times New Roman" w:eastAsia="Times New Roman" w:hAnsi="Times New Roman" w:cs="Times New Roman"/>
                <w:i/>
                <w:iCs/>
              </w:rPr>
              <w:t xml:space="preserve"> Persoana desemnată sau membrii comisiei de investigare care se află în conflict de interese ori nu îndeplinesc criteriile prevăzute la pct. 24 se abțin de la examinarea cauzei sau, după caz, sunt înlăturați de la examinare. Înlăturarea se dispune de conducătorul autorității publice, prin act administrativ, la cererea motivată a persoanei care a formulat sesizarea sau a persoanei reclamate. Părțile iau cunoștință de componența comisiei la momentul audierii și pot formula, în cadrul acestei etape, cereri de recuzare motivate. </w:t>
            </w:r>
            <w:r>
              <w:rPr>
                <w:rFonts w:ascii="Times New Roman" w:eastAsia="Times New Roman" w:hAnsi="Times New Roman" w:cs="Times New Roman"/>
                <w:b/>
                <w:bCs/>
                <w:i/>
                <w:iCs/>
              </w:rPr>
              <w:t>În cazul abținerii sau înlăturării unui membru, conducătorul autorității publice desemnează, prin act administrativ, un alt membru al comisiei de investigare.</w:t>
            </w:r>
            <w:r>
              <w:rPr>
                <w:rFonts w:ascii="Times New Roman" w:eastAsia="Times New Roman" w:hAnsi="Times New Roman" w:cs="Times New Roman"/>
              </w:rPr>
              <w:t>”</w:t>
            </w:r>
          </w:p>
          <w:p w14:paraId="7C51BC9A"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0" w:firstLine="141"/>
              <w:jc w:val="both"/>
              <w:rPr>
                <w:rFonts w:ascii="Times New Roman" w:eastAsia="Times New Roman" w:hAnsi="Times New Roman" w:cs="Times New Roman"/>
                <w:lang w:val="it-IT"/>
              </w:rPr>
            </w:pPr>
            <w:r w:rsidRPr="00D31F43">
              <w:rPr>
                <w:rFonts w:ascii="Times New Roman" w:eastAsia="Times New Roman" w:hAnsi="Times New Roman" w:cs="Times New Roman"/>
                <w:highlight w:val="white"/>
                <w:lang w:val="it-IT"/>
              </w:rPr>
              <w:t>Nu se susține instituirea unei singure proceduri. Procedura prevăzută de Regulament are caracter premergător, fiind destinată examinării sesizărilor privind situații de violență și hărțuire în muncă și stabilirii circumstanțelor de fapt. În baza concluziilor raportului de constatare, conducătorul autorității publice decide, în limitele competențelor legale, asupra măsurilor ce urmează a fi dispuse, inclusiv inițierea unei proceduri disciplinare. Inițierea procedurii disciplinare nu reprezintă o reluare nejustificată a examinării, ci aplicarea cadrului procedural specific prevăzut de legislația în vigoare pentru angajarea răspunderii disciplinare. Totodată, nu fiecare procedură disciplinară se finalizează cu aplicarea unei sancțiuni disciplinare, iar raportul întocmit în cadrul procedurii prevăzute de Regulament poate constitui un element relevant pentru aprecierea oportunității declanșării acesteia. De asemenea, în funcție de circumstanțele cazului, conducătorul autorității poate dispune și alte măsuri organizatorice sau de protecție, care nu au caracter disciplinar.</w:t>
            </w:r>
          </w:p>
          <w:p w14:paraId="66BD68D6"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141"/>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Nu se susține modificarea pct. 40.4 în sensul propus. Măsura prevăzută la acest punct are caracter excepțional și poate fi aplicată doar la cererea persoanei vizate și cu acordul scris al acesteia, din zilele de concediu la care salariatul are deja dreptul potrivit legislației muncii, fără a institui un tip nou de concediu sau a afecta drepturile existente. Totodată, această măsură este prevăzută doar pentru situațiile în care constituie singura formă adecvată de protecție, iar aplicarea ei depinde exclusiv de voința persoanei vizate. În același timp, pct. 40.5 prevede posibilitatea aplicării oricăror alte măsuri prevăzute în politicile interne ale autorității publice, necesare pentru prevenirea consecințelor prejudiciabile și pentru asigurarea unui mediu de lucru sigur. Prin urmare, autoritatea publică poate dispune și alte măsuri adecvate circumstanțelor concrete ale cazului, inclusiv măsuri organizatorice sau de protecție, fără a se limita la cele enumerate la pct. 40.4.</w:t>
            </w:r>
          </w:p>
          <w:p w14:paraId="0B6BD48E"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0" w:firstLine="141"/>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Nu se susține completarea Politicii interne cu definiții suplimentare ale noțiunilor de violență în muncă și hărțuire în muncă. Aceste noțiuni sunt definite în mod expres în Codul muncii nr. 154/2003, care constituie cadrul normativ de bază în materie. Prin urmare, reiterarea acestor definiții în modelul de politică internă nu este necesară, întrucât acestea se aplică direct în temeiul legislației în vigoare. Totodată, includerea unor exemple sau formulări suplimentare ar putea conduce la interpretări limitative sau neuniforme, în raport cu definițiile legale existente.</w:t>
            </w:r>
          </w:p>
          <w:p w14:paraId="42C5F3E6" w14:textId="77777777" w:rsidR="00477212" w:rsidRPr="00D31F43" w:rsidRDefault="00000000">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0" w:firstLine="283"/>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Se acceptă propunerea în vederea consolidării garanțiilor de confidențialitate. Totodată, modul concret de organizare a canalelor de recepționare a sesizărilor se lasă la discreția autorităților publice, în funcție de structura și capacitatea instituțională a acestora. Astfel, sesizările pot fi transmise fie prin intermediul unei adrese de e-mail dedicate, create în acest scop, fie prin canalele instituționale existente (de exemplu, prin cancelaria autorității), cu asigurarea accesului exclusiv al </w:t>
            </w:r>
            <w:r w:rsidRPr="00D31F43">
              <w:rPr>
                <w:rFonts w:ascii="Times New Roman" w:eastAsia="Times New Roman" w:hAnsi="Times New Roman" w:cs="Times New Roman"/>
                <w:highlight w:val="white"/>
                <w:lang w:val="it-IT"/>
              </w:rPr>
              <w:lastRenderedPageBreak/>
              <w:t>persoanelor abilitate și a respectării cerințelor de confidențialitate.</w:t>
            </w:r>
          </w:p>
          <w:p w14:paraId="3F2A8DC1"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tc>
      </w:tr>
      <w:tr w:rsidR="00477212" w14:paraId="638B1492" w14:textId="77777777">
        <w:trPr>
          <w:trHeight w:val="600"/>
        </w:trPr>
        <w:tc>
          <w:tcPr>
            <w:tcW w:w="675" w:type="dxa"/>
          </w:tcPr>
          <w:p w14:paraId="621508B3" w14:textId="77777777" w:rsidR="00477212" w:rsidRPr="00D31F43" w:rsidRDefault="00477212">
            <w:pPr>
              <w:numPr>
                <w:ilvl w:val="0"/>
                <w:numId w:val="9"/>
              </w:numPr>
              <w:spacing w:line="240" w:lineRule="auto"/>
              <w:ind w:firstLine="567"/>
              <w:rPr>
                <w:rFonts w:ascii="Times New Roman" w:eastAsia="Times New Roman" w:hAnsi="Times New Roman" w:cs="Times New Roman"/>
                <w:b/>
                <w:bCs/>
                <w:lang w:val="it-IT"/>
              </w:rPr>
            </w:pPr>
          </w:p>
          <w:p w14:paraId="5BFBA0C7"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11.</w:t>
            </w:r>
          </w:p>
        </w:tc>
        <w:tc>
          <w:tcPr>
            <w:tcW w:w="1730" w:type="dxa"/>
          </w:tcPr>
          <w:p w14:paraId="5F53E5C2"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Oficiul Avocatului Poporului</w:t>
            </w:r>
          </w:p>
          <w:p w14:paraId="30A219CC" w14:textId="77777777" w:rsidR="00477212" w:rsidRDefault="00477212">
            <w:pPr>
              <w:spacing w:line="240" w:lineRule="auto"/>
              <w:jc w:val="center"/>
              <w:rPr>
                <w:rFonts w:ascii="Times New Roman" w:eastAsia="Times New Roman" w:hAnsi="Times New Roman" w:cs="Times New Roman"/>
                <w:i/>
                <w:iCs/>
                <w:highlight w:val="yellow"/>
              </w:rPr>
            </w:pPr>
          </w:p>
          <w:p w14:paraId="55C4642D" w14:textId="77777777" w:rsidR="00477212" w:rsidRDefault="00000000">
            <w:pPr>
              <w:spacing w:line="240" w:lineRule="auto"/>
              <w:jc w:val="center"/>
              <w:rPr>
                <w:rFonts w:ascii="Times New Roman" w:eastAsia="Times New Roman" w:hAnsi="Times New Roman" w:cs="Times New Roman"/>
                <w:i/>
                <w:iCs/>
              </w:rPr>
            </w:pPr>
            <w:r>
              <w:rPr>
                <w:rFonts w:ascii="Times New Roman" w:eastAsia="Times New Roman" w:hAnsi="Times New Roman" w:cs="Times New Roman"/>
                <w:i/>
                <w:iCs/>
              </w:rPr>
              <w:t>nr. 04-3/49-1162</w:t>
            </w:r>
          </w:p>
          <w:p w14:paraId="6A43ED9C"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i/>
                <w:iCs/>
              </w:rPr>
              <w:t>din 16.06.2025</w:t>
            </w:r>
          </w:p>
        </w:tc>
        <w:tc>
          <w:tcPr>
            <w:tcW w:w="6685" w:type="dxa"/>
          </w:tcPr>
          <w:p w14:paraId="4AFF5CA7" w14:textId="77777777" w:rsidR="00477212" w:rsidRDefault="00477212">
            <w:pPr>
              <w:spacing w:line="240" w:lineRule="auto"/>
              <w:jc w:val="both"/>
              <w:rPr>
                <w:rFonts w:ascii="Times New Roman" w:eastAsia="Times New Roman" w:hAnsi="Times New Roman" w:cs="Times New Roman"/>
              </w:rPr>
            </w:pPr>
          </w:p>
          <w:p w14:paraId="41924A7C" w14:textId="77777777" w:rsidR="00477212" w:rsidRDefault="00000000">
            <w:pPr>
              <w:numPr>
                <w:ilvl w:val="0"/>
                <w:numId w:val="15"/>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Se propune completarea Regulamentului cu un subpunct separat, care să reglementeze procedura prin care un candidat la funcția publică poate raporta un act de hărțuire, spre exemplu:„În cazul   persoanelor aflate în căutarea unui loc de muncă sau al candidaților la funcții publice care au suferit acte de violență sau hărțuire în timpul procesului de recrutare/concurs, sesizarea se depune în format fizic la secretariatul autorității sau prin poșta electronică oficială a instituției, fiind direcționată imediat persoanei responsabile sau Comisiei, cu asigurarea confidențialității identității solicitantului.”</w:t>
            </w:r>
          </w:p>
          <w:p w14:paraId="24404C64" w14:textId="77777777" w:rsidR="00477212" w:rsidRDefault="00000000">
            <w:pPr>
              <w:numPr>
                <w:ilvl w:val="0"/>
                <w:numId w:val="15"/>
              </w:numPr>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De asemenea, se propune obligarea autorității de a plasa pe pagina web oficială informații succinte privind politica de toleranță zero față de hărțuire și modalitatea prin care candidații pot raporta eventuale abuzuri comise în timpul probelor de concurs.</w:t>
            </w:r>
          </w:p>
          <w:p w14:paraId="51BF6DE5" w14:textId="77777777" w:rsidR="00477212" w:rsidRPr="00D31F43" w:rsidRDefault="00000000">
            <w:pPr>
              <w:numPr>
                <w:ilvl w:val="0"/>
                <w:numId w:val="15"/>
              </w:numPr>
              <w:spacing w:line="240" w:lineRule="auto"/>
              <w:ind w:left="283"/>
              <w:jc w:val="both"/>
              <w:rPr>
                <w:rFonts w:ascii="Times New Roman" w:eastAsia="Times New Roman" w:hAnsi="Times New Roman" w:cs="Times New Roman"/>
                <w:lang w:val="it-IT"/>
              </w:rPr>
            </w:pPr>
            <w:r>
              <w:rPr>
                <w:rFonts w:ascii="Times New Roman" w:eastAsia="Times New Roman" w:hAnsi="Times New Roman" w:cs="Times New Roman"/>
              </w:rPr>
              <w:t xml:space="preserve">Se propune completarea Regulamentului cu o prevedere care să reglementeze procedura în cazul în care persoana reclamată pentru fapte de violență sau hărțuire în muncă este conducătorul autorităților autonome sau al unei instituții care nu are o autoritate publică ierarhic. În aceste situații investigația ar putea fi externalizată către entitatea care a numit conducătorul, după caz, organul colegial de conducere (ex. Parlament, Guvern, Consiliu). Proiectul actual prevede la pct. 22 procedura doar pentru cazul în care persoana reclamată pentru fapte de violență sau hărțuire în muncă este conducătorul autorității publice, iar în structura administrativă există o autoritate publică ierarhic superioară. Prin urmare, reglementarea situațiilor descrise va elimina blocajul procedural, dar și preveni situația în care o sesizare împotriva unui conducător de rang înalt rămâne nesoluționată din lipsa unui organ ierarhic superior. </w:t>
            </w:r>
            <w:r w:rsidRPr="00D31F43">
              <w:rPr>
                <w:rFonts w:ascii="Times New Roman" w:eastAsia="Times New Roman" w:hAnsi="Times New Roman" w:cs="Times New Roman"/>
                <w:lang w:val="it-IT"/>
              </w:rPr>
              <w:t>Totodată, va contribui la asigurarea garanțiilor unui proces echitabil pentru victimă.</w:t>
            </w:r>
          </w:p>
          <w:p w14:paraId="37E7D4AA" w14:textId="77777777" w:rsidR="00477212" w:rsidRPr="00D31F43" w:rsidRDefault="00000000">
            <w:pPr>
              <w:numPr>
                <w:ilvl w:val="0"/>
                <w:numId w:val="15"/>
              </w:numPr>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Se recomandă includerea unei clauze explicite care să impună consultarea cu sindicatele sau reprezentanții angajaților la elaborarea/definirea politicii și procedurilor interne privind prevenirea și combaterea violenței și hărțuirii în muncă.</w:t>
            </w:r>
          </w:p>
          <w:p w14:paraId="53D65BDE" w14:textId="77777777" w:rsidR="00477212" w:rsidRPr="00D31F43" w:rsidRDefault="00477212">
            <w:pPr>
              <w:spacing w:line="240" w:lineRule="auto"/>
              <w:jc w:val="both"/>
              <w:rPr>
                <w:rFonts w:ascii="Times New Roman" w:eastAsia="Times New Roman" w:hAnsi="Times New Roman" w:cs="Times New Roman"/>
                <w:lang w:val="it-IT"/>
              </w:rPr>
            </w:pPr>
          </w:p>
          <w:p w14:paraId="618F32E1" w14:textId="77777777" w:rsidR="00477212" w:rsidRPr="00D31F43" w:rsidRDefault="00477212">
            <w:pPr>
              <w:spacing w:line="240" w:lineRule="auto"/>
              <w:jc w:val="both"/>
              <w:rPr>
                <w:rFonts w:ascii="Times New Roman" w:eastAsia="Times New Roman" w:hAnsi="Times New Roman" w:cs="Times New Roman"/>
                <w:lang w:val="it-IT"/>
              </w:rPr>
            </w:pPr>
          </w:p>
        </w:tc>
        <w:tc>
          <w:tcPr>
            <w:tcW w:w="5925" w:type="dxa"/>
          </w:tcPr>
          <w:p w14:paraId="4D9FDCC5"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b/>
                <w:bCs/>
              </w:rPr>
            </w:pPr>
            <w:r>
              <w:rPr>
                <w:rFonts w:ascii="Times New Roman" w:eastAsia="Times New Roman" w:hAnsi="Times New Roman" w:cs="Times New Roman"/>
                <w:b/>
                <w:bCs/>
              </w:rPr>
              <w:lastRenderedPageBreak/>
              <w:t>Nu se acceptă</w:t>
            </w:r>
          </w:p>
          <w:p w14:paraId="08E55526" w14:textId="77777777" w:rsidR="00477212" w:rsidRDefault="00000000">
            <w:pPr>
              <w:numPr>
                <w:ilvl w:val="0"/>
                <w:numId w:val="19"/>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firstLine="0"/>
              <w:jc w:val="both"/>
              <w:rPr>
                <w:rFonts w:ascii="Times New Roman" w:eastAsia="Times New Roman" w:hAnsi="Times New Roman" w:cs="Times New Roman"/>
              </w:rPr>
            </w:pPr>
            <w:r>
              <w:rPr>
                <w:rFonts w:ascii="Times New Roman" w:eastAsia="Times New Roman" w:hAnsi="Times New Roman" w:cs="Times New Roman"/>
              </w:rPr>
              <w:t>Nu se susține completarea Regulamentului cu o procedură distinctă pentru candidații la funcții publice. Regulamentul reglementează mecanismele interne de prevenire, raportare și investigare a cazurilor de violență și/sau hărțuire în muncă în cadrul raporturilor de muncă sau de serviciu existente, fiind destinat persoanelor care își desfășoară activitatea în cadrul autorității publice sau în legătură cu aceasta. Procedurile aplicabile candidaților la funcții publice în cadrul concursurilor de recrutare sunt reglementate prin acte normative speciale din domeniul funcției publice, inclusiv cele privind organizarea și desfășurarea concursurilor. În aceste condiții, instituirea unei proceduri paralele în cadrul prezentului Regulament ar putea genera suprapuneri normative și incertitudine juridică cu privire la competența de examinare a sesizărilor. Totodată, eventualele fapte de violență sau hărțuire survenite în cadrul procesului de recrutare pot fi sesizate prin mecanismele generale prevăzute de legislația aplicabilă, inclusiv prin contestarea procedurii de concurs, adresarea către autoritatea ierarhic superioară, către organele competente sau către instanțele de judecată. În aceste condiții, nu se consideră necesară instituirea unei reglementări distincte în cuprinsul Regulamentului.</w:t>
            </w:r>
          </w:p>
          <w:p w14:paraId="610055A4" w14:textId="77777777" w:rsidR="00477212" w:rsidRDefault="00000000">
            <w:pPr>
              <w:numPr>
                <w:ilvl w:val="0"/>
                <w:numId w:val="19"/>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r>
              <w:rPr>
                <w:rFonts w:ascii="Times New Roman" w:eastAsia="Times New Roman" w:hAnsi="Times New Roman" w:cs="Times New Roman"/>
              </w:rPr>
              <w:t xml:space="preserve">Se acceptă propunerea în vederea consolidării transparenței și prevenirii situațiilor de violență și/sau hărțuire. Autoritățile publice pot asigura publicarea pe pagina web oficială a unor informații succinte privind politica de toleranță zero față de violență și hărțuire în muncă, precum și a </w:t>
            </w:r>
            <w:r>
              <w:rPr>
                <w:rFonts w:ascii="Times New Roman" w:eastAsia="Times New Roman" w:hAnsi="Times New Roman" w:cs="Times New Roman"/>
              </w:rPr>
              <w:lastRenderedPageBreak/>
              <w:t>modalităților prin care pot fi raportate eventuale comportamente abuzive. Aceste informații pot fi plasate, de exemplu, în cadrul secțiunilor dedicate carierei sau concursurilor, prin indicarea canalelor instituționale de raportare. Totodată, această măsură poate fi realizată fără a fi necesară includerea unei reguli distincte în Regulament, întrucât ține de modul de organizare și de comunicare instituțională al fiecărei autorități publice.</w:t>
            </w:r>
          </w:p>
          <w:p w14:paraId="64E24F50" w14:textId="77777777" w:rsidR="00477212" w:rsidRDefault="00000000">
            <w:pPr>
              <w:numPr>
                <w:ilvl w:val="0"/>
                <w:numId w:val="19"/>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Nu se susține completarea Regulamentului în sensul propus. În cazul în care autoritatea publică nu se află în subordinea unei autorități ierarhic superioare, persoana vizată poate face uz de alte mecanisme legale de protecție, inclusiv adresarea către Inspectoratul de Stat al Muncii (ISM), Consiliul pentru egalitate, organele de urmărire penală sau, după caz, către instanțele de judecată. Prin urmare, nu se consideră că lipsa unei reglementări suplimentare în Regulament ar genera blocaje procedurale sau ar împiedica investigarea situațiilor semnalate. </w:t>
            </w:r>
          </w:p>
          <w:p w14:paraId="5909AEFD" w14:textId="77777777" w:rsidR="00477212" w:rsidRDefault="00000000">
            <w:pPr>
              <w:numPr>
                <w:ilvl w:val="0"/>
                <w:numId w:val="19"/>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141"/>
              <w:jc w:val="both"/>
              <w:rPr>
                <w:rFonts w:ascii="Times New Roman" w:eastAsia="Times New Roman" w:hAnsi="Times New Roman" w:cs="Times New Roman"/>
              </w:rPr>
            </w:pPr>
            <w:r>
              <w:rPr>
                <w:rFonts w:ascii="Times New Roman" w:eastAsia="Times New Roman" w:hAnsi="Times New Roman" w:cs="Times New Roman"/>
              </w:rPr>
              <w:t>Nu se susține includerea unei prevederi privind consultarea obligatorie a sindicatelor sau a reprezentanților angajaților la elaborarea politicii și a procedurilor interne privind prevenirea și combaterea violenței și hărțuirii în muncă. Politica internă în acest domeniu reprezintă un act unilateral al angajatorului, similar regulamentului intern al unității, care este adoptat în temeiul prerogativelor de organizare și conducere ale angajatorului. Totodată, lipsa unei prevederi exprese în Regulament nu interzice consultarea sindicatelor sau a reprezentanților salariaților, aceasta putând fi realizată de angajator, după caz, în funcție de particularitățile instituției.</w:t>
            </w:r>
          </w:p>
        </w:tc>
      </w:tr>
      <w:tr w:rsidR="00477212" w:rsidRPr="00AE06E3" w14:paraId="17C5F2EF" w14:textId="77777777">
        <w:trPr>
          <w:trHeight w:val="600"/>
        </w:trPr>
        <w:tc>
          <w:tcPr>
            <w:tcW w:w="675" w:type="dxa"/>
          </w:tcPr>
          <w:p w14:paraId="69A11E1F" w14:textId="77777777" w:rsidR="00477212" w:rsidRDefault="00477212">
            <w:pPr>
              <w:spacing w:line="240" w:lineRule="auto"/>
              <w:ind w:firstLine="567"/>
              <w:rPr>
                <w:rFonts w:ascii="Times New Roman" w:eastAsia="Times New Roman" w:hAnsi="Times New Roman" w:cs="Times New Roman"/>
              </w:rPr>
            </w:pPr>
          </w:p>
        </w:tc>
        <w:tc>
          <w:tcPr>
            <w:tcW w:w="1730" w:type="dxa"/>
          </w:tcPr>
          <w:p w14:paraId="650D797B"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Justiției</w:t>
            </w:r>
          </w:p>
          <w:p w14:paraId="50FA44F1" w14:textId="77777777" w:rsidR="00477212" w:rsidRDefault="00477212">
            <w:pPr>
              <w:spacing w:line="240" w:lineRule="auto"/>
              <w:jc w:val="center"/>
              <w:rPr>
                <w:rFonts w:ascii="Times New Roman" w:eastAsia="Times New Roman" w:hAnsi="Times New Roman" w:cs="Times New Roman"/>
                <w:b/>
                <w:bCs/>
                <w:highlight w:val="white"/>
              </w:rPr>
            </w:pPr>
          </w:p>
          <w:p w14:paraId="2C33A28D"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04/2-2263</w:t>
            </w:r>
          </w:p>
          <w:p w14:paraId="53EFBC42"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02.03.2026</w:t>
            </w:r>
          </w:p>
        </w:tc>
        <w:tc>
          <w:tcPr>
            <w:tcW w:w="6685" w:type="dxa"/>
          </w:tcPr>
          <w:p w14:paraId="2F16234B"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Cu titlu de observație generală menționăm că, denumirea Regulamentului urmează a fi reformulată astfel încât să fie clar că Regulamentul reglementează modul de aplicare a prevederilor Codului muncii referitoare la prevenirea și combaterea violenței și hărțuirii în muncă în autoritățile publice.</w:t>
            </w:r>
          </w:p>
          <w:p w14:paraId="7F54BCA0"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Pr>
                <w:rFonts w:ascii="Times New Roman" w:eastAsia="Times New Roman" w:hAnsi="Times New Roman" w:cs="Times New Roman"/>
              </w:rPr>
              <w:lastRenderedPageBreak/>
              <w:t xml:space="preserve">Cu titlu general, menționăm că pe tot parcursul Regulamentului și în anexe este necesar de uniformizat expresia „violență și/sau hărțuire în muncă”, la forma gramaticală corespunzătoare, având în vedere că în denumirea Regulamentului se utilizează termenul „violență și hărțuire în muncă”. Totodată, se impune uniformizarea denumirii Comisiei (Co misia deinvestigare/Comisia de examinare etc.), utilizând o singură denumire pe întreg textul. </w:t>
            </w:r>
            <w:r w:rsidRPr="00D31F43">
              <w:rPr>
                <w:rFonts w:ascii="Times New Roman" w:eastAsia="Times New Roman" w:hAnsi="Times New Roman" w:cs="Times New Roman"/>
                <w:lang w:val="it-IT"/>
              </w:rPr>
              <w:t>La fel, termenul „structură” urmează a fi corelat cu terminologia instituțională aplicabilă. În cazul în care autorul a avut în vedere subdiviziunile interne, se propune substituirea cu sintagma „subdiviziune internă” (cu ajustările gramaticale aferente), în conformitate cu anexa nr. 12 la Hotărârea Guvernului nr. 201/2009.</w:t>
            </w:r>
          </w:p>
          <w:p w14:paraId="70D531CB"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Se propune examinarea categoriilor de persoane asupra cărora se extinde Regulamentul și a naturii raporturilor acestora cu autoritatea publică, cu asigurarea concordanței cu termenii din: 1) art. 1 din Legea nr. 158/2008 cu privire la 158/2008 cu privire la funcția publică și statutul funcționarului public; 2) art. 2 din Legea nr. 199/2010 cu privire la statutul persoanelor cu funcții de demnitate publică; 3) art. 100 din Codul educației. Formula „funcționarii publici, indiferent de categoria, treapta sau funcția publică deținută” necesită clarificare (în special a noțiunilor „categoria” și „treapta”).</w:t>
            </w:r>
          </w:p>
          <w:p w14:paraId="3DE439B3"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La pct. 1 atenționăm că, norma nu este clară în ceea ce privește obiectul de reglementare al Regulamentului, or, se menționează că Regulamentul stabilește cadrul normativ privind modul de elaborare, adoptare, aplicare și monitorizare a măsurilor, procedurilor și mecanismelor interne. </w:t>
            </w:r>
            <w:r w:rsidRPr="00D31F43">
              <w:rPr>
                <w:rFonts w:ascii="Times New Roman" w:eastAsia="Times New Roman" w:hAnsi="Times New Roman" w:cs="Times New Roman"/>
                <w:lang w:val="pt-BR"/>
              </w:rPr>
              <w:t>Astfel, utilizarea cuvintelor măsuri, proceduri și mecanisme nu corespunde caracterului de previzibilitate a normelor juridice.</w:t>
            </w:r>
          </w:p>
          <w:p w14:paraId="778652BA"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lang w:val="pt-BR"/>
              </w:rPr>
              <w:t xml:space="preserve">La pct. 2 textul propus este conceptual discutabil și urmează a fi reformulat prin prisma Legii nr. 98/2012 privind administrația publică centrală de specialitate. Totodată, semnalăm că potrivit art. 81 alin. (6) și (7) din Codul muncii prevederile alin. (3) și (4) referitoare la elaborarea și implementarea politicilor interne, instituirea procedurilor de raportare, investigare și de soluționare a cazurilor de violență și hărțuire în muncă, precum și la desemnarea persoanelor sau a comisiilor de investigare, se aplică în mod obligatoriu angajatorilor </w:t>
            </w:r>
            <w:r w:rsidRPr="00D31F43">
              <w:rPr>
                <w:rFonts w:ascii="Times New Roman" w:eastAsia="Times New Roman" w:hAnsi="Times New Roman" w:cs="Times New Roman"/>
                <w:lang w:val="pt-BR"/>
              </w:rPr>
              <w:lastRenderedPageBreak/>
              <w:t xml:space="preserve">care au cel puțin 50 de salariați angajați în cadrul unității. Angajatorii care au sub 50 de salariați adoptă măsuri rezonabile și adecvate pentru prevenirea și combaterea violenței și a hărțuirii în muncă, proporțional cu numărul de angajați, natura activității și structura organizatorică, cu respectarea principiilor de prevenire, imparțialitate, confidențialitate și de protecție efectivă a persoanelor vizate. Prin urmare, subiecții care cad sub incidența Regulamentului trebuie să corespundă cerințelor Codului muncii, or, normele citate nu conțin o prevedere specială pentru autoritățile publice. La fel, textul unde se preconizează obligativitatea elaborării, aprobării și implementării măsurilor și procedurilor interne, prezintă un caracter vicios. În context semnalăm că, Regulamentul conține măsuri cu caracter obligatoriu. Prin urmare, nu este necesară stipularea că o anumită normă este obligatorie, deoarece în caz contrar se poate presupune că celelalte dispoziții și norme nu sunt obligatorii. În dreptul public nu se vehiculează cu norme cu caracter dispozitiv. </w:t>
            </w:r>
            <w:r>
              <w:rPr>
                <w:rFonts w:ascii="Times New Roman" w:eastAsia="Times New Roman" w:hAnsi="Times New Roman" w:cs="Times New Roman"/>
              </w:rPr>
              <w:t>Reiterăm observația pentru toate situațiile similare din proiect.</w:t>
            </w:r>
          </w:p>
          <w:p w14:paraId="7720AD71"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Pr>
                <w:rFonts w:ascii="Times New Roman" w:eastAsia="Times New Roman" w:hAnsi="Times New Roman" w:cs="Times New Roman"/>
              </w:rPr>
              <w:t xml:space="preserve">La pct. 3, pentru precizie normativă, semnalăm necesitatea reformulării normelor privind subiecții cărora li se aplică Regulamentul. Astfel, proiectul trebuie corelat cu prevederile actelor normative cu care se află în conexiune (Legea nr. 199/2010 cu privire la statutul persoanelor cu funcții de demnitate publică, Legea nr. 158/2008 cu privire la funcția publică și statutul funcționarului public, Codul educației etc.). </w:t>
            </w:r>
            <w:r w:rsidRPr="00D31F43">
              <w:rPr>
                <w:rFonts w:ascii="Times New Roman" w:eastAsia="Times New Roman" w:hAnsi="Times New Roman" w:cs="Times New Roman"/>
                <w:lang w:val="it-IT"/>
              </w:rPr>
              <w:t xml:space="preserve">Totodată, formularea sbp. 3.4, și anume textul ,,persoane puse la dispoziția autorității publice în orice formă permisă de lege”, generează incertitudine juridică. În acest sens, în vederea asigurării clarității normei, se recomandă indicarea expresă a situațiilor juridice, astfel încât sfera de aplicare să fie clară și determinată. </w:t>
            </w:r>
            <w:r w:rsidRPr="00D31F43">
              <w:rPr>
                <w:rFonts w:ascii="Times New Roman" w:eastAsia="Times New Roman" w:hAnsi="Times New Roman" w:cs="Times New Roman"/>
                <w:lang w:val="pt-BR"/>
              </w:rPr>
              <w:t>Complementar, atenționăm lipsa de claritate a normei de la sbp. 3.8.</w:t>
            </w:r>
          </w:p>
          <w:p w14:paraId="3BAABC44"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La pct. 4 se propune substituirea textului „faptelor săvârșite în exercitarea atribuțiilor de serviciu, în legătură nemijlocită cu raporturile de muncă sau decurgând din acestea” cu formulare utilizată la art. 81 alin. (2) din Codul muncii (observație valabilă pentru toate cazurile similare din proiect, spre exemplu, pct. 6).</w:t>
            </w:r>
          </w:p>
          <w:p w14:paraId="20054C0E"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lastRenderedPageBreak/>
              <w:t>La pct. 5 remarcăm că, definirea noţiunilor ar fi justificată doar în cazul în care la momentul adoptării actului se ştie cu certitudine că, un termen este pasibil de mai multe interpretări sau dacă se imprimă un alt sens decât cel uzual şi se optează pentru o anumită interpretare. Astfel, recomandăm de a examina suplimentar necesitatea definirii noțiunilor propuse în raport cu prevederile proiectului care reglementează aceste noțiuni. Adițional, atragem atenția că definiția din sbp. 5.5 în partea ce vizează sintagma „o persoană terță ori reprezentantul acestora” depășește prevederile Codului muncii care reglementează posibilitatea depunerii sesizărilor în formă scrisă, inclusiv prin mijloace electronice, direct de către salariatul vizat sau prin intermediul unui reprezentant desemnat în condițiile legii.</w:t>
            </w:r>
          </w:p>
          <w:p w14:paraId="06437647"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Pct. 6 se va ajusta la prevederile art. 81 din Codul muncii.</w:t>
            </w:r>
          </w:p>
          <w:p w14:paraId="651D3651"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en-GB"/>
              </w:rPr>
              <w:t xml:space="preserve">La pct. 7 </w:t>
            </w:r>
            <w:proofErr w:type="spellStart"/>
            <w:r w:rsidRPr="00D31F43">
              <w:rPr>
                <w:rFonts w:ascii="Times New Roman" w:eastAsia="Times New Roman" w:hAnsi="Times New Roman" w:cs="Times New Roman"/>
                <w:lang w:val="en-GB"/>
              </w:rPr>
              <w:t>atenționăm</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că</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prin</w:t>
            </w:r>
            <w:proofErr w:type="spellEnd"/>
            <w:r w:rsidRPr="00D31F43">
              <w:rPr>
                <w:rFonts w:ascii="Times New Roman" w:eastAsia="Times New Roman" w:hAnsi="Times New Roman" w:cs="Times New Roman"/>
                <w:lang w:val="en-GB"/>
              </w:rPr>
              <w:t xml:space="preserve"> </w:t>
            </w:r>
            <w:proofErr w:type="spellStart"/>
            <w:r w:rsidRPr="00D31F43">
              <w:rPr>
                <w:rFonts w:ascii="Times New Roman" w:eastAsia="Times New Roman" w:hAnsi="Times New Roman" w:cs="Times New Roman"/>
                <w:lang w:val="en-GB"/>
              </w:rPr>
              <w:t>prisma</w:t>
            </w:r>
            <w:proofErr w:type="spellEnd"/>
            <w:r w:rsidRPr="00D31F43">
              <w:rPr>
                <w:rFonts w:ascii="Times New Roman" w:eastAsia="Times New Roman" w:hAnsi="Times New Roman" w:cs="Times New Roman"/>
                <w:lang w:val="en-GB"/>
              </w:rPr>
              <w:t xml:space="preserve"> art. 81 </w:t>
            </w:r>
            <w:proofErr w:type="spellStart"/>
            <w:r w:rsidRPr="00D31F43">
              <w:rPr>
                <w:rFonts w:ascii="Times New Roman" w:eastAsia="Times New Roman" w:hAnsi="Times New Roman" w:cs="Times New Roman"/>
                <w:lang w:val="en-GB"/>
              </w:rPr>
              <w:t>alin</w:t>
            </w:r>
            <w:proofErr w:type="spellEnd"/>
            <w:r w:rsidRPr="00D31F43">
              <w:rPr>
                <w:rFonts w:ascii="Times New Roman" w:eastAsia="Times New Roman" w:hAnsi="Times New Roman" w:cs="Times New Roman"/>
                <w:lang w:val="en-GB"/>
              </w:rPr>
              <w:t xml:space="preserve">. </w:t>
            </w:r>
            <w:r w:rsidRPr="00D31F43">
              <w:rPr>
                <w:rFonts w:ascii="Times New Roman" w:eastAsia="Times New Roman" w:hAnsi="Times New Roman" w:cs="Times New Roman"/>
                <w:lang w:val="it-IT"/>
              </w:rPr>
              <w:t>(4) din Codul muncii autoritatea publică în calitate de angajator elaborează și aprobă conținutul politicii interne în conformitate cu alin. (3) al aceluiași articol. Politica internă trebuie să includă cel puțin următoarele elemente: scopul și principiile generale, noțiunile și definițiile relevante, atribuțiile și responsabilitățile persoanelor desemnate sau ale comisiilor de investigare, procedura de raportare și investigare a cazurilor semnalate, măsurile de protecție și reparare aplicabile, precum și mecanismele de monitorizare, evaluare a eficienței și periodicitatea actualizării politicii. Totodată, politica internă a autorității urmează a fi elaborată și adaptată capacității, naturii activității și structurii organizatorice. Prin urmare, se atestă ca fiind nejustificată propunerea autorului proiectului de a aproba prin hotărârea Guvernului politica internă privind prevenirea și combaterea violenței și hărțuirii în muncă (anexa nr. 4 la Regulament). Recomandăm de a include soluțiile normative preconizate pentru politica internă în cadrul Regulamentului, evitând dublajul normativ. Adițional, remarcăm că, potrivit art. 49 alin. (4) din Legea nr. 100/2017 dacă un act normativ are mai multe anexe, acestea sunt însemnate cu numere ordinare, exprimate prin cifre arabe, în ordinea în care au fost enunțate în textul actului.</w:t>
            </w:r>
          </w:p>
          <w:p w14:paraId="2CB9A7EE"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lastRenderedPageBreak/>
              <w:t>Pct. 9 instituie obligația autorității publice de a asigura instruirea persoanelor desemnate și a membrilor comisiei de investigare, iar pct. 10 prevede că instruirea se realizează anterior exercitării atribuțiilor. Totodată, pct. 20 stabilește că pentru fiecare sesizare conducătorul autorității desemnează, prin ordin, o persoană responsabilă sau constituie o comisie de investigare, ceea ce presupune un mecanism flexibil, cu persoane desemnate de la caz la caz. În această configurație normativă, nu este clar dacă autoritatea trebuie să dispună anterior de un corp permanent de persoane deja instruite sau dacă instruirea se va realiza ulterior fiecărei desemnări concrete. Or, în ipoteza în care, pentru o anumită sesizare, este desemnată o singură persoană care nu a fost anterior instruită, organizarea unei instruiri prin contractarea unui formator exclusiv pentru această persoană nu ar reprezenta o soluție rațională din perspectiva proporționalității și a utilizării eficiente a resurselor publice. Pe de altă parte, dacă instruirea ar urma să fie realizată după emiterea ordinului de desemnare, dar anterior examinării efective a sesizării, această soluție ar conduce inevitabil la tergiversarea procesului de investigare. O astfel de întârziere este de natură să afecteze eficiența mecanismului de protecție, promptitudinea intervenției și încrederea persoanelor care formulează sesizări, mai ales într-un domeniu sensibil precum prevenirea și combaterea violenței și hărțuirii în muncă. În lipsa unor prevederi clare privind momentul, forma și caracterul obligatoriu al instruirii, precum și modalitatea practică de aplicare în cazul comisiilor constituite ad-hoc, cadrul normativ riscă să devină dificil de aplicat și susceptibil de interpretări divergente. Mai mult, această lacună normativă poate genera incertitudine cu privire la legalitatea procedurii de investigare, întrucât nu este stabilit în mod expres dacă instruirea constituie o condiție esențială pentru exercitarea atribuțiilor sau doar o obligație administrativă generală a autorității. În lipsa unei clarificări, se poate ajunge la situații în care comisiile să își desfășoare activitatea fără ca membrii lor să fi beneficiat de instruirea necesară anterior exercitării atribuțiilor, ceea ce poate afecta garanțiile de competență. Prin urmare, se va revizui mecanismul de instruire a persoanelor ce vor investiga cazurile de violență și hărțuire în muncă.</w:t>
            </w:r>
          </w:p>
          <w:p w14:paraId="696C1B84"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lastRenderedPageBreak/>
              <w:t>La sbp. 11.3 mecanismul de identificare și evaluare a riscurilor necesită concretizare.</w:t>
            </w:r>
          </w:p>
          <w:p w14:paraId="736890C9"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sbp. 11.7 prevede desemnarea unei persoane sau constituirea unei comisii responsabile pentru preluarea sesizărilor. În schimb, potrivit pct. 18 sesizările se transmit persoanei sau structurii desemnate să le preia, iar pct. 19 stabilește că persoana sau comisia desemnată pentru investigarea cazului are obligația de a înregistra sesizările, fără a se preciza dacă este vorba despre aceeași structură, sau despre o comisie constituită ulterior. În acest sens, este necesară corelarea prevederilor, clarificarea atribuțiilor, precum și stabilirea, în mod concret, dacă înregistrarea sesizării se realizează de către persoana/comisia prevăzută la sbp. 11.7, iar ulterior conducătorul autorității desemnează o comisie de investigare.</w:t>
            </w:r>
          </w:p>
          <w:p w14:paraId="0D875633"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La pct. 14, 18, 19 ș.a. se vor exclude cuvintele „al Regulamentului” ca fiind excedente.</w:t>
            </w:r>
          </w:p>
          <w:p w14:paraId="1C029AA7"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pct. 15, 28, 53 și alte situații similare, semnalăm lipsa preciziei în ceea ce privește răspunderea.</w:t>
            </w:r>
          </w:p>
          <w:p w14:paraId="2AF3AE05"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La pct. 26 formularea potrivit căreia „toate părțile implicate beneficiază de dreptul la apărare [...] </w:t>
            </w:r>
            <w:r w:rsidRPr="00D31F43">
              <w:rPr>
                <w:rFonts w:ascii="Times New Roman" w:eastAsia="Times New Roman" w:hAnsi="Times New Roman" w:cs="Times New Roman"/>
                <w:lang w:val="pt-BR"/>
              </w:rPr>
              <w:t xml:space="preserve">și de a beneficia de asistență juridică, după caz” este imprecisă și poate genera interpretări contradictorii. Textul nu clarifică în mod expres cine sunt titularii efectivi ai dreptului la asistență juridică, utilizând o formulare generală „toate părțile implicate” fără a delimita dacă acest drept aparține exclusiv victimei sau și persoanei vizate de plângere ori altor participanți la procedură. În același timp, Codul muncii la art. 9 alin. (12) lit. c) prevede dreptul salariaților „de a solicita și de a beneficia, în condițiile stabilite de politicile interne, de măsuri adecvate de protecție și sprijin, cum ar fi consilierea psihologică, juridică sau de altă natură, în cazul în care sunt victime ale unor acte de violență sau hărțuire în muncă”. Extinderea implicită a acestui drept asupra tuturor părților, fără o bază legală expresă, poate crea un dezechilibru normativ. De asemenea, dispoziția nu stabilește cine urmează să suporte cheltuielile aferente asistenței juridice. În consecință, formularea actuală necesită clarificare expresă atât sub aspectul </w:t>
            </w:r>
            <w:r w:rsidRPr="00D31F43">
              <w:rPr>
                <w:rFonts w:ascii="Times New Roman" w:eastAsia="Times New Roman" w:hAnsi="Times New Roman" w:cs="Times New Roman"/>
                <w:lang w:val="pt-BR"/>
              </w:rPr>
              <w:lastRenderedPageBreak/>
              <w:t>titularilor dreptului la asistență juridică, cât și al modului de acoperire a cheltuielilor aferente, în conformitate cu cadrul normativ primar.</w:t>
            </w:r>
          </w:p>
          <w:p w14:paraId="6167B5E1" w14:textId="77777777" w:rsidR="00477212" w:rsidRPr="00D31F43" w:rsidRDefault="00000000">
            <w:pPr>
              <w:numPr>
                <w:ilvl w:val="0"/>
                <w:numId w:val="6"/>
              </w:numPr>
              <w:shd w:val="clear" w:color="auto" w:fill="FFFFFF"/>
              <w:spacing w:line="240" w:lineRule="auto"/>
              <w:ind w:left="283"/>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La pct. 34 și 35 se va specifica prin ce act administrativ vor fi dispuse măsurile necesare. Reiterăm observația pentru toate situațiile similare din proiect. Se propune completarea Regulamentului cu o normă expresă privind termenul de examinare a sesizării, în concordanță cu art. 82 alin. (2) lit. f) din Codul muncii, care prevede că „soluționarea sesizării într-un termen rezonabil, care nu va depăși 30 de zile de la data înregistrării acesteia, cu posibilitatea prelungirii o singură dată, în mod justificat, pentru un termen de cel mult 15 zile.”.</w:t>
            </w:r>
          </w:p>
          <w:p w14:paraId="62B95E30"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Sbp. 34.1 stabilește că, în funcție de concluziile procedurii de investigare consemnate în raport, conducătorul autorității dispune măsurile necesare, inclusiv inițierea procedurii disciplinare. Formularea „în vederea aplicării sancțiunilor corespunzătoare persoanei care a săvârșit fapta” poate crea impresia că procedura disciplinară reprezintă o continuare directă a investigației, deși procedura disciplinară este una distinctă, cu propriile constatări și concluzii. </w:t>
            </w:r>
            <w:r>
              <w:rPr>
                <w:rFonts w:ascii="Times New Roman" w:eastAsia="Times New Roman" w:hAnsi="Times New Roman" w:cs="Times New Roman"/>
              </w:rPr>
              <w:t>În această ordine de idei, prevederea dată lasă loc de interpretări și considerăm necesară excluderea acesteia.</w:t>
            </w:r>
          </w:p>
          <w:p w14:paraId="7C5F5563"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La pct. 40, pentru precizie normativă, recomandăm evitarea expresiei „fără a se limita la”, iar la sbp. 40.3 propunem reformularea sintagmei „alocarea temporară a unor sarcini”. Prevederile sbp. 40.2 fac referire la „structura desemnată pentru gestionarea interacțiunilor”, corespunzător nu este clar care este structura vizată, dacă este o nouă structură desemnată, iar acest fapt impune precizări de rigoare. La sbp. 40.4 formularea „la cererea persoanei vizate și cu acordul scris al acesteia” necesită clarificare, deoarece atât concediul anual de odihnă, cât și concediul neplătit se acordă în baza cererii salariatului (a se vedea art. 115 și art. 120 din Codul muncii).</w:t>
            </w:r>
          </w:p>
          <w:p w14:paraId="705BC421"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 xml:space="preserve">Referitor la dispozițiile pct. 49 din proiect, privind obligațiile ,,responsabilului desemnat sau al structurii interne competente” și atribuțiile „structurii/persoanei desemnate”, prevăzute la pct. 24 din anexa nr. 4 a proiectului, se constată necesitatea clarificării dacă acestea reprezintă aceeași entitate sau dacă se referă la entități distincte. </w:t>
            </w:r>
            <w:r>
              <w:rPr>
                <w:rFonts w:ascii="Times New Roman" w:eastAsia="Times New Roman" w:hAnsi="Times New Roman" w:cs="Times New Roman"/>
              </w:rPr>
              <w:lastRenderedPageBreak/>
              <w:t>Astfel, se recomandă precizarea aspectului dat, în vederea asigurării unei aplicări unitare a prevederilor proiectului.</w:t>
            </w:r>
          </w:p>
          <w:p w14:paraId="0B8007EC"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La pct. 54 și 57 soluțiile normative propuse de autor necesită a fi reformulate prin prisma actelor normative conexe.</w:t>
            </w:r>
          </w:p>
          <w:p w14:paraId="49BCABCC"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La pct. 58 se propune precizarea expresă a autorităților competente, prin substituirea sintagmei cu textul „Inspectoratul de Stat al Muncii, Consiliul pentru egalitate sau orice altă autoritate competentă”, în conformitate cu art. 82 alin. (8) din Codul muncii.</w:t>
            </w:r>
          </w:p>
          <w:p w14:paraId="66177A63"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În anexa nr. 1, la pct. 5, sintagma „dacă este diferită” se propune a se substitui cu cuvântul „reprezentant”.</w:t>
            </w:r>
          </w:p>
          <w:p w14:paraId="2DBF1A88"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La anexa nr. 2:</w:t>
            </w:r>
          </w:p>
          <w:p w14:paraId="1769A2D5" w14:textId="77777777" w:rsidR="00477212" w:rsidRPr="00D31F43" w:rsidRDefault="00000000">
            <w:pPr>
              <w:shd w:val="clear" w:color="auto" w:fill="FFFFFF"/>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se recomandă coloana liberă de întitulat „Funcția persoanei reclamate”;</w:t>
            </w:r>
          </w:p>
          <w:p w14:paraId="4A988D89" w14:textId="77777777" w:rsidR="00477212" w:rsidRPr="00D31F43" w:rsidRDefault="00000000">
            <w:pPr>
              <w:shd w:val="clear" w:color="auto" w:fill="FFFFFF"/>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se propune următoarea redacție a denumirii coloanei privind calitatea persoanei vizate, astfel încât să cuprindă toate categoriile de persoane care cad sub incidența Regulamentului: „calitatea persoanei vizate (salariat sau colaborator)”.</w:t>
            </w:r>
          </w:p>
          <w:p w14:paraId="597A9789"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Pr>
                <w:rFonts w:ascii="Times New Roman" w:eastAsia="Times New Roman" w:hAnsi="Times New Roman" w:cs="Times New Roman"/>
              </w:rPr>
              <w:t>La anexa nr. 3:</w:t>
            </w:r>
          </w:p>
          <w:p w14:paraId="4F1449A5"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 la pct. I sintagma „Nume, prenume” se va completa cu cuvintele „și funcția”, iar cuvintele „Funcția fiecăruia” se vor exclude;</w:t>
            </w:r>
          </w:p>
          <w:p w14:paraId="585A27D7" w14:textId="77777777" w:rsidR="00477212" w:rsidRPr="00D31F43" w:rsidRDefault="00000000">
            <w:pP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la pct. VII, după cuvântul „Regulamentului” se propune completarea cu cuvintele „și Politicii interne”;</w:t>
            </w:r>
          </w:p>
          <w:p w14:paraId="15B74856" w14:textId="77777777" w:rsidR="00477212" w:rsidRPr="00D31F43" w:rsidRDefault="00000000">
            <w:pP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la pct. VIII, se impune completarea Regulamentului cu norme privind desemnarea președintelui Comisiei, întrucât raportul este semnat de acesta, iar procedura de desemnare nu este reglementată.</w:t>
            </w:r>
          </w:p>
          <w:p w14:paraId="335ECDEE" w14:textId="77777777" w:rsidR="00477212" w:rsidRDefault="00000000">
            <w:pPr>
              <w:numPr>
                <w:ilvl w:val="0"/>
                <w:numId w:val="6"/>
              </w:numPr>
              <w:shd w:val="clear" w:color="auto" w:fill="FFFFFF"/>
              <w:spacing w:line="240" w:lineRule="auto"/>
              <w:ind w:left="283"/>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La anexa nr. 4:Reiterăm obiecțiile expuse mai sus privind necesitatea includerii normelor privind politica internă în conținutul Regulamentului. Totodată, semnalăm despre necesitatea reformulării conceptuale și redacționale a proiectului Politicii interne privind prevenirea și combaterea violenței și hărțuirii în muncă, luând în considerare prevederile art. 8 1 din Codul muncii și cele incluse în proiectul Regulamentului. Cu referire la capitolul VIII „Dispoziții finale” semnalăm că, în conformitate cu prevederile art. 47 alin. (1) și (2) din Legea nr. 100/2017, „(1) Dispoziţiile finale cuprind momentul intrării în vigoare şi măsurile necesare punerii în aplicare a actului normativ. (2) În dispoziţiile finale se includ reglementările privind </w:t>
            </w:r>
            <w:r w:rsidRPr="00D31F43">
              <w:rPr>
                <w:rFonts w:ascii="Times New Roman" w:eastAsia="Times New Roman" w:hAnsi="Times New Roman" w:cs="Times New Roman"/>
                <w:lang w:val="it-IT"/>
              </w:rPr>
              <w:lastRenderedPageBreak/>
              <w:t xml:space="preserve">obligaţia autorităţilor responsabile de a executa actul normativ, de a întreprinde măsurile şi de a realiza procedurile necesare executării. </w:t>
            </w:r>
            <w:r w:rsidRPr="00D31F43">
              <w:rPr>
                <w:rFonts w:ascii="Times New Roman" w:eastAsia="Times New Roman" w:hAnsi="Times New Roman" w:cs="Times New Roman"/>
                <w:lang w:val="pt-BR"/>
              </w:rPr>
              <w:t xml:space="preserve">În cazul în care pentru punerea în aplicare a actului normativ este necesară adoptarea sau aprobarea unor norme de aplicare (metodologii, regulamente etc.) ori constituirea unor organe sau instituţii, proiectele actelor normative respective se prezintă spre adoptare, aprobare sau emitere nu mai tîrziu de intrarea în vigoare a actului normativ de bază, dacă în actul normativ de bază nu este prevăzut altfel.”. </w:t>
            </w:r>
            <w:r>
              <w:rPr>
                <w:rFonts w:ascii="Times New Roman" w:eastAsia="Times New Roman" w:hAnsi="Times New Roman" w:cs="Times New Roman"/>
              </w:rPr>
              <w:t>În context, se va revizui denumirea capitolului dat.</w:t>
            </w:r>
          </w:p>
          <w:p w14:paraId="570EF043" w14:textId="77777777" w:rsidR="00477212" w:rsidRDefault="00477212">
            <w:pPr>
              <w:shd w:val="clear" w:color="auto" w:fill="FFFFFF"/>
              <w:spacing w:line="240" w:lineRule="auto"/>
              <w:jc w:val="both"/>
              <w:rPr>
                <w:rFonts w:ascii="Times New Roman" w:eastAsia="Times New Roman" w:hAnsi="Times New Roman" w:cs="Times New Roman"/>
              </w:rPr>
            </w:pPr>
          </w:p>
          <w:p w14:paraId="73241B25" w14:textId="77777777" w:rsidR="00477212" w:rsidRDefault="00477212">
            <w:pPr>
              <w:shd w:val="clear" w:color="auto" w:fill="FFFFFF"/>
              <w:spacing w:line="240" w:lineRule="auto"/>
              <w:ind w:firstLine="560"/>
              <w:jc w:val="both"/>
              <w:rPr>
                <w:rFonts w:ascii="Times New Roman" w:eastAsia="Times New Roman" w:hAnsi="Times New Roman" w:cs="Times New Roman"/>
              </w:rPr>
            </w:pPr>
          </w:p>
          <w:p w14:paraId="4B324E5B" w14:textId="77777777" w:rsidR="00477212" w:rsidRDefault="00477212">
            <w:pPr>
              <w:shd w:val="clear" w:color="auto" w:fill="FFFFFF"/>
              <w:spacing w:line="240" w:lineRule="auto"/>
              <w:ind w:firstLine="560"/>
              <w:jc w:val="both"/>
              <w:rPr>
                <w:rFonts w:ascii="Times New Roman" w:eastAsia="Times New Roman" w:hAnsi="Times New Roman" w:cs="Times New Roman"/>
              </w:rPr>
            </w:pPr>
          </w:p>
        </w:tc>
        <w:tc>
          <w:tcPr>
            <w:tcW w:w="5925" w:type="dxa"/>
          </w:tcPr>
          <w:p w14:paraId="63F4D2E5"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Se acceptă  parțial</w:t>
            </w:r>
          </w:p>
          <w:p w14:paraId="424B933A"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1.Denumirea Regulamentului este deja formulată într-o manieră clară și indică expres obiectul de reglementare, și anume aplicarea prevederilor referitoare la prevenirea și combaterea violenței și hărțuirii în muncă în autoritățile publice. În același </w:t>
            </w:r>
            <w:r>
              <w:rPr>
                <w:rFonts w:ascii="Times New Roman" w:eastAsia="Times New Roman" w:hAnsi="Times New Roman" w:cs="Times New Roman"/>
              </w:rPr>
              <w:lastRenderedPageBreak/>
              <w:t>timp, temeiul juridic al actului normativ este indicat în preambulul hotărârii, care face trimitere la cadrul legal relevant. Prin urmare, din denumirea Regulamentului și din temeiul legal invocat rezultă în mod suficient de clar că acesta reglementează modul de aplicare a prevederilor legislației muncii privind prevenirea și combaterea violenței și hărțuirii în muncă în autoritățile publice, fără a fi necesară reformularea propusă.</w:t>
            </w:r>
          </w:p>
          <w:p w14:paraId="685BF175"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rPr>
            </w:pPr>
          </w:p>
          <w:p w14:paraId="2A4B0A18"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2. Se acceptă propunerea privind uniformizarea terminologiei utilizate în cuprinsul Regulamentului și al anexelor. În acest sens, se va asigura utilizarea consecventă a expresiei „violență și/sau hărțuire în muncă”, la forma gramaticală corespunzătoare, pe întreg parcursul textului. De asemenea, se va realiza uniformizarea denumirii comisiei, prin utilizarea unei singure sintagme în întregul act normativ, precum și corelarea termenului „structură” cu terminologia instituțională aplicabilă, prin substituirea, după caz, cu sintagma „subdiviziune internă”, în conformitate cu prevederile anexei nr. 12 la Hotărârea Guvernului nr. 201/2009.</w:t>
            </w:r>
          </w:p>
          <w:p w14:paraId="1BCF067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pt-BR"/>
              </w:rPr>
            </w:pPr>
            <w:r>
              <w:rPr>
                <w:rFonts w:ascii="Times New Roman" w:eastAsia="Times New Roman" w:hAnsi="Times New Roman" w:cs="Times New Roman"/>
              </w:rPr>
              <w:t xml:space="preserve">3. Punctul 3 stabilește sfera de aplicare a Regulamentului într-o formulare generală, utilizând o enumerare care nu este exhaustivă („inclusiv, dar fără a se limita la”), pentru a acoperi toate persoanele implicate în raporturi de muncă sau în raporturi legate nemijlocit de acestea în cadrul autorității publice.Totodată, sintagma „funcționarii publici, indiferent de categoria, treapta sau funcția publică deținută” are rolul de a evidenția aplicabilitatea Regulamentului față de toți funcționarii publici, indiferent de poziția ocupată în cadrul autorității publice, de nivelul funcției sau de categoria acesteia. Utilizarea acestei formulări urmărește să asigure aplicarea uniformă a prevederilor Regulamentului asupra întregului corp al funcționarilor publici, fără a institui diferențieri în funcție de nivelul ierarhic sau de clasificările prevăzute de legislația specială. </w:t>
            </w:r>
            <w:r w:rsidRPr="00D31F43">
              <w:rPr>
                <w:rFonts w:ascii="Times New Roman" w:eastAsia="Times New Roman" w:hAnsi="Times New Roman" w:cs="Times New Roman"/>
                <w:lang w:val="pt-BR"/>
              </w:rPr>
              <w:t>Prin urmare, reproducerea detaliată a categoriilor sau a treptelor funcției publice nu este necesară.</w:t>
            </w:r>
          </w:p>
          <w:p w14:paraId="70381BE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lastRenderedPageBreak/>
              <w:t>4. Termenii „măsuri”, „proceduri” și „mecanisme” reflectă în mod adecvat instrumentele prin care autoritățile publice previn și combat violența și/sau hărțuirea în muncă. Conținutul acestora este detaliat în cuprinsul Regulamentului și al anexelor, astfel încât formularea nu afectează claritatea și previzibilitatea normei.</w:t>
            </w:r>
          </w:p>
          <w:p w14:paraId="339480B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5. Nu se susține revizuirea pct. 2 în sensul propus. Regulamentul este elaborat în temeiul art. 81 din Codul muncii nr. 154/2003, iar prevederile alin. (6) și (7) ale acestui articol sunt direct aplicabile. În același timp, specificul sectorului public și rolul autorităților publice în asigurarea respectării drepturilor și libertăților persoanelor justifică instituirea unor standarde uniforme de prevenire și combatere a violenței și/sau hărțuirii în muncă.</w:t>
            </w:r>
          </w:p>
          <w:p w14:paraId="631A745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Din această perspectivă, se consideră necesar ca toate autoritățile publice, inclusiv cele cu un număr redus de angajați, să dispună de o politică internă și de un mecanism clar de raportare și investigare a sesizărilor, pentru a asigura protecția efectivă a persoanelor vizate și funcționarea unui cadru instituțional previzibil. Totodată, Regulamentul permite aplicarea proporțională a procedurii, întrucât prevede posibilitatea desemnării unei persoane responsabile în locul constituirii unei comisii, în funcție de structura organizatorică a autorității și de complexitatea cazului. </w:t>
            </w:r>
          </w:p>
          <w:p w14:paraId="08EE56F2"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6. Se acceptă propunerea în vederea asigurării unității terminologice cu Legea nr. 199/2010 cu privire la statutul persoanelor cu funcții de demnitate publică. În acest sens, textul „demnitarii publici” se substituie cu textul „persoanele cu funcții de demnitate publică”. Noua redacție a pct. 3.1:</w:t>
            </w:r>
          </w:p>
          <w:p w14:paraId="3A8A48D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pt-BR"/>
              </w:rPr>
            </w:pPr>
            <w:r w:rsidRPr="00D31F43">
              <w:rPr>
                <w:rFonts w:ascii="Times New Roman" w:eastAsia="Times New Roman" w:hAnsi="Times New Roman" w:cs="Times New Roman"/>
                <w:i/>
                <w:iCs/>
                <w:lang w:val="pt-BR"/>
              </w:rPr>
              <w:t>„3.1. persoanele cu funcții de demnitate publică, indiferent de funcția de demnitate publică exercitată sau de nivelul autorității în care își desfășoară activitatea;”</w:t>
            </w:r>
          </w:p>
          <w:p w14:paraId="661A6D60"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lastRenderedPageBreak/>
              <w:t>În cazul subpct. 3.4, formularea utilizată are rolul de a acoperi diverse forme juridice de mobilitate sau cooperare instituțională, care pot varia în funcție de cadrul normativ aplicabil. Subpct. 3.8 urmărește prevenirea interpretărilor restrictive ale sferei de aplicare. Stabilirea unei liste exhaustive ar putea conduce la excluderea unor situații practice, contrar scopului de protecție al Regulamentului.</w:t>
            </w:r>
          </w:p>
          <w:p w14:paraId="1EE2D7F7"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7. Se acceptă. În vederea asigurării concordanței terminologice cu prevederile Codului muncii, textul de la pct. 4 va fi ajustat prin preluarea formulării utilizate în legislația primară.</w:t>
            </w:r>
          </w:p>
          <w:p w14:paraId="7F83DB4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lang w:val="it-IT"/>
              </w:rPr>
              <w:t xml:space="preserve">În consecință, </w:t>
            </w:r>
            <w:r w:rsidRPr="00D31F43">
              <w:rPr>
                <w:rFonts w:ascii="Times New Roman" w:eastAsia="Times New Roman" w:hAnsi="Times New Roman" w:cs="Times New Roman"/>
                <w:b/>
                <w:bCs/>
                <w:lang w:val="it-IT"/>
              </w:rPr>
              <w:t>pct. 4 va avea următorul cuprins:</w:t>
            </w:r>
          </w:p>
          <w:p w14:paraId="007FDD48"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b/>
                <w:bCs/>
                <w:lang w:val="it-IT"/>
              </w:rPr>
              <w:t>“4.</w:t>
            </w:r>
            <w:r w:rsidRPr="00D31F43">
              <w:rPr>
                <w:rFonts w:ascii="Times New Roman" w:eastAsia="Times New Roman" w:hAnsi="Times New Roman" w:cs="Times New Roman"/>
                <w:lang w:val="it-IT"/>
              </w:rPr>
              <w:t xml:space="preserve"> </w:t>
            </w:r>
            <w:r w:rsidRPr="00D31F43">
              <w:rPr>
                <w:rFonts w:ascii="Times New Roman" w:eastAsia="Times New Roman" w:hAnsi="Times New Roman" w:cs="Times New Roman"/>
                <w:i/>
                <w:iCs/>
                <w:lang w:val="it-IT"/>
              </w:rPr>
              <w:t>Dispozițiile Regulamentului se aplică acțiunilor comise în timpul exercitării atribuțiilor de muncă, în legătură cu munca sau care rezultă din muncă, inclusiv în următoarele situații și spații aferente activității profesionale:”</w:t>
            </w:r>
          </w:p>
          <w:p w14:paraId="4458C65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lang w:val="it-IT"/>
              </w:rPr>
              <w:t xml:space="preserve">8. Se acceptă. În vederea asigurării concordanței cu prevederile Codului muncii, sintagma „o persoană terță” din definiția noțiunii de „sesizare” va fi exclusă. Definiția va fi ajustată astfel încât să reflecte faptul că sesizarea poate fi depusă de persoana vizată sau prin intermediul </w:t>
            </w:r>
            <w:r w:rsidRPr="00D31F43">
              <w:rPr>
                <w:rFonts w:ascii="Times New Roman" w:eastAsia="Times New Roman" w:hAnsi="Times New Roman" w:cs="Times New Roman"/>
                <w:b/>
                <w:bCs/>
                <w:lang w:val="it-IT"/>
              </w:rPr>
              <w:t>reprezentantului desemnat în condițiile legii</w:t>
            </w:r>
            <w:r w:rsidRPr="00D31F43">
              <w:rPr>
                <w:rFonts w:ascii="Times New Roman" w:eastAsia="Times New Roman" w:hAnsi="Times New Roman" w:cs="Times New Roman"/>
                <w:lang w:val="it-IT"/>
              </w:rPr>
              <w:t xml:space="preserve">. În consecință, </w:t>
            </w:r>
            <w:r w:rsidRPr="00D31F43">
              <w:rPr>
                <w:rFonts w:ascii="Times New Roman" w:eastAsia="Times New Roman" w:hAnsi="Times New Roman" w:cs="Times New Roman"/>
                <w:b/>
                <w:bCs/>
                <w:lang w:val="it-IT"/>
              </w:rPr>
              <w:t>subpunctul 5.5 va avea următorul cuprins:</w:t>
            </w:r>
          </w:p>
          <w:p w14:paraId="1CBD870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b/>
                <w:bCs/>
                <w:lang w:val="it-IT"/>
              </w:rPr>
              <w:t>“</w:t>
            </w:r>
            <w:r w:rsidRPr="00D31F43">
              <w:rPr>
                <w:rFonts w:ascii="Times New Roman" w:eastAsia="Times New Roman" w:hAnsi="Times New Roman" w:cs="Times New Roman"/>
                <w:b/>
                <w:bCs/>
                <w:i/>
                <w:iCs/>
                <w:lang w:val="it-IT"/>
              </w:rPr>
              <w:t>5.5. sesizare</w:t>
            </w:r>
            <w:r w:rsidRPr="00D31F43">
              <w:rPr>
                <w:rFonts w:ascii="Times New Roman" w:eastAsia="Times New Roman" w:hAnsi="Times New Roman" w:cs="Times New Roman"/>
                <w:i/>
                <w:iCs/>
                <w:lang w:val="it-IT"/>
              </w:rPr>
              <w:t xml:space="preserve"> – comunicare scrisă sau electronică prin care persoana vizată sau reprezentantul desemnat în condițiile legii aduce la cunoștința angajatorului existența unor situații, acțiuni, conduite sau împrejurări susceptibile de a fi considerate violență sau hărțuire în muncă și care impun examinare în cadrul procedurii interne prevăzute de Regulament.</w:t>
            </w:r>
            <w:r w:rsidRPr="00D31F43">
              <w:rPr>
                <w:rFonts w:ascii="Times New Roman" w:eastAsia="Times New Roman" w:hAnsi="Times New Roman" w:cs="Times New Roman"/>
                <w:lang w:val="it-IT"/>
              </w:rPr>
              <w:t>”</w:t>
            </w:r>
          </w:p>
          <w:p w14:paraId="2DF27FF9"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p>
          <w:p w14:paraId="4B24382A"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lang w:val="it-IT"/>
              </w:rPr>
              <w:lastRenderedPageBreak/>
              <w:t xml:space="preserve">9. În vederea asigurării concordanței cu prevederile Codului muncii, punctul 6 va fi ajustat prin corelarea formulării cu prevederile art. 81 din Codul muncii.În consecință, </w:t>
            </w:r>
            <w:r w:rsidRPr="00D31F43">
              <w:rPr>
                <w:rFonts w:ascii="Times New Roman" w:eastAsia="Times New Roman" w:hAnsi="Times New Roman" w:cs="Times New Roman"/>
                <w:b/>
                <w:bCs/>
                <w:lang w:val="it-IT"/>
              </w:rPr>
              <w:t>pct. 6 va avea următorul cuprins:</w:t>
            </w:r>
          </w:p>
          <w:p w14:paraId="478B92C0"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b/>
                <w:bCs/>
                <w:i/>
                <w:iCs/>
                <w:lang w:val="it-IT"/>
              </w:rPr>
              <w:t>“6.</w:t>
            </w:r>
            <w:r w:rsidRPr="00D31F43">
              <w:rPr>
                <w:rFonts w:ascii="Times New Roman" w:eastAsia="Times New Roman" w:hAnsi="Times New Roman" w:cs="Times New Roman"/>
                <w:i/>
                <w:iCs/>
                <w:lang w:val="it-IT"/>
              </w:rPr>
              <w:t xml:space="preserve"> Autoritățile publice, în calitate de angajatori, au obligația de a asigura un mediu de muncă sigur, sănătos și lipsit de violență și/sau hărțuire și de a preveni și combate orice forme de violență și/sau hărțuire care apar în cadrul raporturilor de muncă, precum și în cadrul altor raporturi legate nemijlocit de acestea, indiferent de forma de manifestare, frecvență, intensitate sau statutul persoanei care le exercită.”</w:t>
            </w:r>
          </w:p>
          <w:p w14:paraId="5089B461"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10. Nu se susține excluderea Anexei nr. 4 la Regulament. Modelul de politică internă privind prevenirea și combaterea violenței și hărțuirii în muncă este inclus cu caracter orientativ, pentru a oferi autorităților publice un cadru standardizat care să faciliteze implementarea prevederilor art. 81 din Codul muncii nr. 154/2003. Menținerea anexei este necesară pentru a asigura uniformitatea abordării la nivelul sectorului public, fiecare autoritate publică având, totodată, posibilitatea de a ajusta și adapta politica internă în funcție de specificul activității, capacitatea instituțională și structura organizatorică. În același timp, existența unui model-tip contribuie la reducerea costurilor administrative și a resurselor necesare elaborării documentului, oferind autorităților un instrument practic care poate fi adaptat, fără a fi necesară elaborarea integrală a politicii de la zero.</w:t>
            </w:r>
          </w:p>
          <w:p w14:paraId="4DD9C4E7"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11. Prevederile proiectului nu creează incertitudini privind aplicarea mecanismului de instruire și nu necesită revizuire. </w:t>
            </w:r>
            <w:r w:rsidRPr="00D31F43">
              <w:rPr>
                <w:rFonts w:ascii="Times New Roman" w:eastAsia="Times New Roman" w:hAnsi="Times New Roman" w:cs="Times New Roman"/>
                <w:lang w:val="pt-BR"/>
              </w:rPr>
              <w:t xml:space="preserve">Regulamentul stabilește obligația autorității publice de a asigura instruirea persoanelor desemnate și a membrilor comisiilor de investigare </w:t>
            </w:r>
            <w:r w:rsidRPr="00D31F43">
              <w:rPr>
                <w:rFonts w:ascii="Times New Roman" w:eastAsia="Times New Roman" w:hAnsi="Times New Roman" w:cs="Times New Roman"/>
                <w:b/>
                <w:bCs/>
                <w:lang w:val="pt-BR"/>
              </w:rPr>
              <w:t>anterior exercitării atribuțiilor</w:t>
            </w:r>
            <w:r w:rsidRPr="00D31F43">
              <w:rPr>
                <w:rFonts w:ascii="Times New Roman" w:eastAsia="Times New Roman" w:hAnsi="Times New Roman" w:cs="Times New Roman"/>
                <w:lang w:val="pt-BR"/>
              </w:rPr>
              <w:t xml:space="preserve">, fără a impune constituirea unui corp permanent de persoane desemnate. Această </w:t>
            </w:r>
            <w:r w:rsidRPr="00D31F43">
              <w:rPr>
                <w:rFonts w:ascii="Times New Roman" w:eastAsia="Times New Roman" w:hAnsi="Times New Roman" w:cs="Times New Roman"/>
                <w:lang w:val="pt-BR"/>
              </w:rPr>
              <w:lastRenderedPageBreak/>
              <w:t xml:space="preserve">abordare permite autorităților publice să organizeze instruirea </w:t>
            </w:r>
            <w:r w:rsidRPr="00D31F43">
              <w:rPr>
                <w:rFonts w:ascii="Times New Roman" w:eastAsia="Times New Roman" w:hAnsi="Times New Roman" w:cs="Times New Roman"/>
                <w:b/>
                <w:bCs/>
                <w:lang w:val="pt-BR"/>
              </w:rPr>
              <w:t>în mod flexibil și adaptat capacității instituționale</w:t>
            </w:r>
            <w:r w:rsidRPr="00D31F43">
              <w:rPr>
                <w:rFonts w:ascii="Times New Roman" w:eastAsia="Times New Roman" w:hAnsi="Times New Roman" w:cs="Times New Roman"/>
                <w:lang w:val="pt-BR"/>
              </w:rPr>
              <w:t>.</w:t>
            </w:r>
          </w:p>
          <w:p w14:paraId="3663BFB0"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În practică, instruirea poate fi realizată </w:t>
            </w:r>
            <w:r w:rsidRPr="00D31F43">
              <w:rPr>
                <w:rFonts w:ascii="Times New Roman" w:eastAsia="Times New Roman" w:hAnsi="Times New Roman" w:cs="Times New Roman"/>
                <w:b/>
                <w:bCs/>
                <w:lang w:val="pt-BR"/>
              </w:rPr>
              <w:t>anticipat și periodic</w:t>
            </w:r>
            <w:r w:rsidRPr="00D31F43">
              <w:rPr>
                <w:rFonts w:ascii="Times New Roman" w:eastAsia="Times New Roman" w:hAnsi="Times New Roman" w:cs="Times New Roman"/>
                <w:lang w:val="pt-BR"/>
              </w:rPr>
              <w:t xml:space="preserve">, iar autoritățile publice pot include în aceste activități </w:t>
            </w:r>
            <w:r w:rsidRPr="00D31F43">
              <w:rPr>
                <w:rFonts w:ascii="Times New Roman" w:eastAsia="Times New Roman" w:hAnsi="Times New Roman" w:cs="Times New Roman"/>
                <w:b/>
                <w:bCs/>
                <w:lang w:val="pt-BR"/>
              </w:rPr>
              <w:t>un număr cât mai mare de persoane din cadrul instituției</w:t>
            </w:r>
            <w:r w:rsidRPr="00D31F43">
              <w:rPr>
                <w:rFonts w:ascii="Times New Roman" w:eastAsia="Times New Roman" w:hAnsi="Times New Roman" w:cs="Times New Roman"/>
                <w:lang w:val="pt-BR"/>
              </w:rPr>
              <w:t>, astfel încât să existe permanent personal instruit care poate fi desemnat ulterior în cadrul comisiilor de investigare. Această soluție asigură atât disponibilitatea resurselor umane competente, cât și evitarea situațiilor în care instruirea ar trebui organizată punctual pentru fiecare caz în parte.</w:t>
            </w:r>
          </w:p>
          <w:p w14:paraId="2BBDA0C0"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Prin urmare, cadrul normativ propus oferă suficientă flexibilitate autorităților publice pentru organizarea instruirii într-o manieră eficientă, fără a genera întârzieri în examinarea sesizărilor sau utilizarea ineficientă a resurselor publice. În aceste condiții, nu se impune modificarea prevederilor proiectului.</w:t>
            </w:r>
          </w:p>
          <w:p w14:paraId="24CCA91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12. Detalierea mecanismului concret de identificare și evaluare a riscurilor nu este necesară la nivelul Regulamentului, întrucât evaluarea acestora se realizează, în practică, inclusiv în baza analizei sesizărilor și a situațiilor raportate într-o anumită perioadă, a monitorizării cazurilor examinate și a concluziilor rezultate din aplicarea procedurilor interne. Aceste elemente pot sta la baza actualizării politicii interne, a procedurilor și a măsurilor de prevenire, în funcție de riscurile identificate. </w:t>
            </w:r>
            <w:r w:rsidRPr="00D31F43">
              <w:rPr>
                <w:rFonts w:ascii="Times New Roman" w:eastAsia="Times New Roman" w:hAnsi="Times New Roman" w:cs="Times New Roman"/>
                <w:lang w:val="it-IT"/>
              </w:rPr>
              <w:t>Prin urmare, stabilirea instrumentelor și metodologiilor concrete de evaluare a riscurilor urmează a fi realizată la nivelul fiecărei autorități publice, prin politicile și procedurile interne adoptate în temeiul Regulamentului.</w:t>
            </w:r>
          </w:p>
          <w:p w14:paraId="5A807C53"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sz w:val="20"/>
                <w:szCs w:val="20"/>
                <w:lang w:val="it-IT"/>
              </w:rPr>
            </w:pPr>
            <w:r w:rsidRPr="00D31F43">
              <w:rPr>
                <w:rFonts w:ascii="Times New Roman" w:eastAsia="Times New Roman" w:hAnsi="Times New Roman" w:cs="Times New Roman"/>
                <w:lang w:val="it-IT"/>
              </w:rPr>
              <w:t xml:space="preserve">13. Se acceptă revizuirea pct. 19, în vederea clarificării responsabilității privind înregistrarea și evidența sesizărilor. </w:t>
            </w:r>
            <w:r w:rsidRPr="00D31F43">
              <w:rPr>
                <w:rFonts w:ascii="Times New Roman" w:eastAsia="Times New Roman" w:hAnsi="Times New Roman" w:cs="Times New Roman"/>
                <w:i/>
                <w:iCs/>
                <w:lang w:val="it-IT"/>
              </w:rPr>
              <w:t xml:space="preserve">„20. Persoana sau structura desemnată în cadrul autorității publice pentru primirea sesizărilor înregistrează sesizarea într-un </w:t>
            </w:r>
            <w:r w:rsidRPr="00D31F43">
              <w:rPr>
                <w:rFonts w:ascii="Times New Roman" w:eastAsia="Times New Roman" w:hAnsi="Times New Roman" w:cs="Times New Roman"/>
                <w:i/>
                <w:iCs/>
                <w:lang w:val="it-IT"/>
              </w:rPr>
              <w:lastRenderedPageBreak/>
              <w:t>registru special în aceeași zi</w:t>
            </w:r>
            <w:r w:rsidRPr="00D31F43">
              <w:rPr>
                <w:rFonts w:ascii="Times New Roman" w:eastAsia="Times New Roman" w:hAnsi="Times New Roman" w:cs="Times New Roman"/>
                <w:b/>
                <w:bCs/>
                <w:i/>
                <w:iCs/>
                <w:lang w:val="it-IT"/>
              </w:rPr>
              <w:t xml:space="preserve"> </w:t>
            </w:r>
            <w:r w:rsidRPr="00D31F43">
              <w:rPr>
                <w:rFonts w:ascii="Times New Roman" w:eastAsia="Times New Roman" w:hAnsi="Times New Roman" w:cs="Times New Roman"/>
                <w:i/>
                <w:iCs/>
                <w:lang w:val="it-IT"/>
              </w:rPr>
              <w:t>sau cel târziu în prima zi lucrătoare următoare primirii acesteia, asigură evidența și păstrarea sesizărilor în conformitate cu procedurile interne ale autorității publice (conform Anexei nr. 3 la Regulament) și verifică existența informațiilor esențiale necesare demarării procedurii</w:t>
            </w:r>
            <w:r w:rsidRPr="00D31F43">
              <w:rPr>
                <w:rFonts w:ascii="Times New Roman" w:eastAsia="Times New Roman" w:hAnsi="Times New Roman" w:cs="Times New Roman"/>
                <w:b/>
                <w:bCs/>
                <w:i/>
                <w:iCs/>
                <w:lang w:val="it-IT"/>
              </w:rPr>
              <w:t>.</w:t>
            </w:r>
            <w:r w:rsidRPr="00D31F43">
              <w:rPr>
                <w:rFonts w:ascii="Times New Roman" w:eastAsia="Times New Roman" w:hAnsi="Times New Roman" w:cs="Times New Roman"/>
                <w:i/>
                <w:iCs/>
                <w:lang w:val="it-IT"/>
              </w:rPr>
              <w:t xml:space="preserve"> În cazul în care sesizarea este incompletă, solicită persoanei vizate clarificări sau completări în termen de cel mult 3 zile lucrătoare de la data înregistrării</w:t>
            </w:r>
            <w:r w:rsidRPr="00D31F43">
              <w:rPr>
                <w:rFonts w:ascii="Georgia" w:eastAsia="Georgia" w:hAnsi="Georgia" w:cs="Georgia"/>
                <w:b/>
                <w:bCs/>
                <w:i/>
                <w:iCs/>
                <w:sz w:val="24"/>
                <w:szCs w:val="24"/>
                <w:lang w:val="it-IT"/>
              </w:rPr>
              <w:t>.</w:t>
            </w:r>
            <w:r w:rsidRPr="00D31F43">
              <w:rPr>
                <w:rFonts w:ascii="Georgia" w:eastAsia="Georgia" w:hAnsi="Georgia" w:cs="Georgia"/>
                <w:b/>
                <w:bCs/>
                <w:i/>
                <w:iCs/>
                <w:lang w:val="it-IT"/>
              </w:rPr>
              <w:t>”</w:t>
            </w:r>
          </w:p>
          <w:p w14:paraId="0E2E5E3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i/>
                <w:iCs/>
                <w:lang w:val="pt-BR"/>
              </w:rPr>
              <w:t xml:space="preserve">14. Se acceptă propunerea de ajustare a redactării. </w:t>
            </w:r>
            <w:r w:rsidRPr="00D31F43">
              <w:rPr>
                <w:rFonts w:ascii="Times New Roman" w:eastAsia="Times New Roman" w:hAnsi="Times New Roman" w:cs="Times New Roman"/>
                <w:i/>
                <w:iCs/>
                <w:lang w:val="it-IT"/>
              </w:rPr>
              <w:t>În acest sens, la pct. 14, 18, 19 și în alte situații similare se vor exclude cuvintele „al Regulamentului”, ca fiind excedente din punct de vedere redacțional.</w:t>
            </w:r>
          </w:p>
          <w:p w14:paraId="23E1F4B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15. Formularea utilizată la pct. 15, 28, 53 și în alte prevederi similare este conformă tehnicii legislative, întrucât face trimitere generală la legislația în vigoare, care reglementează formele și condițiile răspunderii juridice aplicabile. </w:t>
            </w:r>
            <w:r w:rsidRPr="00D31F43">
              <w:rPr>
                <w:rFonts w:ascii="Times New Roman" w:eastAsia="Times New Roman" w:hAnsi="Times New Roman" w:cs="Times New Roman"/>
                <w:lang w:val="pt-BR"/>
              </w:rPr>
              <w:t>Introducerea unei enumerări exhaustive a tipurilor de răspundere în cadrul Regulamentului nu este necesară. Tipul de răspundere se stabilește în funcție de natura și gravitatea faptelor comise, de modul de manifestare a comportamentului și de consecințele produse. Astfel, în funcție de circumstanțele concrete ale fiecărui caz, faptele respective pot atrage, potrivit cadrului legal aplicabil, răspundere disciplinară, materială, civilă, contravențională sau penală. Stabilirea și aplicarea formei de răspundere revine autorităților competente, în conformitate cu actele normative incidente. Prin urmare, formularea generală utilizată în textul Regulamentului este suficientă și nu necesită completare.</w:t>
            </w:r>
          </w:p>
          <w:p w14:paraId="2E761747"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16. Formularea de la pct. 26 nu necesită modificare. </w:t>
            </w:r>
            <w:r w:rsidRPr="00D31F43">
              <w:rPr>
                <w:rFonts w:ascii="Times New Roman" w:eastAsia="Times New Roman" w:hAnsi="Times New Roman" w:cs="Times New Roman"/>
                <w:lang w:val="pt-BR"/>
              </w:rPr>
              <w:t xml:space="preserve">Regulamentul instituie o </w:t>
            </w:r>
            <w:r w:rsidRPr="00D31F43">
              <w:rPr>
                <w:rFonts w:ascii="Times New Roman" w:eastAsia="Times New Roman" w:hAnsi="Times New Roman" w:cs="Times New Roman"/>
                <w:b/>
                <w:bCs/>
                <w:lang w:val="pt-BR"/>
              </w:rPr>
              <w:t>procedură internă de investigare</w:t>
            </w:r>
            <w:r w:rsidRPr="00D31F43">
              <w:rPr>
                <w:rFonts w:ascii="Times New Roman" w:eastAsia="Times New Roman" w:hAnsi="Times New Roman" w:cs="Times New Roman"/>
                <w:lang w:val="pt-BR"/>
              </w:rPr>
              <w:t xml:space="preserve">, iar dreptul la apărare este deja garantat prin posibilitatea părților implicate de a formula explicații, de a prezenta probe și de a propune martori. </w:t>
            </w:r>
            <w:r w:rsidRPr="00D31F43">
              <w:rPr>
                <w:rFonts w:ascii="Times New Roman" w:eastAsia="Times New Roman" w:hAnsi="Times New Roman" w:cs="Times New Roman"/>
                <w:lang w:val="it-IT"/>
              </w:rPr>
              <w:t xml:space="preserve">Totodată, Regulamentul prevede în mod expres </w:t>
            </w:r>
            <w:r w:rsidRPr="00D31F43">
              <w:rPr>
                <w:rFonts w:ascii="Times New Roman" w:eastAsia="Times New Roman" w:hAnsi="Times New Roman" w:cs="Times New Roman"/>
                <w:lang w:val="it-IT"/>
              </w:rPr>
              <w:lastRenderedPageBreak/>
              <w:t xml:space="preserve">garanțiile procedurale necesare desfășurării unei proceduri echitabile. Astfel, dispozițiile referitoare la informarea părților cu privire la etapele procedurii și la drepturile procedurale de care beneficiază, precum și cele privind dreptul de a prezenta explicații și probe, asigură respectarea principiilor </w:t>
            </w:r>
            <w:r w:rsidRPr="00D31F43">
              <w:rPr>
                <w:rFonts w:ascii="Times New Roman" w:eastAsia="Times New Roman" w:hAnsi="Times New Roman" w:cs="Times New Roman"/>
                <w:b/>
                <w:bCs/>
                <w:lang w:val="it-IT"/>
              </w:rPr>
              <w:t>obiectivității, imparțialității și contradictorialității</w:t>
            </w:r>
            <w:r w:rsidRPr="00D31F43">
              <w:rPr>
                <w:rFonts w:ascii="Times New Roman" w:eastAsia="Times New Roman" w:hAnsi="Times New Roman" w:cs="Times New Roman"/>
                <w:lang w:val="it-IT"/>
              </w:rPr>
              <w:t xml:space="preserve"> în cadrul procedurii de investigare. În ceea ce privește </w:t>
            </w:r>
            <w:r w:rsidRPr="00D31F43">
              <w:rPr>
                <w:rFonts w:ascii="Times New Roman" w:eastAsia="Times New Roman" w:hAnsi="Times New Roman" w:cs="Times New Roman"/>
                <w:b/>
                <w:bCs/>
                <w:lang w:val="it-IT"/>
              </w:rPr>
              <w:t>asistența juridică</w:t>
            </w:r>
            <w:r w:rsidRPr="00D31F43">
              <w:rPr>
                <w:rFonts w:ascii="Times New Roman" w:eastAsia="Times New Roman" w:hAnsi="Times New Roman" w:cs="Times New Roman"/>
                <w:lang w:val="it-IT"/>
              </w:rPr>
              <w:t xml:space="preserve">, aceasta nu este reglementată ca o obligație a autorității publice în cadrul procedurii interne, ci reprezintă o posibilitate a părților de a beneficia de astfel de servicii în condițiile generale prevăzute de legislația aplicabilă. </w:t>
            </w:r>
            <w:r w:rsidRPr="00D31F43">
              <w:rPr>
                <w:rFonts w:ascii="Times New Roman" w:eastAsia="Times New Roman" w:hAnsi="Times New Roman" w:cs="Times New Roman"/>
                <w:lang w:val="pt-BR"/>
              </w:rPr>
              <w:t xml:space="preserve">Regulamentul nu instituie obligații privind acordarea sau suportarea cheltuielilor pentru asistența juridică, iar aceste aspecte sunt guvernate de normele generale ale dreptului. </w:t>
            </w:r>
            <w:r w:rsidRPr="00D31F43">
              <w:rPr>
                <w:rFonts w:ascii="Times New Roman" w:eastAsia="Times New Roman" w:hAnsi="Times New Roman" w:cs="Times New Roman"/>
                <w:lang w:val="it-IT"/>
              </w:rPr>
              <w:t xml:space="preserve">Detalierea suplimentară a cadrului procedural privind exercitarea dreptului la apărare sau stabilirea unor reguli specifice referitoare la titularii dreptului la asistență juridică ori la suportarea cheltuielilor ar depăși scopul actului normativ și ar conduce la o </w:t>
            </w:r>
            <w:r w:rsidRPr="00D31F43">
              <w:rPr>
                <w:rFonts w:ascii="Times New Roman" w:eastAsia="Times New Roman" w:hAnsi="Times New Roman" w:cs="Times New Roman"/>
                <w:b/>
                <w:bCs/>
                <w:lang w:val="it-IT"/>
              </w:rPr>
              <w:t>rigidizare nejustificată a procedurii interne</w:t>
            </w:r>
            <w:r w:rsidRPr="00D31F43">
              <w:rPr>
                <w:rFonts w:ascii="Times New Roman" w:eastAsia="Times New Roman" w:hAnsi="Times New Roman" w:cs="Times New Roman"/>
                <w:lang w:val="it-IT"/>
              </w:rPr>
              <w:t xml:space="preserve">. </w:t>
            </w:r>
            <w:r w:rsidRPr="00D31F43">
              <w:rPr>
                <w:rFonts w:ascii="Times New Roman" w:eastAsia="Times New Roman" w:hAnsi="Times New Roman" w:cs="Times New Roman"/>
                <w:lang w:val="pt-BR"/>
              </w:rPr>
              <w:t>În aceste condiții, formularea actuală este suficient de clară și nu necesită completări.</w:t>
            </w:r>
          </w:p>
          <w:p w14:paraId="0367CFD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17. În vederea corelării cu prevederile Codului muncii, Regulamentul va fi completat cu o normă expresă privind termenul de examinare a sesizărilor. </w:t>
            </w:r>
            <w:r w:rsidRPr="00D31F43">
              <w:rPr>
                <w:rFonts w:ascii="Times New Roman" w:eastAsia="Times New Roman" w:hAnsi="Times New Roman" w:cs="Times New Roman"/>
                <w:lang w:val="it-IT"/>
              </w:rPr>
              <w:t xml:space="preserve">Astfel, se va introduce un punct nou, </w:t>
            </w:r>
            <w:r w:rsidRPr="00D31F43">
              <w:rPr>
                <w:rFonts w:ascii="Times New Roman" w:eastAsia="Times New Roman" w:hAnsi="Times New Roman" w:cs="Times New Roman"/>
                <w:b/>
                <w:bCs/>
                <w:lang w:val="it-IT"/>
              </w:rPr>
              <w:t>pct. 37</w:t>
            </w:r>
            <w:r w:rsidRPr="00D31F43">
              <w:rPr>
                <w:rFonts w:ascii="Times New Roman" w:eastAsia="Times New Roman" w:hAnsi="Times New Roman" w:cs="Times New Roman"/>
                <w:lang w:val="it-IT"/>
              </w:rPr>
              <w:t>, cu următorul cuprins:</w:t>
            </w:r>
          </w:p>
          <w:p w14:paraId="409E3FA8"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b/>
                <w:bCs/>
                <w:lang w:val="it-IT"/>
              </w:rPr>
              <w:t>„</w:t>
            </w:r>
            <w:r w:rsidRPr="00D31F43">
              <w:rPr>
                <w:rFonts w:ascii="Times New Roman" w:eastAsia="Times New Roman" w:hAnsi="Times New Roman" w:cs="Times New Roman"/>
                <w:i/>
                <w:iCs/>
                <w:lang w:val="it-IT"/>
              </w:rPr>
              <w:t>38. Sesizarea se examinează într-un termen rezonabil, care nu va depăși 30 de zile de la data înregistrării acesteia. În cazuri justificate, termenul poate fi prelungit o singură dată, prin ordin motivat, pentru o perioadă de cel mult 15 zile, cu informarea părților implicate.</w:t>
            </w:r>
            <w:r w:rsidRPr="00D31F43">
              <w:rPr>
                <w:rFonts w:ascii="Times New Roman" w:eastAsia="Times New Roman" w:hAnsi="Times New Roman" w:cs="Times New Roman"/>
                <w:i/>
                <w:iCs/>
                <w:highlight w:val="white"/>
                <w:lang w:val="it-IT"/>
              </w:rPr>
              <w:t xml:space="preserve"> Ordinul de prelungire a termenului se comunică persoanei vizate și persoanei reclamate în termen de maximum 3 zile lucrătoare de la emiterea acestuia, cu indicarea motivelor care justifică prelungirea.</w:t>
            </w:r>
            <w:r w:rsidRPr="00D31F43">
              <w:rPr>
                <w:rFonts w:ascii="Times New Roman" w:eastAsia="Times New Roman" w:hAnsi="Times New Roman" w:cs="Times New Roman"/>
                <w:lang w:val="it-IT"/>
              </w:rPr>
              <w:t>”</w:t>
            </w:r>
          </w:p>
          <w:p w14:paraId="11FCD8D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În vederea asigurării clarității procedurale, textul va fi completat cu precizarea actului administrativ prin care sunt dispuse măsurile necesare.</w:t>
            </w:r>
          </w:p>
          <w:p w14:paraId="2C185F0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lang w:val="it-IT"/>
              </w:rPr>
              <w:t xml:space="preserve">În consecință, </w:t>
            </w:r>
            <w:r w:rsidRPr="00D31F43">
              <w:rPr>
                <w:rFonts w:ascii="Times New Roman" w:eastAsia="Times New Roman" w:hAnsi="Times New Roman" w:cs="Times New Roman"/>
                <w:b/>
                <w:bCs/>
                <w:lang w:val="it-IT"/>
              </w:rPr>
              <w:t>pct. 35 va fi ajustat după cum urmează:</w:t>
            </w:r>
          </w:p>
          <w:p w14:paraId="3E02EAC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b/>
                <w:bCs/>
                <w:lang w:val="it-IT"/>
              </w:rPr>
              <w:t>“</w:t>
            </w:r>
            <w:r w:rsidRPr="00D31F43">
              <w:rPr>
                <w:rFonts w:ascii="Times New Roman" w:eastAsia="Times New Roman" w:hAnsi="Times New Roman" w:cs="Times New Roman"/>
                <w:b/>
                <w:bCs/>
                <w:i/>
                <w:iCs/>
                <w:lang w:val="it-IT"/>
              </w:rPr>
              <w:t>35.</w:t>
            </w:r>
            <w:r w:rsidRPr="00D31F43">
              <w:rPr>
                <w:rFonts w:ascii="Times New Roman" w:eastAsia="Times New Roman" w:hAnsi="Times New Roman" w:cs="Times New Roman"/>
                <w:i/>
                <w:iCs/>
                <w:lang w:val="it-IT"/>
              </w:rPr>
              <w:t xml:space="preserve"> În funcție de concluziile procedurii de investigare incluse în raport, conducătorul autorității publice dispune, </w:t>
            </w:r>
            <w:r w:rsidRPr="00D31F43">
              <w:rPr>
                <w:rFonts w:ascii="Times New Roman" w:eastAsia="Times New Roman" w:hAnsi="Times New Roman" w:cs="Times New Roman"/>
                <w:b/>
                <w:bCs/>
                <w:i/>
                <w:iCs/>
                <w:lang w:val="it-IT"/>
              </w:rPr>
              <w:t>prin ordin</w:t>
            </w:r>
            <w:r w:rsidRPr="00D31F43">
              <w:rPr>
                <w:rFonts w:ascii="Times New Roman" w:eastAsia="Times New Roman" w:hAnsi="Times New Roman" w:cs="Times New Roman"/>
                <w:i/>
                <w:iCs/>
                <w:lang w:val="it-IT"/>
              </w:rPr>
              <w:t>, măsurile necesare, acestea putând consta, după caz, în:”</w:t>
            </w:r>
          </w:p>
          <w:p w14:paraId="10F5E6EE"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18. Formularea prevăzută la subpunctul 34.1 nu creează o confuzie între procedura de investigare instituită prin Regulament și procedura disciplinară reglementată de legislația aplicabilă. Procedura de investigare are rolul de a constata circumstanțele faptelor sesizate și de a formula concluzii, iar în baza acestora conducătorul autorității publice poate dispune, </w:t>
            </w:r>
            <w:r w:rsidRPr="00D31F43">
              <w:rPr>
                <w:rFonts w:ascii="Times New Roman" w:eastAsia="Times New Roman" w:hAnsi="Times New Roman" w:cs="Times New Roman"/>
                <w:b/>
                <w:bCs/>
                <w:lang w:val="it-IT"/>
              </w:rPr>
              <w:t>după caz</w:t>
            </w:r>
            <w:r w:rsidRPr="00D31F43">
              <w:rPr>
                <w:rFonts w:ascii="Times New Roman" w:eastAsia="Times New Roman" w:hAnsi="Times New Roman" w:cs="Times New Roman"/>
                <w:lang w:val="it-IT"/>
              </w:rPr>
              <w:t xml:space="preserve">, inițierea procedurii disciplinare. Totodată, prevederile punctului 34 stabilesc în mod expres că, în funcție de concluziile investigației, pot fi dispuse </w:t>
            </w:r>
            <w:r w:rsidRPr="00D31F43">
              <w:rPr>
                <w:rFonts w:ascii="Times New Roman" w:eastAsia="Times New Roman" w:hAnsi="Times New Roman" w:cs="Times New Roman"/>
                <w:b/>
                <w:bCs/>
                <w:lang w:val="it-IT"/>
              </w:rPr>
              <w:t>mai multe tipuri de măsuri</w:t>
            </w:r>
            <w:r w:rsidRPr="00D31F43">
              <w:rPr>
                <w:rFonts w:ascii="Times New Roman" w:eastAsia="Times New Roman" w:hAnsi="Times New Roman" w:cs="Times New Roman"/>
                <w:lang w:val="it-IT"/>
              </w:rPr>
              <w:t xml:space="preserve">, inițierea procedurii disciplinare fiind doar una dintre opțiunile posibile. În funcție de circumstanțele concrete ale cazului, pot fi dispuse și alte măsuri, precum sesizarea autorităților competente, acordarea măsurilor de sprijin persoanei vătămate sau alte măsuri adecvate pentru restabilirea unui mediu de muncă sigur și prevenirea unor situații similare. Prin urmare, textul actual reflectă caracterul </w:t>
            </w:r>
            <w:r w:rsidRPr="00D31F43">
              <w:rPr>
                <w:rFonts w:ascii="Times New Roman" w:eastAsia="Times New Roman" w:hAnsi="Times New Roman" w:cs="Times New Roman"/>
                <w:b/>
                <w:bCs/>
                <w:lang w:val="it-IT"/>
              </w:rPr>
              <w:t>alternativ și neexhaustiv al măsurilor</w:t>
            </w:r>
            <w:r w:rsidRPr="00D31F43">
              <w:rPr>
                <w:rFonts w:ascii="Times New Roman" w:eastAsia="Times New Roman" w:hAnsi="Times New Roman" w:cs="Times New Roman"/>
                <w:lang w:val="it-IT"/>
              </w:rPr>
              <w:t xml:space="preserve"> care pot fi dispuse și nu creează obligația inițierii procedurii disciplinare în toate cazurile. În aceste condiții, nu se impune modificarea prevederii.</w:t>
            </w:r>
          </w:p>
          <w:p w14:paraId="44A8FDF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19. </w:t>
            </w:r>
            <w:r w:rsidRPr="00D31F43">
              <w:rPr>
                <w:rFonts w:ascii="Times New Roman" w:eastAsia="Times New Roman" w:hAnsi="Times New Roman" w:cs="Times New Roman"/>
                <w:b/>
                <w:bCs/>
                <w:lang w:val="it-IT"/>
              </w:rPr>
              <w:t xml:space="preserve">Se acceptă parțial. </w:t>
            </w:r>
            <w:r w:rsidRPr="00D31F43">
              <w:rPr>
                <w:rFonts w:ascii="Times New Roman" w:eastAsia="Times New Roman" w:hAnsi="Times New Roman" w:cs="Times New Roman"/>
                <w:lang w:val="it-IT"/>
              </w:rPr>
              <w:t xml:space="preserve">Sintagma </w:t>
            </w:r>
            <w:r w:rsidRPr="00D31F43">
              <w:rPr>
                <w:rFonts w:ascii="Times New Roman" w:eastAsia="Times New Roman" w:hAnsi="Times New Roman" w:cs="Times New Roman"/>
                <w:b/>
                <w:bCs/>
                <w:lang w:val="it-IT"/>
              </w:rPr>
              <w:t>„fără a se limita la”</w:t>
            </w:r>
            <w:r w:rsidRPr="00D31F43">
              <w:rPr>
                <w:rFonts w:ascii="Times New Roman" w:eastAsia="Times New Roman" w:hAnsi="Times New Roman" w:cs="Times New Roman"/>
                <w:lang w:val="it-IT"/>
              </w:rPr>
              <w:t xml:space="preserve"> se menține, întrucât enumerarea măsurilor are caracter orientativ, iar menținerea acestei formulări permite aplicarea și a altor măsuri adecvate circumstanțelor concrete ale cazului, în vederea asigurării protecției efective a persoanelor implicate și a desfășurării imparțiale a procedurii. Totodată, în vederea </w:t>
            </w:r>
            <w:r w:rsidRPr="00D31F43">
              <w:rPr>
                <w:rFonts w:ascii="Times New Roman" w:eastAsia="Times New Roman" w:hAnsi="Times New Roman" w:cs="Times New Roman"/>
                <w:lang w:val="it-IT"/>
              </w:rPr>
              <w:lastRenderedPageBreak/>
              <w:t xml:space="preserve">îmbunătățirii clarității textului, anumite formulări vor fi ajustate. În acest sens, la sbp. 42.3 termenul </w:t>
            </w:r>
            <w:r w:rsidRPr="00D31F43">
              <w:rPr>
                <w:rFonts w:ascii="Times New Roman" w:eastAsia="Times New Roman" w:hAnsi="Times New Roman" w:cs="Times New Roman"/>
                <w:b/>
                <w:bCs/>
                <w:lang w:val="it-IT"/>
              </w:rPr>
              <w:t>„alocarea temporară”</w:t>
            </w:r>
            <w:r w:rsidRPr="00D31F43">
              <w:rPr>
                <w:rFonts w:ascii="Times New Roman" w:eastAsia="Times New Roman" w:hAnsi="Times New Roman" w:cs="Times New Roman"/>
                <w:lang w:val="it-IT"/>
              </w:rPr>
              <w:t xml:space="preserve"> se substituie cu </w:t>
            </w:r>
            <w:r w:rsidRPr="00D31F43">
              <w:rPr>
                <w:rFonts w:ascii="Times New Roman" w:eastAsia="Times New Roman" w:hAnsi="Times New Roman" w:cs="Times New Roman"/>
                <w:b/>
                <w:bCs/>
                <w:lang w:val="it-IT"/>
              </w:rPr>
              <w:t>„stabilirea temporară”</w:t>
            </w:r>
            <w:r w:rsidRPr="00D31F43">
              <w:rPr>
                <w:rFonts w:ascii="Times New Roman" w:eastAsia="Times New Roman" w:hAnsi="Times New Roman" w:cs="Times New Roman"/>
                <w:lang w:val="it-IT"/>
              </w:rPr>
              <w:t xml:space="preserve">, iar la sbp. 42.4 sintagma </w:t>
            </w:r>
            <w:r w:rsidRPr="00D31F43">
              <w:rPr>
                <w:rFonts w:ascii="Times New Roman" w:eastAsia="Times New Roman" w:hAnsi="Times New Roman" w:cs="Times New Roman"/>
                <w:b/>
                <w:bCs/>
                <w:lang w:val="it-IT"/>
              </w:rPr>
              <w:t>„și cu acordul scris al acesteia”</w:t>
            </w:r>
            <w:r w:rsidRPr="00D31F43">
              <w:rPr>
                <w:rFonts w:ascii="Times New Roman" w:eastAsia="Times New Roman" w:hAnsi="Times New Roman" w:cs="Times New Roman"/>
                <w:lang w:val="it-IT"/>
              </w:rPr>
              <w:t xml:space="preserve"> se exclude. În consecință, punctul </w:t>
            </w:r>
            <w:r w:rsidRPr="00D31F43">
              <w:rPr>
                <w:rFonts w:ascii="Times New Roman" w:eastAsia="Times New Roman" w:hAnsi="Times New Roman" w:cs="Times New Roman"/>
                <w:b/>
                <w:bCs/>
                <w:lang w:val="it-IT"/>
              </w:rPr>
              <w:t>40</w:t>
            </w:r>
            <w:r w:rsidRPr="00D31F43">
              <w:rPr>
                <w:rFonts w:ascii="Times New Roman" w:eastAsia="Times New Roman" w:hAnsi="Times New Roman" w:cs="Times New Roman"/>
                <w:lang w:val="it-IT"/>
              </w:rPr>
              <w:t xml:space="preserve"> va avea următorul cuprins:</w:t>
            </w:r>
          </w:p>
          <w:p w14:paraId="2224E8B2"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b/>
                <w:bCs/>
                <w:lang w:val="it-IT"/>
              </w:rPr>
              <w:t xml:space="preserve">“42. </w:t>
            </w:r>
            <w:r w:rsidRPr="00D31F43">
              <w:rPr>
                <w:rFonts w:ascii="Times New Roman" w:eastAsia="Times New Roman" w:hAnsi="Times New Roman" w:cs="Times New Roman"/>
                <w:highlight w:val="white"/>
                <w:lang w:val="it-IT"/>
              </w:rPr>
              <w:t>Aceste măsuri pot consta, fără a se limita la:</w:t>
            </w:r>
          </w:p>
          <w:p w14:paraId="7CFFABF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0" w:firstLine="70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42.1 modificarea temporară a locului sau a programului de muncă al persoanei vizate, al persoanei reclamate ori al altor persoane implicate, atunci când această măsură contribuie la reducerea riscului de contact direct, de presiune, intimidare sau influențare asupra procedurii;</w:t>
            </w:r>
          </w:p>
          <w:p w14:paraId="7774D827"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0" w:firstLine="70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42.2. restricționarea, limitarea sau suspendarea interacțiunilor directe dintre părțile implicate, inclusiv prin stabilirea unor reguli clare de comunicare sau prin realizarea comunicării exclusiv prin intermediul persoanei ori structurii desemnate pentru gestionarea interacțiunilor;</w:t>
            </w:r>
          </w:p>
          <w:p w14:paraId="58953DA3"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0" w:firstLine="70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42.3. stabilirea temporară a unor sarcini, responsabilități sau spații de lucru distincte, în scopul protejării persoanei vizate și al menținerii unui mediu de lucru sigur, sănătos și lipsit de violență și hărțuire;</w:t>
            </w:r>
          </w:p>
          <w:p w14:paraId="706A7E9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0" w:firstLine="70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42.4. acordarea, cu titlu de excepție, la cererea persoanei vizate, a unui concediu plătit sau neplătit, în situațiile în care această măsură constituie singura formă adecvată de protecție;</w:t>
            </w:r>
          </w:p>
          <w:p w14:paraId="408741A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280" w:firstLine="700"/>
              <w:jc w:val="both"/>
              <w:rPr>
                <w:rFonts w:ascii="Times New Roman" w:eastAsia="Times New Roman" w:hAnsi="Times New Roman" w:cs="Times New Roman"/>
                <w:i/>
                <w:iCs/>
                <w:lang w:val="it-IT"/>
              </w:rPr>
            </w:pPr>
            <w:r w:rsidRPr="00D31F43">
              <w:rPr>
                <w:rFonts w:ascii="Times New Roman" w:eastAsia="Times New Roman" w:hAnsi="Times New Roman" w:cs="Times New Roman"/>
                <w:highlight w:val="white"/>
                <w:lang w:val="it-IT"/>
              </w:rPr>
              <w:t>42.5. orice alte măsuri prevăzute în politicile interne ale autorității publice necesare pentru prevenirea oricăror consecințe prejudiciabile, pentru garantarea imparțialității procedurii și pentru asigurarea unui mediu de lucru sigur, sănătos, demn și lipsit de violență și/sau hărțuire.</w:t>
            </w:r>
            <w:r w:rsidRPr="00D31F43">
              <w:rPr>
                <w:rFonts w:ascii="Times New Roman" w:eastAsia="Times New Roman" w:hAnsi="Times New Roman" w:cs="Times New Roman"/>
                <w:i/>
                <w:iCs/>
                <w:lang w:val="it-IT"/>
              </w:rPr>
              <w:t>”</w:t>
            </w:r>
          </w:p>
          <w:p w14:paraId="1FEF1CA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p>
          <w:p w14:paraId="332B233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 xml:space="preserve">20. </w:t>
            </w:r>
            <w:r w:rsidRPr="00D31F43">
              <w:rPr>
                <w:rFonts w:ascii="Times New Roman" w:eastAsia="Times New Roman" w:hAnsi="Times New Roman" w:cs="Times New Roman"/>
                <w:b/>
                <w:bCs/>
                <w:lang w:val="it-IT"/>
              </w:rPr>
              <w:t xml:space="preserve">Se acceptă. </w:t>
            </w:r>
            <w:r w:rsidRPr="00D31F43">
              <w:rPr>
                <w:rFonts w:ascii="Times New Roman" w:eastAsia="Times New Roman" w:hAnsi="Times New Roman" w:cs="Times New Roman"/>
                <w:lang w:val="it-IT"/>
              </w:rPr>
              <w:t xml:space="preserve">În vederea asigurării clarității și aplicării unitare a prevederilor Regulamentului, se precizează că </w:t>
            </w:r>
            <w:r w:rsidRPr="00D31F43">
              <w:rPr>
                <w:rFonts w:ascii="Times New Roman" w:eastAsia="Times New Roman" w:hAnsi="Times New Roman" w:cs="Times New Roman"/>
                <w:b/>
                <w:bCs/>
                <w:lang w:val="it-IT"/>
              </w:rPr>
              <w:t>responsabilul desemnat sau structura internă competentă menționată la pct. 49 reprezintă aceeași entitate cu structura/persoana desemnată prevăzută la pct. 24 din Anexa nr. 4</w:t>
            </w:r>
            <w:r w:rsidRPr="00D31F43">
              <w:rPr>
                <w:rFonts w:ascii="Times New Roman" w:eastAsia="Times New Roman" w:hAnsi="Times New Roman" w:cs="Times New Roman"/>
                <w:lang w:val="it-IT"/>
              </w:rPr>
              <w:t xml:space="preserve">. În consecință, formulările vor fi corelate pentru a reflecta faptul că atribuțiile de </w:t>
            </w:r>
            <w:r w:rsidRPr="00D31F43">
              <w:rPr>
                <w:rFonts w:ascii="Times New Roman" w:eastAsia="Times New Roman" w:hAnsi="Times New Roman" w:cs="Times New Roman"/>
                <w:b/>
                <w:bCs/>
                <w:lang w:val="it-IT"/>
              </w:rPr>
              <w:t>colectare, centralizare și analiză a datelor privind implementarea procedurilor interne</w:t>
            </w:r>
            <w:r w:rsidRPr="00D31F43">
              <w:rPr>
                <w:rFonts w:ascii="Times New Roman" w:eastAsia="Times New Roman" w:hAnsi="Times New Roman" w:cs="Times New Roman"/>
                <w:lang w:val="it-IT"/>
              </w:rPr>
              <w:t xml:space="preserve">, precum și cele privind </w:t>
            </w:r>
            <w:r w:rsidRPr="00D31F43">
              <w:rPr>
                <w:rFonts w:ascii="Times New Roman" w:eastAsia="Times New Roman" w:hAnsi="Times New Roman" w:cs="Times New Roman"/>
                <w:b/>
                <w:bCs/>
                <w:lang w:val="it-IT"/>
              </w:rPr>
              <w:t>înregistrarea sesizărilor, păstrarea documentelor, acordarea suportului procedural și contribuția la elaborarea raportului anual</w:t>
            </w:r>
            <w:r w:rsidRPr="00D31F43">
              <w:rPr>
                <w:rFonts w:ascii="Times New Roman" w:eastAsia="Times New Roman" w:hAnsi="Times New Roman" w:cs="Times New Roman"/>
                <w:lang w:val="it-IT"/>
              </w:rPr>
              <w:t xml:space="preserve"> sunt exercitate de aceeași structură sau persoană desemnată în cadrul autorității publice.</w:t>
            </w:r>
          </w:p>
          <w:p w14:paraId="18F2A1B7"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p>
          <w:p w14:paraId="2F32ADD1"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21. </w:t>
            </w:r>
            <w:r w:rsidRPr="00D31F43">
              <w:rPr>
                <w:rFonts w:ascii="Times New Roman" w:eastAsia="Times New Roman" w:hAnsi="Times New Roman" w:cs="Times New Roman"/>
                <w:b/>
                <w:bCs/>
                <w:lang w:val="it-IT"/>
              </w:rPr>
              <w:t xml:space="preserve">Se acceptă. </w:t>
            </w:r>
            <w:r w:rsidRPr="00D31F43">
              <w:rPr>
                <w:rFonts w:ascii="Times New Roman" w:eastAsia="Times New Roman" w:hAnsi="Times New Roman" w:cs="Times New Roman"/>
                <w:lang w:val="it-IT"/>
              </w:rPr>
              <w:t>În vederea corelării soluțiilor normative cu actele normative conexe și a asigurării unei formulări conforme tehnicii legislative, punctele 54 și 57 se reformulează.</w:t>
            </w:r>
          </w:p>
          <w:p w14:paraId="4642F79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În consecință, </w:t>
            </w:r>
            <w:r w:rsidRPr="00D31F43">
              <w:rPr>
                <w:rFonts w:ascii="Times New Roman" w:eastAsia="Times New Roman" w:hAnsi="Times New Roman" w:cs="Times New Roman"/>
                <w:b/>
                <w:bCs/>
                <w:lang w:val="it-IT"/>
              </w:rPr>
              <w:t>pct. 56 și 59 vor avea următorul cuprins:</w:t>
            </w:r>
          </w:p>
          <w:p w14:paraId="1220BBA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lang w:val="it-IT"/>
              </w:rPr>
              <w:t>“</w:t>
            </w:r>
            <w:r w:rsidRPr="00D31F43">
              <w:rPr>
                <w:rFonts w:ascii="Times New Roman" w:eastAsia="Times New Roman" w:hAnsi="Times New Roman" w:cs="Times New Roman"/>
                <w:b/>
                <w:bCs/>
                <w:lang w:val="it-IT"/>
              </w:rPr>
              <w:t>5</w:t>
            </w:r>
            <w:r w:rsidRPr="00D31F43">
              <w:rPr>
                <w:rFonts w:ascii="Times New Roman" w:eastAsia="Times New Roman" w:hAnsi="Times New Roman" w:cs="Times New Roman"/>
                <w:b/>
                <w:bCs/>
                <w:i/>
                <w:iCs/>
                <w:lang w:val="it-IT"/>
              </w:rPr>
              <w:t>6.</w:t>
            </w:r>
            <w:r w:rsidRPr="00D31F43">
              <w:rPr>
                <w:rFonts w:ascii="Times New Roman" w:eastAsia="Times New Roman" w:hAnsi="Times New Roman" w:cs="Times New Roman"/>
                <w:i/>
                <w:iCs/>
                <w:lang w:val="it-IT"/>
              </w:rPr>
              <w:t xml:space="preserve"> Răspunderea disciplinară a persoanelor încadrate în baza unui raport de serviciu sau a unui contract individual de muncă se angajează în condițiile legislației în vigoare aplicabile raporturilor de muncă sau de serviciu, după caz, precum și ale actelor interne ale autorității publice, cu respectarea garanțiilor procedurale și a principiului proporționalității sancțiunii</w:t>
            </w:r>
            <w:r w:rsidRPr="00D31F43">
              <w:rPr>
                <w:rFonts w:ascii="Times New Roman" w:eastAsia="Times New Roman" w:hAnsi="Times New Roman" w:cs="Times New Roman"/>
                <w:i/>
                <w:iCs/>
                <w:sz w:val="24"/>
                <w:szCs w:val="24"/>
                <w:lang w:val="it-IT"/>
              </w:rPr>
              <w:t>.”</w:t>
            </w:r>
          </w:p>
          <w:p w14:paraId="0CCB3203"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i/>
                <w:iCs/>
                <w:lang w:val="it-IT"/>
              </w:rPr>
              <w:t>“</w:t>
            </w:r>
            <w:r w:rsidRPr="00D31F43">
              <w:rPr>
                <w:rFonts w:ascii="Times New Roman" w:eastAsia="Times New Roman" w:hAnsi="Times New Roman" w:cs="Times New Roman"/>
                <w:b/>
                <w:bCs/>
                <w:i/>
                <w:iCs/>
                <w:lang w:val="it-IT"/>
              </w:rPr>
              <w:t>59.</w:t>
            </w:r>
            <w:r w:rsidRPr="00D31F43">
              <w:rPr>
                <w:rFonts w:ascii="Times New Roman" w:eastAsia="Times New Roman" w:hAnsi="Times New Roman" w:cs="Times New Roman"/>
                <w:i/>
                <w:iCs/>
                <w:lang w:val="it-IT"/>
              </w:rPr>
              <w:t xml:space="preserve"> Persoanele care, prin faptele lor, cauzează prejudicii materiale sau morale persoanelor vizate, autorității publice sau altor persoane aflate în raporturi de muncă ori în raporturi legate nemijlocit de acestea pot fi obligate la repararea prejudiciilor, încondițiile legislației în vigoare.”</w:t>
            </w:r>
          </w:p>
          <w:p w14:paraId="6A4A4FB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lang w:val="it-IT"/>
              </w:rPr>
              <w:lastRenderedPageBreak/>
              <w:t xml:space="preserve">22. </w:t>
            </w:r>
            <w:r w:rsidRPr="00D31F43">
              <w:rPr>
                <w:rFonts w:ascii="Times New Roman" w:eastAsia="Times New Roman" w:hAnsi="Times New Roman" w:cs="Times New Roman"/>
                <w:b/>
                <w:bCs/>
                <w:lang w:val="it-IT"/>
              </w:rPr>
              <w:t xml:space="preserve">Se acceptă. </w:t>
            </w:r>
            <w:r w:rsidRPr="00D31F43">
              <w:rPr>
                <w:rFonts w:ascii="Times New Roman" w:eastAsia="Times New Roman" w:hAnsi="Times New Roman" w:cs="Times New Roman"/>
                <w:lang w:val="it-IT"/>
              </w:rPr>
              <w:t xml:space="preserve">În vederea corelării cu prevederile Codului muncii și pentru asigurarea clarității textului, pct. 58 va fi ajustat. În consecință, </w:t>
            </w:r>
            <w:r w:rsidRPr="00D31F43">
              <w:rPr>
                <w:rFonts w:ascii="Times New Roman" w:eastAsia="Times New Roman" w:hAnsi="Times New Roman" w:cs="Times New Roman"/>
                <w:b/>
                <w:bCs/>
                <w:lang w:val="it-IT"/>
              </w:rPr>
              <w:t>pct. 58 va avea următorul cuprins:</w:t>
            </w:r>
          </w:p>
          <w:p w14:paraId="3FE1FDC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it-IT"/>
              </w:rPr>
            </w:pPr>
            <w:r w:rsidRPr="00D31F43">
              <w:rPr>
                <w:rFonts w:ascii="Times New Roman" w:eastAsia="Times New Roman" w:hAnsi="Times New Roman" w:cs="Times New Roman"/>
                <w:b/>
                <w:bCs/>
                <w:i/>
                <w:iCs/>
                <w:lang w:val="it-IT"/>
              </w:rPr>
              <w:t>“60.</w:t>
            </w:r>
            <w:r w:rsidRPr="00D31F43">
              <w:rPr>
                <w:rFonts w:ascii="Times New Roman" w:eastAsia="Times New Roman" w:hAnsi="Times New Roman" w:cs="Times New Roman"/>
                <w:i/>
                <w:iCs/>
                <w:lang w:val="it-IT"/>
              </w:rPr>
              <w:t xml:space="preserve"> Aplicarea măsurilor și sancțiunilor prevăzute de prezentul capitol nu exclude și nu limitează exercitarea altor mijloace legale de apărare a drepturilor lezate, prevăzute de legislația în vigoare, inclusiv dreptul persoanelor vizate de a se adresa instanțelor de judecată, </w:t>
            </w:r>
            <w:r w:rsidRPr="00D31F43">
              <w:rPr>
                <w:rFonts w:ascii="Times New Roman" w:eastAsia="Times New Roman" w:hAnsi="Times New Roman" w:cs="Times New Roman"/>
                <w:b/>
                <w:bCs/>
                <w:i/>
                <w:iCs/>
                <w:lang w:val="it-IT"/>
              </w:rPr>
              <w:t>Inspectoratului de Stat al Muncii, Consiliului pentru egalitate sau oricărei alte autorități competente</w:t>
            </w:r>
            <w:r w:rsidRPr="00D31F43">
              <w:rPr>
                <w:rFonts w:ascii="Times New Roman" w:eastAsia="Times New Roman" w:hAnsi="Times New Roman" w:cs="Times New Roman"/>
                <w:i/>
                <w:iCs/>
                <w:lang w:val="it-IT"/>
              </w:rPr>
              <w:t>.”</w:t>
            </w:r>
          </w:p>
          <w:p w14:paraId="5BD14EEC"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p>
          <w:p w14:paraId="07CDA43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23. </w:t>
            </w:r>
            <w:r w:rsidRPr="00D31F43">
              <w:rPr>
                <w:rFonts w:ascii="Times New Roman" w:eastAsia="Times New Roman" w:hAnsi="Times New Roman" w:cs="Times New Roman"/>
                <w:b/>
                <w:bCs/>
                <w:lang w:val="it-IT"/>
              </w:rPr>
              <w:t xml:space="preserve">Se acceptă. </w:t>
            </w:r>
            <w:r w:rsidRPr="00D31F43">
              <w:rPr>
                <w:rFonts w:ascii="Times New Roman" w:eastAsia="Times New Roman" w:hAnsi="Times New Roman" w:cs="Times New Roman"/>
                <w:lang w:val="it-IT"/>
              </w:rPr>
              <w:t xml:space="preserve">În vederea simplificării formularului și pentru a evita interpretări diferite, sintagma </w:t>
            </w:r>
            <w:r w:rsidRPr="00D31F43">
              <w:rPr>
                <w:rFonts w:ascii="Times New Roman" w:eastAsia="Times New Roman" w:hAnsi="Times New Roman" w:cs="Times New Roman"/>
                <w:b/>
                <w:bCs/>
                <w:lang w:val="it-IT"/>
              </w:rPr>
              <w:t>„(dacă este diferită)”</w:t>
            </w:r>
            <w:r w:rsidRPr="00D31F43">
              <w:rPr>
                <w:rFonts w:ascii="Times New Roman" w:eastAsia="Times New Roman" w:hAnsi="Times New Roman" w:cs="Times New Roman"/>
                <w:lang w:val="it-IT"/>
              </w:rPr>
              <w:t xml:space="preserve"> se exclude. În consecință, </w:t>
            </w:r>
            <w:r w:rsidRPr="00D31F43">
              <w:rPr>
                <w:rFonts w:ascii="Times New Roman" w:eastAsia="Times New Roman" w:hAnsi="Times New Roman" w:cs="Times New Roman"/>
                <w:b/>
                <w:bCs/>
                <w:lang w:val="it-IT"/>
              </w:rPr>
              <w:t>pct. 5 din Anexa nr. 1</w:t>
            </w:r>
            <w:r w:rsidRPr="00D31F43">
              <w:rPr>
                <w:rFonts w:ascii="Times New Roman" w:eastAsia="Times New Roman" w:hAnsi="Times New Roman" w:cs="Times New Roman"/>
                <w:lang w:val="it-IT"/>
              </w:rPr>
              <w:t xml:space="preserve"> va avea următorul cuprins:</w:t>
            </w:r>
          </w:p>
          <w:p w14:paraId="77212B0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pt-BR"/>
              </w:rPr>
            </w:pPr>
            <w:r w:rsidRPr="00D31F43">
              <w:rPr>
                <w:rFonts w:ascii="Times New Roman" w:eastAsia="Times New Roman" w:hAnsi="Times New Roman" w:cs="Times New Roman"/>
                <w:b/>
                <w:bCs/>
                <w:lang w:val="pt-BR"/>
              </w:rPr>
              <w:t>“5. Adresa de corespondență:”</w:t>
            </w:r>
          </w:p>
          <w:p w14:paraId="4E7C2746"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p>
          <w:p w14:paraId="0BFB74C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24. Se acceptă parțial. </w:t>
            </w:r>
            <w:r w:rsidRPr="00D31F43">
              <w:rPr>
                <w:rFonts w:ascii="Times New Roman" w:eastAsia="Times New Roman" w:hAnsi="Times New Roman" w:cs="Times New Roman"/>
                <w:lang w:val="it-IT"/>
              </w:rPr>
              <w:t>În vederea asigurării unei evidențe mai clare a informațiilor, Anexa nr. 2 va fi ajustată prin completarea registrului cu rubrici suplimentare privind funcțiile persoanelor implicate.</w:t>
            </w:r>
          </w:p>
          <w:p w14:paraId="48BBFA0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Astfel, tabelul din Anexa nr. 2 se va completa cu două coloane distincte, după cum urmează: </w:t>
            </w:r>
            <w:r w:rsidRPr="00D31F43">
              <w:rPr>
                <w:rFonts w:ascii="Times New Roman" w:eastAsia="Times New Roman" w:hAnsi="Times New Roman" w:cs="Times New Roman"/>
                <w:b/>
                <w:bCs/>
                <w:lang w:val="it-IT"/>
              </w:rPr>
              <w:t>„Funcția persoanei vizate”</w:t>
            </w:r>
            <w:r w:rsidRPr="00D31F43">
              <w:rPr>
                <w:rFonts w:ascii="Times New Roman" w:eastAsia="Times New Roman" w:hAnsi="Times New Roman" w:cs="Times New Roman"/>
                <w:lang w:val="it-IT"/>
              </w:rPr>
              <w:t xml:space="preserve"> și </w:t>
            </w:r>
            <w:r w:rsidRPr="00D31F43">
              <w:rPr>
                <w:rFonts w:ascii="Times New Roman" w:eastAsia="Times New Roman" w:hAnsi="Times New Roman" w:cs="Times New Roman"/>
                <w:b/>
                <w:bCs/>
                <w:lang w:val="it-IT"/>
              </w:rPr>
              <w:t>„Funcția persoanei reclamate”</w:t>
            </w:r>
            <w:r w:rsidRPr="00D31F43">
              <w:rPr>
                <w:rFonts w:ascii="Times New Roman" w:eastAsia="Times New Roman" w:hAnsi="Times New Roman" w:cs="Times New Roman"/>
                <w:lang w:val="it-IT"/>
              </w:rPr>
              <w:t>.</w:t>
            </w:r>
          </w:p>
          <w:p w14:paraId="6E7351BA"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p>
          <w:p w14:paraId="59134A73"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 xml:space="preserve">25. </w:t>
            </w:r>
            <w:r w:rsidRPr="00D31F43">
              <w:rPr>
                <w:rFonts w:ascii="Times New Roman" w:eastAsia="Times New Roman" w:hAnsi="Times New Roman" w:cs="Times New Roman"/>
                <w:b/>
                <w:bCs/>
                <w:lang w:val="it-IT"/>
              </w:rPr>
              <w:t xml:space="preserve">Se acceptă. </w:t>
            </w:r>
            <w:r w:rsidRPr="00D31F43">
              <w:rPr>
                <w:rFonts w:ascii="Times New Roman" w:eastAsia="Times New Roman" w:hAnsi="Times New Roman" w:cs="Times New Roman"/>
                <w:lang w:val="it-IT"/>
              </w:rPr>
              <w:t>În vederea asigurării clarității și coerenței textului, Anexa nr. 3 și Regulamentul vor fi ajustate după cum urmează:</w:t>
            </w:r>
          </w:p>
          <w:p w14:paraId="541BFD9C" w14:textId="77777777" w:rsidR="00477212" w:rsidRPr="00D31F43" w:rsidRDefault="00000000">
            <w:pPr>
              <w:numPr>
                <w:ilvl w:val="0"/>
                <w:numId w:val="2"/>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la pct. I din Anexa nr. 3, sintagma </w:t>
            </w:r>
            <w:r w:rsidRPr="00D31F43">
              <w:rPr>
                <w:rFonts w:ascii="Times New Roman" w:eastAsia="Times New Roman" w:hAnsi="Times New Roman" w:cs="Times New Roman"/>
                <w:b/>
                <w:bCs/>
                <w:lang w:val="it-IT"/>
              </w:rPr>
              <w:t>„Nume, prenume”</w:t>
            </w:r>
            <w:r w:rsidRPr="00D31F43">
              <w:rPr>
                <w:rFonts w:ascii="Times New Roman" w:eastAsia="Times New Roman" w:hAnsi="Times New Roman" w:cs="Times New Roman"/>
                <w:lang w:val="it-IT"/>
              </w:rPr>
              <w:t xml:space="preserve"> se completează cu cuvintele </w:t>
            </w:r>
            <w:r w:rsidRPr="00D31F43">
              <w:rPr>
                <w:rFonts w:ascii="Times New Roman" w:eastAsia="Times New Roman" w:hAnsi="Times New Roman" w:cs="Times New Roman"/>
                <w:b/>
                <w:bCs/>
                <w:lang w:val="it-IT"/>
              </w:rPr>
              <w:t>„și funcția”</w:t>
            </w:r>
            <w:r w:rsidRPr="00D31F43">
              <w:rPr>
                <w:rFonts w:ascii="Times New Roman" w:eastAsia="Times New Roman" w:hAnsi="Times New Roman" w:cs="Times New Roman"/>
                <w:lang w:val="it-IT"/>
              </w:rPr>
              <w:t xml:space="preserve">, iar cuvintele </w:t>
            </w:r>
            <w:r w:rsidRPr="00D31F43">
              <w:rPr>
                <w:rFonts w:ascii="Times New Roman" w:eastAsia="Times New Roman" w:hAnsi="Times New Roman" w:cs="Times New Roman"/>
                <w:b/>
                <w:bCs/>
                <w:lang w:val="it-IT"/>
              </w:rPr>
              <w:t>„Funcția fiecăruia”</w:t>
            </w:r>
            <w:r w:rsidRPr="00D31F43">
              <w:rPr>
                <w:rFonts w:ascii="Times New Roman" w:eastAsia="Times New Roman" w:hAnsi="Times New Roman" w:cs="Times New Roman"/>
                <w:lang w:val="it-IT"/>
              </w:rPr>
              <w:t xml:space="preserve"> se exclud;</w:t>
            </w:r>
            <w:r w:rsidRPr="00D31F43">
              <w:rPr>
                <w:rFonts w:ascii="Times New Roman" w:eastAsia="Times New Roman" w:hAnsi="Times New Roman" w:cs="Times New Roman"/>
                <w:lang w:val="it-IT"/>
              </w:rPr>
              <w:br/>
            </w:r>
            <w:r w:rsidRPr="00D31F43">
              <w:rPr>
                <w:rFonts w:ascii="Times New Roman" w:eastAsia="Times New Roman" w:hAnsi="Times New Roman" w:cs="Times New Roman"/>
                <w:lang w:val="it-IT"/>
              </w:rPr>
              <w:br/>
            </w:r>
          </w:p>
          <w:p w14:paraId="50DD2FB9" w14:textId="77777777" w:rsidR="00477212" w:rsidRDefault="00000000">
            <w:pPr>
              <w:numPr>
                <w:ilvl w:val="0"/>
                <w:numId w:val="2"/>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rPr>
                <w:rFonts w:ascii="Times New Roman" w:eastAsia="Times New Roman" w:hAnsi="Times New Roman" w:cs="Times New Roman"/>
              </w:rPr>
            </w:pPr>
            <w:r>
              <w:rPr>
                <w:rFonts w:ascii="Times New Roman" w:eastAsia="Times New Roman" w:hAnsi="Times New Roman" w:cs="Times New Roman"/>
              </w:rPr>
              <w:t>Regulamentul se completează cu prevederi privind desemnarea președintelui comisiei de investigare.</w:t>
            </w:r>
            <w:r>
              <w:rPr>
                <w:rFonts w:ascii="Times New Roman" w:eastAsia="Times New Roman" w:hAnsi="Times New Roman" w:cs="Times New Roman"/>
              </w:rPr>
              <w:br/>
            </w:r>
          </w:p>
          <w:p w14:paraId="507CB52E"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rPr>
            </w:pPr>
            <w:r>
              <w:rPr>
                <w:rFonts w:ascii="Times New Roman" w:eastAsia="Times New Roman" w:hAnsi="Times New Roman" w:cs="Times New Roman"/>
              </w:rPr>
              <w:t xml:space="preserve">În acest sens, </w:t>
            </w:r>
            <w:r>
              <w:rPr>
                <w:rFonts w:ascii="Times New Roman" w:eastAsia="Times New Roman" w:hAnsi="Times New Roman" w:cs="Times New Roman"/>
                <w:b/>
                <w:bCs/>
              </w:rPr>
              <w:t>pct. 22 va avea următorul cuprins:</w:t>
            </w:r>
          </w:p>
          <w:p w14:paraId="5B3F91E8"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lang w:val="pt-BR"/>
              </w:rPr>
            </w:pPr>
            <w:r>
              <w:rPr>
                <w:rFonts w:ascii="Times New Roman" w:eastAsia="Times New Roman" w:hAnsi="Times New Roman" w:cs="Times New Roman"/>
                <w:i/>
                <w:iCs/>
              </w:rPr>
              <w:t xml:space="preserve">“22. Componența numerică a fiecărei comisii desemnate pentru investigarea cazurilor de violență și/sau hărțuire în muncă se stabilește de către conducătorul autorității publice, prin ordin, și poate varia de la un caz la altul, în funcție de natura, circumstanțele și complexitatea situației investigate. </w:t>
            </w:r>
            <w:r w:rsidRPr="00D31F43">
              <w:rPr>
                <w:rFonts w:ascii="Times New Roman" w:eastAsia="Times New Roman" w:hAnsi="Times New Roman" w:cs="Times New Roman"/>
                <w:i/>
                <w:iCs/>
                <w:lang w:val="pt-BR"/>
              </w:rPr>
              <w:t>Președintele și secretarul comisiei se aleg dintre membrii acesteia, prin votul majorității membrilor comisiei.”</w:t>
            </w:r>
          </w:p>
          <w:p w14:paraId="30CD5636"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p>
          <w:p w14:paraId="507122C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pt-BR"/>
              </w:rPr>
              <w:t xml:space="preserve">26. </w:t>
            </w:r>
            <w:r w:rsidRPr="00D31F43">
              <w:rPr>
                <w:rFonts w:ascii="Times New Roman" w:eastAsia="Times New Roman" w:hAnsi="Times New Roman" w:cs="Times New Roman"/>
                <w:b/>
                <w:bCs/>
                <w:lang w:val="pt-BR"/>
              </w:rPr>
              <w:t xml:space="preserve">Se acceptă. </w:t>
            </w:r>
            <w:r w:rsidRPr="00D31F43">
              <w:rPr>
                <w:rFonts w:ascii="Times New Roman" w:eastAsia="Times New Roman" w:hAnsi="Times New Roman" w:cs="Times New Roman"/>
                <w:lang w:val="pt-BR"/>
              </w:rPr>
              <w:t xml:space="preserve">În vederea asigurării corelării denumirii capitolului cu conținutul normelor cuprinse la pct. 29–32, care reglementează intrarea în vigoare a politicii interne, modalitatea de aducere la cunoștință a acesteia și aplicarea prevederilor sale, denumirea capitolului va fi ajustată. </w:t>
            </w:r>
            <w:r w:rsidRPr="00D31F43">
              <w:rPr>
                <w:rFonts w:ascii="Times New Roman" w:eastAsia="Times New Roman" w:hAnsi="Times New Roman" w:cs="Times New Roman"/>
                <w:lang w:val="it-IT"/>
              </w:rPr>
              <w:t xml:space="preserve">În consecință, </w:t>
            </w:r>
            <w:r w:rsidRPr="00D31F43">
              <w:rPr>
                <w:rFonts w:ascii="Times New Roman" w:eastAsia="Times New Roman" w:hAnsi="Times New Roman" w:cs="Times New Roman"/>
                <w:b/>
                <w:bCs/>
                <w:lang w:val="it-IT"/>
              </w:rPr>
              <w:t>Capitolul VIII</w:t>
            </w:r>
            <w:r w:rsidRPr="00D31F43">
              <w:rPr>
                <w:rFonts w:ascii="Times New Roman" w:eastAsia="Times New Roman" w:hAnsi="Times New Roman" w:cs="Times New Roman"/>
                <w:lang w:val="it-IT"/>
              </w:rPr>
              <w:t xml:space="preserve"> se redenumește după cum urmează:</w:t>
            </w:r>
          </w:p>
          <w:p w14:paraId="1F50A309"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b/>
                <w:bCs/>
                <w:lang w:val="it-IT"/>
              </w:rPr>
              <w:t>“Capitolul VIII. Aplicarea și intrarea în vigoare a Politicii interne.”</w:t>
            </w:r>
          </w:p>
          <w:p w14:paraId="738B4936"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41849E9E"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tc>
      </w:tr>
      <w:tr w:rsidR="00477212" w14:paraId="77FF2D19" w14:textId="77777777">
        <w:trPr>
          <w:trHeight w:val="600"/>
        </w:trPr>
        <w:tc>
          <w:tcPr>
            <w:tcW w:w="675" w:type="dxa"/>
          </w:tcPr>
          <w:p w14:paraId="20058501" w14:textId="77777777" w:rsidR="00477212" w:rsidRPr="00D31F43" w:rsidRDefault="00477212">
            <w:pPr>
              <w:spacing w:line="240" w:lineRule="auto"/>
              <w:ind w:firstLine="567"/>
              <w:rPr>
                <w:rFonts w:ascii="Times New Roman" w:eastAsia="Times New Roman" w:hAnsi="Times New Roman" w:cs="Times New Roman"/>
                <w:lang w:val="it-IT"/>
              </w:rPr>
            </w:pPr>
          </w:p>
        </w:tc>
        <w:tc>
          <w:tcPr>
            <w:tcW w:w="1730" w:type="dxa"/>
          </w:tcPr>
          <w:p w14:paraId="0ECC4A76" w14:textId="77777777" w:rsidR="00477212" w:rsidRPr="00D31F43" w:rsidRDefault="00000000">
            <w:pPr>
              <w:spacing w:line="240" w:lineRule="auto"/>
              <w:jc w:val="center"/>
              <w:rPr>
                <w:rFonts w:ascii="Times New Roman" w:eastAsia="Times New Roman" w:hAnsi="Times New Roman" w:cs="Times New Roman"/>
                <w:b/>
                <w:bCs/>
                <w:highlight w:val="white"/>
                <w:lang w:val="pt-BR"/>
              </w:rPr>
            </w:pPr>
            <w:r w:rsidRPr="00D31F43">
              <w:rPr>
                <w:rFonts w:ascii="Times New Roman" w:eastAsia="Times New Roman" w:hAnsi="Times New Roman" w:cs="Times New Roman"/>
                <w:b/>
                <w:bCs/>
                <w:highlight w:val="white"/>
                <w:lang w:val="pt-BR"/>
              </w:rPr>
              <w:t xml:space="preserve">Centrul Național pentru Protecția Datelor cu Caracter Personal </w:t>
            </w:r>
          </w:p>
          <w:p w14:paraId="4E515534" w14:textId="77777777" w:rsidR="00477212" w:rsidRPr="00D31F43" w:rsidRDefault="00477212">
            <w:pPr>
              <w:spacing w:line="240" w:lineRule="auto"/>
              <w:jc w:val="center"/>
              <w:rPr>
                <w:rFonts w:ascii="Times New Roman" w:eastAsia="Times New Roman" w:hAnsi="Times New Roman" w:cs="Times New Roman"/>
                <w:b/>
                <w:bCs/>
                <w:lang w:val="pt-BR"/>
              </w:rPr>
            </w:pPr>
          </w:p>
          <w:p w14:paraId="213E788B" w14:textId="77777777" w:rsidR="00477212"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nr. 06/2/10486</w:t>
            </w:r>
          </w:p>
          <w:p w14:paraId="74A33F5D" w14:textId="77777777" w:rsidR="00477212"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din 20.06.2025</w:t>
            </w:r>
          </w:p>
          <w:p w14:paraId="35C2CEF1" w14:textId="77777777" w:rsidR="00477212" w:rsidRDefault="00477212">
            <w:pPr>
              <w:spacing w:line="240" w:lineRule="auto"/>
              <w:jc w:val="center"/>
              <w:rPr>
                <w:rFonts w:ascii="Times New Roman" w:eastAsia="Times New Roman" w:hAnsi="Times New Roman" w:cs="Times New Roman"/>
                <w:b/>
                <w:bCs/>
              </w:rPr>
            </w:pPr>
          </w:p>
          <w:p w14:paraId="0D89CCA5" w14:textId="77777777" w:rsidR="00477212" w:rsidRDefault="00477212">
            <w:pPr>
              <w:spacing w:line="240" w:lineRule="auto"/>
              <w:jc w:val="center"/>
              <w:rPr>
                <w:rFonts w:ascii="Times New Roman" w:eastAsia="Times New Roman" w:hAnsi="Times New Roman" w:cs="Times New Roman"/>
                <w:b/>
                <w:bCs/>
              </w:rPr>
            </w:pPr>
          </w:p>
          <w:p w14:paraId="7A7C884A" w14:textId="77777777" w:rsidR="00477212" w:rsidRDefault="00477212">
            <w:pPr>
              <w:spacing w:line="240" w:lineRule="auto"/>
              <w:jc w:val="center"/>
              <w:rPr>
                <w:rFonts w:ascii="Times New Roman" w:eastAsia="Times New Roman" w:hAnsi="Times New Roman" w:cs="Times New Roman"/>
                <w:b/>
                <w:bCs/>
              </w:rPr>
            </w:pPr>
          </w:p>
          <w:p w14:paraId="1685817C" w14:textId="77777777" w:rsidR="00477212" w:rsidRDefault="00477212">
            <w:pPr>
              <w:spacing w:line="240" w:lineRule="auto"/>
              <w:jc w:val="center"/>
              <w:rPr>
                <w:rFonts w:ascii="Times New Roman" w:eastAsia="Times New Roman" w:hAnsi="Times New Roman" w:cs="Times New Roman"/>
                <w:b/>
                <w:bCs/>
              </w:rPr>
            </w:pPr>
          </w:p>
          <w:p w14:paraId="1AC53C9A" w14:textId="77777777" w:rsidR="00477212" w:rsidRDefault="00477212">
            <w:pPr>
              <w:spacing w:line="240" w:lineRule="auto"/>
              <w:jc w:val="center"/>
              <w:rPr>
                <w:rFonts w:ascii="Times New Roman" w:eastAsia="Times New Roman" w:hAnsi="Times New Roman" w:cs="Times New Roman"/>
                <w:b/>
                <w:bCs/>
              </w:rPr>
            </w:pPr>
          </w:p>
          <w:p w14:paraId="1BB2AF86" w14:textId="77777777" w:rsidR="00477212" w:rsidRDefault="00477212">
            <w:pPr>
              <w:spacing w:line="240" w:lineRule="auto"/>
              <w:jc w:val="center"/>
              <w:rPr>
                <w:rFonts w:ascii="Times New Roman" w:eastAsia="Times New Roman" w:hAnsi="Times New Roman" w:cs="Times New Roman"/>
                <w:b/>
                <w:bCs/>
              </w:rPr>
            </w:pPr>
          </w:p>
          <w:p w14:paraId="31045769" w14:textId="77777777" w:rsidR="00477212" w:rsidRDefault="00477212">
            <w:pPr>
              <w:spacing w:line="240" w:lineRule="auto"/>
              <w:jc w:val="center"/>
              <w:rPr>
                <w:rFonts w:ascii="Times New Roman" w:eastAsia="Times New Roman" w:hAnsi="Times New Roman" w:cs="Times New Roman"/>
                <w:b/>
                <w:bCs/>
              </w:rPr>
            </w:pPr>
          </w:p>
          <w:p w14:paraId="0E9A25AC" w14:textId="77777777" w:rsidR="00477212" w:rsidRDefault="00477212">
            <w:pPr>
              <w:spacing w:line="240" w:lineRule="auto"/>
              <w:jc w:val="center"/>
              <w:rPr>
                <w:rFonts w:ascii="Times New Roman" w:eastAsia="Times New Roman" w:hAnsi="Times New Roman" w:cs="Times New Roman"/>
                <w:b/>
                <w:bCs/>
              </w:rPr>
            </w:pPr>
          </w:p>
          <w:p w14:paraId="4AA3F8BF" w14:textId="77777777" w:rsidR="00477212" w:rsidRDefault="00477212">
            <w:pPr>
              <w:spacing w:line="240" w:lineRule="auto"/>
              <w:jc w:val="center"/>
              <w:rPr>
                <w:rFonts w:ascii="Times New Roman" w:eastAsia="Times New Roman" w:hAnsi="Times New Roman" w:cs="Times New Roman"/>
                <w:b/>
                <w:bCs/>
              </w:rPr>
            </w:pPr>
          </w:p>
          <w:p w14:paraId="0F8A993F" w14:textId="77777777" w:rsidR="00477212" w:rsidRDefault="00477212">
            <w:pPr>
              <w:spacing w:line="240" w:lineRule="auto"/>
              <w:jc w:val="center"/>
              <w:rPr>
                <w:rFonts w:ascii="Times New Roman" w:eastAsia="Times New Roman" w:hAnsi="Times New Roman" w:cs="Times New Roman"/>
                <w:b/>
                <w:bCs/>
              </w:rPr>
            </w:pPr>
          </w:p>
          <w:p w14:paraId="5325C1E7" w14:textId="77777777" w:rsidR="00477212" w:rsidRDefault="00477212">
            <w:pPr>
              <w:spacing w:line="240" w:lineRule="auto"/>
              <w:jc w:val="center"/>
              <w:rPr>
                <w:rFonts w:ascii="Times New Roman" w:eastAsia="Times New Roman" w:hAnsi="Times New Roman" w:cs="Times New Roman"/>
                <w:b/>
                <w:bCs/>
              </w:rPr>
            </w:pPr>
          </w:p>
        </w:tc>
        <w:tc>
          <w:tcPr>
            <w:tcW w:w="6685" w:type="dxa"/>
          </w:tcPr>
          <w:p w14:paraId="6A8CA7B6" w14:textId="77777777" w:rsidR="00477212"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Analizând prevederile art. 5 din Legea nr. 133/2011, raportat la scopul în care se propune a colecta date cu caracter personal, nu poate fi reținută necesitatea obținerii consimțământului la prelucrarea datelor cu caracter personal, în condițiile în care</w:t>
            </w:r>
          </w:p>
          <w:p w14:paraId="310AE76E" w14:textId="77777777" w:rsidR="00477212"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prelucrarea datelor se va efectua având la bază un act normativ - Regulamentul privind aplicarea prevederilor referitoare la prevenirea și combaterea violenței și hărțuirii în muncă în autoritățile publice, operațiunile de prelucrare a datelor încadrându-se în situațiile prevăzute la art. 5 alin. (5) din legea prenotată.</w:t>
            </w:r>
          </w:p>
          <w:p w14:paraId="0A5D3989" w14:textId="77777777" w:rsidR="00477212" w:rsidRDefault="00477212">
            <w:pPr>
              <w:spacing w:line="240" w:lineRule="auto"/>
              <w:jc w:val="both"/>
              <w:rPr>
                <w:rFonts w:ascii="Times New Roman" w:eastAsia="Times New Roman" w:hAnsi="Times New Roman" w:cs="Times New Roman"/>
              </w:rPr>
            </w:pPr>
          </w:p>
          <w:p w14:paraId="3574F6B1" w14:textId="77777777" w:rsidR="00477212" w:rsidRDefault="00477212">
            <w:pPr>
              <w:spacing w:line="240" w:lineRule="auto"/>
              <w:jc w:val="both"/>
              <w:rPr>
                <w:rFonts w:ascii="Times New Roman" w:eastAsia="Times New Roman" w:hAnsi="Times New Roman" w:cs="Times New Roman"/>
              </w:rPr>
            </w:pPr>
          </w:p>
          <w:p w14:paraId="6328A76F"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29AC43F0" w14:textId="77777777" w:rsidR="00477212" w:rsidRDefault="00477212">
            <w:pPr>
              <w:shd w:val="clear" w:color="auto" w:fill="FFFFFF"/>
              <w:spacing w:line="240" w:lineRule="auto"/>
              <w:jc w:val="both"/>
              <w:rPr>
                <w:rFonts w:ascii="Times New Roman" w:eastAsia="Times New Roman" w:hAnsi="Times New Roman" w:cs="Times New Roman"/>
              </w:rPr>
            </w:pPr>
          </w:p>
        </w:tc>
        <w:tc>
          <w:tcPr>
            <w:tcW w:w="5925" w:type="dxa"/>
          </w:tcPr>
          <w:p w14:paraId="50B71645"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b/>
                <w:bCs/>
              </w:rPr>
            </w:pPr>
            <w:r>
              <w:rPr>
                <w:rFonts w:ascii="Times New Roman" w:eastAsia="Times New Roman" w:hAnsi="Times New Roman" w:cs="Times New Roman"/>
                <w:b/>
                <w:bCs/>
              </w:rPr>
              <w:t>Am luat act</w:t>
            </w:r>
          </w:p>
          <w:p w14:paraId="1ADE24DE"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Într-adevăr, prelucrarea datelor în cadrul procedurii prevăzute de Regulament se realizează în temeiul unui act normativ și se încadrează în situațiile prevăzute la art. 5 alin. (5) din </w:t>
            </w:r>
            <w:r>
              <w:rPr>
                <w:rFonts w:ascii="Times New Roman" w:eastAsia="Times New Roman" w:hAnsi="Times New Roman" w:cs="Times New Roman"/>
                <w:b/>
                <w:bCs/>
              </w:rPr>
              <w:t>Legea nr. 133/2011 privind protecția datelor cu caracter personal</w:t>
            </w:r>
            <w:r>
              <w:rPr>
                <w:rFonts w:ascii="Times New Roman" w:eastAsia="Times New Roman" w:hAnsi="Times New Roman" w:cs="Times New Roman"/>
              </w:rPr>
              <w:t>, nefiind necesară obținerea consimțământului ca temei juridic al prelucrării.</w:t>
            </w:r>
          </w:p>
          <w:p w14:paraId="57391D48"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Totodată, mențiunea privind acordul persoanei vizate este prevăzută </w:t>
            </w:r>
            <w:r>
              <w:rPr>
                <w:rFonts w:ascii="Times New Roman" w:eastAsia="Times New Roman" w:hAnsi="Times New Roman" w:cs="Times New Roman"/>
                <w:b/>
                <w:bCs/>
              </w:rPr>
              <w:t>doar în modelul de sesizare din anexă</w:t>
            </w:r>
            <w:r>
              <w:rPr>
                <w:rFonts w:ascii="Times New Roman" w:eastAsia="Times New Roman" w:hAnsi="Times New Roman" w:cs="Times New Roman"/>
              </w:rPr>
              <w:t>, sub forma unei opțiuni de bifare, prin care persoana confirmă că este informată și își exprimă acordul pentru prelucrarea datelor sale în scopul examinării sesizării. Această formulare are un caracter informativ și nu afectează temeiul juridic al prelucrării datelor. În aceste condiții, nu se identifică o problemă în menținerea acestei mențiuni în anexă.</w:t>
            </w:r>
          </w:p>
          <w:p w14:paraId="45253BAE"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rPr>
                <w:rFonts w:ascii="Times New Roman" w:eastAsia="Times New Roman" w:hAnsi="Times New Roman" w:cs="Times New Roman"/>
              </w:rPr>
            </w:pPr>
          </w:p>
          <w:p w14:paraId="406F6AF6"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p w14:paraId="0D6736A9"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p w14:paraId="4BA8BC53"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p w14:paraId="234D8835"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p w14:paraId="706F1ABD"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p w14:paraId="7161BB6B"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p w14:paraId="4D5FF454"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p w14:paraId="752D091D"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p w14:paraId="5BC38C21"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p w14:paraId="77E3ABB8"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p w14:paraId="743FBAF6"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p w14:paraId="4BF458CA"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rPr>
            </w:pPr>
          </w:p>
        </w:tc>
      </w:tr>
      <w:tr w:rsidR="00477212" w14:paraId="56357AF1" w14:textId="77777777">
        <w:trPr>
          <w:trHeight w:val="600"/>
        </w:trPr>
        <w:tc>
          <w:tcPr>
            <w:tcW w:w="675" w:type="dxa"/>
          </w:tcPr>
          <w:p w14:paraId="1372119E" w14:textId="77777777" w:rsidR="00477212" w:rsidRDefault="00477212">
            <w:pPr>
              <w:spacing w:line="240" w:lineRule="auto"/>
              <w:ind w:firstLine="567"/>
              <w:rPr>
                <w:rFonts w:ascii="Times New Roman" w:eastAsia="Times New Roman" w:hAnsi="Times New Roman" w:cs="Times New Roman"/>
              </w:rPr>
            </w:pPr>
          </w:p>
        </w:tc>
        <w:tc>
          <w:tcPr>
            <w:tcW w:w="1730" w:type="dxa"/>
          </w:tcPr>
          <w:p w14:paraId="1A1AA5DB"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Infrastructurii și Dezvoltării Regionale</w:t>
            </w:r>
          </w:p>
          <w:p w14:paraId="0B5972AB" w14:textId="77777777" w:rsidR="00477212" w:rsidRDefault="00477212">
            <w:pPr>
              <w:spacing w:line="240" w:lineRule="auto"/>
              <w:ind w:firstLine="567"/>
              <w:jc w:val="center"/>
              <w:rPr>
                <w:rFonts w:ascii="Times New Roman" w:eastAsia="Times New Roman" w:hAnsi="Times New Roman" w:cs="Times New Roman"/>
                <w:b/>
                <w:bCs/>
                <w:highlight w:val="white"/>
              </w:rPr>
            </w:pPr>
          </w:p>
          <w:p w14:paraId="0190AEC4"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highlight w:val="white"/>
              </w:rPr>
              <w:t>Nr. 22-879 din 25.02.2026</w:t>
            </w:r>
          </w:p>
        </w:tc>
        <w:tc>
          <w:tcPr>
            <w:tcW w:w="6685" w:type="dxa"/>
          </w:tcPr>
          <w:p w14:paraId="268D41DD" w14:textId="77777777" w:rsidR="00477212" w:rsidRDefault="00000000">
            <w:pPr>
              <w:shd w:val="clear" w:color="auto" w:fill="FFFFFF"/>
              <w:spacing w:before="60" w:line="342" w:lineRule="auto"/>
              <w:jc w:val="both"/>
              <w:rPr>
                <w:rFonts w:ascii="Roboto" w:eastAsia="Roboto" w:hAnsi="Roboto" w:cs="Roboto"/>
                <w:sz w:val="21"/>
                <w:szCs w:val="21"/>
                <w:highlight w:val="white"/>
              </w:rPr>
            </w:pPr>
            <w:r>
              <w:rPr>
                <w:rFonts w:ascii="Times New Roman" w:eastAsia="Times New Roman" w:hAnsi="Times New Roman" w:cs="Times New Roman"/>
                <w:highlight w:val="white"/>
              </w:rPr>
              <w:t>MIDR  comunică lipsa de obiecții sau propuneri.</w:t>
            </w:r>
          </w:p>
        </w:tc>
        <w:tc>
          <w:tcPr>
            <w:tcW w:w="5925" w:type="dxa"/>
          </w:tcPr>
          <w:p w14:paraId="142478A8"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Am luat act</w:t>
            </w:r>
          </w:p>
        </w:tc>
      </w:tr>
      <w:tr w:rsidR="00477212" w14:paraId="6E8013B9" w14:textId="77777777">
        <w:trPr>
          <w:trHeight w:val="600"/>
        </w:trPr>
        <w:tc>
          <w:tcPr>
            <w:tcW w:w="675" w:type="dxa"/>
          </w:tcPr>
          <w:p w14:paraId="5CBA50B2"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t xml:space="preserve">M </w:t>
            </w:r>
          </w:p>
        </w:tc>
        <w:tc>
          <w:tcPr>
            <w:tcW w:w="1730" w:type="dxa"/>
          </w:tcPr>
          <w:p w14:paraId="72B6966D"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Ministerul Mediului </w:t>
            </w:r>
          </w:p>
          <w:p w14:paraId="61B5C4AA"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Nr.13-05/474 din 19.02.2026</w:t>
            </w:r>
          </w:p>
        </w:tc>
        <w:tc>
          <w:tcPr>
            <w:tcW w:w="6685" w:type="dxa"/>
          </w:tcPr>
          <w:p w14:paraId="15468B5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Ministerul Mediului susține proiectul fără obiecții și propuneri.</w:t>
            </w:r>
          </w:p>
          <w:p w14:paraId="4E5C83C9" w14:textId="77777777" w:rsidR="00477212" w:rsidRPr="00D31F43" w:rsidRDefault="00000000">
            <w:pPr>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 </w:t>
            </w:r>
          </w:p>
        </w:tc>
        <w:tc>
          <w:tcPr>
            <w:tcW w:w="5925" w:type="dxa"/>
          </w:tcPr>
          <w:p w14:paraId="4E38A789"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Am luat act</w:t>
            </w:r>
          </w:p>
        </w:tc>
      </w:tr>
      <w:tr w:rsidR="00477212" w14:paraId="476D2D96" w14:textId="77777777">
        <w:trPr>
          <w:trHeight w:val="600"/>
        </w:trPr>
        <w:tc>
          <w:tcPr>
            <w:tcW w:w="675" w:type="dxa"/>
          </w:tcPr>
          <w:p w14:paraId="4281A20F" w14:textId="77777777" w:rsidR="00477212" w:rsidRDefault="00477212">
            <w:pPr>
              <w:spacing w:line="240" w:lineRule="auto"/>
              <w:ind w:firstLine="567"/>
              <w:rPr>
                <w:rFonts w:ascii="Times New Roman" w:eastAsia="Times New Roman" w:hAnsi="Times New Roman" w:cs="Times New Roman"/>
              </w:rPr>
            </w:pPr>
          </w:p>
        </w:tc>
        <w:tc>
          <w:tcPr>
            <w:tcW w:w="1730" w:type="dxa"/>
          </w:tcPr>
          <w:p w14:paraId="0232EB0D"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Sănătății</w:t>
            </w:r>
          </w:p>
          <w:p w14:paraId="766FFDC7"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Nr. 24/555 din 19.02.2026</w:t>
            </w:r>
          </w:p>
        </w:tc>
        <w:tc>
          <w:tcPr>
            <w:tcW w:w="6685" w:type="dxa"/>
          </w:tcPr>
          <w:p w14:paraId="4167B401" w14:textId="77777777" w:rsidR="00477212" w:rsidRDefault="00000000">
            <w:pPr>
              <w:shd w:val="clear" w:color="auto" w:fill="FFFFFF"/>
              <w:spacing w:before="60" w:line="240" w:lineRule="auto"/>
              <w:jc w:val="both"/>
              <w:rPr>
                <w:rFonts w:ascii="Times New Roman" w:eastAsia="Times New Roman" w:hAnsi="Times New Roman" w:cs="Times New Roman"/>
                <w:sz w:val="23"/>
                <w:szCs w:val="23"/>
                <w:highlight w:val="white"/>
              </w:rPr>
            </w:pPr>
            <w:r>
              <w:rPr>
                <w:rFonts w:ascii="Times New Roman" w:eastAsia="Times New Roman" w:hAnsi="Times New Roman" w:cs="Times New Roman"/>
                <w:sz w:val="23"/>
                <w:szCs w:val="23"/>
                <w:highlight w:val="white"/>
              </w:rPr>
              <w:t>1. La Capitolul II din proiectul Regulamentului „Măsuri și responsabilități instituționale în domeniul prevenirii și combaterii violenței și hărțuirii în muncă ”</w:t>
            </w:r>
          </w:p>
          <w:p w14:paraId="42716CBF"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6, se propune completarea cu un subpct. nou, cu următorul cuprins:</w:t>
            </w:r>
          </w:p>
          <w:p w14:paraId="1465A1D3"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„6.1) asigură accesul persoanelor afectate de violență sau hărțuire la servicii de consiliere</w:t>
            </w:r>
          </w:p>
          <w:p w14:paraId="19FDC53D"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psihologică confidențială, inclusiv prin:</w:t>
            </w:r>
          </w:p>
          <w:p w14:paraId="378487BB"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a) desemnarea unei persoane responsabile de facilitarea accesului la suport;</w:t>
            </w:r>
          </w:p>
          <w:p w14:paraId="7257F137"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b) încheierea, după caz, a acordurilor de colaborare cu instituții sau specialiști din domeniul sănătății mintale;</w:t>
            </w:r>
          </w:p>
          <w:p w14:paraId="32CDB47B"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c) informarea angajaților despre posibilitatea de a beneficia de suport psihologic”.</w:t>
            </w:r>
          </w:p>
          <w:p w14:paraId="1891A2EF"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2. La Capitolul III din proiectul Regulamentului „Procedura de raportare, investigare și soluționare a cazurilor de violență și hărțuire în muncă”</w:t>
            </w:r>
          </w:p>
          <w:p w14:paraId="262472E8"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16, se propune completarea cu un alineat nou:</w:t>
            </w:r>
          </w:p>
          <w:p w14:paraId="5F58FE14"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„Autoritatea publică, va include riscurile psihosociale, inclusiv violența și hărțuirea în muncă, în procesul de evaluare a riscurilor profesionale, conform legislației privind securitatea și sănătatea în muncă.”</w:t>
            </w:r>
          </w:p>
          <w:p w14:paraId="74183043"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3. La Capitolul IV din proiectul Regulamentului „Măsuri provizorii de protecție în cadrul procedurii de investigare a cazurilor de violență și hărțuire în muncă”</w:t>
            </w:r>
          </w:p>
          <w:p w14:paraId="5F0062DD"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40, se propune completarea cu un subpct. nou, cu următorul cuprins:</w:t>
            </w:r>
          </w:p>
          <w:p w14:paraId="2CDDA11D"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„40.41 facilitarea accesului la servicii de suport psihologic a persoanei care a depus sesizarea”.</w:t>
            </w:r>
          </w:p>
          <w:p w14:paraId="4D7A8D6E"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Capitolul V din proiectul Regulamentului „Monitorizarea, evaluarea și raportarea aplicării măsurilor privind prevenire și combaterea violenței și hărțuirii în muncă”</w:t>
            </w:r>
          </w:p>
          <w:p w14:paraId="7190A221" w14:textId="77777777" w:rsidR="00477212" w:rsidRPr="00D31F43" w:rsidRDefault="00000000">
            <w:pPr>
              <w:shd w:val="clear" w:color="auto" w:fill="FFFFFF"/>
              <w:spacing w:before="6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49, se propune completarea cu un subpct. nou, cu următorul cuprins:</w:t>
            </w:r>
          </w:p>
          <w:p w14:paraId="54A8BEC7" w14:textId="77777777" w:rsidR="00477212" w:rsidRDefault="00000000">
            <w:pPr>
              <w:shd w:val="clear" w:color="auto" w:fill="FFFFFF"/>
              <w:spacing w:before="6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49.51 cazurile în care a fost necesară acordarea suportului psihologic”.</w:t>
            </w:r>
          </w:p>
          <w:p w14:paraId="68ABBC9F" w14:textId="77777777" w:rsidR="00477212" w:rsidRDefault="00477212">
            <w:pPr>
              <w:shd w:val="clear" w:color="auto" w:fill="FFFFFF"/>
              <w:spacing w:before="60" w:line="240" w:lineRule="auto"/>
              <w:jc w:val="both"/>
              <w:rPr>
                <w:rFonts w:ascii="Times New Roman" w:eastAsia="Times New Roman" w:hAnsi="Times New Roman" w:cs="Times New Roman"/>
                <w:highlight w:val="white"/>
              </w:rPr>
            </w:pPr>
          </w:p>
          <w:p w14:paraId="1F7001EC" w14:textId="77777777" w:rsidR="00477212" w:rsidRDefault="00477212">
            <w:pPr>
              <w:shd w:val="clear" w:color="auto" w:fill="FFFFFF"/>
              <w:spacing w:before="60" w:line="240" w:lineRule="auto"/>
              <w:jc w:val="both"/>
              <w:rPr>
                <w:rFonts w:ascii="Times New Roman" w:eastAsia="Times New Roman" w:hAnsi="Times New Roman" w:cs="Times New Roman"/>
                <w:highlight w:val="white"/>
              </w:rPr>
            </w:pPr>
          </w:p>
          <w:p w14:paraId="27066C44" w14:textId="77777777" w:rsidR="00477212" w:rsidRDefault="00477212">
            <w:pPr>
              <w:shd w:val="clear" w:color="auto" w:fill="FFFFFF"/>
              <w:spacing w:before="60" w:line="342" w:lineRule="auto"/>
              <w:jc w:val="both"/>
              <w:rPr>
                <w:rFonts w:ascii="Roboto" w:eastAsia="Roboto" w:hAnsi="Roboto" w:cs="Roboto"/>
                <w:sz w:val="21"/>
                <w:szCs w:val="21"/>
                <w:highlight w:val="white"/>
              </w:rPr>
            </w:pPr>
          </w:p>
        </w:tc>
        <w:tc>
          <w:tcPr>
            <w:tcW w:w="5925" w:type="dxa"/>
          </w:tcPr>
          <w:p w14:paraId="3C7422A7"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r>
              <w:rPr>
                <w:rFonts w:ascii="Times New Roman" w:eastAsia="Times New Roman" w:hAnsi="Times New Roman" w:cs="Times New Roman"/>
                <w:b/>
                <w:bCs/>
              </w:rPr>
              <w:lastRenderedPageBreak/>
              <w:t xml:space="preserve">Nu se acceptă </w:t>
            </w:r>
          </w:p>
          <w:p w14:paraId="4E62321D"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Nu se susține completarea Regulamentului cu prevederile propuse. Instituirea unor obligații explicite privind asigurarea serviciilor de consiliere psihologică sau facilitarea accesului la astfel de servicii ar putea genera costuri suplimentare pentru autoritățile publice, care nu sunt evaluate și nici acoperite prin proiectul actului normativ. În lipsa unei fundamentări financiare și a identificării surselor de finanțare, instituirea unor asemenea obligații ar putea crea dificultăți în aplicarea Regulamentului, în special pentru autoritățile cu resurse administrative și financiare limitate.</w:t>
            </w:r>
          </w:p>
          <w:p w14:paraId="28296D62"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Totodată, potrivit principiilor de elaborare a actelor normative, stabilirea unor obligații care implică alocări de resurse financiare trebuie să fie corelată cu evaluarea impactului bugetar și cu identificarea mijloacelor de implementare. În acest sens, instituirea unei obligații generale de asigurare a serviciilor de suport psihologic ar depăși cadrul și scopul Regulamentului, care vizează stabilirea mecanismelor procedurale interne de prevenire, raportare și investigare a cazurilor de violență și hărțuire în muncă.</w:t>
            </w:r>
          </w:p>
          <w:p w14:paraId="58562330"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De asemenea, acordarea unor măsuri de sprijin, inclusiv consiliere psihologică, este deja prevăzută în Regulament la solicitarea persoanei vizate și în limitele resurselor disponibile ale angajatorului, potrivit politicilor interne ale autorității publice. Această formulare permite autorităților să adopte, în funcție de capacitatea instituțională și de resursele disponibile, măsuri adecvate de sprijin, fără a institui obligații suplimentare cu impact financiar.</w:t>
            </w:r>
          </w:p>
          <w:p w14:paraId="7B90D96D"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În ceea ce privește includerea riscurilor psihosociale în procesul de evaluare a riscurilor profesionale, această obligație este deja reglementată de legislația în domeniul securității și sănătății în muncă, astfel încât reiterarea acesteia în Regulament ar genera paralelisme normative.</w:t>
            </w:r>
          </w:p>
          <w:p w14:paraId="7EF22780"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În consecință, propunerile de completare nu sunt susținute.</w:t>
            </w:r>
          </w:p>
          <w:p w14:paraId="2AE251E9"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tc>
      </w:tr>
      <w:tr w:rsidR="00477212" w14:paraId="3141CA78" w14:textId="77777777">
        <w:trPr>
          <w:trHeight w:val="1755"/>
        </w:trPr>
        <w:tc>
          <w:tcPr>
            <w:tcW w:w="675" w:type="dxa"/>
          </w:tcPr>
          <w:p w14:paraId="427ABA72"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lastRenderedPageBreak/>
              <w:t>M</w:t>
            </w:r>
          </w:p>
        </w:tc>
        <w:tc>
          <w:tcPr>
            <w:tcW w:w="1730" w:type="dxa"/>
          </w:tcPr>
          <w:p w14:paraId="794F70EA"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Afacerilor Externe</w:t>
            </w:r>
          </w:p>
          <w:p w14:paraId="77ABC87A" w14:textId="77777777" w:rsidR="00477212" w:rsidRDefault="00477212">
            <w:pPr>
              <w:spacing w:line="240" w:lineRule="auto"/>
              <w:jc w:val="center"/>
              <w:rPr>
                <w:rFonts w:ascii="Times New Roman" w:eastAsia="Times New Roman" w:hAnsi="Times New Roman" w:cs="Times New Roman"/>
                <w:b/>
                <w:bCs/>
                <w:highlight w:val="white"/>
              </w:rPr>
            </w:pPr>
          </w:p>
          <w:p w14:paraId="1436D9BF" w14:textId="77777777" w:rsidR="00477212" w:rsidRDefault="00000000">
            <w:pPr>
              <w:spacing w:line="240" w:lineRule="auto"/>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Nr. DI/3/041-1978 din 20.02. 2026</w:t>
            </w:r>
          </w:p>
        </w:tc>
        <w:tc>
          <w:tcPr>
            <w:tcW w:w="6685" w:type="dxa"/>
          </w:tcPr>
          <w:p w14:paraId="174C3DBF" w14:textId="77777777" w:rsidR="00477212" w:rsidRDefault="00000000">
            <w:pPr>
              <w:shd w:val="clear" w:color="auto" w:fill="FFFFFF"/>
              <w:spacing w:before="60" w:line="342"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MAE comunică lipsa de obiecții sau propuneri.</w:t>
            </w:r>
          </w:p>
        </w:tc>
        <w:tc>
          <w:tcPr>
            <w:tcW w:w="5925" w:type="dxa"/>
          </w:tcPr>
          <w:p w14:paraId="62E97531"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Am luat act</w:t>
            </w:r>
          </w:p>
        </w:tc>
      </w:tr>
      <w:tr w:rsidR="00477212" w14:paraId="60D0D4F2" w14:textId="77777777">
        <w:trPr>
          <w:trHeight w:val="1509"/>
        </w:trPr>
        <w:tc>
          <w:tcPr>
            <w:tcW w:w="675" w:type="dxa"/>
          </w:tcPr>
          <w:p w14:paraId="44012620" w14:textId="77777777" w:rsidR="00477212" w:rsidRDefault="00477212">
            <w:pPr>
              <w:spacing w:line="240" w:lineRule="auto"/>
              <w:ind w:firstLine="567"/>
              <w:rPr>
                <w:rFonts w:ascii="Times New Roman" w:eastAsia="Times New Roman" w:hAnsi="Times New Roman" w:cs="Times New Roman"/>
              </w:rPr>
            </w:pPr>
          </w:p>
        </w:tc>
        <w:tc>
          <w:tcPr>
            <w:tcW w:w="1730" w:type="dxa"/>
          </w:tcPr>
          <w:p w14:paraId="7B206CDE"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Afacerilor Interne</w:t>
            </w:r>
          </w:p>
          <w:p w14:paraId="25FD7949" w14:textId="77777777" w:rsidR="00477212" w:rsidRDefault="00477212">
            <w:pPr>
              <w:spacing w:line="240" w:lineRule="auto"/>
              <w:jc w:val="center"/>
              <w:rPr>
                <w:rFonts w:ascii="Times New Roman" w:eastAsia="Times New Roman" w:hAnsi="Times New Roman" w:cs="Times New Roman"/>
                <w:b/>
                <w:bCs/>
              </w:rPr>
            </w:pPr>
          </w:p>
          <w:p w14:paraId="0822AA15" w14:textId="77777777" w:rsidR="00477212"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nr. 42/671 </w:t>
            </w:r>
          </w:p>
          <w:p w14:paraId="34E3A2D3"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rPr>
              <w:t xml:space="preserve">din 20.02.2026 </w:t>
            </w:r>
          </w:p>
        </w:tc>
        <w:tc>
          <w:tcPr>
            <w:tcW w:w="6685" w:type="dxa"/>
          </w:tcPr>
          <w:p w14:paraId="1BEA3F2A" w14:textId="77777777" w:rsidR="00477212" w:rsidRDefault="00000000">
            <w:pPr>
              <w:numPr>
                <w:ilvl w:val="0"/>
                <w:numId w:val="20"/>
              </w:numPr>
              <w:shd w:val="clear" w:color="auto" w:fill="FFFFFF"/>
              <w:spacing w:before="60" w:line="240" w:lineRule="auto"/>
              <w:ind w:left="425"/>
              <w:jc w:val="both"/>
              <w:rPr>
                <w:rFonts w:ascii="Times New Roman" w:eastAsia="Times New Roman" w:hAnsi="Times New Roman" w:cs="Times New Roman"/>
              </w:rPr>
            </w:pPr>
            <w:r>
              <w:rPr>
                <w:rFonts w:ascii="Times New Roman" w:eastAsia="Times New Roman" w:hAnsi="Times New Roman" w:cs="Times New Roman"/>
              </w:rPr>
              <w:t xml:space="preserve">La punctul 1, după textul Regulamentul privind aplicarea prevederilor referitoare la prevenirea și combaterea violenței și hărțuirii în muncă în autoritățile publice se completează cu textul (în continuare -Regulamentul). </w:t>
            </w:r>
          </w:p>
          <w:p w14:paraId="0485DED1" w14:textId="77777777" w:rsidR="00477212" w:rsidRDefault="00000000">
            <w:pPr>
              <w:numPr>
                <w:ilvl w:val="0"/>
                <w:numId w:val="20"/>
              </w:numPr>
              <w:shd w:val="clear" w:color="auto" w:fill="FFFFFF"/>
              <w:spacing w:line="240" w:lineRule="auto"/>
              <w:ind w:left="425"/>
              <w:jc w:val="both"/>
              <w:rPr>
                <w:rFonts w:ascii="Times New Roman" w:eastAsia="Times New Roman" w:hAnsi="Times New Roman" w:cs="Times New Roman"/>
              </w:rPr>
            </w:pPr>
            <w:r>
              <w:rPr>
                <w:rFonts w:ascii="Times New Roman" w:eastAsia="Times New Roman" w:hAnsi="Times New Roman" w:cs="Times New Roman"/>
              </w:rPr>
              <w:t xml:space="preserve">La sbp. 12.5 se va revedea suplimentar norma privind întreruperea  desfășurării activității, prin prisma modalităților de modificare, suspendare sau încetare a contractului individual de muncă, reglementate de legislația muncii. </w:t>
            </w:r>
          </w:p>
          <w:p w14:paraId="1EC1A004" w14:textId="77777777" w:rsidR="00477212" w:rsidRDefault="00000000">
            <w:pPr>
              <w:numPr>
                <w:ilvl w:val="0"/>
                <w:numId w:val="20"/>
              </w:numPr>
              <w:shd w:val="clear" w:color="auto" w:fill="FFFFFF"/>
              <w:spacing w:line="240" w:lineRule="auto"/>
              <w:ind w:left="425"/>
              <w:jc w:val="both"/>
              <w:rPr>
                <w:rFonts w:ascii="Times New Roman" w:eastAsia="Times New Roman" w:hAnsi="Times New Roman" w:cs="Times New Roman"/>
              </w:rPr>
            </w:pPr>
            <w:r>
              <w:rPr>
                <w:rFonts w:ascii="Times New Roman" w:eastAsia="Times New Roman" w:hAnsi="Times New Roman" w:cs="Times New Roman"/>
              </w:rPr>
              <w:lastRenderedPageBreak/>
              <w:t xml:space="preserve">La punctul 15, se propune excluderea termenului ‘deturnează’ din textul normativ, întrucât acesta nu este consacrat terminologic în materia procedurile administrative interne și nu este definit în cuprinsul actului. Utilizarea noțiunii contravine exigențelor de claritate, precizie și previzibilitate prevăzute de Legea 100/2017 cu privire la actele normative, generând un risc de interpretare extensivă. </w:t>
            </w:r>
          </w:p>
          <w:p w14:paraId="052473C0" w14:textId="77777777" w:rsidR="00477212" w:rsidRDefault="00000000">
            <w:pPr>
              <w:numPr>
                <w:ilvl w:val="0"/>
                <w:numId w:val="20"/>
              </w:numPr>
              <w:shd w:val="clear" w:color="auto" w:fill="FFFFFF"/>
              <w:spacing w:line="240" w:lineRule="auto"/>
              <w:ind w:left="425"/>
              <w:jc w:val="both"/>
              <w:rPr>
                <w:rFonts w:ascii="Times New Roman" w:eastAsia="Times New Roman" w:hAnsi="Times New Roman" w:cs="Times New Roman"/>
              </w:rPr>
            </w:pPr>
            <w:r>
              <w:rPr>
                <w:rFonts w:ascii="Times New Roman" w:eastAsia="Times New Roman" w:hAnsi="Times New Roman" w:cs="Times New Roman"/>
              </w:rPr>
              <w:t xml:space="preserve">La Capitolul III privind procedura de raportare, investigare și soluționare a cazurilor de violență și hărțuire în muncă, considerăm oportun de a analiza posibilitatea depunerii de către o persoană terță a sesizării despre situații, acțiuni, conduite sau împrejurări susceptibile de a fi considerate violență sau hărțuire în muncă. </w:t>
            </w:r>
          </w:p>
          <w:p w14:paraId="62794C5D" w14:textId="77777777" w:rsidR="00477212" w:rsidRDefault="00000000">
            <w:pPr>
              <w:numPr>
                <w:ilvl w:val="0"/>
                <w:numId w:val="20"/>
              </w:numPr>
              <w:shd w:val="clear" w:color="auto" w:fill="FFFFFF"/>
              <w:spacing w:line="240" w:lineRule="auto"/>
              <w:ind w:left="425"/>
              <w:jc w:val="both"/>
              <w:rPr>
                <w:rFonts w:ascii="Times New Roman" w:eastAsia="Times New Roman" w:hAnsi="Times New Roman" w:cs="Times New Roman"/>
              </w:rPr>
            </w:pPr>
            <w:r>
              <w:rPr>
                <w:rFonts w:ascii="Times New Roman" w:eastAsia="Times New Roman" w:hAnsi="Times New Roman" w:cs="Times New Roman"/>
              </w:rPr>
              <w:t xml:space="preserve">Procedura de desemnare a unei persoane responsabile sau a unei comisii pentru fiecare sesizare despre fapte susceptibile de a constitui violență sau hărțuire în muncă, nu oferă garanții de echitabilitate și profesionalism. În acest sens, propunem examinarea posibilității instituirii unei comisii permanente cu competențe specifice, care va asigura examinarea sesizărilor. </w:t>
            </w:r>
          </w:p>
          <w:p w14:paraId="62736DCA" w14:textId="77777777" w:rsidR="00477212" w:rsidRDefault="00000000">
            <w:pPr>
              <w:numPr>
                <w:ilvl w:val="0"/>
                <w:numId w:val="20"/>
              </w:numPr>
              <w:shd w:val="clear" w:color="auto" w:fill="FFFFFF"/>
              <w:spacing w:line="240" w:lineRule="auto"/>
              <w:ind w:left="425"/>
              <w:jc w:val="both"/>
              <w:rPr>
                <w:rFonts w:ascii="Times New Roman" w:eastAsia="Times New Roman" w:hAnsi="Times New Roman" w:cs="Times New Roman"/>
              </w:rPr>
            </w:pPr>
            <w:r>
              <w:rPr>
                <w:rFonts w:ascii="Times New Roman" w:eastAsia="Times New Roman" w:hAnsi="Times New Roman" w:cs="Times New Roman"/>
              </w:rPr>
              <w:t xml:space="preserve">Punctul 19 impune o obligație de înregistrare a unei sesizări de către persoana sau comisia, care conform pct. 20 este constituită ulterior primirii sesizării. Considerăm că, înregistrarea sesizării și deținerea Registrului de evidență a cazurilor de evidență a sesizărilor privind cazurile de violență și/sau hărțuire în muncă (Anexa nr.2)  trebuie făcute de o persoană cu atribuții permanente, fapt ce va putea asigură confidențialitatea datelor. </w:t>
            </w:r>
          </w:p>
          <w:p w14:paraId="0147CEB4" w14:textId="77777777" w:rsidR="00477212" w:rsidRPr="00D31F43" w:rsidRDefault="00000000">
            <w:pPr>
              <w:numPr>
                <w:ilvl w:val="0"/>
                <w:numId w:val="20"/>
              </w:numPr>
              <w:shd w:val="clear" w:color="auto" w:fill="FFFFFF"/>
              <w:spacing w:line="240" w:lineRule="auto"/>
              <w:ind w:left="425"/>
              <w:jc w:val="both"/>
              <w:rPr>
                <w:rFonts w:ascii="Times New Roman" w:eastAsia="Times New Roman" w:hAnsi="Times New Roman" w:cs="Times New Roman"/>
                <w:lang w:val="it-IT"/>
              </w:rPr>
            </w:pPr>
            <w:r>
              <w:rPr>
                <w:rFonts w:ascii="Times New Roman" w:eastAsia="Times New Roman" w:hAnsi="Times New Roman" w:cs="Times New Roman"/>
              </w:rPr>
              <w:t xml:space="preserve">Pct. 45, sbp.45.3. prevede că revizuirea măsurilor provizorii poate consta în înlocuirea unor măsuri cu altele mai adecvate circumstanțelor concrete ale cazului. </w:t>
            </w:r>
            <w:r w:rsidRPr="00D31F43">
              <w:rPr>
                <w:rFonts w:ascii="Times New Roman" w:eastAsia="Times New Roman" w:hAnsi="Times New Roman" w:cs="Times New Roman"/>
                <w:lang w:val="it-IT"/>
              </w:rPr>
              <w:t xml:space="preserve">Prin urmare, se subliniază că nu sunt clare cuvintele “măsuri adecvate” fiind generatoare de situații incerte </w:t>
            </w:r>
          </w:p>
          <w:p w14:paraId="3AD18D95" w14:textId="77777777" w:rsidR="00477212" w:rsidRPr="00D31F43" w:rsidRDefault="00000000">
            <w:pPr>
              <w:numPr>
                <w:ilvl w:val="0"/>
                <w:numId w:val="20"/>
              </w:numPr>
              <w:shd w:val="clear" w:color="auto" w:fill="FFFFFF"/>
              <w:spacing w:line="240" w:lineRule="auto"/>
              <w:ind w:left="425"/>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La pct. 52.3 se propune următoarea redacție “52.3. </w:t>
            </w:r>
            <w:r w:rsidRPr="00D31F43">
              <w:rPr>
                <w:rFonts w:ascii="Times New Roman" w:eastAsia="Times New Roman" w:hAnsi="Times New Roman" w:cs="Times New Roman"/>
                <w:lang w:val="pt-BR"/>
              </w:rPr>
              <w:t xml:space="preserve">Includerea în planul anual al cursurilor de instruire a subiectelor referitoare la faptele de violență sau hărțuire în muncă”. </w:t>
            </w:r>
          </w:p>
          <w:p w14:paraId="14315DD5" w14:textId="77777777" w:rsidR="00477212" w:rsidRPr="00D31F43" w:rsidRDefault="00000000">
            <w:pPr>
              <w:numPr>
                <w:ilvl w:val="0"/>
                <w:numId w:val="20"/>
              </w:numPr>
              <w:shd w:val="clear" w:color="auto" w:fill="FFFFFF"/>
              <w:spacing w:line="240" w:lineRule="auto"/>
              <w:ind w:left="425"/>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Se atrage atenția asupra necesității respectării  exigențelor statuate în Legea nr.100/2017 cu privire la actele normative, în sensul corectării greșelilor gramaticale, de ortografie, de punctuație admise în </w:t>
            </w:r>
            <w:r w:rsidRPr="00D31F43">
              <w:rPr>
                <w:rFonts w:ascii="Times New Roman" w:eastAsia="Times New Roman" w:hAnsi="Times New Roman" w:cs="Times New Roman"/>
                <w:lang w:val="pt-BR"/>
              </w:rPr>
              <w:lastRenderedPageBreak/>
              <w:t xml:space="preserve">conținutul proiectului, notei de fundamentare și excluderii erorilor de ordin tehnico-normativ. </w:t>
            </w:r>
          </w:p>
        </w:tc>
        <w:tc>
          <w:tcPr>
            <w:tcW w:w="5925" w:type="dxa"/>
          </w:tcPr>
          <w:p w14:paraId="44E96502"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r>
              <w:rPr>
                <w:rFonts w:ascii="Times New Roman" w:eastAsia="Times New Roman" w:hAnsi="Times New Roman" w:cs="Times New Roman"/>
                <w:b/>
                <w:bCs/>
              </w:rPr>
              <w:lastRenderedPageBreak/>
              <w:t>Se acceptă parțial</w:t>
            </w:r>
          </w:p>
          <w:p w14:paraId="48D4D325" w14:textId="77777777" w:rsidR="00477212"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firstLine="0"/>
              <w:jc w:val="both"/>
              <w:rPr>
                <w:rFonts w:ascii="Times New Roman" w:eastAsia="Times New Roman" w:hAnsi="Times New Roman" w:cs="Times New Roman"/>
              </w:rPr>
            </w:pPr>
            <w:r>
              <w:rPr>
                <w:rFonts w:ascii="Times New Roman" w:eastAsia="Times New Roman" w:hAnsi="Times New Roman" w:cs="Times New Roman"/>
              </w:rPr>
              <w:t xml:space="preserve">Se acceptă completarea punctului 1, în vederea introducerii unei referințe abreviate pentru utilizarea ulterioară în textul actului normativ. În acest sens, după textul </w:t>
            </w:r>
            <w:r>
              <w:rPr>
                <w:rFonts w:ascii="Times New Roman" w:eastAsia="Times New Roman" w:hAnsi="Times New Roman" w:cs="Times New Roman"/>
                <w:i/>
                <w:iCs/>
              </w:rPr>
              <w:t>„Regulamentul privind aplicarea prevederilor referitoare la prevenirea și combaterea violenței și hărțuirii în muncă în autoritățile publice” se completează cu textul „(în continuare – Regulamentul)”.</w:t>
            </w:r>
          </w:p>
          <w:p w14:paraId="27B50EFB" w14:textId="77777777" w:rsidR="00477212"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r>
              <w:rPr>
                <w:rFonts w:ascii="Times New Roman" w:eastAsia="Times New Roman" w:hAnsi="Times New Roman" w:cs="Times New Roman"/>
              </w:rPr>
              <w:lastRenderedPageBreak/>
              <w:t>Nu se susține revizuirea subpct. 12.5 în sensul propus, întrucât prevederea nu instituie o nouă modalitate de modificare, suspendare sau încetare a contractului individual de muncă și nu derogă de la reglementările prevăzute de legislația muncii. Norma are ca scop protejarea integrității fizice și psihice a persoanei în situații de risc iminent și substanțial, permițând întreruperea temporară a activității cu acordul angajatorului, având caracter preventiv și de protecție și fiind aplicabilă exclusiv în circumstanțe excepționale, fără a afecta regimul juridic al raporturilor de muncă reglementat de Codul muncii. De regulă, întreruperea temporară a activității se realizează prin acordarea concediilor plătite sau neplătite la care salariatul are deja dreptul potrivit legislației muncii, fără instituirea unor concedii suplimentare.</w:t>
            </w:r>
          </w:p>
          <w:p w14:paraId="680C732C" w14:textId="77777777" w:rsidR="00477212"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rPr>
            </w:pPr>
            <w:r>
              <w:rPr>
                <w:rFonts w:ascii="Times New Roman" w:eastAsia="Times New Roman" w:hAnsi="Times New Roman" w:cs="Times New Roman"/>
              </w:rPr>
              <w:t xml:space="preserve">Se acceptă excluderea termenului </w:t>
            </w:r>
            <w:r>
              <w:rPr>
                <w:rFonts w:ascii="Times New Roman" w:eastAsia="Times New Roman" w:hAnsi="Times New Roman" w:cs="Times New Roman"/>
                <w:b/>
                <w:bCs/>
              </w:rPr>
              <w:t>„deturnează”</w:t>
            </w:r>
            <w:r>
              <w:rPr>
                <w:rFonts w:ascii="Times New Roman" w:eastAsia="Times New Roman" w:hAnsi="Times New Roman" w:cs="Times New Roman"/>
              </w:rPr>
              <w:t xml:space="preserve"> din textul normativ, în vederea asigurării respectării cerințelor de </w:t>
            </w:r>
            <w:r>
              <w:rPr>
                <w:rFonts w:ascii="Times New Roman" w:eastAsia="Times New Roman" w:hAnsi="Times New Roman" w:cs="Times New Roman"/>
                <w:b/>
                <w:bCs/>
              </w:rPr>
              <w:t>claritate, precizie și previzibilitate</w:t>
            </w:r>
            <w:r>
              <w:rPr>
                <w:rFonts w:ascii="Times New Roman" w:eastAsia="Times New Roman" w:hAnsi="Times New Roman" w:cs="Times New Roman"/>
              </w:rPr>
              <w:t xml:space="preserve"> prevăzute de </w:t>
            </w:r>
            <w:r>
              <w:rPr>
                <w:rFonts w:ascii="Times New Roman" w:eastAsia="Times New Roman" w:hAnsi="Times New Roman" w:cs="Times New Roman"/>
                <w:b/>
                <w:bCs/>
              </w:rPr>
              <w:t>Legea nr. 100/2017 cu privire la actele normative</w:t>
            </w:r>
            <w:r>
              <w:rPr>
                <w:rFonts w:ascii="Times New Roman" w:eastAsia="Times New Roman" w:hAnsi="Times New Roman" w:cs="Times New Roman"/>
              </w:rPr>
              <w:t xml:space="preserve">. </w:t>
            </w:r>
            <w:r>
              <w:rPr>
                <w:rFonts w:ascii="Times New Roman" w:eastAsia="Times New Roman" w:hAnsi="Times New Roman" w:cs="Times New Roman"/>
                <w:b/>
                <w:bCs/>
              </w:rPr>
              <w:t>Noua redacție a pct. 15:</w:t>
            </w:r>
          </w:p>
          <w:p w14:paraId="40AB3D78"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rPr>
            </w:pPr>
            <w:r>
              <w:rPr>
                <w:rFonts w:ascii="Times New Roman" w:eastAsia="Times New Roman" w:hAnsi="Times New Roman" w:cs="Times New Roman"/>
                <w:b/>
                <w:bCs/>
              </w:rPr>
              <w:t>„</w:t>
            </w:r>
            <w:r>
              <w:rPr>
                <w:rFonts w:ascii="Times New Roman" w:eastAsia="Times New Roman" w:hAnsi="Times New Roman" w:cs="Times New Roman"/>
                <w:b/>
                <w:bCs/>
                <w:i/>
                <w:iCs/>
              </w:rPr>
              <w:t>15.</w:t>
            </w:r>
            <w:r>
              <w:rPr>
                <w:rFonts w:ascii="Times New Roman" w:eastAsia="Times New Roman" w:hAnsi="Times New Roman" w:cs="Times New Roman"/>
                <w:i/>
                <w:iCs/>
              </w:rPr>
              <w:t xml:space="preserve"> Persoanele care, prin acțiuni sau omisiuni, împiedică, obstrucționează sau influențează desfășurarea procedurilor interne privind prevenirea și combaterea violenței și hărțuirii în muncă poartă răspundere în condițiile legislației în vigoare și ale politicilor interne ale autorității publice.”</w:t>
            </w:r>
          </w:p>
          <w:p w14:paraId="0462004F" w14:textId="77777777" w:rsidR="00477212"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0" w:firstLine="141"/>
              <w:jc w:val="both"/>
              <w:rPr>
                <w:rFonts w:ascii="Times New Roman" w:eastAsia="Times New Roman" w:hAnsi="Times New Roman" w:cs="Times New Roman"/>
              </w:rPr>
            </w:pPr>
            <w:r>
              <w:rPr>
                <w:rFonts w:ascii="Times New Roman" w:eastAsia="Times New Roman" w:hAnsi="Times New Roman" w:cs="Times New Roman"/>
              </w:rPr>
              <w:t xml:space="preserve">Nu se susține completarea Regulamentului în sensul posibilității depunerii sesizării de către o persoană terță. Inițierea procedurii de investigare privind fapte de violență și/sau hărțuire în muncă ține de voința titularului dreptului, respectiv a persoanei vizate, care decide dacă dorește sau nu să sesizeze astfel de fapte și să declanșeze procedura internă. Instituirea posibilității ca o persoană terță să depună sesizarea ar putea conduce la declanșarea unor proceduri fără acordul persoanei pretins vătămate, cu potențiale consecințe asupra vieții private, a </w:t>
            </w:r>
            <w:r>
              <w:rPr>
                <w:rFonts w:ascii="Times New Roman" w:eastAsia="Times New Roman" w:hAnsi="Times New Roman" w:cs="Times New Roman"/>
              </w:rPr>
              <w:lastRenderedPageBreak/>
              <w:t>relațiilor de muncă și a climatului organizațional. În aceste condiții, se consideră oportun ca doar persoana vizată sau reprezentantul acesteia, în condițiile legii, să decidă inițierea procedurii.</w:t>
            </w:r>
          </w:p>
          <w:p w14:paraId="3EB296C3" w14:textId="77777777" w:rsidR="00477212"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rPr>
            </w:pPr>
            <w:r w:rsidRPr="00D31F43">
              <w:rPr>
                <w:rFonts w:ascii="Times New Roman" w:eastAsia="Times New Roman" w:hAnsi="Times New Roman" w:cs="Times New Roman"/>
                <w:highlight w:val="white"/>
                <w:lang w:val="it-IT"/>
              </w:rPr>
              <w:t xml:space="preserve">Nu se susține instituirea unei comisii permanente. Soluția propusă de Regulament – desemnarea unei persoane responsabile sau constituirea unei comisii pentru fiecare caz – este justificată prin necesitatea asigurării imparțialității și evitării conflictelor de interese. În cazul unei comisii permanente există riscul ca unul dintre membri să fie persoana vizată, persoana reclamată sau să se afle într-o relație care ar putea afecta obiectivitatea examinării, situație care ar impune înlocuiri repetate și ar diminua eficiența mecanismului. Totodată, cerința prevăzută la pct. 23 privind instruirea specifică nu presupune limitarea acesteia doar la membrii unei comisii permanente. Dimpotrivă, pentru a asigura funcționarea efectivă a mecanismului și pentru a preveni apariția conflictelor de interese, este oportun ca instruirea în domeniul prevenirii și combaterii violenței și hărțuirii în muncă să fie realizată la nivelul autorității pentru un număr suficient de persoane, astfel încât conducătorul instituției să poată desemna, în fiecare caz, persoane competente și imparțiale. </w:t>
            </w:r>
            <w:r>
              <w:rPr>
                <w:rFonts w:ascii="Times New Roman" w:eastAsia="Times New Roman" w:hAnsi="Times New Roman" w:cs="Times New Roman"/>
                <w:highlight w:val="white"/>
              </w:rPr>
              <w:t>Această abordare asigură atât flexibilitatea procedurii, cât și respectarea principiilor de obiectivitate și independență în investigarea sesizărilor.</w:t>
            </w:r>
          </w:p>
          <w:p w14:paraId="644E9C4A" w14:textId="77777777" w:rsidR="00477212"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r>
              <w:rPr>
                <w:rFonts w:ascii="Times New Roman" w:eastAsia="Times New Roman" w:hAnsi="Times New Roman" w:cs="Times New Roman"/>
              </w:rPr>
              <w:t xml:space="preserve">Se acceptă revizuirea pct. 19, în vederea clarificării responsabilității privind </w:t>
            </w:r>
            <w:r>
              <w:rPr>
                <w:rFonts w:ascii="Times New Roman" w:eastAsia="Times New Roman" w:hAnsi="Times New Roman" w:cs="Times New Roman"/>
                <w:b/>
                <w:bCs/>
              </w:rPr>
              <w:t>înregistrarea și evidența sesizărilor</w:t>
            </w:r>
            <w:r>
              <w:rPr>
                <w:rFonts w:ascii="Times New Roman" w:eastAsia="Times New Roman" w:hAnsi="Times New Roman" w:cs="Times New Roman"/>
              </w:rPr>
              <w:t xml:space="preserve">. </w:t>
            </w:r>
            <w:r>
              <w:rPr>
                <w:rFonts w:ascii="Times New Roman" w:eastAsia="Times New Roman" w:hAnsi="Times New Roman" w:cs="Times New Roman"/>
                <w:b/>
                <w:bCs/>
                <w:i/>
                <w:iCs/>
              </w:rPr>
              <w:t>„20.</w:t>
            </w:r>
            <w:r>
              <w:rPr>
                <w:rFonts w:ascii="Times New Roman" w:eastAsia="Times New Roman" w:hAnsi="Times New Roman" w:cs="Times New Roman"/>
                <w:i/>
                <w:iCs/>
                <w:sz w:val="14"/>
                <w:szCs w:val="14"/>
              </w:rPr>
              <w:tab/>
            </w:r>
            <w:r>
              <w:rPr>
                <w:rFonts w:ascii="Times New Roman" w:eastAsia="Times New Roman" w:hAnsi="Times New Roman" w:cs="Times New Roman"/>
                <w:i/>
                <w:iCs/>
              </w:rPr>
              <w:t xml:space="preserve">Persoana sau structura desemnată în cadrul autorității publice pentru primirea sesizărilor înregistrează sesizarea într-un registru special în aceeași zi sau cel târziu în prima zi lucrătoare următoare primirii acesteia, asigură evidența și păstrarea sesizărilor în conformitate cu procedurile interne ale autorității publice (conform Anexei nr. 3 la Regulament) și verifică existența informațiilor esențiale necesare demarării procedurii. În cazul în care sesizarea este incompletă, solicită </w:t>
            </w:r>
            <w:r>
              <w:rPr>
                <w:rFonts w:ascii="Times New Roman" w:eastAsia="Times New Roman" w:hAnsi="Times New Roman" w:cs="Times New Roman"/>
                <w:i/>
                <w:iCs/>
              </w:rPr>
              <w:lastRenderedPageBreak/>
              <w:t>persoanei vizate clarificări sau completări în termen de cel mult 3 zile lucrătoare de la data înregistrării.”</w:t>
            </w:r>
          </w:p>
          <w:p w14:paraId="36CEC0D7" w14:textId="77777777" w:rsidR="00477212"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r>
              <w:rPr>
                <w:rFonts w:ascii="Times New Roman" w:eastAsia="Times New Roman" w:hAnsi="Times New Roman" w:cs="Times New Roman"/>
              </w:rPr>
              <w:t xml:space="preserve">Nu se susține revizuirea subpct. 45.3. Redacția actuală este suficient de clară și reflectă caracterul </w:t>
            </w:r>
            <w:r>
              <w:rPr>
                <w:rFonts w:ascii="Times New Roman" w:eastAsia="Times New Roman" w:hAnsi="Times New Roman" w:cs="Times New Roman"/>
                <w:b/>
                <w:bCs/>
              </w:rPr>
              <w:t>flexibil și adaptabil</w:t>
            </w:r>
            <w:r>
              <w:rPr>
                <w:rFonts w:ascii="Times New Roman" w:eastAsia="Times New Roman" w:hAnsi="Times New Roman" w:cs="Times New Roman"/>
              </w:rPr>
              <w:t xml:space="preserve"> al măsurilor provizorii de protecție, care trebuie ajustate în funcție de circumstanțele concrete ale fiecărui caz. Posibilitatea înlocuirii unor măsuri cu altele mai adecvate are rolul de a permite autorității publice să reacționeze prompt la evoluția situației investigate și să asigure eficiența măsurilor de protecție aplicate. În aceste condiții, textul nu generează ambiguități și nu necesită reformulare.</w:t>
            </w:r>
          </w:p>
          <w:p w14:paraId="34C8B88B" w14:textId="77777777" w:rsidR="00477212"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r>
              <w:rPr>
                <w:rFonts w:ascii="Times New Roman" w:eastAsia="Times New Roman" w:hAnsi="Times New Roman" w:cs="Times New Roman"/>
              </w:rPr>
              <w:t>Nu se susține modificarea pct. 52.3 în sensul propus. Redacția actuală a prevederii este suficient de clară și acoperă obiectivul urmărit, respectiv asigurarea instruirii personalului în domeniul prevenirii și combaterii violenței și/sau hărțuirii în muncă. Formularea propusă ar restrânge nejustificat sfera reglementării doar la includerea unor subiecte în planul anual de instruire, în timp ce redacția actuală permite o abordare mai amplă și flexibilă a activităților de informare și formare profesională în acest domeniu.</w:t>
            </w:r>
          </w:p>
          <w:p w14:paraId="135C8E6E" w14:textId="77777777" w:rsidR="00477212" w:rsidRDefault="00000000">
            <w:pPr>
              <w:numPr>
                <w:ilvl w:val="0"/>
                <w:numId w:val="3"/>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rPr>
            </w:pPr>
            <w:r>
              <w:rPr>
                <w:rFonts w:ascii="Times New Roman" w:eastAsia="Times New Roman" w:hAnsi="Times New Roman" w:cs="Times New Roman"/>
              </w:rPr>
              <w:t>S-a luat act de observația formulată. Textul proiectului, precum și nota de fundamentare vor fi revizuite în vederea corectării eventualelor greșeli gramaticale, de ortografie și de punctuație, precum și pentru eliminarea eventualelor erori de ordin tehnico-normativ, în conformitate cu exigențele prevăzute de Legea nr. 100/2017 cu privire la actele normative.</w:t>
            </w:r>
          </w:p>
        </w:tc>
      </w:tr>
      <w:tr w:rsidR="00477212" w14:paraId="199E6FFA" w14:textId="77777777">
        <w:trPr>
          <w:trHeight w:val="600"/>
        </w:trPr>
        <w:tc>
          <w:tcPr>
            <w:tcW w:w="675" w:type="dxa"/>
          </w:tcPr>
          <w:p w14:paraId="46863097" w14:textId="77777777" w:rsidR="00477212" w:rsidRDefault="00477212">
            <w:pPr>
              <w:spacing w:line="240" w:lineRule="auto"/>
              <w:ind w:firstLine="567"/>
              <w:rPr>
                <w:rFonts w:ascii="Times New Roman" w:eastAsia="Times New Roman" w:hAnsi="Times New Roman" w:cs="Times New Roman"/>
              </w:rPr>
            </w:pPr>
          </w:p>
        </w:tc>
        <w:tc>
          <w:tcPr>
            <w:tcW w:w="1730" w:type="dxa"/>
          </w:tcPr>
          <w:p w14:paraId="2502E12E"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Apărării</w:t>
            </w:r>
          </w:p>
          <w:p w14:paraId="7A8570C2"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nr. 11/240 din 16.02.2026</w:t>
            </w:r>
          </w:p>
        </w:tc>
        <w:tc>
          <w:tcPr>
            <w:tcW w:w="6685" w:type="dxa"/>
          </w:tcPr>
          <w:p w14:paraId="6C43B484" w14:textId="77777777" w:rsidR="00477212" w:rsidRDefault="00000000">
            <w:pPr>
              <w:shd w:val="clear" w:color="auto" w:fill="FFFFFF"/>
              <w:spacing w:before="6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Ministerul Apărarii comunică despre lipsa propunerilor și obiecțiilor pe marginea proiectului.</w:t>
            </w:r>
          </w:p>
        </w:tc>
        <w:tc>
          <w:tcPr>
            <w:tcW w:w="5925" w:type="dxa"/>
          </w:tcPr>
          <w:p w14:paraId="7C711779"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Am luat act</w:t>
            </w:r>
          </w:p>
        </w:tc>
      </w:tr>
      <w:tr w:rsidR="00477212" w:rsidRPr="00AE06E3" w14:paraId="1C883440" w14:textId="77777777">
        <w:trPr>
          <w:trHeight w:val="600"/>
        </w:trPr>
        <w:tc>
          <w:tcPr>
            <w:tcW w:w="675" w:type="dxa"/>
          </w:tcPr>
          <w:p w14:paraId="6E3A7666" w14:textId="77777777" w:rsidR="00477212" w:rsidRDefault="00477212">
            <w:pPr>
              <w:spacing w:line="240" w:lineRule="auto"/>
              <w:ind w:firstLine="567"/>
              <w:rPr>
                <w:rFonts w:ascii="Times New Roman" w:eastAsia="Times New Roman" w:hAnsi="Times New Roman" w:cs="Times New Roman"/>
              </w:rPr>
            </w:pPr>
          </w:p>
        </w:tc>
        <w:tc>
          <w:tcPr>
            <w:tcW w:w="1730" w:type="dxa"/>
          </w:tcPr>
          <w:p w14:paraId="53DD2A2E"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Ministerul Culturii </w:t>
            </w:r>
          </w:p>
          <w:p w14:paraId="66A7FBC1" w14:textId="77777777" w:rsidR="00477212" w:rsidRDefault="00477212">
            <w:pPr>
              <w:spacing w:line="240" w:lineRule="auto"/>
              <w:jc w:val="center"/>
              <w:rPr>
                <w:rFonts w:ascii="Times New Roman" w:eastAsia="Times New Roman" w:hAnsi="Times New Roman" w:cs="Times New Roman"/>
                <w:b/>
                <w:bCs/>
                <w:highlight w:val="yellow"/>
              </w:rPr>
            </w:pPr>
          </w:p>
          <w:p w14:paraId="5571FB2C"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rPr>
              <w:lastRenderedPageBreak/>
              <w:t>nr. 05/2-09/430 din 19.02.26</w:t>
            </w:r>
          </w:p>
        </w:tc>
        <w:tc>
          <w:tcPr>
            <w:tcW w:w="6685" w:type="dxa"/>
          </w:tcPr>
          <w:p w14:paraId="10BD9B95"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1. Se propune completarea Capitolului III din Regulament cu un nou punct, care să asigure transpunerea prevederilor prevăzute de art. 82 alin. (2) lit. f1 din Codul muncii, referitor la termenul de soluționare a sesizării, care reglementează soluționarea sesizării într-un termen rezonabil, care nu </w:t>
            </w:r>
            <w:r>
              <w:rPr>
                <w:rFonts w:ascii="Times New Roman" w:eastAsia="Times New Roman" w:hAnsi="Times New Roman" w:cs="Times New Roman"/>
              </w:rPr>
              <w:lastRenderedPageBreak/>
              <w:t>va depăși 30 de zile de la data înregistrării acesteia, cu posibilitatea prelungirii o singura data, în mod justificat, pentru un termen de cel mult l5 zile.</w:t>
            </w:r>
          </w:p>
          <w:p w14:paraId="55065960"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2. Pentru a evita expunerea generală a pct.27, se propune reformularea în următoarea redacție: ,,27. Toate informațiile, datele cu caracter personal și identitățile persoanelor implicate sunt supuse unui regim strict de confidențialitate. Accesul la datele cu caracter personal, inclusiv la categoriile speciale de date, se realizează cu respectarea strictă a prevederilor Legii nr. 133/2011 și este permis exclusiv persoanelor autorizate.”</w:t>
            </w:r>
          </w:p>
          <w:p w14:paraId="6F9FA531"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3. Pentru a evita confuziile referitor la persoanele notificate despre măsurile provizorii, se propune reformularea punctului 43, după cum urmează:</w:t>
            </w:r>
          </w:p>
          <w:p w14:paraId="5A914987"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"43. ordinul privind aplicarea măsurilor provizorii de protecție se aduce la cunoștința părților implicate (persoana vizată și persoana reclamată), sub semnătură sau prin orice altă modalitate care permite confirmarea recepționării, în termen de 3 zile lucrătoare de la data emiterii acestuia.”</w:t>
            </w:r>
          </w:p>
          <w:p w14:paraId="12BE9C48"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4. Se propune reformulare pct. 6.1 din Anexa nr. 4, în următoarea redacție:</w:t>
            </w:r>
          </w:p>
          <w:p w14:paraId="357E40A3"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,,6.1. să intervină prompt, în termen de maximum 24 de ore, atunci când observă sau primesc informații privind comportamente, tensiuni, conflicte sau situații susceptibile de a constitui violență, hărțuire sau risc de hărțuire, luând măsuri imediate pentru stoparea escaladării și restrângerea eventualelor consecințe. Neîndeplinirea acestei obligații de către conducătorul structurii constituie abatere disciplinară, indiferent dacă victima a depus sau nu o sesizare.” </w:t>
            </w:r>
          </w:p>
          <w:p w14:paraId="478275D2"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5. Se propune reformularea pct.12.2 din Anexa nr.4 “12.2. convoacă în termen de cel mult 10 zile lucrătoare de la data emiterii ordinului  de desemnare, persoană vizată și persoana reclamată, în vederea audierii, asigurând desfășurarea discuțiilor într-un cadru confidențial, imparțial ;i lipsit de presiuni. Convocarea persoanei reclamate se face împreună cu înmânarea unei copii a sesizării, cu anonimizarea datelor de contact ale victimei, atunci când există riscuri.”</w:t>
            </w:r>
          </w:p>
          <w:p w14:paraId="72EED380"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6. Se propune completarea Anexei nr. 2 cu o Nota având următorul cuprins ,,În cazul utilizării formatului electronic, registrul trebuie să permită </w:t>
            </w:r>
            <w:r>
              <w:rPr>
                <w:rFonts w:ascii="Times New Roman" w:eastAsia="Times New Roman" w:hAnsi="Times New Roman" w:cs="Times New Roman"/>
              </w:rPr>
              <w:lastRenderedPageBreak/>
              <w:t xml:space="preserve">restricționarea drepturilor de editare a înregistrărilor după salvarea acestora, pentru a asigura integritatea datelor”. </w:t>
            </w:r>
          </w:p>
          <w:p w14:paraId="4F34CA03" w14:textId="77777777" w:rsidR="00477212" w:rsidRDefault="00477212">
            <w:pPr>
              <w:shd w:val="clear" w:color="auto" w:fill="FFFFFF"/>
              <w:spacing w:line="240" w:lineRule="auto"/>
              <w:jc w:val="both"/>
              <w:rPr>
                <w:rFonts w:ascii="Times New Roman" w:eastAsia="Times New Roman" w:hAnsi="Times New Roman" w:cs="Times New Roman"/>
              </w:rPr>
            </w:pPr>
          </w:p>
          <w:p w14:paraId="3736C050" w14:textId="77777777" w:rsidR="00477212" w:rsidRDefault="00477212">
            <w:pPr>
              <w:shd w:val="clear" w:color="auto" w:fill="FFFFFF"/>
              <w:spacing w:line="240" w:lineRule="auto"/>
              <w:jc w:val="both"/>
              <w:rPr>
                <w:rFonts w:ascii="Times New Roman" w:eastAsia="Times New Roman" w:hAnsi="Times New Roman" w:cs="Times New Roman"/>
              </w:rPr>
            </w:pPr>
          </w:p>
          <w:p w14:paraId="4A7C9421" w14:textId="77777777" w:rsidR="00477212" w:rsidRDefault="00477212">
            <w:pPr>
              <w:shd w:val="clear" w:color="auto" w:fill="FFFFFF"/>
              <w:spacing w:line="240" w:lineRule="auto"/>
              <w:ind w:right="-353"/>
              <w:jc w:val="both"/>
              <w:rPr>
                <w:rFonts w:ascii="Times New Roman" w:eastAsia="Times New Roman" w:hAnsi="Times New Roman" w:cs="Times New Roman"/>
              </w:rPr>
            </w:pPr>
          </w:p>
          <w:p w14:paraId="284B9260" w14:textId="77777777" w:rsidR="00477212" w:rsidRDefault="00477212">
            <w:pPr>
              <w:shd w:val="clear" w:color="auto" w:fill="FFFFFF"/>
              <w:spacing w:line="240" w:lineRule="auto"/>
              <w:jc w:val="both"/>
              <w:rPr>
                <w:rFonts w:ascii="Times New Roman" w:eastAsia="Times New Roman" w:hAnsi="Times New Roman" w:cs="Times New Roman"/>
              </w:rPr>
            </w:pPr>
          </w:p>
        </w:tc>
        <w:tc>
          <w:tcPr>
            <w:tcW w:w="5925" w:type="dxa"/>
          </w:tcPr>
          <w:p w14:paraId="763B454A"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r>
              <w:rPr>
                <w:rFonts w:ascii="Times New Roman" w:eastAsia="Times New Roman" w:hAnsi="Times New Roman" w:cs="Times New Roman"/>
                <w:b/>
                <w:bCs/>
              </w:rPr>
              <w:lastRenderedPageBreak/>
              <w:t>Se acceptă parțial</w:t>
            </w:r>
          </w:p>
          <w:p w14:paraId="5ADE0E9C" w14:textId="77777777" w:rsidR="00477212"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Se acceptă completarea Capitolului III al Regulamentului cu o prevedere care să asigure corelarea cu art. </w:t>
            </w:r>
            <w:r w:rsidRPr="00D31F43">
              <w:rPr>
                <w:rFonts w:ascii="Times New Roman" w:eastAsia="Times New Roman" w:hAnsi="Times New Roman" w:cs="Times New Roman"/>
                <w:lang w:val="it-IT"/>
              </w:rPr>
              <w:lastRenderedPageBreak/>
              <w:t xml:space="preserve">82 alin. (2) lit. f¹) din Codul muncii al Republicii Moldova nr. 154/2003, referitor la termenul de soluționare a sesizării. </w:t>
            </w:r>
            <w:r>
              <w:rPr>
                <w:rFonts w:ascii="Times New Roman" w:eastAsia="Times New Roman" w:hAnsi="Times New Roman" w:cs="Times New Roman"/>
              </w:rPr>
              <w:t>În acest sens, Capitolul III se completează cu un punct nou, cu următorul cuprins:</w:t>
            </w:r>
          </w:p>
          <w:p w14:paraId="13E351B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b/>
                <w:bCs/>
                <w:lang w:val="it-IT"/>
              </w:rPr>
            </w:pPr>
            <w:r w:rsidRPr="00D31F43">
              <w:rPr>
                <w:rFonts w:ascii="Times New Roman" w:eastAsia="Times New Roman" w:hAnsi="Times New Roman" w:cs="Times New Roman"/>
                <w:b/>
                <w:bCs/>
                <w:lang w:val="it-IT"/>
              </w:rPr>
              <w:t>„</w:t>
            </w:r>
            <w:r w:rsidRPr="00D31F43">
              <w:rPr>
                <w:rFonts w:ascii="Times New Roman" w:eastAsia="Times New Roman" w:hAnsi="Times New Roman" w:cs="Times New Roman"/>
                <w:i/>
                <w:iCs/>
                <w:lang w:val="it-IT"/>
              </w:rPr>
              <w:t>37. Sesizarea se examinează într-un termen rezonabil, care nu va depăși 30 de zile de la data înregistrării acesteia. În cazuri justificate, termenul poate fi prelungit o singură dată, pentru o perioadă de cel mult 15 zile, cu informarea părților implicate.</w:t>
            </w:r>
            <w:r w:rsidRPr="00D31F43">
              <w:rPr>
                <w:rFonts w:ascii="Times New Roman" w:eastAsia="Times New Roman" w:hAnsi="Times New Roman" w:cs="Times New Roman"/>
                <w:b/>
                <w:bCs/>
                <w:lang w:val="it-IT"/>
              </w:rPr>
              <w:t>”</w:t>
            </w:r>
          </w:p>
          <w:p w14:paraId="12C28132" w14:textId="77777777" w:rsidR="00477212" w:rsidRPr="00D31F43"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Se acceptă  parțial revizuirea redacției pct. 27 prin eliminarea sintagmei „regim strict de confidențialitate”. În consecință, punctul 27 va avea următoarea redacție:</w:t>
            </w:r>
          </w:p>
          <w:p w14:paraId="4AE318FB"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it-IT"/>
              </w:rPr>
            </w:pPr>
            <w:r w:rsidRPr="00D31F43">
              <w:rPr>
                <w:rFonts w:ascii="Times New Roman" w:eastAsia="Times New Roman" w:hAnsi="Times New Roman" w:cs="Times New Roman"/>
                <w:i/>
                <w:iCs/>
                <w:highlight w:val="white"/>
                <w:lang w:val="it-IT"/>
              </w:rPr>
              <w:t>„28. Toate informațiile, datele cu caracter personal și identitățile persoanelor implicate sunt supuse obligației de confidențialitate, accesul la acestea fiind permis exclusiv persoanelor autorizate, potrivit procedurilor interne și legislației aplicabile.”</w:t>
            </w:r>
          </w:p>
          <w:p w14:paraId="05422968" w14:textId="77777777" w:rsidR="00477212" w:rsidRPr="00D31F43"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sz w:val="20"/>
                <w:szCs w:val="20"/>
                <w:lang w:val="it-IT"/>
              </w:rPr>
            </w:pPr>
            <w:r w:rsidRPr="00D31F43">
              <w:rPr>
                <w:rFonts w:ascii="Times New Roman" w:eastAsia="Times New Roman" w:hAnsi="Times New Roman" w:cs="Times New Roman"/>
                <w:b/>
                <w:bCs/>
                <w:highlight w:val="white"/>
                <w:lang w:val="it-IT"/>
              </w:rPr>
              <w:t xml:space="preserve">Se acceptă. </w:t>
            </w:r>
            <w:r w:rsidRPr="00D31F43">
              <w:rPr>
                <w:rFonts w:ascii="Times New Roman" w:eastAsia="Times New Roman" w:hAnsi="Times New Roman" w:cs="Times New Roman"/>
                <w:highlight w:val="white"/>
                <w:lang w:val="it-IT"/>
              </w:rPr>
              <w:t>În consecință, prevederea va avea următoarea redacție</w:t>
            </w:r>
          </w:p>
          <w:p w14:paraId="563B348D"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i/>
                <w:iCs/>
                <w:highlight w:val="white"/>
                <w:lang w:val="it-IT"/>
              </w:rPr>
            </w:pPr>
            <w:r w:rsidRPr="00D31F43">
              <w:rPr>
                <w:rFonts w:ascii="Times New Roman" w:eastAsia="Times New Roman" w:hAnsi="Times New Roman" w:cs="Times New Roman"/>
                <w:b/>
                <w:bCs/>
                <w:highlight w:val="white"/>
                <w:lang w:val="it-IT"/>
              </w:rPr>
              <w:t xml:space="preserve">“44. </w:t>
            </w:r>
            <w:r w:rsidRPr="00D31F43">
              <w:rPr>
                <w:rFonts w:ascii="Times New Roman" w:eastAsia="Times New Roman" w:hAnsi="Times New Roman" w:cs="Times New Roman"/>
                <w:i/>
                <w:iCs/>
                <w:highlight w:val="white"/>
                <w:lang w:val="it-IT"/>
              </w:rPr>
              <w:t>Ordinul privind aplicarea măsurilor provizorii de protecție se aduce la cunoștința persoanei vizate sau a altor persoane implicate, sub semnătură sau prin orice altă modalitate care permite confirmarea recepționării ori înștiințării, în termen de 3 zile lucrătoare de la data emiterii acestuia.”</w:t>
            </w:r>
          </w:p>
          <w:p w14:paraId="385BE0C9" w14:textId="77777777" w:rsidR="00477212" w:rsidRPr="00D31F43"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Nu se susține reformularea pct. 6.1 în sensul stabilirii unui termen fix de 24 de ore și nici calificarea expresă a neîndeplinirii acestei obligații drept abatere disciplinară în cuprinsul Regulamentului. Stabilirea unui termen rigid nu este oportună, întrucât situațiile susceptibile de a constitui violență și/sau hărțuire pot avea grade diferite de complexitate, iar intervenția trebuie apreciată în funcție de circumstanțele concrete ale fiecărui caz. Formularea actuală, care prevede obligația de a </w:t>
            </w:r>
            <w:r w:rsidRPr="00D31F43">
              <w:rPr>
                <w:rFonts w:ascii="Times New Roman" w:eastAsia="Times New Roman" w:hAnsi="Times New Roman" w:cs="Times New Roman"/>
                <w:lang w:val="it-IT"/>
              </w:rPr>
              <w:lastRenderedPageBreak/>
              <w:t xml:space="preserve">interveni prompt și în mod </w:t>
            </w:r>
            <w:r w:rsidRPr="00D31F43">
              <w:rPr>
                <w:rFonts w:ascii="Times New Roman" w:eastAsia="Times New Roman" w:hAnsi="Times New Roman" w:cs="Times New Roman"/>
                <w:b/>
                <w:bCs/>
                <w:lang w:val="it-IT"/>
              </w:rPr>
              <w:t xml:space="preserve">proporțional, permite o </w:t>
            </w:r>
            <w:r w:rsidRPr="00D31F43">
              <w:rPr>
                <w:rFonts w:ascii="Times New Roman" w:eastAsia="Times New Roman" w:hAnsi="Times New Roman" w:cs="Times New Roman"/>
                <w:lang w:val="it-IT"/>
              </w:rPr>
              <w:t>abordare flexibilă și adecvată naturii situației constatate. Totodată, calificarea unei fapte ca abatere disciplinară și aplicarea sancțiunilor disciplinare se realizează în temeiul legislației aplicabile, respectiv al Codului muncii și al cadrului normativ privind funcția publică, fără a fi necesară instituirea unei asemenea prevederi exprese în Regulament.</w:t>
            </w:r>
          </w:p>
          <w:p w14:paraId="37CB5783" w14:textId="77777777" w:rsidR="00477212" w:rsidRPr="00D31F43"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Nu se susține reformularea pct. 12.2 în sensul propus. Introducerea obligației de a înmâna persoanei reclamate o copie a sesizării ar putea genera riscuri privind divulgarea datelor cu caracter personal și a informațiilor confidențiale, inclusiv a identității persoanei vizate sau a martorilor. Dreptul la apărare al persoanei reclamate este deja asigurat prin posibilitatea de a fi audiată și de a prezenta explicații și probe, iar modul de informare asupra datelor din sesizare se stabilește de la caz la caz, în funcție de circumstanțele concrete ale situației, cu respectarea principiului confidențialității și a legislației privind protecția datelor cu caracter personal.</w:t>
            </w:r>
          </w:p>
          <w:p w14:paraId="0EE903ED" w14:textId="77777777" w:rsidR="00477212" w:rsidRPr="00D31F43" w:rsidRDefault="00000000">
            <w:pPr>
              <w:numPr>
                <w:ilvl w:val="0"/>
                <w:numId w:val="5"/>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Se acceptă completarea </w:t>
            </w:r>
            <w:r w:rsidRPr="00D31F43">
              <w:rPr>
                <w:rFonts w:ascii="Times New Roman" w:eastAsia="Times New Roman" w:hAnsi="Times New Roman" w:cs="Times New Roman"/>
                <w:b/>
                <w:bCs/>
                <w:lang w:val="it-IT"/>
              </w:rPr>
              <w:t>Anexei nr. 2</w:t>
            </w:r>
            <w:r w:rsidRPr="00D31F43">
              <w:rPr>
                <w:rFonts w:ascii="Times New Roman" w:eastAsia="Times New Roman" w:hAnsi="Times New Roman" w:cs="Times New Roman"/>
                <w:lang w:val="it-IT"/>
              </w:rPr>
              <w:t xml:space="preserve"> cu o notă în vederea asigurării integrității și securității datelor în cazul utilizării registrului în format electronic. </w:t>
            </w:r>
            <w:r w:rsidRPr="00D31F43">
              <w:rPr>
                <w:rFonts w:ascii="Times New Roman" w:eastAsia="Times New Roman" w:hAnsi="Times New Roman" w:cs="Times New Roman"/>
                <w:lang w:val="pt-BR"/>
              </w:rPr>
              <w:t xml:space="preserve">În acest sens, Anexa nr. 2 se completează cu următoarea </w:t>
            </w:r>
            <w:r w:rsidRPr="00D31F43">
              <w:rPr>
                <w:rFonts w:ascii="Times New Roman" w:eastAsia="Times New Roman" w:hAnsi="Times New Roman" w:cs="Times New Roman"/>
                <w:b/>
                <w:bCs/>
                <w:lang w:val="pt-BR"/>
              </w:rPr>
              <w:t>Notă</w:t>
            </w:r>
            <w:r w:rsidRPr="00D31F43">
              <w:rPr>
                <w:rFonts w:ascii="Times New Roman" w:eastAsia="Times New Roman" w:hAnsi="Times New Roman" w:cs="Times New Roman"/>
                <w:lang w:val="pt-BR"/>
              </w:rPr>
              <w:t>:</w:t>
            </w:r>
          </w:p>
          <w:p w14:paraId="1C484B94"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i/>
                <w:iCs/>
                <w:lang w:val="pt-BR"/>
              </w:rPr>
              <w:t>„Notă: În cazul utilizării formatului electronic, registrul trebuie să permită restricționarea drepturilor de editare a înregistrărilor după salvarea acestora, pentru a asigura integritatea datelor.”</w:t>
            </w:r>
          </w:p>
        </w:tc>
      </w:tr>
      <w:tr w:rsidR="00477212" w14:paraId="09674EF7" w14:textId="77777777">
        <w:trPr>
          <w:trHeight w:val="600"/>
        </w:trPr>
        <w:tc>
          <w:tcPr>
            <w:tcW w:w="675" w:type="dxa"/>
          </w:tcPr>
          <w:p w14:paraId="304939AB"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lastRenderedPageBreak/>
              <w:t>A</w:t>
            </w:r>
          </w:p>
        </w:tc>
        <w:tc>
          <w:tcPr>
            <w:tcW w:w="1730" w:type="dxa"/>
          </w:tcPr>
          <w:p w14:paraId="0436145D" w14:textId="77777777" w:rsidR="00477212" w:rsidRPr="00D31F43" w:rsidRDefault="00000000">
            <w:pPr>
              <w:spacing w:line="240" w:lineRule="auto"/>
              <w:jc w:val="center"/>
              <w:rPr>
                <w:rFonts w:ascii="Times New Roman" w:eastAsia="Times New Roman" w:hAnsi="Times New Roman" w:cs="Times New Roman"/>
                <w:b/>
                <w:bCs/>
                <w:highlight w:val="white"/>
                <w:lang w:val="pt-BR"/>
              </w:rPr>
            </w:pPr>
            <w:r w:rsidRPr="00D31F43">
              <w:rPr>
                <w:rFonts w:ascii="Times New Roman" w:eastAsia="Times New Roman" w:hAnsi="Times New Roman" w:cs="Times New Roman"/>
                <w:b/>
                <w:bCs/>
                <w:highlight w:val="white"/>
                <w:lang w:val="pt-BR"/>
              </w:rPr>
              <w:t>Agenția Digitalizare în Justiție și Administrare Judecătorească</w:t>
            </w:r>
          </w:p>
          <w:p w14:paraId="29B7F2F4"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nr. 01.4/ 421 din 17.02.  2026</w:t>
            </w:r>
          </w:p>
        </w:tc>
        <w:tc>
          <w:tcPr>
            <w:tcW w:w="6685" w:type="dxa"/>
          </w:tcPr>
          <w:p w14:paraId="10F032D7" w14:textId="77777777" w:rsidR="00477212" w:rsidRDefault="00000000">
            <w:p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Agenția Digitalizare în Justiție și Administrare Judecătorească susține proiectul fără obiecții și propuneri.</w:t>
            </w:r>
          </w:p>
          <w:p w14:paraId="69DB1E6C" w14:textId="77777777" w:rsidR="00477212"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p>
        </w:tc>
        <w:tc>
          <w:tcPr>
            <w:tcW w:w="5925" w:type="dxa"/>
          </w:tcPr>
          <w:p w14:paraId="162AF78B"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Am luat act</w:t>
            </w:r>
          </w:p>
        </w:tc>
      </w:tr>
      <w:tr w:rsidR="00477212" w14:paraId="76FAA594" w14:textId="77777777">
        <w:trPr>
          <w:trHeight w:val="600"/>
        </w:trPr>
        <w:tc>
          <w:tcPr>
            <w:tcW w:w="675" w:type="dxa"/>
          </w:tcPr>
          <w:p w14:paraId="5B4D076F" w14:textId="77777777" w:rsidR="00477212" w:rsidRDefault="00477212">
            <w:pPr>
              <w:spacing w:line="240" w:lineRule="auto"/>
              <w:ind w:firstLine="567"/>
              <w:rPr>
                <w:rFonts w:ascii="Times New Roman" w:eastAsia="Times New Roman" w:hAnsi="Times New Roman" w:cs="Times New Roman"/>
              </w:rPr>
            </w:pPr>
          </w:p>
        </w:tc>
        <w:tc>
          <w:tcPr>
            <w:tcW w:w="1730" w:type="dxa"/>
          </w:tcPr>
          <w:p w14:paraId="352325E3"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Confederația Națională a Sindicatelor  din Moldova</w:t>
            </w:r>
          </w:p>
          <w:p w14:paraId="207132E9" w14:textId="77777777" w:rsidR="00477212" w:rsidRDefault="00477212">
            <w:pPr>
              <w:spacing w:line="240" w:lineRule="auto"/>
              <w:jc w:val="center"/>
              <w:rPr>
                <w:rFonts w:ascii="Times New Roman" w:eastAsia="Times New Roman" w:hAnsi="Times New Roman" w:cs="Times New Roman"/>
                <w:highlight w:val="white"/>
              </w:rPr>
            </w:pPr>
          </w:p>
          <w:p w14:paraId="31BAC606" w14:textId="77777777" w:rsidR="00477212" w:rsidRDefault="00000000">
            <w:pPr>
              <w:spacing w:line="240" w:lineRule="auto"/>
              <w:jc w:val="center"/>
              <w:rPr>
                <w:rFonts w:ascii="Times New Roman" w:eastAsia="Times New Roman" w:hAnsi="Times New Roman" w:cs="Times New Roman"/>
                <w:b/>
                <w:bCs/>
              </w:rPr>
            </w:pPr>
            <w:r>
              <w:rPr>
                <w:rFonts w:ascii="Times New Roman" w:eastAsia="Times New Roman" w:hAnsi="Times New Roman" w:cs="Times New Roman"/>
              </w:rPr>
              <w:t>nr. 04-17/68 din 18.02.2026</w:t>
            </w:r>
          </w:p>
        </w:tc>
        <w:tc>
          <w:tcPr>
            <w:tcW w:w="6685" w:type="dxa"/>
          </w:tcPr>
          <w:p w14:paraId="654BA28D"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Propunem completarea  proiectului hotărârii cu punctul  6.1. ,cu</w:t>
            </w:r>
          </w:p>
          <w:p w14:paraId="21A7FB47"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următorul cuprins:</w:t>
            </w:r>
          </w:p>
          <w:p w14:paraId="445F9687" w14:textId="77777777" w:rsidR="00477212" w:rsidRDefault="00000000">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"6.Angajatorii din sectorul privat vor prelua și adapta, în mod voluntar, modelele incluse în anexele prezentului Regulament, în măsura în care acestea răspund necesităților proprii și contribuie la consolidarea mediului de muncă sigur și lipsit de violență și hărțuire în muncă.” </w:t>
            </w:r>
          </w:p>
        </w:tc>
        <w:tc>
          <w:tcPr>
            <w:tcW w:w="5925" w:type="dxa"/>
          </w:tcPr>
          <w:p w14:paraId="221E9AAD"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r>
              <w:rPr>
                <w:rFonts w:ascii="Times New Roman" w:eastAsia="Times New Roman" w:hAnsi="Times New Roman" w:cs="Times New Roman"/>
                <w:b/>
                <w:bCs/>
              </w:rPr>
              <w:t>Nu se acceptă</w:t>
            </w:r>
          </w:p>
          <w:p w14:paraId="0B20AC54"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Nu se susține completarea proiectului hotărârii cu prevederea propusă. Regulamentul este elaborat pentru autoritățile publice, iar anexele acestuia conțin modele orientative destinate facilitării aplicării mecanismelor interne prevăzute de actul normativ. Prin natura lor, aceste modele pot fi preluate și adaptate de către angajatorii din sectorul privat, în mod voluntar, dacă acestea corespund necesităților lor.</w:t>
            </w:r>
          </w:p>
          <w:p w14:paraId="7F7FBEF2"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În aceste condiții, nu se consideră necesară reglementarea expresă a unei astfel de posibilități în textul hotărârii de Guvern, întrucât caracterul voluntar al utilizării acestor modele de către angajatorii din sectorul privat rezultă implicit din domeniul de aplicare al Regulamentului.</w:t>
            </w:r>
          </w:p>
          <w:p w14:paraId="62CD3F1A"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rPr>
            </w:pPr>
          </w:p>
        </w:tc>
      </w:tr>
      <w:tr w:rsidR="00477212" w14:paraId="231A6BC0" w14:textId="77777777">
        <w:trPr>
          <w:trHeight w:val="600"/>
        </w:trPr>
        <w:tc>
          <w:tcPr>
            <w:tcW w:w="675" w:type="dxa"/>
          </w:tcPr>
          <w:p w14:paraId="08AF1681" w14:textId="77777777" w:rsidR="00477212" w:rsidRDefault="00477212">
            <w:pPr>
              <w:spacing w:line="240" w:lineRule="auto"/>
              <w:ind w:firstLine="567"/>
              <w:rPr>
                <w:rFonts w:ascii="Times New Roman" w:eastAsia="Times New Roman" w:hAnsi="Times New Roman" w:cs="Times New Roman"/>
              </w:rPr>
            </w:pPr>
          </w:p>
        </w:tc>
        <w:tc>
          <w:tcPr>
            <w:tcW w:w="1730" w:type="dxa"/>
          </w:tcPr>
          <w:p w14:paraId="3FFF1088"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Confederația Națională a Patronatului</w:t>
            </w:r>
          </w:p>
          <w:p w14:paraId="3729F7B1"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din Republica Moldova</w:t>
            </w:r>
          </w:p>
          <w:p w14:paraId="60100350" w14:textId="77777777" w:rsidR="00477212" w:rsidRDefault="00477212">
            <w:pPr>
              <w:spacing w:line="240" w:lineRule="auto"/>
              <w:jc w:val="center"/>
              <w:rPr>
                <w:rFonts w:ascii="Times New Roman" w:eastAsia="Times New Roman" w:hAnsi="Times New Roman" w:cs="Times New Roman"/>
                <w:highlight w:val="white"/>
              </w:rPr>
            </w:pPr>
          </w:p>
          <w:p w14:paraId="615BEEE0" w14:textId="77777777" w:rsidR="00477212" w:rsidRDefault="00000000">
            <w:pPr>
              <w:spacing w:line="240" w:lineRule="auto"/>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nr. 05/1-17 din 24.02.2026</w:t>
            </w:r>
          </w:p>
        </w:tc>
        <w:tc>
          <w:tcPr>
            <w:tcW w:w="6685" w:type="dxa"/>
          </w:tcPr>
          <w:p w14:paraId="1EE7E6E9"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Confederația Națională a Patronatului comunică lipsă de obiecții și propuneri.</w:t>
            </w:r>
          </w:p>
        </w:tc>
        <w:tc>
          <w:tcPr>
            <w:tcW w:w="5925" w:type="dxa"/>
          </w:tcPr>
          <w:p w14:paraId="419242D3"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Am luat act.  </w:t>
            </w:r>
          </w:p>
        </w:tc>
      </w:tr>
      <w:tr w:rsidR="00477212" w14:paraId="27986547" w14:textId="77777777">
        <w:trPr>
          <w:trHeight w:val="711"/>
        </w:trPr>
        <w:tc>
          <w:tcPr>
            <w:tcW w:w="675" w:type="dxa"/>
          </w:tcPr>
          <w:p w14:paraId="47A46916"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t>M</w:t>
            </w:r>
          </w:p>
        </w:tc>
        <w:tc>
          <w:tcPr>
            <w:tcW w:w="1730" w:type="dxa"/>
          </w:tcPr>
          <w:p w14:paraId="09603DA6"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Justiției al Republicii Moldova</w:t>
            </w:r>
          </w:p>
          <w:p w14:paraId="4C29B5D0"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04/2-3467 din 30.03.2026</w:t>
            </w:r>
          </w:p>
        </w:tc>
        <w:tc>
          <w:tcPr>
            <w:tcW w:w="6685" w:type="dxa"/>
          </w:tcPr>
          <w:p w14:paraId="7730C25A"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proiectul hotărârii:</w:t>
            </w:r>
          </w:p>
          <w:p w14:paraId="249CF613"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În clauza de adoptare textul „nr. 194 din 10.07.2025” se va substitui cu textul „nr. 194/2025”, în scopul expunerii conform prevederilor art. 42 alin. (5) și art. 55 alin. (5) din Legea nr. 100/2017 cu privire la actele normative, astfel încât la menționarea datei de adoptare a actului normativ să se indice numărul de ordine, ca</w:t>
            </w:r>
          </w:p>
          <w:p w14:paraId="349908A6"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Pr>
                <w:rFonts w:ascii="Times New Roman" w:eastAsia="Times New Roman" w:hAnsi="Times New Roman" w:cs="Times New Roman"/>
                <w:highlight w:val="white"/>
              </w:rPr>
              <w:t xml:space="preserve">element de identificare, la care să se adauge anul în care a fost adoptat acesta, fiind despărțite de o bară „/”. </w:t>
            </w:r>
            <w:r w:rsidRPr="00D31F43">
              <w:rPr>
                <w:rFonts w:ascii="Times New Roman" w:eastAsia="Times New Roman" w:hAnsi="Times New Roman" w:cs="Times New Roman"/>
                <w:highlight w:val="white"/>
                <w:lang w:val="pt-BR"/>
              </w:rPr>
              <w:t>De asemenea, textul „Legii 440/2023” se va substitui cu textul „Legii nr. 440/2023”.</w:t>
            </w:r>
          </w:p>
          <w:p w14:paraId="6DEDA8A9"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La pct. 1, în concordanță cu uzanțele normative, recomandăm de a completa norma cu textul „(se anexează)”.</w:t>
            </w:r>
          </w:p>
          <w:p w14:paraId="516C4BDC"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3 semnalăm că, Hotărârea Guvernului propusă, fiind un act juridic ce urmează a fi adoptat, are caracter public, obligatoriu, general şi impersonal, iar prevederile actului normativ adoptat sunt executorii, opozabile tuturor subiecţilor de drept şi, în caz de necesitate, sunt impuse prin forţa de constrângere a statului. Prin urmare, soluția normativă propusă la pct. 3 nu este justificată.</w:t>
            </w:r>
          </w:p>
          <w:p w14:paraId="42A7297D"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proiectul Regulamentului:</w:t>
            </w:r>
          </w:p>
          <w:p w14:paraId="21EF6FD6" w14:textId="77777777" w:rsidR="00477212" w:rsidRDefault="00000000">
            <w:p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1 atenționăm că, norma nu este clară în ceea ce privește obiectul de reglementare al Regulamentului. Or, se menționează că Regulamentul stabilește cadrul normativ privind modul de elaborare, adoptare, aplicare și monitorizare a măsurilor, procedurilor și mecanismelor interne. Astfel, semnalăm că, Regulamentul la fel conține norme privind drepturi, obligații și răspunderea subiecților actului normativ. Totodată, utilizarea cuvintelor „măsuri”, „proceduri” și „mecanisme” nu corespunde caracterului de previzibilitate a normelor juridice.</w:t>
            </w:r>
          </w:p>
          <w:p w14:paraId="79A22CE5"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2 menționăm că, textul „instituțiilor și structurilor organizatorice aflate în subordinea sau coordonarea acestora” este necesar de a reformula prin prisma Legii nr. 98/2012 privind administrația publică centrală de specialitate și Legii nr. 436/2006 privind administrația publică locală.</w:t>
            </w:r>
          </w:p>
          <w:p w14:paraId="5DA14A52"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3, reiterând obiecțiile conceptuale expuse, semnalăm că lista subiecților cărora li se vor aplica normele Regulamentului, urmează a fi revizuită în raport cu legislația specială aplicabilă fiecărei categorii de persoane cu funcții de demnitate publică și funcționari publici cu statut special, care urmează a fi revizuită.</w:t>
            </w:r>
          </w:p>
          <w:p w14:paraId="0FAD12D2"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 pct. 7, pentru precizie normativă, recomandăm de a indica că politica internă urmează a fi elaborată și aprobată conform modelului de la anexa nr. 1 la Regulament. Or, în cazul în care autorul proiectului insistă asupra anexei nr. 1 din proiect, aceasta trebuie să aibă forma unui model, care poate fi adaptat de către fiecare autoritate publică reieșind din capacitate, natura activității și structurii organizatorice, să includă cel puțin următoarele elemente: scopul și principiile generale, noțiunile și definițiile </w:t>
            </w:r>
            <w:r>
              <w:rPr>
                <w:rFonts w:ascii="Times New Roman" w:eastAsia="Times New Roman" w:hAnsi="Times New Roman" w:cs="Times New Roman"/>
                <w:highlight w:val="white"/>
              </w:rPr>
              <w:lastRenderedPageBreak/>
              <w:t>relevante, atribuțiile și responsabilitățile persoanelor desemnate sau ale comisiilor de investigare, procedura de raportare și investigare a cazurilor semnalate, măsurile de protecție și reparare aplicabile, precum și mecanismele de monitorizare, evaluare a eficienței și periodicitatea actualizării politicii (art. 81 alin. (4) din Codul muncii). Astfel, recomandăm reformularea și pct. 8, ce vizează conținutul politicii interne privind prevenirea și combaterea violenței și/sau hărțuirii în muncă.</w:t>
            </w:r>
          </w:p>
          <w:p w14:paraId="7DB7AC65"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Pr>
                <w:rFonts w:ascii="Times New Roman" w:eastAsia="Times New Roman" w:hAnsi="Times New Roman" w:cs="Times New Roman"/>
                <w:highlight w:val="white"/>
              </w:rPr>
              <w:t xml:space="preserve">La pct. 9 și 10 atenționăm că, normele privind instruirea în domeniul prevenirii și combaterii violenței și/sau hărțuirii în muncă sunt lipsite de precizie normativă. </w:t>
            </w:r>
            <w:r w:rsidRPr="00D31F43">
              <w:rPr>
                <w:rFonts w:ascii="Times New Roman" w:eastAsia="Times New Roman" w:hAnsi="Times New Roman" w:cs="Times New Roman"/>
                <w:highlight w:val="white"/>
                <w:lang w:val="pt-BR"/>
              </w:rPr>
              <w:t xml:space="preserve">Astfel, semnalăm că nu este clar care persoane și când anume vor fi instruite. </w:t>
            </w:r>
            <w:r w:rsidRPr="00D31F43">
              <w:rPr>
                <w:rFonts w:ascii="Times New Roman" w:eastAsia="Times New Roman" w:hAnsi="Times New Roman" w:cs="Times New Roman"/>
                <w:highlight w:val="white"/>
                <w:lang w:val="it-IT"/>
              </w:rPr>
              <w:t xml:space="preserve">Or, din conținutul art. 82 alin. (2) lit. c) din Codul muncii, persoanele desemnate pentru investigare, membrii comisiei de investigare la data desemnării trebuie să fie instruite. </w:t>
            </w:r>
            <w:r w:rsidRPr="00D31F43">
              <w:rPr>
                <w:rFonts w:ascii="Times New Roman" w:eastAsia="Times New Roman" w:hAnsi="Times New Roman" w:cs="Times New Roman"/>
                <w:highlight w:val="white"/>
                <w:lang w:val="pt-BR"/>
              </w:rPr>
              <w:t xml:space="preserve">La fel, nu este clar cum vor fi selectate persoanele pentru instruire. </w:t>
            </w:r>
            <w:r w:rsidRPr="00D31F43">
              <w:rPr>
                <w:rFonts w:ascii="Times New Roman" w:eastAsia="Times New Roman" w:hAnsi="Times New Roman" w:cs="Times New Roman"/>
                <w:highlight w:val="white"/>
                <w:lang w:val="it-IT"/>
              </w:rPr>
              <w:t>Complementar, recomandăm revizuirea normelor vizate privind instruirea în raport cu prevederile propuse la sbp. 11.6.</w:t>
            </w:r>
          </w:p>
          <w:p w14:paraId="0A5DA20B"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sbp. 11.7, pentru concretizare normativă, recomandăm revizuirea normei în raport cu prevederile pct. 19, care prevede desemnarea unei persoane sau a unei structuri interne.</w:t>
            </w:r>
          </w:p>
          <w:p w14:paraId="451E4382"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sbp. 14.3 semnalăm că utilizarea expresiei „cooperare cu angajatorul” nu este potrivită pentru a exprima obligațiile persoanelor menționate la pct. 3 din proiectul Regulamentului.</w:t>
            </w:r>
          </w:p>
          <w:p w14:paraId="35109EF4"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15 și alte situații similare, semnalăm lipsa preciziei în ceea ce privește răspunderea. La fel, din sintagma „legislația în vigoare”, cuvintele „în vigoare” se vor exclude, ca fiind inutile. Regula generală este că referințele la actele normative reprezintă referințe la legislația în vigoare și doar pentru excepțiile de la regulă se va specifica dacă este vorba despre legislația aplicabilă la un anumit moment (obiecția se va reține și în alte cazuri similare din proiect).</w:t>
            </w:r>
          </w:p>
          <w:p w14:paraId="59AED07A"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La pct. 18 și 19 se constată o neclaritate în ceea ce privește desemnarea persoanei sau a unei structuri interne competente cu atribuții de primire, înregistrare și gestionare a sesizărilor. Or, </w:t>
            </w:r>
            <w:r w:rsidRPr="00D31F43">
              <w:rPr>
                <w:rFonts w:ascii="Times New Roman" w:eastAsia="Times New Roman" w:hAnsi="Times New Roman" w:cs="Times New Roman"/>
                <w:highlight w:val="white"/>
                <w:lang w:val="it-IT"/>
              </w:rPr>
              <w:lastRenderedPageBreak/>
              <w:t>reieșind din conținutul pct. 2, sesizările sunt înregistrate în aceeași zi sau cel târziu în prima zi lucrătoare următoare primirii</w:t>
            </w:r>
          </w:p>
          <w:p w14:paraId="2280D05C" w14:textId="77777777" w:rsidR="00477212" w:rsidRPr="00D31F43" w:rsidRDefault="00000000">
            <w:pPr>
              <w:shd w:val="clear" w:color="auto" w:fill="FFFFFF"/>
              <w:spacing w:line="240" w:lineRule="auto"/>
              <w:ind w:left="72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acesteia. Astfel, pentru o exprimare clară, se va specifica dacă această structură este permanentă în cadrul autorității publice. Complimentar se va lua în considerare faptul că, potrivit pct. 18 sesizarea este transmisă persoanei sau structurii desemnate să le preia.</w:t>
            </w:r>
          </w:p>
          <w:p w14:paraId="42C60C73" w14:textId="77777777" w:rsidR="00477212" w:rsidRPr="00D31F43" w:rsidRDefault="00000000">
            <w:pPr>
              <w:shd w:val="clear" w:color="auto" w:fill="FFFFFF"/>
              <w:spacing w:line="240" w:lineRule="auto"/>
              <w:ind w:left="72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Subsidiar la pct. 18 și 20, menționăm că, anexele nr. 2 și nr. 3 reprezintă modele de sesizare și, respectiv, Registru. Prin urmare, recomandăm reformularea normelor respective (conform modelului de la anexa nr. 2 la Regulament și, respectiv, conform modelului de la anexa nr. 3 la Regulament).</w:t>
            </w:r>
          </w:p>
          <w:p w14:paraId="42D86601"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pt-BR"/>
              </w:rPr>
              <w:t xml:space="preserve">La pct. 25 din conținutul soluțiilor normative propuse de autor, nu este clar unde și cum vor fi consemnate audierile persoanei vizate, persoanei reclamate și a martorilor (sbp. 25.3), cum și cât timp vor fi păstrate aceste mijloace de probă administrate în cadrul procesului de investigare. </w:t>
            </w:r>
            <w:r w:rsidRPr="00D31F43">
              <w:rPr>
                <w:rFonts w:ascii="Times New Roman" w:eastAsia="Times New Roman" w:hAnsi="Times New Roman" w:cs="Times New Roman"/>
                <w:highlight w:val="white"/>
                <w:lang w:val="it-IT"/>
              </w:rPr>
              <w:t>Or, va fi necesară includerea lor într-un dosar special de investigare.</w:t>
            </w:r>
          </w:p>
          <w:p w14:paraId="02CE001F"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26 conținutul normelor propuse nu respectă consecutivitatea logică a ideilor. Astfel, recomandăm de a include aceste prevederi după pct. 24.</w:t>
            </w:r>
          </w:p>
          <w:p w14:paraId="33E74AE0"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La pct. 27, termenul „timp util” este destul de subiectiv și poate crea confuzii dacă nu este definit clar.</w:t>
            </w:r>
          </w:p>
          <w:p w14:paraId="4B305442"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La pct. 30 expresia „standardele aplicabile în materia prevenirii și combaterii violenței și/sau hărțuirii în muncă” prezintă un caracter imprecis în sensul normelor legale unde sunt prescrise aceste standarde.</w:t>
            </w:r>
          </w:p>
          <w:p w14:paraId="181D5380"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31 și 33 atenționăm că, normele sunt contradictorii în ceea ce privește modelul raportului de constatare, conform modelului de la anexa nr. 4 la Regulament sau conform modelului stabilit prin procedurile interne ale autorității.</w:t>
            </w:r>
          </w:p>
          <w:p w14:paraId="38192214"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37 semnalăm că soluția normativă propusă se referă la procedura de investigare, prin urmare urmează a fi inserată până la pct. 35 din proiect. La fel, se va proceda și la pct. 38 care prevede prelungirea termenului procedurii de investigare.</w:t>
            </w:r>
          </w:p>
          <w:p w14:paraId="373D252B"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sidRPr="00D31F43">
              <w:rPr>
                <w:rFonts w:ascii="Times New Roman" w:eastAsia="Times New Roman" w:hAnsi="Times New Roman" w:cs="Times New Roman"/>
                <w:highlight w:val="white"/>
                <w:lang w:val="it-IT"/>
              </w:rPr>
              <w:lastRenderedPageBreak/>
              <w:t xml:space="preserve">Totodată, la pct. 38 semnalăm necesitatea revizuirii textului propus prin prisma sbp. 25.1 din proiectul Regulamentului. Or, etapele procedurale și calendarul orientativ al investigației este stabilit de către persoana desemnată pentru investigarea cazului sau, după caz, comisia de investigare. </w:t>
            </w:r>
            <w:r>
              <w:rPr>
                <w:rFonts w:ascii="Times New Roman" w:eastAsia="Times New Roman" w:hAnsi="Times New Roman" w:cs="Times New Roman"/>
                <w:highlight w:val="white"/>
              </w:rPr>
              <w:t>Prin urmare, recomandăm</w:t>
            </w:r>
          </w:p>
          <w:p w14:paraId="3FC7BC89" w14:textId="77777777" w:rsidR="00477212" w:rsidRPr="00D31F43" w:rsidRDefault="00000000">
            <w:pPr>
              <w:shd w:val="clear" w:color="auto" w:fill="FFFFFF"/>
              <w:spacing w:line="240" w:lineRule="auto"/>
              <w:ind w:left="72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de a indica expres prin ordinul motivat al cui poate fi prelungită procedura de examinare a sesizării. La fel, se va lua în considerare faptul că, capitolul III din proiect nu operează cu sintagma „examinarea sesizării”.</w:t>
            </w:r>
          </w:p>
          <w:p w14:paraId="6C98AC68"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pct. 39 în raport cu pct. 41 și 43 semnalăm că, soluțiile normative propuse urmează a fi revizuite astfel încât să fie clar în ce temei conducătorul autorității publice dispune măsurile provizorii de protecție (după libera convingere sau a concluziilor persoanei desemnate pentru investigare sau a comisiei de investigare). Totodată, se va lua în considerare faptul că, norma de la pct. 39 propune dispunerea măsurilor provizorii de protecție pe parcursul procedurii de raportare, ceea ce presupune depunerea sesizării. Complementar, pct. 39 și 43 urmează a fi reformulate inclusiv pentru a exclude dublajul normativ. Pentru unitatea soluțiilor normative propuse recomandăm de revizuit pct. 49 în raport cu normele propuse la pct. 45. Astfel, semnalăm că aplicarea măsurilor provizorii de protecție la fel ca și revizuirea, modificarea sau încetarea acestora se va face prin ordin (se va înlătura astfel expresia „decizia de revizuire”) și se aduce la cunoștința persoanelor vizate sau altor persoane implicate în același mod.</w:t>
            </w:r>
          </w:p>
          <w:p w14:paraId="381B0D6A"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capitolul VI semnalăm că normele privind răspunderea sunt declarative și necesită a fi excluse. Răspunderea juridică trebuie să fie prevăzută de normele materiale, ce stabilesc tipul concret de răspundere (civilă, penală sau contravențională), determină faptele și sancțiunile pentru comiterea acestora.</w:t>
            </w:r>
          </w:p>
          <w:p w14:paraId="00DE6A43"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La anexa nr. 1: Reiterând obiecțiile expuse anterior și pentru claritatea intenției normative a autorului proiectului, recomandăm de a reformula titlul anexei, specificând că aceasta reprezintă „ model” care va fi aplicat de către fiecare autoritatea la elaborarea </w:t>
            </w:r>
            <w:r w:rsidRPr="00D31F43">
              <w:rPr>
                <w:rFonts w:ascii="Times New Roman" w:eastAsia="Times New Roman" w:hAnsi="Times New Roman" w:cs="Times New Roman"/>
                <w:highlight w:val="white"/>
                <w:lang w:val="it-IT"/>
              </w:rPr>
              <w:lastRenderedPageBreak/>
              <w:t>și aprobarea conținutului Politicii interne în funcție de capacitatea, natura activității și structura organizatorică a autorității publice.</w:t>
            </w:r>
          </w:p>
          <w:p w14:paraId="6F9F3C24"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sidRPr="00D31F43">
              <w:rPr>
                <w:rFonts w:ascii="Times New Roman" w:eastAsia="Times New Roman" w:hAnsi="Times New Roman" w:cs="Times New Roman"/>
                <w:highlight w:val="white"/>
                <w:lang w:val="it-IT"/>
              </w:rPr>
              <w:t xml:space="preserve">La capitolul II semnalăm că, din conținutul propus nu rezultă cu claritate care sunt principii, valori sau angajamente. </w:t>
            </w:r>
            <w:r>
              <w:rPr>
                <w:rFonts w:ascii="Times New Roman" w:eastAsia="Times New Roman" w:hAnsi="Times New Roman" w:cs="Times New Roman"/>
                <w:highlight w:val="white"/>
              </w:rPr>
              <w:t>Totodată, denumirea și conținutul acestui capitol nu corespunde sbp. 2.1.</w:t>
            </w:r>
          </w:p>
          <w:p w14:paraId="4AD32CEF"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sbp. 4.3 din sintagma „legislația în vigoare”, cuvintele „în vigoare” se vor exclude, ca fiind inutile.</w:t>
            </w:r>
          </w:p>
          <w:p w14:paraId="226FBBF2"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sbp. 4.4, pentru asigurarea unei exprimări clare și precise, recomandăm reformularea expresiei „persoanelor implicate în sesizări”.</w:t>
            </w:r>
          </w:p>
          <w:p w14:paraId="3389F4B4"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sbp. 4.13 norma propusă nu corespunde denumirii capitolului II și are un conținut declarativ, fapt pentru care urmează a fi exclusă.</w:t>
            </w:r>
          </w:p>
          <w:p w14:paraId="4E7D634C"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sbp. 6.3 atenționăm că, norma este ambiguă, or, nu este clar în ce situație și pe cine trebuie să informeze conducătorii de structuri organizatorice. Or, în procedura de raportare este desemnată persoana sau structura care înregistrează sesizările, iar în cadrul procedurii de investigare este desemnată persoana pentru investigare sau comisia de investigare. În context,se vor reexamina sbp. 6.3.1- 6.3.2.</w:t>
            </w:r>
          </w:p>
          <w:p w14:paraId="3B574682"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sbp. 6.3.2 remarcăm că, proiectul Regulamentului la capitolul IV stabilește expres situațiile în care sunt dispuse măsurile provizorii de protecție și modul de dispunere a acestora (doar prin ordinul conducătorului).</w:t>
            </w:r>
          </w:p>
          <w:p w14:paraId="1E38B249"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7 și 9 semnalăm că modelul de sesizare este aprobat prin hotărârea Guvernului de aprobare a Regulamentului privind aplicarea prevederilor referitoare la prevenirea și/sau combaterea violenței și hărțuirii în muncă în autoritățile publice (anexa nr. 2). La fel, atenționăm că, textul propus privind forma și modul de depunere a sesizării necesită a reformulat în conformitate cu pct. 18 din proiectul Regulamentului cu evitarea dublajului normativ.</w:t>
            </w:r>
          </w:p>
          <w:p w14:paraId="001C51D2"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sidRPr="00D31F43">
              <w:rPr>
                <w:rFonts w:ascii="Times New Roman" w:eastAsia="Times New Roman" w:hAnsi="Times New Roman" w:cs="Times New Roman"/>
                <w:highlight w:val="white"/>
                <w:lang w:val="it-IT"/>
              </w:rPr>
              <w:t xml:space="preserve">La pct. 13 perioada de desfășurare a investigației urmează a fi adusă în concordanță cu prevederile pct. 38 din proiectul Regulamentului. </w:t>
            </w:r>
            <w:r>
              <w:rPr>
                <w:rFonts w:ascii="Times New Roman" w:eastAsia="Times New Roman" w:hAnsi="Times New Roman" w:cs="Times New Roman"/>
                <w:highlight w:val="white"/>
              </w:rPr>
              <w:t xml:space="preserve">Prin urmare, se va exclude cuvântul </w:t>
            </w:r>
            <w:r>
              <w:rPr>
                <w:rFonts w:ascii="Times New Roman" w:eastAsia="Times New Roman" w:hAnsi="Times New Roman" w:cs="Times New Roman"/>
                <w:highlight w:val="white"/>
              </w:rPr>
              <w:lastRenderedPageBreak/>
              <w:t>„calendaristice”, reprezentând regula generală de calculare a termenilor.</w:t>
            </w:r>
          </w:p>
          <w:p w14:paraId="597B9AB6"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16 reiterăm obiecția conform căreia modelul raportului de constatare este parte componentă a Regulamentului aprobat prin hotărârea Guvernului.</w:t>
            </w:r>
          </w:p>
          <w:p w14:paraId="75EB2583"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20 și 22 semnalăm că, în cazul în care lista măsurilor provizorii de protecție poate fi completată suplimentar față de cele prevăzute în Regulament, de către fiecare autoritate publică, expresia „limitele prevăzute de Regulament” din pct. 20 urmează a fi exclusă, mai mult că, pct. 42 din Regulament stabilește că măsurile de protecție nu se limitează la cele indicate în Regulament.</w:t>
            </w:r>
          </w:p>
          <w:p w14:paraId="590B024F"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capitolul VI considerăm necesar de a reformula normele propuse, în special privind responsabilitatea conducătorului autorității, deoarece sunt nejustificate. La sbp. 23.5 norma propusă este deficitară, or, conducătorul autorității nu este responsabil de procedura de investigare și respectarea termenilor prevăzuți de Regulament.</w:t>
            </w:r>
          </w:p>
          <w:p w14:paraId="166463F3"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24 atenționăm necesitatea specificării în ce procedură sunt desemnate persoanele sau structurile a căror responsabilități sunt propuse.</w:t>
            </w:r>
          </w:p>
          <w:p w14:paraId="245B0D30"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capitolul VIII considerăm că, pct. 29 urmează a fi exclus, or, Politica internă se aprobă prin ordinul conducătorului autorității care devine obligatoriu din data indicată în ordin, iar prevederile actului aprobat sunt executorii, opozabile tuturor subiecţilor vizați. Prin urmare, se va reformula denumirea capitolului respectiv.</w:t>
            </w:r>
          </w:p>
          <w:p w14:paraId="5415AED9"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pct. 31 utilizarea cuvântului „personalul” nu corespunde conținutului actului normativ.</w:t>
            </w:r>
          </w:p>
          <w:p w14:paraId="5EE18E73" w14:textId="77777777" w:rsidR="00477212" w:rsidRPr="00D31F43" w:rsidRDefault="00000000">
            <w:pPr>
              <w:numPr>
                <w:ilvl w:val="0"/>
                <w:numId w:val="22"/>
              </w:num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La anexele nr. 2 – nr. 4, în contextul obiecțiilor formulate anterior, recomandăm de a indica despre faptul că, acestea reprezintă „modele”.   </w:t>
            </w:r>
          </w:p>
        </w:tc>
        <w:tc>
          <w:tcPr>
            <w:tcW w:w="5925" w:type="dxa"/>
          </w:tcPr>
          <w:p w14:paraId="0E22C6E5"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Se acceptă parțial</w:t>
            </w:r>
          </w:p>
          <w:p w14:paraId="6734EEFE"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Obiecția se acceptă, modificările au fost efectuate.</w:t>
            </w:r>
          </w:p>
          <w:p w14:paraId="74C18221"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Se acceptă, pct. 1 se completează cu textul „(se anexează)”.</w:t>
            </w:r>
          </w:p>
          <w:p w14:paraId="3EAA0F7E"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Se respinge obiecția. Prevederile pct. 3 nu dublează caracterul obligatoriu al actului normativ, ci instituie o obligație distinctă în sarcina autorităților publice de a asigura implementarea efectivă a acestuia prin integrarea prevederilor în politicile, procedurile și actele interne aplicabile. Or, potrivit principiilor aplicării actelor </w:t>
            </w:r>
            <w:r w:rsidRPr="00D31F43">
              <w:rPr>
                <w:rFonts w:ascii="Times New Roman" w:eastAsia="Times New Roman" w:hAnsi="Times New Roman" w:cs="Times New Roman"/>
                <w:highlight w:val="white"/>
                <w:lang w:val="pt-BR"/>
              </w:rPr>
              <w:lastRenderedPageBreak/>
              <w:t>normative, executarea acestora presupune nu doar respectarea formală, ci și adoptarea măsurilor organizatorice și administrative necesare pentru realizarea lor practică, ceea ce justifică soluția normativă propusă.</w:t>
            </w:r>
          </w:p>
          <w:p w14:paraId="1D213702"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Se respinge obiecția. Dispoziția de la pct. 1 definește în mod clar și suficient obiectul de reglementare al Regulamentului, având caracter introductiv și stabilind cadrul general al intervenției normative. Referirea la „măsuri”, „proceduri” și „mecanisme” este conformă uzanțelor de tehnică legislativă și nu afectează previzibilitatea normei, aceste noțiuni fiind consacrate și utilizate pentru a reda ansamblul instrumentelor prin care se realizează prevenirea și combaterea fenomenului reglementat. Totodată, includerea normelor privind drepturile, obligațiile și răspunderea subiecților nu contrazice, ci completează obiectul Regulamentului, fiind inerentă oricărui act normativ cu caracter aplicativ.</w:t>
            </w:r>
          </w:p>
          <w:p w14:paraId="1E48003A"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acceptă obiecția. Pct. 2 se reformulează după cum urmează:</w:t>
            </w:r>
          </w:p>
          <w:p w14:paraId="4B3D62E6"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highlight w:val="white"/>
              </w:rPr>
              <w:t>„</w:t>
            </w:r>
            <w:r>
              <w:rPr>
                <w:rFonts w:ascii="Times New Roman" w:eastAsia="Times New Roman" w:hAnsi="Times New Roman" w:cs="Times New Roman"/>
                <w:i/>
                <w:iCs/>
                <w:highlight w:val="white"/>
              </w:rPr>
              <w:t>Regulamentul se aplică autorităților publice centrale și locale, autorităților publice autonome, precum și structurilor organizaționale din sfera lor de competență (autorități administrative din subordine, servicii publice desconcentrate, precum și instituții publice în care acestea au calitatea de fondator), în calitatea lor de angajatori, și reglementează obligativitatea elaborării, aprobării și implementării măsurilor și procedurilor interne privind prevenirea și combaterea violenței și/sau hărțuirii la locul de muncă.”</w:t>
            </w:r>
          </w:p>
          <w:p w14:paraId="0D07E361"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acceptă parțial obiecția. Pct. 3 din Regulament se completează cu pct. 3.10, cu următorul cuprins:</w:t>
            </w:r>
          </w:p>
          <w:p w14:paraId="02AAC135"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it-IT"/>
              </w:rPr>
            </w:pPr>
            <w:r w:rsidRPr="00D31F43">
              <w:rPr>
                <w:rFonts w:ascii="Times New Roman" w:eastAsia="Times New Roman" w:hAnsi="Times New Roman" w:cs="Times New Roman"/>
                <w:i/>
                <w:iCs/>
                <w:highlight w:val="white"/>
                <w:lang w:val="it-IT"/>
              </w:rPr>
              <w:lastRenderedPageBreak/>
              <w:t>„3.10. Pentru categoriile de subiecți prevăzute la pct. 3, dispozițiile prezentului Regulament se aplică în conformitate cu prevederile legislației speciale aplicabile.”</w:t>
            </w:r>
          </w:p>
          <w:p w14:paraId="6BC2ADDF" w14:textId="77777777" w:rsidR="00477212" w:rsidRPr="00AE06E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Se acceptă parțial. Pct.7 capătă următorul conținut:</w:t>
            </w:r>
          </w:p>
          <w:p w14:paraId="269536E2" w14:textId="77777777" w:rsidR="00477212" w:rsidRPr="00AE06E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Georgia" w:eastAsia="Georgia" w:hAnsi="Georgia" w:cs="Georgia"/>
                <w:sz w:val="24"/>
                <w:szCs w:val="24"/>
                <w:highlight w:val="white"/>
                <w:lang w:val="it-IT"/>
              </w:rPr>
            </w:pPr>
            <w:r w:rsidRPr="00AE06E3">
              <w:rPr>
                <w:rFonts w:ascii="Times New Roman" w:eastAsia="Times New Roman" w:hAnsi="Times New Roman" w:cs="Times New Roman"/>
                <w:highlight w:val="white"/>
                <w:lang w:val="it-IT"/>
              </w:rPr>
              <w:t>“</w:t>
            </w:r>
            <w:r w:rsidRPr="00AE06E3">
              <w:rPr>
                <w:rFonts w:ascii="Times New Roman" w:eastAsia="Times New Roman" w:hAnsi="Times New Roman" w:cs="Times New Roman"/>
                <w:i/>
                <w:iCs/>
                <w:highlight w:val="white"/>
                <w:lang w:val="it-IT"/>
              </w:rPr>
              <w:t>Autoritățile publice elaborează și aprobă, prin ordin al conducătorului autorității publice, politica internă privind prevenirea și combaterea violenței și/sau hărțuirii în muncă, adaptată capacității, naturii activității și structurii lor organizatorice (conform modelului de anexa nr. 1 la  Regulament).</w:t>
            </w:r>
            <w:r w:rsidRPr="00AE06E3">
              <w:rPr>
                <w:rFonts w:ascii="Georgia" w:eastAsia="Georgia" w:hAnsi="Georgia" w:cs="Georgia"/>
                <w:sz w:val="24"/>
                <w:szCs w:val="24"/>
                <w:highlight w:val="white"/>
                <w:lang w:val="it-IT"/>
              </w:rPr>
              <w:t>”</w:t>
            </w:r>
          </w:p>
          <w:p w14:paraId="456731AD"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sidRPr="00AE06E3">
              <w:rPr>
                <w:rFonts w:ascii="Times New Roman" w:eastAsia="Times New Roman" w:hAnsi="Times New Roman" w:cs="Times New Roman"/>
                <w:highlight w:val="white"/>
                <w:lang w:val="it-IT"/>
              </w:rPr>
              <w:t xml:space="preserve"> </w:t>
            </w:r>
            <w:r>
              <w:rPr>
                <w:rFonts w:ascii="Times New Roman" w:eastAsia="Times New Roman" w:hAnsi="Times New Roman" w:cs="Times New Roman"/>
                <w:highlight w:val="white"/>
              </w:rPr>
              <w:t xml:space="preserve">În ceea ce privește pct.8 din regulament, acesta este conform prevederilor Codului Muncii al Republicii Moldova. </w:t>
            </w:r>
          </w:p>
          <w:p w14:paraId="22E98ED2"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7518C103"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425"/>
              <w:jc w:val="both"/>
              <w:rPr>
                <w:rFonts w:ascii="Times New Roman" w:eastAsia="Times New Roman" w:hAnsi="Times New Roman" w:cs="Times New Roman"/>
                <w:highlight w:val="white"/>
              </w:rPr>
            </w:pPr>
            <w:r w:rsidRPr="00D31F43">
              <w:rPr>
                <w:rFonts w:ascii="Times New Roman" w:eastAsia="Times New Roman" w:hAnsi="Times New Roman" w:cs="Times New Roman"/>
                <w:lang w:val="it-IT"/>
              </w:rPr>
              <w:t xml:space="preserve">Prevederile proiectului nu creează incertitudini privind aplicarea mecanismului de instruire și nu necesită revizuire. </w:t>
            </w:r>
            <w:r w:rsidRPr="00D31F43">
              <w:rPr>
                <w:rFonts w:ascii="Times New Roman" w:eastAsia="Times New Roman" w:hAnsi="Times New Roman" w:cs="Times New Roman"/>
                <w:lang w:val="pt-BR"/>
              </w:rPr>
              <w:t xml:space="preserve">Regulamentul stabilește obligația autorității publice de a asigura instruirea persoanelor desemnate și a membrilor comisiilor de investigare </w:t>
            </w:r>
            <w:r w:rsidRPr="00D31F43">
              <w:rPr>
                <w:rFonts w:ascii="Times New Roman" w:eastAsia="Times New Roman" w:hAnsi="Times New Roman" w:cs="Times New Roman"/>
                <w:b/>
                <w:bCs/>
                <w:lang w:val="pt-BR"/>
              </w:rPr>
              <w:t>anterior exercitării atribuțiilor</w:t>
            </w:r>
            <w:r w:rsidRPr="00D31F43">
              <w:rPr>
                <w:rFonts w:ascii="Times New Roman" w:eastAsia="Times New Roman" w:hAnsi="Times New Roman" w:cs="Times New Roman"/>
                <w:lang w:val="pt-BR"/>
              </w:rPr>
              <w:t xml:space="preserve">, fără a impune constituirea unui corp permanent de persoane desemnate. Această abordare permite autorităților publice să organizeze instruirea </w:t>
            </w:r>
            <w:r w:rsidRPr="00D31F43">
              <w:rPr>
                <w:rFonts w:ascii="Times New Roman" w:eastAsia="Times New Roman" w:hAnsi="Times New Roman" w:cs="Times New Roman"/>
                <w:b/>
                <w:bCs/>
                <w:lang w:val="pt-BR"/>
              </w:rPr>
              <w:t>în mod flexibil și adaptat capacității instituționale</w:t>
            </w:r>
            <w:r w:rsidRPr="00D31F43">
              <w:rPr>
                <w:rFonts w:ascii="Times New Roman" w:eastAsia="Times New Roman" w:hAnsi="Times New Roman" w:cs="Times New Roman"/>
                <w:lang w:val="pt-BR"/>
              </w:rPr>
              <w:t xml:space="preserve">. În practică, instruirea poate fi realizată </w:t>
            </w:r>
            <w:r w:rsidRPr="00D31F43">
              <w:rPr>
                <w:rFonts w:ascii="Times New Roman" w:eastAsia="Times New Roman" w:hAnsi="Times New Roman" w:cs="Times New Roman"/>
                <w:b/>
                <w:bCs/>
                <w:lang w:val="pt-BR"/>
              </w:rPr>
              <w:t>anticipat și periodic</w:t>
            </w:r>
            <w:r w:rsidRPr="00D31F43">
              <w:rPr>
                <w:rFonts w:ascii="Times New Roman" w:eastAsia="Times New Roman" w:hAnsi="Times New Roman" w:cs="Times New Roman"/>
                <w:lang w:val="pt-BR"/>
              </w:rPr>
              <w:t xml:space="preserve">, iar autoritățile publice pot include în aceste activități </w:t>
            </w:r>
            <w:r w:rsidRPr="00D31F43">
              <w:rPr>
                <w:rFonts w:ascii="Times New Roman" w:eastAsia="Times New Roman" w:hAnsi="Times New Roman" w:cs="Times New Roman"/>
                <w:b/>
                <w:bCs/>
                <w:lang w:val="pt-BR"/>
              </w:rPr>
              <w:t>un număr cât mai mare de persoane din cadrul instituției</w:t>
            </w:r>
            <w:r w:rsidRPr="00D31F43">
              <w:rPr>
                <w:rFonts w:ascii="Times New Roman" w:eastAsia="Times New Roman" w:hAnsi="Times New Roman" w:cs="Times New Roman"/>
                <w:lang w:val="pt-BR"/>
              </w:rPr>
              <w:t xml:space="preserve">, astfel încât să existe permanent personal instruit care poate fi desemnat ulterior în cadrul comisiilor de investigare. Această soluție asigură atât disponibilitatea resurselor umane competente, cât și evitarea situațiilor în care instruirea ar trebui organizată punctual pentru fiecare caz în parte. Prin urmare, cadrul normativ propus oferă suficientă flexibilitate autorităților publice pentru organizarea instruirii într-o manieră eficientă, fără a genera întârzieri în examinarea sesizărilor sau utilizarea ineficientă </w:t>
            </w:r>
            <w:r w:rsidRPr="00D31F43">
              <w:rPr>
                <w:rFonts w:ascii="Times New Roman" w:eastAsia="Times New Roman" w:hAnsi="Times New Roman" w:cs="Times New Roman"/>
                <w:lang w:val="pt-BR"/>
              </w:rPr>
              <w:lastRenderedPageBreak/>
              <w:t xml:space="preserve">a resurselor publice. </w:t>
            </w:r>
            <w:r>
              <w:rPr>
                <w:rFonts w:ascii="Times New Roman" w:eastAsia="Times New Roman" w:hAnsi="Times New Roman" w:cs="Times New Roman"/>
              </w:rPr>
              <w:t>În aceste condiții, nu se impune modificarea prevederilor proiectului.</w:t>
            </w:r>
          </w:p>
          <w:p w14:paraId="51B18F2B"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Pentru a asigura continuitatea logică, subpct. 11.7 se reformulează astfel:</w:t>
            </w:r>
          </w:p>
          <w:p w14:paraId="23CE40DC"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„11.7. desemnarea persoanei responsabile sau a structurii interne competente pentru preluarea și înregistrarea sesizărilor, precum și a persoanelor desemnate ori a comisiei de investigare pentru analiza și investigarea cazurilor de violență și/sau hărțuire, cu respectarea principiilor imparțialității și confidențialității;”</w:t>
            </w:r>
          </w:p>
          <w:p w14:paraId="3A9B0267"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it-IT"/>
              </w:rPr>
              <w:t xml:space="preserve">Se acceptă obiecția. La subpct. </w:t>
            </w:r>
            <w:r w:rsidRPr="00D31F43">
              <w:rPr>
                <w:rFonts w:ascii="Times New Roman" w:eastAsia="Times New Roman" w:hAnsi="Times New Roman" w:cs="Times New Roman"/>
                <w:highlight w:val="white"/>
                <w:lang w:val="pt-BR"/>
              </w:rPr>
              <w:t>14.3, textul „a coopera” se substituie cu textul „a colabora”.</w:t>
            </w:r>
          </w:p>
          <w:p w14:paraId="67B7F205"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exclude sintagma “în vigoare” de la pct.15 ;i alte puncte din Regulament. </w:t>
            </w:r>
          </w:p>
          <w:p w14:paraId="16CCAA65"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respinge obiecția privind necesitatea precizării caracterului permanent al structurii/persoanei desemnate, întrucât din conținutul normelor rezultă implicit că aceasta are un caracter permanent, fiind instituită pentru asigurarea continuă a preluării și evidenței sesizărilor.</w:t>
            </w:r>
          </w:p>
          <w:p w14:paraId="44B1B2D7"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Totodată, se acceptă parțial obiecția privind anexele. Textele se reformulează după cum urmează: „conform modelului din anexa nr. 2 la Regulament” și, respectiv, „conform modelului din anexa nr. 3 la Regulament”.</w:t>
            </w:r>
          </w:p>
          <w:p w14:paraId="7026CD40"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Se respinge obiecția. Modalitatea de consemnare a declarațiilor, inclusiv depunerea acestora în formă scrisă sau prin proces-verbal, ține de organizarea internă a procedurii de investigare și nu necesită reglementare expresă la pct. 25, fiind subsumată obligației generale de documentare a procedurii. Totodată, obligația de păstrare a documentației aferente este deja reglementată de </w:t>
            </w:r>
            <w:r w:rsidRPr="00D31F43">
              <w:rPr>
                <w:rFonts w:ascii="Times New Roman" w:eastAsia="Times New Roman" w:hAnsi="Times New Roman" w:cs="Times New Roman"/>
                <w:highlight w:val="white"/>
                <w:lang w:val="pt-BR"/>
              </w:rPr>
              <w:lastRenderedPageBreak/>
              <w:t>legislația muncii, care prevede păstrarea acesteia pentru o perioadă de cel puțin 3 ani de la finalizarea procedurii, nefiind necesară reiterarea acestor dispoziții în prezentul Regulament.</w:t>
            </w:r>
          </w:p>
          <w:p w14:paraId="1B9D06B7"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acceptă obiecția. Pct. 26 se mută după pct. 24.</w:t>
            </w:r>
          </w:p>
          <w:p w14:paraId="721754B2"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respinge obiecția. Utilizarea termenului „în timp util” este justificată și corespunde uzanțelor de tehnică legislativă, oferind flexibilitatea necesară adaptării informării la circumstanțele fiecărei proceduri. Totodată, caracterul previzibil al normei este asigurat prin stabilirea termenelor de soluționare a sesizării, respectiv într-un termen rezonabil, care nu va depăși 30 de zile de la data înregistrării acesteia, cu posibilitatea prelungirii o singură dată, în mod justificat, pentru un termen de cel mult 15 zile. Astfel, nu se impune definirea suplimentară a noțiunii „în timp util”.</w:t>
            </w:r>
          </w:p>
          <w:p w14:paraId="0419360A"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respinge obiecția. Sintagma „standardele aplicabile în materia prevenirii și combaterii violenței și/sau hărțuirii în muncă” are un conținut determinabil, făcând trimitere la cadrul normativ și la standardele internaționale relevante în domeniu, inclusiv la Convenția OIM nr. 190 privind eliminarea violenței și hărțuirii în lumea muncii, precum și la bunele practici recunoscute. Astfel, formularea asigură flexibilitatea necesară aplicării normei în conformitate cu evoluțiile cadrului internațional și nu necesită o enumerare exhaustivă în textul Regulamentului.</w:t>
            </w:r>
          </w:p>
          <w:p w14:paraId="563ADD65"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acceptă obiecția. În vederea evitării confuziilor pct. 33  se exclude.</w:t>
            </w:r>
          </w:p>
          <w:p w14:paraId="2B4C5BA3"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acceptă obiecția. Pct. 37 și 38 se mută după pct. 34.</w:t>
            </w:r>
          </w:p>
          <w:p w14:paraId="2B643DEE"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Se respinge obiecția. Norma este suficient de clară, întrucât, la nivelul autorității publice, emiterea ordinelor revine exclusiv conducătorului acesteia (angajatorului). Prin urmare, nu este necesară indicarea expresă a subiectului care dispune prelungirea procedurii. </w:t>
            </w:r>
            <w:r w:rsidRPr="00D31F43">
              <w:rPr>
                <w:rFonts w:ascii="Times New Roman" w:eastAsia="Times New Roman" w:hAnsi="Times New Roman" w:cs="Times New Roman"/>
                <w:highlight w:val="white"/>
                <w:lang w:val="pt-BR"/>
              </w:rPr>
              <w:lastRenderedPageBreak/>
              <w:t>Totodată, utilizarea terminologiei nu afectează înțelegerea normei și nu impune revizuirea acesteia.</w:t>
            </w:r>
          </w:p>
          <w:p w14:paraId="3FA89267"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Se respinge obiecția. Normele sunt formulate clar și coerent, stabilind cadrul de aplicare a măsurilor provizorii de protecție și modalitatea de dispunere a acestora. Din coroborarea prevederilor rezultă că, de regulă, măsurile se dispun la propunerea persoanei desemnate pentru investigarea cazului sau a comisiei de investigare, iar, cu titlu de excepție, acestea pot fi dispuse de către conducătorul autorității publice atunci când există un risc iminent pentru persoana vizată sau pentru alte persoane implicate, nefiind vorba de o apreciere discreționară.</w:t>
            </w:r>
          </w:p>
          <w:p w14:paraId="41054313"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Se respinge obiecția. Prevederile Capitolului VI nu au un caracter declarativ, ci unul de clarificare și sistematizare a cadrului juridic aplicabil în materia răspunderii pentru încălcarea Regulamentului. Aceste norme nu instituie tipuri noi de răspundere, ci fac trimitere la formele de răspundere prevăzute de legislația în vigoare (disciplinară, contravențională, penală sau civilă), asigurând astfel coerența și aplicabilitatea Regulamentului.</w:t>
            </w:r>
          </w:p>
          <w:p w14:paraId="01EAF896"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Totodată, includerea acestor dispoziții este conformă practicii normative, având rolul de a informa subiecții vizați cu privire la consecințele juridice ale nerespectării prevederilor, fără a dubla sau substitui normele materiale existente.</w:t>
            </w:r>
          </w:p>
          <w:p w14:paraId="2E4F4D50"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Se acceptă obiecția. Titlul anexei nr. 1 se reformulează, specificând că aceasta reprezintă un model care va fi aplicat de către fiecare autoritate publică la elaborarea și aprobarea politicii interne, în funcție de capacitatea, natura activității și structura organizatorică a acesteia.</w:t>
            </w:r>
          </w:p>
          <w:p w14:paraId="3355C018"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Se acceptă parțial obiecția. Din denumirea Capitolului II se exclude termenul „valori”, fără a fi necesară modificarea conținutului acestuia.</w:t>
            </w:r>
          </w:p>
          <w:p w14:paraId="7BB734E1"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it-IT"/>
              </w:rPr>
              <w:t xml:space="preserve">Se acceptă obiecția. La subpct. </w:t>
            </w:r>
            <w:r w:rsidRPr="00D31F43">
              <w:rPr>
                <w:rFonts w:ascii="Times New Roman" w:eastAsia="Times New Roman" w:hAnsi="Times New Roman" w:cs="Times New Roman"/>
                <w:highlight w:val="white"/>
                <w:lang w:val="pt-BR"/>
              </w:rPr>
              <w:t>4.3, cuvintele „în vigoare” se exclud.</w:t>
            </w:r>
          </w:p>
          <w:p w14:paraId="3E74859D"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acceptă obiecția. Subpct. 4.4 se reformulează după cum urmează:</w:t>
            </w:r>
          </w:p>
          <w:p w14:paraId="1736A4D7"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„confidențialitate – toate datele, informațiile și identitatea persoanelor implicate în procedura de sesizare, investigare sau aplicare a măsurilor de protecție sunt protejate, accesul fiind permis doar persoanelor autorizate potrivit legislației și procedurilor interne;”</w:t>
            </w:r>
          </w:p>
          <w:p w14:paraId="265E868D"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jc w:val="both"/>
              <w:rPr>
                <w:rFonts w:ascii="Times New Roman" w:eastAsia="Times New Roman" w:hAnsi="Times New Roman" w:cs="Times New Roman"/>
                <w:highlight w:val="white"/>
                <w:lang w:val="it-IT"/>
              </w:rPr>
            </w:pPr>
            <w:r>
              <w:rPr>
                <w:rFonts w:ascii="Times New Roman" w:eastAsia="Times New Roman" w:hAnsi="Times New Roman" w:cs="Times New Roman"/>
                <w:highlight w:val="white"/>
              </w:rPr>
              <w:t xml:space="preserve">Se respinge obiecția. Subpct. 4.13 este conform denumirii capitolului, reflectând un angajament instituțional privind respectarea cadrului normativ și asumarea consecințelor juridice în caz de încălcare. </w:t>
            </w:r>
            <w:r w:rsidRPr="00D31F43">
              <w:rPr>
                <w:rFonts w:ascii="Times New Roman" w:eastAsia="Times New Roman" w:hAnsi="Times New Roman" w:cs="Times New Roman"/>
                <w:highlight w:val="white"/>
                <w:lang w:val="it-IT"/>
              </w:rPr>
              <w:t>Norma nu are un caracter pur declarativ, ci contribuie la consolidarea responsabilității și disciplinei instituționale, fiind în concordanță cu scopul Politicii.</w:t>
            </w:r>
          </w:p>
          <w:p w14:paraId="135C9CC7"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sidRPr="00D31F43">
              <w:rPr>
                <w:rFonts w:ascii="Times New Roman" w:eastAsia="Times New Roman" w:hAnsi="Times New Roman" w:cs="Times New Roman"/>
                <w:highlight w:val="white"/>
                <w:lang w:val="it-IT"/>
              </w:rPr>
              <w:t xml:space="preserve">Se respinge obiecția. Norma nu este ambiguă, întrucât obligația de informare a conducătorilor de structuri organizatorice se interpretează în corelare cu prevederile privind procedura de raportare și investigare, fiind evident că informarea vizează persoana sau structura desemnată pentru gestionarea sesizărilor ori, după caz, persoana desemnată sau comisia de investigare. </w:t>
            </w:r>
            <w:r>
              <w:rPr>
                <w:rFonts w:ascii="Times New Roman" w:eastAsia="Times New Roman" w:hAnsi="Times New Roman" w:cs="Times New Roman"/>
                <w:highlight w:val="white"/>
              </w:rPr>
              <w:t>Astfel, nu se impune revizuirea subpct. 6.3.1–6.3.2.</w:t>
            </w:r>
          </w:p>
          <w:p w14:paraId="62F731B1"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acceptă obiecția. Se reformulează pct. 6.3.2. după cum urmează:</w:t>
            </w:r>
          </w:p>
          <w:p w14:paraId="403A445E"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ind w:left="720"/>
              <w:jc w:val="both"/>
              <w:rPr>
                <w:rFonts w:ascii="Times New Roman" w:eastAsia="Times New Roman" w:hAnsi="Times New Roman" w:cs="Times New Roman"/>
                <w:highlight w:val="white"/>
              </w:rPr>
            </w:pPr>
            <w:r>
              <w:rPr>
                <w:rFonts w:ascii="Times New Roman" w:eastAsia="Times New Roman" w:hAnsi="Times New Roman" w:cs="Times New Roman"/>
                <w:i/>
                <w:iCs/>
                <w:highlight w:val="white"/>
              </w:rPr>
              <w:t>“</w:t>
            </w:r>
            <w:r>
              <w:rPr>
                <w:rFonts w:ascii="Times New Roman" w:eastAsia="Times New Roman" w:hAnsi="Times New Roman" w:cs="Times New Roman"/>
                <w:b/>
                <w:bCs/>
                <w:i/>
                <w:iCs/>
                <w:highlight w:val="white"/>
              </w:rPr>
              <w:t>6.3.2.</w:t>
            </w:r>
            <w:r>
              <w:rPr>
                <w:rFonts w:ascii="Times New Roman" w:eastAsia="Times New Roman" w:hAnsi="Times New Roman" w:cs="Times New Roman"/>
                <w:i/>
                <w:iCs/>
                <w:highlight w:val="white"/>
              </w:rPr>
              <w:t xml:space="preserve"> în cazul unor situații urgente, conducătorul de structură poate solicita conducătorului [autorității] </w:t>
            </w:r>
            <w:r>
              <w:rPr>
                <w:rFonts w:ascii="Times New Roman" w:eastAsia="Times New Roman" w:hAnsi="Times New Roman" w:cs="Times New Roman"/>
                <w:i/>
                <w:iCs/>
                <w:highlight w:val="white"/>
              </w:rPr>
              <w:lastRenderedPageBreak/>
              <w:t>dispunerea de măsuri imediate de protecție, chiar înainte de intervenția persoanei/comisiei desemnate;”</w:t>
            </w:r>
          </w:p>
          <w:p w14:paraId="165DA7A9" w14:textId="3906555C"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acceptă obiecția. Pct. 7 se exclude. Pct. 9 se reformulează după cum urmează și este plasat înaintea pct.8: </w:t>
            </w:r>
          </w:p>
          <w:p w14:paraId="21F5CC3F"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„Sesizările privind fapte susceptibile de a constitui violență și/sau hărțuire în muncă se depun în formă scrisă, pe suport hârtie sau prin mijloace electronice, fiind semnate de persoana vizată ori de reprezentantul desemnat în condițiile legii și transmise persoanei sau structurii desemnate să le preia în cadrul autorității publice (conform modelului de la anexa nr. 2 la Regulament). Sesizarea se consideră depusă la data înregistrării acesteia în registrul  de evidență a sesizărilor privind cazurile de violență și/sau hărțuire în muncă al [autorității].”</w:t>
            </w:r>
          </w:p>
          <w:p w14:paraId="6DA95C29"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acceptă. Se exclude sintagma “calendaristice” de la pct.13. </w:t>
            </w:r>
          </w:p>
          <w:p w14:paraId="1541717B"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acceptă obiecția. Pct. 16 se reformulează după cum urmează:</w:t>
            </w:r>
          </w:p>
          <w:p w14:paraId="0AAB3468"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rPr>
            </w:pPr>
            <w:r>
              <w:rPr>
                <w:rFonts w:ascii="Times New Roman" w:eastAsia="Times New Roman" w:hAnsi="Times New Roman" w:cs="Times New Roman"/>
                <w:b/>
                <w:bCs/>
                <w:highlight w:val="white"/>
              </w:rPr>
              <w:t>„</w:t>
            </w:r>
            <w:r>
              <w:rPr>
                <w:rFonts w:ascii="Times New Roman" w:eastAsia="Times New Roman" w:hAnsi="Times New Roman" w:cs="Times New Roman"/>
                <w:i/>
                <w:iCs/>
                <w:highlight w:val="white"/>
              </w:rPr>
              <w:t>La finalizarea investigației, persoana desemnată sau comisia de investigare întocmește raportul de constatare, în conformitate cu modelul de la anexa nr. 4 la Regulamentul privind aplicarea prevederilor referitoare la prevenirea și combaterea violenței și/sau hărțuirii în muncă în autoritățile publice, aprobat prin Hotărârea Guvernului nr. ___/2026.”</w:t>
            </w:r>
          </w:p>
          <w:p w14:paraId="65064083"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accpetă. se exclude din pct.20 sintagma “în limitele”.</w:t>
            </w:r>
          </w:p>
          <w:p w14:paraId="3BE5CD6A"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acceptă obiecția. Se substituie sintagma “</w:t>
            </w:r>
            <w:r>
              <w:rPr>
                <w:rFonts w:ascii="Times New Roman" w:eastAsia="Times New Roman" w:hAnsi="Times New Roman" w:cs="Times New Roman"/>
                <w:i/>
                <w:iCs/>
                <w:highlight w:val="white"/>
              </w:rPr>
              <w:t>răspunde de” cu “monitorizează”.</w:t>
            </w:r>
          </w:p>
          <w:p w14:paraId="7A061D97"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respinge obiecția. Regulamentul prevede în mod expres că desemnarea persoanelor sau structurilor </w:t>
            </w:r>
            <w:r>
              <w:rPr>
                <w:rFonts w:ascii="Times New Roman" w:eastAsia="Times New Roman" w:hAnsi="Times New Roman" w:cs="Times New Roman"/>
                <w:highlight w:val="white"/>
              </w:rPr>
              <w:lastRenderedPageBreak/>
              <w:t>responsabile se realizează prin ordin al conducătorului autorității publice, nefiind necesară o reiterare suplimentară în pct. 24.</w:t>
            </w:r>
          </w:p>
          <w:p w14:paraId="57AA3200"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it-IT"/>
              </w:rPr>
            </w:pPr>
            <w:r>
              <w:rPr>
                <w:rFonts w:ascii="Times New Roman" w:eastAsia="Times New Roman" w:hAnsi="Times New Roman" w:cs="Times New Roman"/>
                <w:highlight w:val="white"/>
              </w:rPr>
              <w:t xml:space="preserve">Se respinge obiecția. Norma de la pct. 29 este justificată, întrucât stabilește în mod expres momentul intrării în vigoare și sfera de aplicare a Politicii, asigurând claritatea și previzibilitatea actului. </w:t>
            </w:r>
            <w:r w:rsidRPr="00D31F43">
              <w:rPr>
                <w:rFonts w:ascii="Times New Roman" w:eastAsia="Times New Roman" w:hAnsi="Times New Roman" w:cs="Times New Roman"/>
                <w:highlight w:val="white"/>
                <w:lang w:val="it-IT"/>
              </w:rPr>
              <w:t>Prevederea nu dublează dispozițiile ordinului de aprobare, ci le completează, fiind în concordanță cu tehnica legislativă și practica normativă.</w:t>
            </w:r>
          </w:p>
          <w:p w14:paraId="374D057D" w14:textId="77777777" w:rsidR="00477212" w:rsidRPr="00D31F43"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Se acceptă obiecția. La pct. 31, cuvântul „personalul” se substituie cu textul „subiecții vizați”.</w:t>
            </w:r>
          </w:p>
          <w:p w14:paraId="20D85DEF" w14:textId="77777777" w:rsidR="00477212" w:rsidRDefault="00000000">
            <w:pPr>
              <w:numPr>
                <w:ilvl w:val="0"/>
                <w:numId w:val="16"/>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 accepta. </w:t>
            </w:r>
          </w:p>
        </w:tc>
      </w:tr>
      <w:tr w:rsidR="00477212" w14:paraId="59F992C4" w14:textId="77777777">
        <w:trPr>
          <w:trHeight w:val="711"/>
        </w:trPr>
        <w:tc>
          <w:tcPr>
            <w:tcW w:w="675" w:type="dxa"/>
          </w:tcPr>
          <w:p w14:paraId="1C722B43"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lastRenderedPageBreak/>
              <w:t xml:space="preserve">C </w:t>
            </w:r>
          </w:p>
        </w:tc>
        <w:tc>
          <w:tcPr>
            <w:tcW w:w="1730" w:type="dxa"/>
          </w:tcPr>
          <w:p w14:paraId="62F27457"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Centrul Național Anticorupție </w:t>
            </w:r>
          </w:p>
        </w:tc>
        <w:tc>
          <w:tcPr>
            <w:tcW w:w="6685" w:type="dxa"/>
          </w:tcPr>
          <w:p w14:paraId="0A6626FE"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b/>
                <w:bCs/>
                <w:highlight w:val="white"/>
                <w:lang w:val="pt-BR"/>
              </w:rPr>
            </w:pPr>
            <w:r w:rsidRPr="00D31F43">
              <w:rPr>
                <w:rFonts w:ascii="Times New Roman" w:eastAsia="Times New Roman" w:hAnsi="Times New Roman" w:cs="Times New Roman"/>
                <w:b/>
                <w:bCs/>
                <w:highlight w:val="white"/>
                <w:lang w:val="pt-BR"/>
              </w:rPr>
              <w:t>I. Analiza riscurilor de corupere a procesului de promovare a proiectului</w:t>
            </w:r>
          </w:p>
          <w:p w14:paraId="0BF29BA5"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b/>
                <w:bCs/>
                <w:i/>
                <w:iCs/>
                <w:highlight w:val="white"/>
                <w:lang w:val="pt-BR"/>
              </w:rPr>
            </w:pPr>
            <w:r w:rsidRPr="00D31F43">
              <w:rPr>
                <w:rFonts w:ascii="Times New Roman" w:eastAsia="Times New Roman" w:hAnsi="Times New Roman" w:cs="Times New Roman"/>
                <w:b/>
                <w:bCs/>
                <w:i/>
                <w:iCs/>
                <w:highlight w:val="white"/>
                <w:lang w:val="pt-BR"/>
              </w:rPr>
              <w:t>I.1. Pertinența autorului, categoriei propuse a actului și a procedurii de promovare a proiectului</w:t>
            </w:r>
          </w:p>
          <w:p w14:paraId="7549B359"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Autor al proiectului de act normativ este Guvernul, iar autor nemijlocit este Ministerul Muncii și Protecţiei Sociale, ceea ce corespunde art.102 din Constituție, art.14 din Legea nr.100/2017 cu privire la actele normative. Categoria actului normativ propus este Hotărâre a Guvernului, ceea ce corespunde art.102 din Constituție, art.6 şi art.14 din Legea nr.100/2017 cu privire la actele normative.</w:t>
            </w:r>
          </w:p>
          <w:p w14:paraId="27725631"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b/>
                <w:bCs/>
                <w:i/>
                <w:iCs/>
                <w:highlight w:val="white"/>
                <w:lang w:val="pt-BR"/>
              </w:rPr>
            </w:pPr>
            <w:r w:rsidRPr="00D31F43">
              <w:rPr>
                <w:rFonts w:ascii="Times New Roman" w:eastAsia="Times New Roman" w:hAnsi="Times New Roman" w:cs="Times New Roman"/>
                <w:b/>
                <w:bCs/>
                <w:i/>
                <w:iCs/>
                <w:highlight w:val="white"/>
                <w:lang w:val="pt-BR"/>
              </w:rPr>
              <w:t>I.2. Respectarea rigorilor de transparenţă în procesul decizional la promovarea proiectului</w:t>
            </w:r>
          </w:p>
          <w:p w14:paraId="68616F30"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Potrivit art.8 al Legii nr.239/2008 privind transparenţa în procesul decizional „etapele asigurării transparenţei procesului de elaborare a deciziilor sunt: a) informarea publicului referitor la iniţierea elaborării deciziei; b) punerea la dispoziţia părţilor interesate a proiectului de decizie şi a materialelor aferente acestuia; c) consultarea cetăţenilor, asociaţiilor constituite în corespundere cu legea, altor părţi interesate;</w:t>
            </w:r>
          </w:p>
          <w:p w14:paraId="7CF37906"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d) examinarea recomandărilor cetăţenilor, asociaţiilor constituite în corespundere cu legea, altor părţi interesate în procesul de elaborare a proiectelor de decizii; e) informarea publicului referitor la deciziile adoptate". </w:t>
            </w:r>
          </w:p>
          <w:p w14:paraId="2376CD4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en-GB"/>
              </w:rPr>
            </w:pPr>
            <w:proofErr w:type="spellStart"/>
            <w:r w:rsidRPr="00D31F43">
              <w:rPr>
                <w:rFonts w:ascii="Times New Roman" w:eastAsia="Times New Roman" w:hAnsi="Times New Roman" w:cs="Times New Roman"/>
                <w:highlight w:val="white"/>
                <w:lang w:val="en-GB"/>
              </w:rPr>
              <w:lastRenderedPageBreak/>
              <w:t>Totodată</w:t>
            </w:r>
            <w:proofErr w:type="spellEnd"/>
            <w:r w:rsidRPr="00D31F43">
              <w:rPr>
                <w:rFonts w:ascii="Times New Roman" w:eastAsia="Times New Roman" w:hAnsi="Times New Roman" w:cs="Times New Roman"/>
                <w:highlight w:val="white"/>
                <w:lang w:val="en-GB"/>
              </w:rPr>
              <w:t xml:space="preserve">, art.10 din Legea nr.239/2008 </w:t>
            </w:r>
            <w:proofErr w:type="spellStart"/>
            <w:r w:rsidRPr="00D31F43">
              <w:rPr>
                <w:rFonts w:ascii="Times New Roman" w:eastAsia="Times New Roman" w:hAnsi="Times New Roman" w:cs="Times New Roman"/>
                <w:highlight w:val="white"/>
                <w:lang w:val="en-GB"/>
              </w:rPr>
              <w:t>stabileşte</w:t>
            </w:r>
            <w:proofErr w:type="spellEnd"/>
            <w:r w:rsidRPr="00D31F43">
              <w:rPr>
                <w:rFonts w:ascii="Times New Roman" w:eastAsia="Times New Roman" w:hAnsi="Times New Roman" w:cs="Times New Roman"/>
                <w:highlight w:val="white"/>
                <w:lang w:val="en-GB"/>
              </w:rPr>
              <w:t xml:space="preserve"> </w:t>
            </w:r>
            <w:proofErr w:type="spellStart"/>
            <w:r w:rsidRPr="00D31F43">
              <w:rPr>
                <w:rFonts w:ascii="Times New Roman" w:eastAsia="Times New Roman" w:hAnsi="Times New Roman" w:cs="Times New Roman"/>
                <w:highlight w:val="white"/>
                <w:lang w:val="en-GB"/>
              </w:rPr>
              <w:t>expres</w:t>
            </w:r>
            <w:proofErr w:type="spellEnd"/>
            <w:r w:rsidRPr="00D31F43">
              <w:rPr>
                <w:rFonts w:ascii="Times New Roman" w:eastAsia="Times New Roman" w:hAnsi="Times New Roman" w:cs="Times New Roman"/>
                <w:highlight w:val="white"/>
                <w:lang w:val="en-GB"/>
              </w:rPr>
              <w:t xml:space="preserve"> </w:t>
            </w:r>
            <w:proofErr w:type="spellStart"/>
            <w:r w:rsidRPr="00D31F43">
              <w:rPr>
                <w:rFonts w:ascii="Times New Roman" w:eastAsia="Times New Roman" w:hAnsi="Times New Roman" w:cs="Times New Roman"/>
                <w:highlight w:val="white"/>
                <w:lang w:val="en-GB"/>
              </w:rPr>
              <w:t>că</w:t>
            </w:r>
            <w:proofErr w:type="spellEnd"/>
            <w:r w:rsidRPr="00D31F43">
              <w:rPr>
                <w:rFonts w:ascii="Times New Roman" w:eastAsia="Times New Roman" w:hAnsi="Times New Roman" w:cs="Times New Roman"/>
                <w:highlight w:val="white"/>
                <w:lang w:val="en-GB"/>
              </w:rPr>
              <w:t>:</w:t>
            </w:r>
          </w:p>
          <w:p w14:paraId="1FAEA8AA"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„(1) Autoritatea publică asigură accesul la proiectele de decizii şi la materialele aferente acestora prin publicarea obligatorie a lor pe pagina web oficială a autorităţii publice, prin asigurarea accesului la sediul autorităţii, precum şi prin expediere prin poştă sau prin alte mijloace disponibile, la solicitarea persoanei interesate.</w:t>
            </w:r>
          </w:p>
          <w:p w14:paraId="0A894340"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(2) Proiectul de decizie şi materialele aferente acestuia se plasează pe pagina web oficială a autorităţii publice responsabile cel puţin pentru perioada recepţionării şi examinării recomandărilor".</w:t>
            </w:r>
          </w:p>
          <w:p w14:paraId="4EE5984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Proiectul de lege supus expertizei anticorupție a fost publicat pentru consultare publică pe site-ul oficial al Ministerului Muncii și Protecției Sociale, precum și pe portalul guvernamental </w:t>
            </w:r>
            <w:hyperlink r:id="rId7">
              <w:r w:rsidR="00477212" w:rsidRPr="00D31F43">
                <w:rPr>
                  <w:rFonts w:ascii="Times New Roman" w:eastAsia="Times New Roman" w:hAnsi="Times New Roman" w:cs="Times New Roman"/>
                  <w:color w:val="1155CC"/>
                  <w:highlight w:val="white"/>
                  <w:u w:val="single"/>
                  <w:lang w:val="it-IT"/>
                </w:rPr>
                <w:t>www.particip.gov.md</w:t>
              </w:r>
            </w:hyperlink>
            <w:r w:rsidRPr="00D31F43">
              <w:rPr>
                <w:rFonts w:ascii="Times New Roman" w:eastAsia="Times New Roman" w:hAnsi="Times New Roman" w:cs="Times New Roman"/>
                <w:highlight w:val="white"/>
                <w:lang w:val="it-IT"/>
              </w:rPr>
              <w:t>, oferind astfel acces părților interesate pentru a-și exprima opinia și a face recomandări cu privire la acesta.</w:t>
            </w:r>
          </w:p>
          <w:p w14:paraId="590FFE8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În același timp, autorul a asigurat informarea publicului cu privire la inițierea elaborării acestui proiect de decizie. Astfel, se constată că a fost respectată etapa esențială în asigurarea transparenței procesului de elaborare a deciziilor, conform art.8 lit.a) din Legea nr. 239/2008 privind transparența în procesul decizional.</w:t>
            </w:r>
          </w:p>
          <w:p w14:paraId="55A4BBB0"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Prin urmare, având în vedere că proiectul a fost publicat pe paginile web menționate supra și luând în considerare termenele pentru consultări publice, transparența în procesul decizional a fost integral asigurată.</w:t>
            </w:r>
          </w:p>
          <w:p w14:paraId="2BC13AB0" w14:textId="77777777" w:rsidR="00477212" w:rsidRPr="00D31F43" w:rsidRDefault="00000000">
            <w:pPr>
              <w:shd w:val="clear" w:color="auto" w:fill="FFFFFF"/>
              <w:spacing w:line="240" w:lineRule="auto"/>
              <w:jc w:val="both"/>
              <w:rPr>
                <w:rFonts w:ascii="Times New Roman" w:eastAsia="Times New Roman" w:hAnsi="Times New Roman" w:cs="Times New Roman"/>
                <w:b/>
                <w:bCs/>
                <w:i/>
                <w:iCs/>
                <w:highlight w:val="white"/>
                <w:lang w:val="it-IT"/>
              </w:rPr>
            </w:pPr>
            <w:r w:rsidRPr="00D31F43">
              <w:rPr>
                <w:rFonts w:ascii="Times New Roman" w:eastAsia="Times New Roman" w:hAnsi="Times New Roman" w:cs="Times New Roman"/>
                <w:b/>
                <w:bCs/>
                <w:i/>
                <w:iCs/>
                <w:highlight w:val="white"/>
                <w:lang w:val="it-IT"/>
              </w:rPr>
              <w:t>I.3. Scopul anunţat și scopul real al proiectului</w:t>
            </w:r>
          </w:p>
          <w:p w14:paraId="2EF52D0F"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Potrivit notei de fundamentare, proiectul are drept scop instituirea unui cadru normativ unitar, clar și obligatoriu pentru toate autoritățile publice, care să asigure prevenirea, identificarea, raportarea, investigarea și sancționarea eficientă a cazurilor de violență și hărțuire în muncă, precum și protecția efectivă a persoanelor aflate în raporturi de muncă cu aceste autorități, în conformitate cu standardele Convenției OIM nr. 190/2019 și ale legislației naționale.</w:t>
            </w:r>
          </w:p>
          <w:p w14:paraId="0ECE57FE"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Analizând normele elaborate s-a constatat că prin proiect se propune aprobarea Regulamentului</w:t>
            </w:r>
          </w:p>
          <w:p w14:paraId="1D125FF3"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privind aplicarea prevederilor referitoare la prevenirea și combaterea violenței și/sau hărțuirii în muncă în autoritățile publice. Prin urmare, se </w:t>
            </w:r>
            <w:r w:rsidRPr="00D31F43">
              <w:rPr>
                <w:rFonts w:ascii="Times New Roman" w:eastAsia="Times New Roman" w:hAnsi="Times New Roman" w:cs="Times New Roman"/>
                <w:highlight w:val="white"/>
                <w:lang w:val="it-IT"/>
              </w:rPr>
              <w:lastRenderedPageBreak/>
              <w:t>constată că scopul declarat de către autor în nota de fundamentare corespunde scopului real al proiectului.</w:t>
            </w:r>
          </w:p>
          <w:p w14:paraId="64F7BB5A" w14:textId="77777777" w:rsidR="00477212" w:rsidRPr="00D31F43" w:rsidRDefault="00000000">
            <w:pPr>
              <w:shd w:val="clear" w:color="auto" w:fill="FFFFFF"/>
              <w:spacing w:line="240" w:lineRule="auto"/>
              <w:jc w:val="both"/>
              <w:rPr>
                <w:rFonts w:ascii="Times New Roman" w:eastAsia="Times New Roman" w:hAnsi="Times New Roman" w:cs="Times New Roman"/>
                <w:b/>
                <w:bCs/>
                <w:i/>
                <w:iCs/>
                <w:highlight w:val="white"/>
                <w:lang w:val="it-IT"/>
              </w:rPr>
            </w:pPr>
            <w:r w:rsidRPr="00D31F43">
              <w:rPr>
                <w:rFonts w:ascii="Times New Roman" w:eastAsia="Times New Roman" w:hAnsi="Times New Roman" w:cs="Times New Roman"/>
                <w:b/>
                <w:bCs/>
                <w:i/>
                <w:iCs/>
                <w:highlight w:val="white"/>
                <w:lang w:val="it-IT"/>
              </w:rPr>
              <w:t>I.4. Interesul public şi interesele private promovate prin proiect</w:t>
            </w:r>
          </w:p>
          <w:p w14:paraId="0EDB4FE1"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Reieșind din argumentele autorului, proiectul promovează interesul public prin instituirea unui cadru eficient de prevenire, identificare, raportare, investigare și sancționare a cazurilor de violență și hărțuire în muncă.</w:t>
            </w:r>
          </w:p>
          <w:p w14:paraId="0E941899" w14:textId="77777777" w:rsidR="00477212" w:rsidRPr="00AE06E3" w:rsidRDefault="00000000">
            <w:pPr>
              <w:shd w:val="clear" w:color="auto" w:fill="FFFFFF"/>
              <w:spacing w:line="240" w:lineRule="auto"/>
              <w:jc w:val="both"/>
              <w:rPr>
                <w:rFonts w:ascii="Times New Roman" w:eastAsia="Times New Roman" w:hAnsi="Times New Roman" w:cs="Times New Roman"/>
                <w:b/>
                <w:bCs/>
                <w:highlight w:val="white"/>
                <w:lang w:val="it-IT"/>
              </w:rPr>
            </w:pPr>
            <w:r w:rsidRPr="00AE06E3">
              <w:rPr>
                <w:rFonts w:ascii="Times New Roman" w:eastAsia="Times New Roman" w:hAnsi="Times New Roman" w:cs="Times New Roman"/>
                <w:b/>
                <w:bCs/>
                <w:highlight w:val="white"/>
                <w:lang w:val="it-IT"/>
              </w:rPr>
              <w:t>I.5. Justificarea soluțiilor proiectului</w:t>
            </w:r>
          </w:p>
          <w:p w14:paraId="62805F5A" w14:textId="77777777" w:rsidR="00477212" w:rsidRPr="00AE06E3" w:rsidRDefault="00000000">
            <w:pPr>
              <w:shd w:val="clear" w:color="auto" w:fill="FFFFFF"/>
              <w:spacing w:line="240" w:lineRule="auto"/>
              <w:jc w:val="both"/>
              <w:rPr>
                <w:rFonts w:ascii="Times New Roman" w:eastAsia="Times New Roman" w:hAnsi="Times New Roman" w:cs="Times New Roman"/>
                <w:b/>
                <w:bCs/>
                <w:i/>
                <w:iCs/>
                <w:highlight w:val="white"/>
                <w:lang w:val="it-IT"/>
              </w:rPr>
            </w:pPr>
            <w:r w:rsidRPr="00AE06E3">
              <w:rPr>
                <w:rFonts w:ascii="Times New Roman" w:eastAsia="Times New Roman" w:hAnsi="Times New Roman" w:cs="Times New Roman"/>
                <w:b/>
                <w:bCs/>
                <w:i/>
                <w:iCs/>
                <w:highlight w:val="white"/>
                <w:lang w:val="it-IT"/>
              </w:rPr>
              <w:t>I.5.1. Suficienţa argumentării din nota informativă.</w:t>
            </w:r>
          </w:p>
          <w:p w14:paraId="71D6DB41"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În conformitate cu art.30 al Legii nr.100/2017 cu privire la actele normative, proiectele de acte normative sunt însoțite de „nota de fundamentare care cuprinde: a) denumirea sau numele autorului și, după caz, a/al participanților la elaborarea proiectului actului normativ; b) condițiile ce au impus elaborarea proiectului actului normativ; c) obiectivele urmărite și soluțiile propuse; d) analiza impactului de reglementare; e) compatibilitatea proiectului actului normativ cu legislația UE; f) avizarea și consultarea publică a proiectului actului normativ; h) modul de încorporare a actului în cadrul normativ existent;</w:t>
            </w:r>
          </w:p>
          <w:p w14:paraId="5AA64B77"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i) măsurile necesare pentru implementarea prevederilor proiectului actului normativ." Argumentele invocate de autor în nota de fundamentare justifică necesitatea elaborării proiectului, fiind întrunite cerințele art.30 din Legea nr.100/2017 cu privire la actele normative.</w:t>
            </w:r>
          </w:p>
          <w:p w14:paraId="38AA0200" w14:textId="77777777" w:rsidR="00477212" w:rsidRPr="00AE06E3" w:rsidRDefault="00000000">
            <w:pPr>
              <w:shd w:val="clear" w:color="auto" w:fill="FFFFFF"/>
              <w:spacing w:line="240" w:lineRule="auto"/>
              <w:jc w:val="both"/>
              <w:rPr>
                <w:rFonts w:ascii="Times New Roman" w:eastAsia="Times New Roman" w:hAnsi="Times New Roman" w:cs="Times New Roman"/>
                <w:b/>
                <w:bCs/>
                <w:i/>
                <w:iCs/>
                <w:highlight w:val="white"/>
                <w:lang w:val="it-IT"/>
              </w:rPr>
            </w:pPr>
            <w:r w:rsidRPr="00AE06E3">
              <w:rPr>
                <w:rFonts w:ascii="Times New Roman" w:eastAsia="Times New Roman" w:hAnsi="Times New Roman" w:cs="Times New Roman"/>
                <w:b/>
                <w:bCs/>
                <w:i/>
                <w:iCs/>
                <w:highlight w:val="white"/>
                <w:lang w:val="it-IT"/>
              </w:rPr>
              <w:t>I.5.2. Argumentarea economică-financiară.</w:t>
            </w:r>
          </w:p>
          <w:p w14:paraId="6D1B97CF"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Conform art.30 lit.d) al Legii nr.100/2017 cu privire la actele normative, nota de fundamentare trebuie să conțină „d) analiza impactului de reglementare". Potrivit autorului: ,,Impactul financiar al proiectului este redus, întrucât implementarea măsurilor propuse se realizează preponderent prin resursele administrative și umane existente. Eventualele costuri aferente instruirilor sau actualizării procedurilor interne sunt minime și nu necesită alocări bugetare suplimentare.”</w:t>
            </w:r>
          </w:p>
          <w:p w14:paraId="569BC9EC"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b/>
                <w:bCs/>
                <w:highlight w:val="white"/>
                <w:lang w:val="it-IT"/>
              </w:rPr>
              <w:t>II. Analiza generală a factorilor de risc ale proiectului</w:t>
            </w:r>
          </w:p>
          <w:p w14:paraId="319E47F7" w14:textId="77777777" w:rsidR="00477212" w:rsidRPr="00AE06E3" w:rsidRDefault="00000000">
            <w:pPr>
              <w:shd w:val="clear" w:color="auto" w:fill="FFFFFF"/>
              <w:spacing w:line="240" w:lineRule="auto"/>
              <w:jc w:val="both"/>
              <w:rPr>
                <w:rFonts w:ascii="Times New Roman" w:eastAsia="Times New Roman" w:hAnsi="Times New Roman" w:cs="Times New Roman"/>
                <w:b/>
                <w:bCs/>
                <w:i/>
                <w:iCs/>
                <w:highlight w:val="white"/>
                <w:lang w:val="it-IT"/>
              </w:rPr>
            </w:pPr>
            <w:r w:rsidRPr="00AE06E3">
              <w:rPr>
                <w:rFonts w:ascii="Times New Roman" w:eastAsia="Times New Roman" w:hAnsi="Times New Roman" w:cs="Times New Roman"/>
                <w:b/>
                <w:bCs/>
                <w:i/>
                <w:iCs/>
                <w:highlight w:val="white"/>
                <w:lang w:val="it-IT"/>
              </w:rPr>
              <w:t>II.1. Limbajul proiectului</w:t>
            </w:r>
          </w:p>
          <w:p w14:paraId="203B916B" w14:textId="77777777" w:rsidR="00477212" w:rsidRPr="00AE06E3" w:rsidRDefault="00477212">
            <w:pPr>
              <w:shd w:val="clear" w:color="auto" w:fill="FFFFFF"/>
              <w:spacing w:line="240" w:lineRule="auto"/>
              <w:jc w:val="both"/>
              <w:rPr>
                <w:rFonts w:ascii="Times New Roman" w:eastAsia="Times New Roman" w:hAnsi="Times New Roman" w:cs="Times New Roman"/>
                <w:highlight w:val="white"/>
                <w:lang w:val="it-IT"/>
              </w:rPr>
            </w:pPr>
          </w:p>
          <w:p w14:paraId="284682AD"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 xml:space="preserve">Potrivit art.54 al Legii nr.100/2017 cu privire la actele normative „textul proiectului actului normativ se elaborează [...] cu respectarea următoarelor reguli: [...] a) se expune într-un limbaj simplu, clar şi concis [...] c) </w:t>
            </w:r>
            <w:r w:rsidRPr="00AE06E3">
              <w:rPr>
                <w:rFonts w:ascii="Times New Roman" w:eastAsia="Times New Roman" w:hAnsi="Times New Roman" w:cs="Times New Roman"/>
                <w:highlight w:val="white"/>
                <w:lang w:val="it-IT"/>
              </w:rPr>
              <w:lastRenderedPageBreak/>
              <w:t>terminologia utilizată este constantă, uniformă și corespunde celei utilizate în alte acte normative, în legislația Uniunii Europene și în alte instrumente internaționale la care Republica Moldova este parte, cu respectarea prevederilor prezentei legi; [...] e) se interzice folosirea neologismelor dacă există sinonime de largă răspândire, [...] f) se evită folosirea [...] a cuvintelor și expresiilor [...] care nu sînt utilizate sau cu sens ambiguu; g) se evită tautologiile juridice; h) se utilizează, pe cât este posibil, noțiuni monosemantice, [...]".</w:t>
            </w:r>
          </w:p>
          <w:p w14:paraId="340FE14B"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Textul proiectului în mare parte este expus într-un limbaj simplu, clar şi concis, cu respectarea regulilor gramaticale şi de ortografie, întrunind cerinţele prevăzute de art.54 din Legea nr.100/2017.</w:t>
            </w:r>
          </w:p>
          <w:p w14:paraId="6042C7CC"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Totuși, formularea ,,măsuri rezonabile și adecvate pentru prevenirea și combaterea violenței și/sau hărțuirii”, urmează a fi revăzută, deoarece conținutul noțiunii oferă suficiente detalii privind măsurile instituite.</w:t>
            </w:r>
          </w:p>
          <w:p w14:paraId="7CF7B6DF" w14:textId="77777777" w:rsidR="00477212" w:rsidRPr="00AE06E3" w:rsidRDefault="00000000">
            <w:pPr>
              <w:shd w:val="clear" w:color="auto" w:fill="FFFFFF"/>
              <w:spacing w:line="240" w:lineRule="auto"/>
              <w:jc w:val="both"/>
              <w:rPr>
                <w:rFonts w:ascii="Times New Roman" w:eastAsia="Times New Roman" w:hAnsi="Times New Roman" w:cs="Times New Roman"/>
                <w:b/>
                <w:bCs/>
                <w:highlight w:val="white"/>
                <w:lang w:val="it-IT"/>
              </w:rPr>
            </w:pPr>
            <w:r w:rsidRPr="00AE06E3">
              <w:rPr>
                <w:rFonts w:ascii="Times New Roman" w:eastAsia="Times New Roman" w:hAnsi="Times New Roman" w:cs="Times New Roman"/>
                <w:b/>
                <w:bCs/>
                <w:i/>
                <w:iCs/>
                <w:highlight w:val="white"/>
                <w:lang w:val="it-IT"/>
              </w:rPr>
              <w:t>II.2. Coerența legislativă a proiectului</w:t>
            </w:r>
          </w:p>
          <w:p w14:paraId="462F7A14"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În textul proiectului în mare parte nu au fost identificate norme contradictorii sau conflicte dintre prevederile acestuia cu reglementările altor acte normative în vigoare.</w:t>
            </w:r>
          </w:p>
          <w:p w14:paraId="266B2EDA"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Totuși, autorul urmează să coreleze modalitatea de depunere a sesizării, reglementată la capitolul III din proiectul Regulamentului, cu procedura descrisă în Anexa nr. 1 la Regulament.</w:t>
            </w:r>
          </w:p>
          <w:p w14:paraId="78F13603"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Acest aspect a fost detaliat suplimentar în compartimentul III al prezentului raport de expertiză anticorupție.</w:t>
            </w:r>
          </w:p>
          <w:p w14:paraId="58B2029B"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b/>
                <w:bCs/>
                <w:i/>
                <w:iCs/>
                <w:highlight w:val="white"/>
                <w:lang w:val="it-IT"/>
              </w:rPr>
              <w:t>II.3. Activitatea agenţilor publici şi a entităților publice reglementată în proiect</w:t>
            </w:r>
          </w:p>
          <w:p w14:paraId="401AD557"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Proiectul reglementează activitatea autorităților publice în domeniul prevenirii și combaterii violenței și/sau hărțuirii în muncă în cadrul autorităților publice.</w:t>
            </w:r>
          </w:p>
          <w:p w14:paraId="60774D0F"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Astfel, implementarea proiectului supus expertizei implică instituirea, în sarcina autorităților publice, a următoarelor obligații:</w:t>
            </w:r>
          </w:p>
          <w:p w14:paraId="5BD42C36"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 aprobarea politicii interne privind prevenirea și combaterea violenței și hărțuirii în muncă, în conformitate cu Regulamentul; - elaborarea și actualizarea procedurilor interne, inclusiv a modelelor de sesizare, a registrului de evidență, a raportului de constatare și a altor formulare necesare; - desemnarea persoanelor responsabile sau constituirea </w:t>
            </w:r>
            <w:r w:rsidRPr="00D31F43">
              <w:rPr>
                <w:rFonts w:ascii="Times New Roman" w:eastAsia="Times New Roman" w:hAnsi="Times New Roman" w:cs="Times New Roman"/>
                <w:highlight w:val="white"/>
                <w:lang w:val="pt-BR"/>
              </w:rPr>
              <w:lastRenderedPageBreak/>
              <w:t>comisiilor de investigare, prin act administrativ al conducătorului autorității; - organizarea instruirilor obligatorii pentru personal, inclusiv pentru persoanele desemnate și pentru conducerea subdiviziunilor; - informarea personalului cu privire la drepturile și obligațiile stabilite prin Regulament și politica internă, inclusiv prin afișare și transmitere electronică; - instituirea mecanismelor de raportare și evidență a sesizărilor, inclusiv crearea și ținerea unui registru special; - implementarea măsurilor de protecție prevăzute de Regulament, după caz; - asigurarea monitorizării și raportării anuale privind aplicarea măsurilor, în conformitate cu cerințele Regulamentului;- adaptarea actelor interne existente, astfel încât acestea să fie pe deplin conforme cu prevederile noului Regulament.</w:t>
            </w:r>
          </w:p>
          <w:p w14:paraId="75B105CE" w14:textId="77777777" w:rsidR="00477212" w:rsidRPr="00D31F43" w:rsidRDefault="00000000">
            <w:pPr>
              <w:shd w:val="clear" w:color="auto" w:fill="FFFFFF"/>
              <w:spacing w:line="240" w:lineRule="auto"/>
              <w:jc w:val="both"/>
              <w:rPr>
                <w:rFonts w:ascii="Times New Roman" w:eastAsia="Times New Roman" w:hAnsi="Times New Roman" w:cs="Times New Roman"/>
                <w:b/>
                <w:bCs/>
                <w:highlight w:val="white"/>
                <w:lang w:val="it-IT"/>
              </w:rPr>
            </w:pPr>
            <w:r w:rsidRPr="00D31F43">
              <w:rPr>
                <w:rFonts w:ascii="Times New Roman" w:eastAsia="Times New Roman" w:hAnsi="Times New Roman" w:cs="Times New Roman"/>
                <w:b/>
                <w:bCs/>
                <w:highlight w:val="white"/>
                <w:lang w:val="it-IT"/>
              </w:rPr>
              <w:t>II.4. Atingeri ale drepturilor omului care pot fi cauzate la aplicarea proiectului</w:t>
            </w:r>
          </w:p>
          <w:p w14:paraId="2338A926" w14:textId="77777777" w:rsidR="00477212" w:rsidRPr="00AE06E3" w:rsidRDefault="00000000">
            <w:pPr>
              <w:shd w:val="clear" w:color="auto" w:fill="FFFFFF"/>
              <w:spacing w:line="240" w:lineRule="auto"/>
              <w:jc w:val="both"/>
              <w:rPr>
                <w:rFonts w:ascii="Times New Roman" w:eastAsia="Times New Roman" w:hAnsi="Times New Roman" w:cs="Times New Roman"/>
                <w:highlight w:val="white"/>
                <w:lang w:val="it-IT"/>
              </w:rPr>
            </w:pPr>
            <w:r w:rsidRPr="00AE06E3">
              <w:rPr>
                <w:rFonts w:ascii="Times New Roman" w:eastAsia="Times New Roman" w:hAnsi="Times New Roman" w:cs="Times New Roman"/>
                <w:highlight w:val="white"/>
                <w:lang w:val="it-IT"/>
              </w:rPr>
              <w:t>Prevederile proiectului nu aduc atingere drepturilor fundamentale ale omului consacrate de Constituţia Republicii Moldova, Declaraţia Universală a Drepturilor Omului şi Convenţia Europeană a Drepturilor Omului.</w:t>
            </w:r>
          </w:p>
          <w:p w14:paraId="4FBDCD47" w14:textId="77777777" w:rsidR="00477212" w:rsidRPr="00D31F43" w:rsidRDefault="00000000">
            <w:pPr>
              <w:shd w:val="clear" w:color="auto" w:fill="FFFFFF"/>
              <w:spacing w:line="240" w:lineRule="auto"/>
              <w:jc w:val="both"/>
              <w:rPr>
                <w:rFonts w:ascii="Times New Roman" w:eastAsia="Times New Roman" w:hAnsi="Times New Roman" w:cs="Times New Roman"/>
                <w:b/>
                <w:bCs/>
                <w:highlight w:val="white"/>
                <w:lang w:val="pt-BR"/>
              </w:rPr>
            </w:pPr>
            <w:r w:rsidRPr="00D31F43">
              <w:rPr>
                <w:rFonts w:ascii="Times New Roman" w:eastAsia="Times New Roman" w:hAnsi="Times New Roman" w:cs="Times New Roman"/>
                <w:b/>
                <w:bCs/>
                <w:highlight w:val="white"/>
                <w:lang w:val="pt-BR"/>
              </w:rPr>
              <w:t>III. Analiza detaliată a factorilor de risc și a riscurilor de corupție ale proiectului</w:t>
            </w:r>
          </w:p>
          <w:p w14:paraId="3F78F8A8" w14:textId="77777777" w:rsidR="00477212" w:rsidRPr="00D31F43" w:rsidRDefault="00000000">
            <w:pPr>
              <w:shd w:val="clear" w:color="auto" w:fill="FFFFFF"/>
              <w:spacing w:line="240" w:lineRule="auto"/>
              <w:jc w:val="both"/>
              <w:rPr>
                <w:rFonts w:ascii="Times New Roman" w:eastAsia="Times New Roman" w:hAnsi="Times New Roman" w:cs="Times New Roman"/>
                <w:b/>
                <w:bCs/>
                <w:i/>
                <w:iCs/>
                <w:highlight w:val="white"/>
                <w:lang w:val="pt-BR"/>
              </w:rPr>
            </w:pPr>
            <w:r w:rsidRPr="00D31F43">
              <w:rPr>
                <w:rFonts w:ascii="Times New Roman" w:eastAsia="Times New Roman" w:hAnsi="Times New Roman" w:cs="Times New Roman"/>
                <w:b/>
                <w:bCs/>
                <w:i/>
                <w:iCs/>
                <w:highlight w:val="white"/>
                <w:lang w:val="pt-BR"/>
              </w:rPr>
              <w:t>Obiecție generală</w:t>
            </w:r>
          </w:p>
          <w:p w14:paraId="1EE8130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Obiecții:</w:t>
            </w:r>
          </w:p>
          <w:p w14:paraId="482EF71E"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Potrivit pct. 3 din proiectul Regulamentului, prevederile acestuia se aplică tuturor persoanelor aflate în raporturi de muncă sau în alte raporturi legate nemijlocit de acestea din cadrul autorității publice, inclusiv, dar fără a se limita la:</w:t>
            </w:r>
          </w:p>
          <w:p w14:paraId="4CCB123D"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3.1. persoanele cu funcții de demnitate publică, indiferent de funcția de demnitate publică exercitată sau de nivelul autorității în care își desfășoară activitatea;</w:t>
            </w:r>
          </w:p>
          <w:p w14:paraId="25878DE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3.2. funcționarii publici, indiferent de categoria, treapta sau funcția publică deținută;</w:t>
            </w:r>
          </w:p>
          <w:p w14:paraId="5C5C4F7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3.3. funcționarii publici cu statut special, în condițiile legislației speciale aplicabile;</w:t>
            </w:r>
          </w:p>
          <w:p w14:paraId="5C61023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3.4. salariații angajați în baza contractului individual de muncă, indiferent de durata, forma sau modalitatea de executare a acestuia;</w:t>
            </w:r>
          </w:p>
          <w:p w14:paraId="109FA39F"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lastRenderedPageBreak/>
              <w:t>3.5. persoanele detașate, delegate, transferate temporar sau puse la dispoziția autorității publice în orice formă permisă de lege;</w:t>
            </w:r>
          </w:p>
          <w:p w14:paraId="5754CCD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3.6. stagiarii, voluntarii, persoanele aflate în programe de practică, instruire profesională sau formare continuă, precum și alte persoane care desfășoară activități în cadrul autorității publice fără a deține un contract individual de muncă;</w:t>
            </w:r>
          </w:p>
          <w:p w14:paraId="6B43829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3.7. colaboratorii externi, experții, consultanții, asistenții tehnici, precum și alte persoane care își desfășoară activitatea în sediile, spațiile sau locațiile aflate în gestiunea autorității publice ori în cadrul activităților realizate pentru sau în legătură cu atribuțiile autorității publice;</w:t>
            </w:r>
          </w:p>
          <w:p w14:paraId="17F69C73"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3.8. persoanele aparținând altor instituții sau organizații cu care autoritatea publică interacționează instituțional, în măsura în care această interacțiune are loc în contextul exercitării atribuțiilor de serviciu;</w:t>
            </w:r>
          </w:p>
          <w:p w14:paraId="6ADCB25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3.9. orice alte persoane față de care pot surveni acte de violență și/sau hărțuire în muncă, dacă acestea se manifestă în legătură nemijlocită cu exercitarea atribuțiilor de serviciu în cadrul autorității publice.</w:t>
            </w:r>
          </w:p>
          <w:p w14:paraId="2FB2367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Suplimentar, autorul stabilește, pentru persoanele menționate la pct. 3, obligațiile acestora în scopul prevenirii și combaterii violenței și/sau hărțuirii în muncă. Totuși, aspectele ce țin de drepturile persoanelor aflate în raporturi de muncă nu se regăsesc în proiectul Regulamentului, deși activitățile de prevenire a acestui fenomen implică, în mod necesar, și cunoașterea și garantarea drepturilor persoanelor supuse oricărei forme de violență sau hărțuire.</w:t>
            </w:r>
          </w:p>
          <w:p w14:paraId="62DFD662"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Recomandări:</w:t>
            </w:r>
          </w:p>
          <w:p w14:paraId="40304A10"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Completarea proiectului de Regulament cu un punct suplimentar dedicat drepturilor persoanelor indicate la pct. 3.</w:t>
            </w:r>
          </w:p>
          <w:p w14:paraId="17962733" w14:textId="77777777" w:rsidR="00477212" w:rsidRPr="00D31F43" w:rsidRDefault="00477212">
            <w:pPr>
              <w:shd w:val="clear" w:color="auto" w:fill="FFFFFF"/>
              <w:spacing w:line="240" w:lineRule="auto"/>
              <w:jc w:val="both"/>
              <w:rPr>
                <w:rFonts w:ascii="Times New Roman" w:eastAsia="Times New Roman" w:hAnsi="Times New Roman" w:cs="Times New Roman"/>
                <w:highlight w:val="white"/>
                <w:lang w:val="pt-BR"/>
              </w:rPr>
            </w:pPr>
          </w:p>
          <w:p w14:paraId="766A8BC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Pct. 18 din proeictul Regulamentului și pct. 7 din Anexa nr. 1 la proiectul Regulamentului 18. Sesizările privind fapte susceptibile de a constitui violență și/sau hărțuire în muncă se depun în formă scrisă, pe suport hârtie sau prin mijloace electronice, fiind semnate de persoana vizată ori</w:t>
            </w:r>
          </w:p>
          <w:p w14:paraId="7080DFE7"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de reprezentantul desemnat în condițiile legii și transmise persoanei sau structurii desemnate să le preia în cadrul autorității publice (conform Anexei nr. 2 la Regulament).[...]</w:t>
            </w:r>
          </w:p>
          <w:p w14:paraId="1B1A8AF2"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lastRenderedPageBreak/>
              <w:t>7. Sesizările privind fapte de violență și/sau hărțuire în muncă se formulează în scris, utilizând modelul de sesizare adoptat la nivelul [autorității], și se depun în format fizic, la sediul [autorității], sau prin poștă, cu confirmare de primire, fie în format electronic, la adresa oficială indicată.[...]</w:t>
            </w:r>
          </w:p>
          <w:p w14:paraId="64511A4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Obiecții:</w:t>
            </w:r>
          </w:p>
          <w:p w14:paraId="166A6173"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Norma citată stabilește procedura de depunere a sesizărilor privind faptele susceptibile de a constitui violență și/sau hărțuire în muncă, respectiv prevede că aceste sesizări se depun în formă scrisă, pe suport de hârtie sau prin mijloace electronice, fiind transmise persoanei sau structurii desemnate să le preia în cadrul autorității publice.</w:t>
            </w:r>
          </w:p>
          <w:p w14:paraId="0A294715"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Totodată, politica internă privind prevenirea și combaterea violenței și/sau hărțuirii în muncă, prevăzută în Anexa nr. 1 la proiectul Regulamentului, deși instituie principiul confidențialității, care, potrivit definiției, presupune protejarea tuturor datelor, informațiilor și identității persoanelor implicate în sesizări, proceduri de investigare sau măsuri de protecție, accesul fiind permis doar persoanelor autorizate conform legislației în vigoare și procedurilor interne, autorul stabilește, la Capitolul IV pct. 7, că sesizările se formulează în scris, utilizând modelul de sesizare aprobat la nivelul autorității, și se depun în format fizic, la sediul acesteia, sau prin poștă, cu confirmare de primire, ori în format electronic, la adresa oficială indicată.</w:t>
            </w:r>
          </w:p>
          <w:p w14:paraId="6C989CF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În acest context, se impune revizuirea procedurii din perspectiva clarității și accesibilității, întrucât o potențială victimă care va depune o astfel de sesizare trebuie să beneficieze de garanții suficiente privind</w:t>
            </w:r>
          </w:p>
          <w:p w14:paraId="35CB5DC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confidențialitatea datelor și a identității sale, precum și de o procedură simplă și lipsită de ambiguități. În lipsa unor reglementări unitare atît pe textul Regulamentului cât și pe textul politicii interne, există riscul descurajării raportării cazurilor de violență și/sau hărțuire, iar scopul propus prin aprobarea prezentului Regulament nu va fi atins.</w:t>
            </w:r>
          </w:p>
          <w:p w14:paraId="55D9098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Recomandări:</w:t>
            </w:r>
          </w:p>
          <w:p w14:paraId="024FA4BD"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Revizuirea procedurii de raportare reglementate la pct. 7 din Anexa nr. 1 la proiectul Regulamentului.</w:t>
            </w:r>
          </w:p>
          <w:p w14:paraId="446FA394" w14:textId="77777777" w:rsidR="00477212" w:rsidRPr="00D31F43" w:rsidRDefault="00477212">
            <w:pPr>
              <w:shd w:val="clear" w:color="auto" w:fill="FFFFFF"/>
              <w:spacing w:line="240" w:lineRule="auto"/>
              <w:jc w:val="both"/>
              <w:rPr>
                <w:rFonts w:ascii="Times New Roman" w:eastAsia="Times New Roman" w:hAnsi="Times New Roman" w:cs="Times New Roman"/>
                <w:highlight w:val="white"/>
                <w:lang w:val="it-IT"/>
              </w:rPr>
            </w:pPr>
          </w:p>
          <w:p w14:paraId="09E33219"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Obiecții:</w:t>
            </w:r>
          </w:p>
          <w:p w14:paraId="6C059E9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lastRenderedPageBreak/>
              <w:t>Procedura de investigare a sesizărilor, propusă prin proiect, prevede la pct. 18 că sesizările se transmit persoanei sau structurii desemnate. Această reglementare sugerează că, la nivelul fiecărei autorități publice,</w:t>
            </w:r>
          </w:p>
          <w:p w14:paraId="2EA18821"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există deja desemnată o persoană responsabilă sau o structură competentă pentru primirea, înregistrarea și gestionarea sesizărilor. În acest sens, pct. 19 stabilește expres că fiecare autoritate publică desemnează, prin ordin al conducătorului, o persoană responsabilă sau o structură internă competentă, care exercită atribuții de primire, înregistrare și gestionare a sesizărilor privind fapte susceptibile de a constitui violență și/sau hărțuire în muncă, în conformitate cu prevederile Regulamentului.</w:t>
            </w:r>
          </w:p>
          <w:p w14:paraId="05F03747"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Cu toate acestea, proiectul mai prevede că, în termen de 3 zile de la înregistrarea completă a sesizării, conducătorul autorității desemnează o persoană responsabilă pentru investigarea cazului. Totodată, autorul stabilește că, pentru investigarea cazurilor de violență și/sau hărțuire în muncă, poate fi constituită o comisie, a cărei componență numerică poate varia de la un caz la altul, în funcție de natura, complexitatea și</w:t>
            </w:r>
          </w:p>
          <w:p w14:paraId="6B8557BC"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circumstanțele situației investigate ceea ce denotă o lipsă de corelare normativă. În acest context, instituirea persoanelor responsabile și a membrilor comisiei de investigare constituie o obligație a autorității publice.</w:t>
            </w:r>
          </w:p>
          <w:p w14:paraId="7583C94B"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it-IT"/>
              </w:rPr>
              <w:t xml:space="preserve">Mai mult, autoritatea publică are și obligația coform pct. 9 din proiectul Regulamentului de a asigura instruirea persoanelor responsabile desemnate și a membrilor comisiei de investigare. </w:t>
            </w:r>
            <w:r w:rsidRPr="00D31F43">
              <w:rPr>
                <w:rFonts w:ascii="Times New Roman" w:eastAsia="Times New Roman" w:hAnsi="Times New Roman" w:cs="Times New Roman"/>
                <w:highlight w:val="white"/>
                <w:lang w:val="pt-BR"/>
              </w:rPr>
              <w:t>În acest sens, rotația</w:t>
            </w:r>
          </w:p>
          <w:p w14:paraId="5BCE482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propusă de autor va face imposibilă asigurarea unui nivel adecvat de pregătire și specializare a persoanelor implicate, precum și aplicarea uniformă și eficientă a procedurilor de investigare.</w:t>
            </w:r>
          </w:p>
          <w:p w14:paraId="13B27DB3"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 xml:space="preserve">Aspectul esențial, în redacția propusă, rezidă în faptul că lipsa clarității procedurilor poate genera incertitudine pentru potențialele victime iar în absența unor repere previzibile, acestea nu vor cunoaște cu exactitate procedura de sesizare și nici entitatea sau persoana căreia urmează să se adreseze. Acest lucru afectează direct accesibilitatea mecanismului de raportare și poate diminua încrederea în eficiența acestuia. Totodată, caracterul variabil al desemnării persoanelor responsabile și al componenței comisiilor de investigare este de natură să compromită garanțiile de confidențialitate prevăzute de proiect, întrucât extinderea sau </w:t>
            </w:r>
            <w:r w:rsidRPr="00D31F43">
              <w:rPr>
                <w:rFonts w:ascii="Times New Roman" w:eastAsia="Times New Roman" w:hAnsi="Times New Roman" w:cs="Times New Roman"/>
                <w:highlight w:val="white"/>
                <w:lang w:val="pt-BR"/>
              </w:rPr>
              <w:lastRenderedPageBreak/>
              <w:t>modificarea constantă a cercului de persoane implicate crește riscul divulgării informațiilor sensibile.</w:t>
            </w:r>
          </w:p>
          <w:p w14:paraId="418CEFBA"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În consecință, în lipsa unor reguli unitare, mecanismul instituit poate deveni dificil de utilizat pentru victime, iar scopul de protecție și încurajare a raportării cazurilor de violență și/sau hărțuire în muncă riscă să nu fie realizat în mod efectiv.</w:t>
            </w:r>
          </w:p>
          <w:p w14:paraId="56D59925"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Recomandări:</w:t>
            </w:r>
          </w:p>
          <w:p w14:paraId="5B6113D4"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Revizuirea procedurii, în sensul stabilirii unor regulilor constante și previzibile privind desemnarea persoanelor responsabile și a comisiei de investigare (excluderea posibilității de variație).</w:t>
            </w:r>
          </w:p>
          <w:p w14:paraId="3642A1BB" w14:textId="77777777" w:rsidR="00477212" w:rsidRPr="00D31F43" w:rsidRDefault="00000000">
            <w:pPr>
              <w:shd w:val="clear" w:color="auto" w:fill="FFFFFF"/>
              <w:spacing w:line="240" w:lineRule="auto"/>
              <w:jc w:val="both"/>
              <w:rPr>
                <w:rFonts w:ascii="Times New Roman" w:eastAsia="Times New Roman" w:hAnsi="Times New Roman" w:cs="Times New Roman"/>
                <w:b/>
                <w:bCs/>
                <w:i/>
                <w:iCs/>
                <w:highlight w:val="white"/>
                <w:lang w:val="pt-BR"/>
              </w:rPr>
            </w:pPr>
            <w:r w:rsidRPr="00D31F43">
              <w:rPr>
                <w:rFonts w:ascii="Times New Roman" w:eastAsia="Times New Roman" w:hAnsi="Times New Roman" w:cs="Times New Roman"/>
                <w:b/>
                <w:bCs/>
                <w:i/>
                <w:iCs/>
                <w:highlight w:val="white"/>
                <w:lang w:val="pt-BR"/>
              </w:rPr>
              <w:t>IV. Concluzia expertizei</w:t>
            </w:r>
          </w:p>
          <w:p w14:paraId="3543441F"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Proiectul a fost elaborat de Ministerul Muncii și Protecției Sociale și are drept scop instituirea unui cadru normativ unitar, clar și obligatoriu pentru toate autoritățile publice, care să asigure prevenirea, identificarea, raportarea, investigarea și sancționarea eficientă a cazurilor de violență și hărțuire în muncă, precum și protecția efectivă a persoanelor aflate în raporturi de muncă cu aceste autorități, în conformitate cu standardele Convenției OIM nr. 190/2019 și ale legislației naționale. Astfel, prin proiect se propune aprobarea Regulamentului privind aplicarea prevederilor referitoare la prevenirea și combaterea violenței și/sau hărțuirii în muncă în autoritățile publice.</w:t>
            </w:r>
          </w:p>
          <w:p w14:paraId="70993426"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Analiza redacției propuse denotă existența unor deficiențe care pot genera disfuncționalități în procesele administrative reglementate, și anume: procedura de sesizare și investigare a cazurilor de violență și/sau a hărțuirii în muncă, lipsa drepturilor persoanelor aflate în raporturi de muncă.</w:t>
            </w:r>
          </w:p>
          <w:p w14:paraId="40727C4F"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Implementarea prevederilor propuse, poate contribui la realizarea interesului public vizat de proiect, fapt ce nu este în detrimentul interesului public general în condițiile considerării riscurilor descrise în prezentul raport de expertiză anticorupție.</w:t>
            </w:r>
          </w:p>
          <w:p w14:paraId="0317A8C3" w14:textId="77777777" w:rsidR="00477212" w:rsidRPr="00D31F43" w:rsidRDefault="00477212">
            <w:pPr>
              <w:shd w:val="clear" w:color="auto" w:fill="FFFFFF"/>
              <w:spacing w:line="240" w:lineRule="auto"/>
              <w:jc w:val="both"/>
              <w:rPr>
                <w:rFonts w:ascii="Times New Roman" w:eastAsia="Times New Roman" w:hAnsi="Times New Roman" w:cs="Times New Roman"/>
                <w:highlight w:val="white"/>
                <w:lang w:val="pt-BR"/>
              </w:rPr>
            </w:pPr>
          </w:p>
          <w:p w14:paraId="3DB1EDF2" w14:textId="77777777" w:rsidR="00477212" w:rsidRPr="00D31F43" w:rsidRDefault="00477212">
            <w:pPr>
              <w:shd w:val="clear" w:color="auto" w:fill="FFFFFF"/>
              <w:spacing w:line="240" w:lineRule="auto"/>
              <w:jc w:val="both"/>
              <w:rPr>
                <w:rFonts w:ascii="Times New Roman" w:eastAsia="Times New Roman" w:hAnsi="Times New Roman" w:cs="Times New Roman"/>
                <w:highlight w:val="white"/>
                <w:lang w:val="pt-BR"/>
              </w:rPr>
            </w:pPr>
          </w:p>
          <w:p w14:paraId="6E024417" w14:textId="77777777" w:rsidR="00477212" w:rsidRPr="00D31F43" w:rsidRDefault="00477212">
            <w:pPr>
              <w:shd w:val="clear" w:color="auto" w:fill="FFFFFF"/>
              <w:spacing w:line="240" w:lineRule="auto"/>
              <w:jc w:val="both"/>
              <w:rPr>
                <w:rFonts w:ascii="Times New Roman" w:eastAsia="Times New Roman" w:hAnsi="Times New Roman" w:cs="Times New Roman"/>
                <w:highlight w:val="white"/>
                <w:lang w:val="pt-BR"/>
              </w:rPr>
            </w:pPr>
          </w:p>
          <w:p w14:paraId="67FB1BC4" w14:textId="77777777" w:rsidR="00477212" w:rsidRPr="00D31F43" w:rsidRDefault="00477212">
            <w:pPr>
              <w:shd w:val="clear" w:color="auto" w:fill="FFFFFF"/>
              <w:spacing w:line="240" w:lineRule="auto"/>
              <w:jc w:val="both"/>
              <w:rPr>
                <w:rFonts w:ascii="Times New Roman" w:eastAsia="Times New Roman" w:hAnsi="Times New Roman" w:cs="Times New Roman"/>
                <w:i/>
                <w:iCs/>
                <w:highlight w:val="white"/>
                <w:lang w:val="pt-BR"/>
              </w:rPr>
            </w:pPr>
          </w:p>
          <w:p w14:paraId="27652052" w14:textId="77777777" w:rsidR="00477212" w:rsidRPr="00D31F43" w:rsidRDefault="00477212">
            <w:pPr>
              <w:shd w:val="clear" w:color="auto" w:fill="FFFFFF"/>
              <w:spacing w:line="240" w:lineRule="auto"/>
              <w:ind w:firstLine="560"/>
              <w:jc w:val="both"/>
              <w:rPr>
                <w:rFonts w:ascii="Times New Roman" w:eastAsia="Times New Roman" w:hAnsi="Times New Roman" w:cs="Times New Roman"/>
                <w:highlight w:val="white"/>
                <w:lang w:val="pt-BR"/>
              </w:rPr>
            </w:pPr>
          </w:p>
          <w:p w14:paraId="6D95B5C4" w14:textId="77777777" w:rsidR="00477212" w:rsidRPr="00D31F43" w:rsidRDefault="00477212">
            <w:pPr>
              <w:shd w:val="clear" w:color="auto" w:fill="FFFFFF"/>
              <w:spacing w:line="240" w:lineRule="auto"/>
              <w:ind w:firstLine="560"/>
              <w:jc w:val="both"/>
              <w:rPr>
                <w:rFonts w:ascii="Times New Roman" w:eastAsia="Times New Roman" w:hAnsi="Times New Roman" w:cs="Times New Roman"/>
                <w:highlight w:val="white"/>
                <w:lang w:val="pt-BR"/>
              </w:rPr>
            </w:pPr>
          </w:p>
          <w:p w14:paraId="236B0116" w14:textId="77777777" w:rsidR="00477212" w:rsidRPr="00D31F43" w:rsidRDefault="00477212">
            <w:pPr>
              <w:shd w:val="clear" w:color="auto" w:fill="FFFFFF"/>
              <w:spacing w:line="240" w:lineRule="auto"/>
              <w:ind w:firstLine="560"/>
              <w:jc w:val="both"/>
              <w:rPr>
                <w:rFonts w:ascii="Times New Roman" w:eastAsia="Times New Roman" w:hAnsi="Times New Roman" w:cs="Times New Roman"/>
                <w:highlight w:val="white"/>
                <w:lang w:val="pt-BR"/>
              </w:rPr>
            </w:pPr>
          </w:p>
        </w:tc>
        <w:tc>
          <w:tcPr>
            <w:tcW w:w="5925" w:type="dxa"/>
          </w:tcPr>
          <w:p w14:paraId="5B157D96"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b/>
                <w:bCs/>
              </w:rPr>
            </w:pPr>
            <w:r>
              <w:rPr>
                <w:rFonts w:ascii="Times New Roman" w:eastAsia="Times New Roman" w:hAnsi="Times New Roman" w:cs="Times New Roman"/>
              </w:rPr>
              <w:lastRenderedPageBreak/>
              <w:t>Am luat act</w:t>
            </w:r>
          </w:p>
          <w:p w14:paraId="627FC01A"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p>
        </w:tc>
      </w:tr>
      <w:tr w:rsidR="00477212" w14:paraId="1BDBEA79" w14:textId="77777777">
        <w:trPr>
          <w:trHeight w:val="711"/>
        </w:trPr>
        <w:tc>
          <w:tcPr>
            <w:tcW w:w="675" w:type="dxa"/>
          </w:tcPr>
          <w:p w14:paraId="56804391"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lastRenderedPageBreak/>
              <w:t xml:space="preserve">M </w:t>
            </w:r>
          </w:p>
        </w:tc>
        <w:tc>
          <w:tcPr>
            <w:tcW w:w="1730" w:type="dxa"/>
          </w:tcPr>
          <w:p w14:paraId="11ACEDC4" w14:textId="77777777" w:rsidR="00477212" w:rsidRPr="00D31F43" w:rsidRDefault="00000000">
            <w:pPr>
              <w:spacing w:line="240" w:lineRule="auto"/>
              <w:jc w:val="center"/>
              <w:rPr>
                <w:rFonts w:ascii="Times New Roman" w:eastAsia="Times New Roman" w:hAnsi="Times New Roman" w:cs="Times New Roman"/>
                <w:b/>
                <w:bCs/>
                <w:highlight w:val="white"/>
                <w:lang w:val="it-IT"/>
              </w:rPr>
            </w:pPr>
            <w:r w:rsidRPr="00D31F43">
              <w:rPr>
                <w:rFonts w:ascii="Times New Roman" w:eastAsia="Times New Roman" w:hAnsi="Times New Roman" w:cs="Times New Roman"/>
                <w:b/>
                <w:bCs/>
                <w:highlight w:val="white"/>
                <w:lang w:val="it-IT"/>
              </w:rPr>
              <w:t xml:space="preserve">Ministerul Culturii </w:t>
            </w:r>
          </w:p>
          <w:p w14:paraId="322A34BF" w14:textId="77777777" w:rsidR="00477212" w:rsidRPr="00D31F43" w:rsidRDefault="00000000">
            <w:pPr>
              <w:spacing w:line="240" w:lineRule="auto"/>
              <w:jc w:val="center"/>
              <w:rPr>
                <w:rFonts w:ascii="Times New Roman" w:eastAsia="Times New Roman" w:hAnsi="Times New Roman" w:cs="Times New Roman"/>
                <w:i/>
                <w:iCs/>
                <w:highlight w:val="white"/>
                <w:lang w:val="it-IT"/>
              </w:rPr>
            </w:pPr>
            <w:r w:rsidRPr="00D31F43">
              <w:rPr>
                <w:rFonts w:ascii="Times New Roman" w:eastAsia="Times New Roman" w:hAnsi="Times New Roman" w:cs="Times New Roman"/>
                <w:i/>
                <w:iCs/>
                <w:highlight w:val="white"/>
                <w:lang w:val="it-IT"/>
              </w:rPr>
              <w:t>Nr. 05/2-09/872 din 25 martie 2026</w:t>
            </w:r>
          </w:p>
        </w:tc>
        <w:tc>
          <w:tcPr>
            <w:tcW w:w="6685" w:type="dxa"/>
          </w:tcPr>
          <w:p w14:paraId="1836543D"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 xml:space="preserve">Aviz repetat </w:t>
            </w:r>
          </w:p>
          <w:p w14:paraId="774A5B42"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Ministerul constată că o parte dintre propunerile formulate prin Avizul Ministerului Culturii nr. 05/02-09/430 din 19 februarie 2026 au fost acceptate și reflectate în proiectul actualizat.</w:t>
            </w:r>
          </w:p>
          <w:p w14:paraId="7A9BEE88"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Ministerul Culturii menține necesitatea reformulării pct. 12.2. În rest, alte obiecții sau propuneri nu sunt.</w:t>
            </w:r>
          </w:p>
          <w:p w14:paraId="4B1AC57A" w14:textId="77777777" w:rsidR="00477212" w:rsidRPr="00D31F43" w:rsidRDefault="00477212">
            <w:pPr>
              <w:shd w:val="clear" w:color="auto" w:fill="FFFFFF"/>
              <w:spacing w:line="240" w:lineRule="auto"/>
              <w:ind w:firstLine="560"/>
              <w:jc w:val="both"/>
              <w:rPr>
                <w:rFonts w:ascii="Times New Roman" w:eastAsia="Times New Roman" w:hAnsi="Times New Roman" w:cs="Times New Roman"/>
                <w:highlight w:val="white"/>
                <w:lang w:val="it-IT"/>
              </w:rPr>
            </w:pPr>
          </w:p>
          <w:p w14:paraId="5D16ACB7" w14:textId="77777777" w:rsidR="00477212" w:rsidRPr="00D31F43" w:rsidRDefault="00477212">
            <w:pPr>
              <w:shd w:val="clear" w:color="auto" w:fill="FFFFFF"/>
              <w:spacing w:line="240" w:lineRule="auto"/>
              <w:ind w:firstLine="560"/>
              <w:jc w:val="both"/>
              <w:rPr>
                <w:rFonts w:ascii="Times New Roman" w:eastAsia="Times New Roman" w:hAnsi="Times New Roman" w:cs="Times New Roman"/>
                <w:highlight w:val="white"/>
                <w:lang w:val="it-IT"/>
              </w:rPr>
            </w:pPr>
          </w:p>
        </w:tc>
        <w:tc>
          <w:tcPr>
            <w:tcW w:w="5925" w:type="dxa"/>
          </w:tcPr>
          <w:p w14:paraId="49ECC8B0"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rPr>
              <w:t>Am luat act</w:t>
            </w:r>
            <w:r>
              <w:rPr>
                <w:rFonts w:ascii="Times New Roman" w:eastAsia="Times New Roman" w:hAnsi="Times New Roman" w:cs="Times New Roman"/>
                <w:b/>
                <w:bCs/>
              </w:rPr>
              <w:t xml:space="preserve"> </w:t>
            </w:r>
            <w:r>
              <w:rPr>
                <w:rFonts w:ascii="Times New Roman" w:eastAsia="Times New Roman" w:hAnsi="Times New Roman" w:cs="Times New Roman"/>
              </w:rPr>
              <w:t>(argumentarea se regăsește în sinteză).</w:t>
            </w:r>
          </w:p>
        </w:tc>
      </w:tr>
      <w:tr w:rsidR="00477212" w14:paraId="1B1DAAFF" w14:textId="77777777">
        <w:trPr>
          <w:trHeight w:val="711"/>
        </w:trPr>
        <w:tc>
          <w:tcPr>
            <w:tcW w:w="675" w:type="dxa"/>
          </w:tcPr>
          <w:p w14:paraId="5EBED1F6" w14:textId="77777777" w:rsidR="00477212" w:rsidRDefault="00477212">
            <w:pPr>
              <w:spacing w:line="240" w:lineRule="auto"/>
              <w:ind w:firstLine="567"/>
              <w:rPr>
                <w:rFonts w:ascii="Times New Roman" w:eastAsia="Times New Roman" w:hAnsi="Times New Roman" w:cs="Times New Roman"/>
              </w:rPr>
            </w:pPr>
          </w:p>
        </w:tc>
        <w:tc>
          <w:tcPr>
            <w:tcW w:w="1730" w:type="dxa"/>
          </w:tcPr>
          <w:p w14:paraId="5989B870" w14:textId="77777777" w:rsidR="00477212" w:rsidRPr="00D31F43" w:rsidRDefault="00000000">
            <w:pPr>
              <w:spacing w:line="240" w:lineRule="auto"/>
              <w:jc w:val="center"/>
              <w:rPr>
                <w:rFonts w:ascii="Times New Roman" w:eastAsia="Times New Roman" w:hAnsi="Times New Roman" w:cs="Times New Roman"/>
                <w:b/>
                <w:bCs/>
                <w:highlight w:val="white"/>
                <w:lang w:val="it-IT"/>
              </w:rPr>
            </w:pPr>
            <w:r w:rsidRPr="00D31F43">
              <w:rPr>
                <w:rFonts w:ascii="Times New Roman" w:eastAsia="Times New Roman" w:hAnsi="Times New Roman" w:cs="Times New Roman"/>
                <w:b/>
                <w:bCs/>
                <w:highlight w:val="white"/>
                <w:lang w:val="it-IT"/>
              </w:rPr>
              <w:t>Ministerul Dezvoltării Economice și Digitalizării al Republicii Moldova</w:t>
            </w:r>
          </w:p>
          <w:p w14:paraId="13757403"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17-1009 din 24.03.2026</w:t>
            </w:r>
          </w:p>
        </w:tc>
        <w:tc>
          <w:tcPr>
            <w:tcW w:w="6685" w:type="dxa"/>
          </w:tcPr>
          <w:p w14:paraId="1BF049F8"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Aviz repetat</w:t>
            </w:r>
          </w:p>
          <w:p w14:paraId="6C526F61"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Reiterăm obiecția formulată la pct. 1 din avizul nr. 17-662 din 26.02.2026, și anume necesitatea ca Regulamentul să conțină dispoziții privind examinarea admisibilității sesizării anterior examinării în fond, întrucât nu sunt reglementate situațiile în care o sesizare poate fi respinsă ca inadmisibilă. În acest sens, pot apărea situații precum sesizările repetate, cele care excedează competența persoanei desemnate sau a comisiei de investigare, sesizările care nu conțin o descriere minimă a faptelor sau nu permit identificarea situației reclamate, cele care nu vizează fapte ce pot constitui violență sau hărțuire în muncă, precum și sesizările incomplete ori incorecte.</w:t>
            </w:r>
          </w:p>
          <w:p w14:paraId="3187D699" w14:textId="77777777" w:rsidR="00477212" w:rsidRDefault="00477212">
            <w:pPr>
              <w:shd w:val="clear" w:color="auto" w:fill="FFFFFF"/>
              <w:spacing w:line="240" w:lineRule="auto"/>
              <w:ind w:firstLine="560"/>
              <w:jc w:val="both"/>
              <w:rPr>
                <w:rFonts w:ascii="Times New Roman" w:eastAsia="Times New Roman" w:hAnsi="Times New Roman" w:cs="Times New Roman"/>
                <w:highlight w:val="white"/>
              </w:rPr>
            </w:pPr>
          </w:p>
        </w:tc>
        <w:tc>
          <w:tcPr>
            <w:tcW w:w="5925" w:type="dxa"/>
          </w:tcPr>
          <w:p w14:paraId="434076E3"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rPr>
              <w:t>Am luat act</w:t>
            </w:r>
            <w:r>
              <w:rPr>
                <w:rFonts w:ascii="Times New Roman" w:eastAsia="Times New Roman" w:hAnsi="Times New Roman" w:cs="Times New Roman"/>
                <w:b/>
                <w:bCs/>
              </w:rPr>
              <w:t xml:space="preserve"> </w:t>
            </w:r>
            <w:r>
              <w:rPr>
                <w:rFonts w:ascii="Times New Roman" w:eastAsia="Times New Roman" w:hAnsi="Times New Roman" w:cs="Times New Roman"/>
              </w:rPr>
              <w:t xml:space="preserve">(argumentarea se regăsește în sinteză). </w:t>
            </w:r>
          </w:p>
        </w:tc>
      </w:tr>
      <w:tr w:rsidR="00477212" w14:paraId="2E11700F" w14:textId="77777777">
        <w:trPr>
          <w:trHeight w:val="711"/>
        </w:trPr>
        <w:tc>
          <w:tcPr>
            <w:tcW w:w="675" w:type="dxa"/>
          </w:tcPr>
          <w:p w14:paraId="5C35CBE1" w14:textId="77777777" w:rsidR="00477212" w:rsidRDefault="00477212">
            <w:pPr>
              <w:spacing w:line="240" w:lineRule="auto"/>
              <w:ind w:firstLine="567"/>
              <w:rPr>
                <w:rFonts w:ascii="Times New Roman" w:eastAsia="Times New Roman" w:hAnsi="Times New Roman" w:cs="Times New Roman"/>
              </w:rPr>
            </w:pPr>
          </w:p>
        </w:tc>
        <w:tc>
          <w:tcPr>
            <w:tcW w:w="1730" w:type="dxa"/>
          </w:tcPr>
          <w:p w14:paraId="16DB6F60"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Sănătății</w:t>
            </w:r>
          </w:p>
          <w:p w14:paraId="7B4C7A48"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24/1033 din 23.03.2026</w:t>
            </w:r>
          </w:p>
        </w:tc>
        <w:tc>
          <w:tcPr>
            <w:tcW w:w="6685" w:type="dxa"/>
          </w:tcPr>
          <w:p w14:paraId="3FFC1624"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1. În Regulament:</w:t>
            </w:r>
          </w:p>
          <w:p w14:paraId="44EA31D4"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1.1 La pct. 4 cuvintele „atribuțiilor de muncă” de substituit cu cuvintele „atribuțiilor de serviciu”.</w:t>
            </w:r>
          </w:p>
          <w:p w14:paraId="6786682E"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1.2 La pct. 42.4 după cuvântul „neplătit” de completat „în condițiile legii”.</w:t>
            </w:r>
          </w:p>
          <w:p w14:paraId="2A57A892"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1.3 Subpct. 34.1, 34.2, 34.3 de editat în 35.1, 35.2, 25.3, 35.4.</w:t>
            </w:r>
          </w:p>
          <w:p w14:paraId="7FEAA62D"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2. În Anexa nr. 1 a Regulamentului:</w:t>
            </w:r>
          </w:p>
          <w:p w14:paraId="67F614F1"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2.1 La pct. 7 sintagma „Sesizările privind fapte de violență și/sau hărțuire în muncă” de substituit cu sintagma „Sesizările privind fapte susceptibile de a constitui violență și/sau hărțuire în muncă” în concordanță cu pct. 18 din Regulament și cu Anexa nr. 2 a Regulamentului.</w:t>
            </w:r>
          </w:p>
          <w:p w14:paraId="668E407C" w14:textId="77777777" w:rsidR="00477212" w:rsidRPr="00D31F43" w:rsidRDefault="00477212">
            <w:pPr>
              <w:shd w:val="clear" w:color="auto" w:fill="FFFFFF"/>
              <w:spacing w:line="240" w:lineRule="auto"/>
              <w:ind w:firstLine="560"/>
              <w:jc w:val="both"/>
              <w:rPr>
                <w:rFonts w:ascii="Times New Roman" w:eastAsia="Times New Roman" w:hAnsi="Times New Roman" w:cs="Times New Roman"/>
                <w:highlight w:val="white"/>
                <w:lang w:val="pt-BR"/>
              </w:rPr>
            </w:pPr>
          </w:p>
        </w:tc>
        <w:tc>
          <w:tcPr>
            <w:tcW w:w="5925" w:type="dxa"/>
          </w:tcPr>
          <w:p w14:paraId="7A4CB434"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lastRenderedPageBreak/>
              <w:t xml:space="preserve">Se acceptă  parțial. </w:t>
            </w:r>
          </w:p>
          <w:p w14:paraId="6BAA22F4" w14:textId="77777777" w:rsidR="00477212" w:rsidRDefault="00000000">
            <w:pPr>
              <w:numPr>
                <w:ilvl w:val="0"/>
                <w:numId w:val="2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rPr>
            </w:pPr>
            <w:r>
              <w:rPr>
                <w:rFonts w:ascii="Times New Roman" w:eastAsia="Times New Roman" w:hAnsi="Times New Roman" w:cs="Times New Roman"/>
                <w:highlight w:val="white"/>
              </w:rPr>
              <w:t>Subpct. 34.1, 34.2 și 34.3 se modifică corespunzător în 35.1, 35.2, 35.3 și 35.4.</w:t>
            </w:r>
          </w:p>
          <w:p w14:paraId="790BD26A" w14:textId="77777777" w:rsidR="00477212" w:rsidRDefault="00000000">
            <w:pPr>
              <w:numPr>
                <w:ilvl w:val="0"/>
                <w:numId w:val="21"/>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hanging="141"/>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Anexa nr. 1 a Regulamentului:</w:t>
            </w:r>
            <w:r>
              <w:rPr>
                <w:rFonts w:ascii="Times New Roman" w:eastAsia="Times New Roman" w:hAnsi="Times New Roman" w:cs="Times New Roman"/>
                <w:highlight w:val="white"/>
              </w:rPr>
              <w:br/>
              <w:t xml:space="preserve"> 2.1 La pct. 7, sintagma „Sesizările privind fapte de violență și/sau hărțuire în muncă” se substituie cu sintagma „Sesizările privind fapte susceptibile de a constitui violență și/sau hărțuire în muncă”, în concordanță cu pct. 18 din Regulament și cu Anexa nr. 2 a Regulamentului.</w:t>
            </w:r>
          </w:p>
          <w:p w14:paraId="55941C60"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720"/>
              <w:jc w:val="both"/>
              <w:rPr>
                <w:rFonts w:ascii="Times New Roman" w:eastAsia="Times New Roman" w:hAnsi="Times New Roman" w:cs="Times New Roman"/>
                <w:b/>
                <w:bCs/>
                <w:highlight w:val="white"/>
              </w:rPr>
            </w:pPr>
          </w:p>
        </w:tc>
      </w:tr>
      <w:tr w:rsidR="00477212" w14:paraId="723A02C0" w14:textId="77777777">
        <w:trPr>
          <w:trHeight w:val="711"/>
        </w:trPr>
        <w:tc>
          <w:tcPr>
            <w:tcW w:w="675" w:type="dxa"/>
          </w:tcPr>
          <w:p w14:paraId="6E04B97A" w14:textId="77777777" w:rsidR="00477212" w:rsidRDefault="00477212">
            <w:pPr>
              <w:spacing w:line="240" w:lineRule="auto"/>
              <w:ind w:firstLine="567"/>
              <w:rPr>
                <w:rFonts w:ascii="Times New Roman" w:eastAsia="Times New Roman" w:hAnsi="Times New Roman" w:cs="Times New Roman"/>
              </w:rPr>
            </w:pPr>
          </w:p>
        </w:tc>
        <w:tc>
          <w:tcPr>
            <w:tcW w:w="1730" w:type="dxa"/>
          </w:tcPr>
          <w:p w14:paraId="464C68D8"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Finanțelor</w:t>
            </w:r>
          </w:p>
          <w:p w14:paraId="7C5EF31E"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 xml:space="preserve">nr. 07/2-17/83/404 din 20.03.2026 </w:t>
            </w:r>
          </w:p>
        </w:tc>
        <w:tc>
          <w:tcPr>
            <w:tcW w:w="6685" w:type="dxa"/>
          </w:tcPr>
          <w:p w14:paraId="61A1BF21"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Aviz repetat</w:t>
            </w:r>
          </w:p>
          <w:p w14:paraId="152E514C"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dat fiind faptul că, autorul a luat act de obiecțiile Ministerului Finanțelor, fără a accepta propunerile formulate, se insistă asupra următoarelor:</w:t>
            </w:r>
          </w:p>
          <w:p w14:paraId="2CF19133"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1. Pct. 3 din proiectul de hotărâre, la final, se propune de completat cu textul ,,în limita mijloacelor financiare aprobate în bugetele autorităților”, întru evitarea cheltuielilor neprevăzute (propunere neacceptată la Nota de fundamentare).</w:t>
            </w:r>
          </w:p>
          <w:p w14:paraId="4A5C1B08"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2. Reglementarea expresă la pct.42.4 al proiectului Regulamentului că concediul plătit acordat persoanei vizate, în cazuri de violență și/sau hărțuire în muncă va fi suportat din drepturile de concediu deja existente în cadrul legal, pentru a evita interpretarea normei respective și de a evita unele cheltuieli suplimentare.</w:t>
            </w:r>
          </w:p>
          <w:p w14:paraId="4A85E303" w14:textId="77777777" w:rsidR="00477212" w:rsidRDefault="00477212">
            <w:pPr>
              <w:shd w:val="clear" w:color="auto" w:fill="FFFFFF"/>
              <w:spacing w:line="240" w:lineRule="auto"/>
              <w:ind w:firstLine="560"/>
              <w:jc w:val="both"/>
              <w:rPr>
                <w:rFonts w:ascii="Times New Roman" w:eastAsia="Times New Roman" w:hAnsi="Times New Roman" w:cs="Times New Roman"/>
                <w:highlight w:val="white"/>
              </w:rPr>
            </w:pPr>
          </w:p>
        </w:tc>
        <w:tc>
          <w:tcPr>
            <w:tcW w:w="5925" w:type="dxa"/>
          </w:tcPr>
          <w:p w14:paraId="0D62D384"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Nu se acceptă. </w:t>
            </w:r>
          </w:p>
          <w:p w14:paraId="2359383C" w14:textId="77777777" w:rsidR="00477212" w:rsidRDefault="00000000">
            <w:pPr>
              <w:numPr>
                <w:ilvl w:val="0"/>
                <w:numId w:val="29"/>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Completarea pct. 3 din proiectul de hotărâre cu sintagma „în limita mijloacelor financiare aprobate în bugetele autorităților” nu se justifică, întrucât măsurile prevăzute de proiect nu generează cheltuieli suplimentare față de cele deja planificate. Totodată, includerea unei asemenea mențiuni ar putea limita aplicarea efectivă a prevederilor actului normativ, afectând realizarea obligațiilor legale ale autorităților publice în domeniul prevenirii și combaterii violenței și/sau hărțuirii în muncă.</w:t>
            </w:r>
          </w:p>
          <w:p w14:paraId="30CF2200" w14:textId="77777777" w:rsidR="00477212" w:rsidRDefault="00000000">
            <w:pPr>
              <w:numPr>
                <w:ilvl w:val="0"/>
                <w:numId w:val="29"/>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Reglementarea expresă propusă pentru pct. 42.4 nu este necesară, întrucât acordarea concediilor se realizează în condițiile legislației muncii, care stabilește deja cadrul juridic aplicabil și sursa drepturilor respective. Introducerea unei asemenea precizări ar reprezenta o reiterare a normelor existente și ar putea crea rigiditate nejustificată în aplicarea măsurilor de protecție, care trebuie să rămână flexibile și adaptate circumstanțelor concrete ale fiecărui caz.</w:t>
            </w:r>
          </w:p>
          <w:p w14:paraId="1558296D"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425"/>
              <w:jc w:val="both"/>
              <w:rPr>
                <w:rFonts w:ascii="Times New Roman" w:eastAsia="Times New Roman" w:hAnsi="Times New Roman" w:cs="Times New Roman"/>
                <w:b/>
                <w:bCs/>
                <w:highlight w:val="white"/>
              </w:rPr>
            </w:pPr>
          </w:p>
        </w:tc>
      </w:tr>
      <w:tr w:rsidR="00477212" w:rsidRPr="00AE06E3" w14:paraId="523906B1" w14:textId="77777777">
        <w:trPr>
          <w:trHeight w:val="711"/>
        </w:trPr>
        <w:tc>
          <w:tcPr>
            <w:tcW w:w="675" w:type="dxa"/>
          </w:tcPr>
          <w:p w14:paraId="36887CE2" w14:textId="77777777" w:rsidR="00477212" w:rsidRDefault="00477212">
            <w:pPr>
              <w:spacing w:line="240" w:lineRule="auto"/>
              <w:ind w:firstLine="567"/>
              <w:rPr>
                <w:rFonts w:ascii="Times New Roman" w:eastAsia="Times New Roman" w:hAnsi="Times New Roman" w:cs="Times New Roman"/>
              </w:rPr>
            </w:pPr>
          </w:p>
        </w:tc>
        <w:tc>
          <w:tcPr>
            <w:tcW w:w="1730" w:type="dxa"/>
          </w:tcPr>
          <w:p w14:paraId="2D2BAAC4"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Afacerilor Interne</w:t>
            </w:r>
          </w:p>
          <w:p w14:paraId="7F42F1AC"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42/ 1071 din „19” martie 2026</w:t>
            </w:r>
          </w:p>
        </w:tc>
        <w:tc>
          <w:tcPr>
            <w:tcW w:w="6685" w:type="dxa"/>
          </w:tcPr>
          <w:p w14:paraId="463E56D5"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Aviz repetat</w:t>
            </w:r>
          </w:p>
          <w:p w14:paraId="60961340"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punctul 3 din proiectul Regulamentului, pentru subpunctul 3.3. se propune următorul cuprins:</w:t>
            </w:r>
          </w:p>
          <w:p w14:paraId="786D7156" w14:textId="77777777" w:rsidR="00477212" w:rsidRPr="00AE06E3" w:rsidRDefault="00000000">
            <w:pPr>
              <w:shd w:val="clear" w:color="auto" w:fill="FFFFFF"/>
              <w:spacing w:line="240" w:lineRule="auto"/>
              <w:ind w:firstLine="560"/>
              <w:jc w:val="both"/>
              <w:rPr>
                <w:rFonts w:ascii="Times New Roman" w:eastAsia="Times New Roman" w:hAnsi="Times New Roman" w:cs="Times New Roman"/>
                <w:highlight w:val="white"/>
              </w:rPr>
            </w:pPr>
            <w:r w:rsidRPr="00AE06E3">
              <w:rPr>
                <w:rFonts w:ascii="Times New Roman" w:eastAsia="Times New Roman" w:hAnsi="Times New Roman" w:cs="Times New Roman"/>
                <w:highlight w:val="white"/>
              </w:rPr>
              <w:t xml:space="preserve">,,3.3. </w:t>
            </w:r>
            <w:r w:rsidRPr="0047019A">
              <w:rPr>
                <w:rFonts w:ascii="Times New Roman" w:eastAsia="Times New Roman" w:hAnsi="Times New Roman" w:cs="Times New Roman"/>
                <w:highlight w:val="white"/>
                <w:lang w:val="it-IT"/>
              </w:rPr>
              <w:t>func</w:t>
            </w:r>
            <w:r w:rsidRPr="00AE06E3">
              <w:rPr>
                <w:rFonts w:ascii="Times New Roman" w:eastAsia="Times New Roman" w:hAnsi="Times New Roman" w:cs="Times New Roman"/>
                <w:highlight w:val="white"/>
              </w:rPr>
              <w:t>ț</w:t>
            </w:r>
            <w:r w:rsidRPr="0047019A">
              <w:rPr>
                <w:rFonts w:ascii="Times New Roman" w:eastAsia="Times New Roman" w:hAnsi="Times New Roman" w:cs="Times New Roman"/>
                <w:highlight w:val="white"/>
                <w:lang w:val="it-IT"/>
              </w:rPr>
              <w:t>ionarii</w:t>
            </w:r>
            <w:r w:rsidRPr="00AE06E3">
              <w:rPr>
                <w:rFonts w:ascii="Times New Roman" w:eastAsia="Times New Roman" w:hAnsi="Times New Roman" w:cs="Times New Roman"/>
                <w:highlight w:val="white"/>
              </w:rPr>
              <w:t xml:space="preserve"> </w:t>
            </w:r>
            <w:r w:rsidRPr="0047019A">
              <w:rPr>
                <w:rFonts w:ascii="Times New Roman" w:eastAsia="Times New Roman" w:hAnsi="Times New Roman" w:cs="Times New Roman"/>
                <w:highlight w:val="white"/>
                <w:lang w:val="it-IT"/>
              </w:rPr>
              <w:t>publici</w:t>
            </w:r>
            <w:r w:rsidRPr="00AE06E3">
              <w:rPr>
                <w:rFonts w:ascii="Times New Roman" w:eastAsia="Times New Roman" w:hAnsi="Times New Roman" w:cs="Times New Roman"/>
                <w:highlight w:val="white"/>
              </w:rPr>
              <w:t xml:space="preserve"> </w:t>
            </w:r>
            <w:r w:rsidRPr="0047019A">
              <w:rPr>
                <w:rFonts w:ascii="Times New Roman" w:eastAsia="Times New Roman" w:hAnsi="Times New Roman" w:cs="Times New Roman"/>
                <w:highlight w:val="white"/>
                <w:lang w:val="it-IT"/>
              </w:rPr>
              <w:t>cu</w:t>
            </w:r>
            <w:r w:rsidRPr="00AE06E3">
              <w:rPr>
                <w:rFonts w:ascii="Times New Roman" w:eastAsia="Times New Roman" w:hAnsi="Times New Roman" w:cs="Times New Roman"/>
                <w:highlight w:val="white"/>
              </w:rPr>
              <w:t xml:space="preserve"> </w:t>
            </w:r>
            <w:r w:rsidRPr="0047019A">
              <w:rPr>
                <w:rFonts w:ascii="Times New Roman" w:eastAsia="Times New Roman" w:hAnsi="Times New Roman" w:cs="Times New Roman"/>
                <w:highlight w:val="white"/>
                <w:lang w:val="it-IT"/>
              </w:rPr>
              <w:t>statut</w:t>
            </w:r>
            <w:r w:rsidRPr="00AE06E3">
              <w:rPr>
                <w:rFonts w:ascii="Times New Roman" w:eastAsia="Times New Roman" w:hAnsi="Times New Roman" w:cs="Times New Roman"/>
                <w:highlight w:val="white"/>
              </w:rPr>
              <w:t xml:space="preserve"> </w:t>
            </w:r>
            <w:r w:rsidRPr="0047019A">
              <w:rPr>
                <w:rFonts w:ascii="Times New Roman" w:eastAsia="Times New Roman" w:hAnsi="Times New Roman" w:cs="Times New Roman"/>
                <w:highlight w:val="white"/>
                <w:lang w:val="it-IT"/>
              </w:rPr>
              <w:t>special</w:t>
            </w:r>
            <w:r w:rsidRPr="00AE06E3">
              <w:rPr>
                <w:rFonts w:ascii="Times New Roman" w:eastAsia="Times New Roman" w:hAnsi="Times New Roman" w:cs="Times New Roman"/>
                <w:highlight w:val="white"/>
              </w:rPr>
              <w:t>, î</w:t>
            </w:r>
            <w:r w:rsidRPr="0047019A">
              <w:rPr>
                <w:rFonts w:ascii="Times New Roman" w:eastAsia="Times New Roman" w:hAnsi="Times New Roman" w:cs="Times New Roman"/>
                <w:highlight w:val="white"/>
                <w:lang w:val="it-IT"/>
              </w:rPr>
              <w:t>n</w:t>
            </w:r>
            <w:r w:rsidRPr="00AE06E3">
              <w:rPr>
                <w:rFonts w:ascii="Times New Roman" w:eastAsia="Times New Roman" w:hAnsi="Times New Roman" w:cs="Times New Roman"/>
                <w:highlight w:val="white"/>
              </w:rPr>
              <w:t xml:space="preserve"> </w:t>
            </w:r>
            <w:r w:rsidRPr="0047019A">
              <w:rPr>
                <w:rFonts w:ascii="Times New Roman" w:eastAsia="Times New Roman" w:hAnsi="Times New Roman" w:cs="Times New Roman"/>
                <w:highlight w:val="white"/>
                <w:lang w:val="it-IT"/>
              </w:rPr>
              <w:t>partea</w:t>
            </w:r>
            <w:r w:rsidRPr="00AE06E3">
              <w:rPr>
                <w:rFonts w:ascii="Times New Roman" w:eastAsia="Times New Roman" w:hAnsi="Times New Roman" w:cs="Times New Roman"/>
                <w:highlight w:val="white"/>
              </w:rPr>
              <w:t xml:space="preserve"> </w:t>
            </w:r>
            <w:r w:rsidRPr="0047019A">
              <w:rPr>
                <w:rFonts w:ascii="Times New Roman" w:eastAsia="Times New Roman" w:hAnsi="Times New Roman" w:cs="Times New Roman"/>
                <w:highlight w:val="white"/>
                <w:lang w:val="it-IT"/>
              </w:rPr>
              <w:t>nereglementat</w:t>
            </w:r>
            <w:r w:rsidRPr="00AE06E3">
              <w:rPr>
                <w:rFonts w:ascii="Times New Roman" w:eastAsia="Times New Roman" w:hAnsi="Times New Roman" w:cs="Times New Roman"/>
                <w:highlight w:val="white"/>
              </w:rPr>
              <w:t xml:space="preserve">ă </w:t>
            </w:r>
            <w:r w:rsidRPr="0047019A">
              <w:rPr>
                <w:rFonts w:ascii="Times New Roman" w:eastAsia="Times New Roman" w:hAnsi="Times New Roman" w:cs="Times New Roman"/>
                <w:highlight w:val="white"/>
                <w:lang w:val="it-IT"/>
              </w:rPr>
              <w:t>prin</w:t>
            </w:r>
            <w:r w:rsidRPr="00AE06E3">
              <w:rPr>
                <w:rFonts w:ascii="Times New Roman" w:eastAsia="Times New Roman" w:hAnsi="Times New Roman" w:cs="Times New Roman"/>
                <w:highlight w:val="white"/>
              </w:rPr>
              <w:t xml:space="preserve"> </w:t>
            </w:r>
            <w:r w:rsidRPr="0047019A">
              <w:rPr>
                <w:rFonts w:ascii="Times New Roman" w:eastAsia="Times New Roman" w:hAnsi="Times New Roman" w:cs="Times New Roman"/>
                <w:highlight w:val="white"/>
                <w:lang w:val="it-IT"/>
              </w:rPr>
              <w:t>actele</w:t>
            </w:r>
            <w:r w:rsidRPr="00AE06E3">
              <w:rPr>
                <w:rFonts w:ascii="Times New Roman" w:eastAsia="Times New Roman" w:hAnsi="Times New Roman" w:cs="Times New Roman"/>
                <w:highlight w:val="white"/>
              </w:rPr>
              <w:t xml:space="preserve"> </w:t>
            </w:r>
            <w:r w:rsidRPr="0047019A">
              <w:rPr>
                <w:rFonts w:ascii="Times New Roman" w:eastAsia="Times New Roman" w:hAnsi="Times New Roman" w:cs="Times New Roman"/>
                <w:highlight w:val="white"/>
                <w:lang w:val="it-IT"/>
              </w:rPr>
              <w:t>normative</w:t>
            </w:r>
            <w:r w:rsidRPr="00AE06E3">
              <w:rPr>
                <w:rFonts w:ascii="Times New Roman" w:eastAsia="Times New Roman" w:hAnsi="Times New Roman" w:cs="Times New Roman"/>
                <w:highlight w:val="white"/>
              </w:rPr>
              <w:t xml:space="preserve"> </w:t>
            </w:r>
            <w:r w:rsidRPr="0047019A">
              <w:rPr>
                <w:rFonts w:ascii="Times New Roman" w:eastAsia="Times New Roman" w:hAnsi="Times New Roman" w:cs="Times New Roman"/>
                <w:highlight w:val="white"/>
                <w:lang w:val="it-IT"/>
              </w:rPr>
              <w:t>speciale</w:t>
            </w:r>
            <w:r w:rsidRPr="00AE06E3">
              <w:rPr>
                <w:rFonts w:ascii="Times New Roman" w:eastAsia="Times New Roman" w:hAnsi="Times New Roman" w:cs="Times New Roman"/>
                <w:highlight w:val="white"/>
              </w:rPr>
              <w:t>.”.</w:t>
            </w:r>
          </w:p>
          <w:p w14:paraId="19A1F072" w14:textId="77777777" w:rsidR="00477212" w:rsidRPr="00AE06E3" w:rsidRDefault="00477212">
            <w:pPr>
              <w:shd w:val="clear" w:color="auto" w:fill="FFFFFF"/>
              <w:spacing w:line="240" w:lineRule="auto"/>
              <w:ind w:firstLine="560"/>
              <w:jc w:val="both"/>
              <w:rPr>
                <w:rFonts w:ascii="Times New Roman" w:eastAsia="Times New Roman" w:hAnsi="Times New Roman" w:cs="Times New Roman"/>
                <w:highlight w:val="white"/>
              </w:rPr>
            </w:pPr>
          </w:p>
        </w:tc>
        <w:tc>
          <w:tcPr>
            <w:tcW w:w="5925" w:type="dxa"/>
          </w:tcPr>
          <w:p w14:paraId="74921728"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Se acceptă parțial. </w:t>
            </w:r>
          </w:p>
          <w:p w14:paraId="238F6041"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 acceptă parțial obiecția. Pct. 3 din Regulament se completează cu pct. 3.10, cu următorul cuprins:</w:t>
            </w:r>
          </w:p>
          <w:p w14:paraId="4E6C67DE"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i/>
                <w:iCs/>
                <w:highlight w:val="white"/>
                <w:lang w:val="it-IT"/>
              </w:rPr>
            </w:pPr>
            <w:r w:rsidRPr="00D31F43">
              <w:rPr>
                <w:rFonts w:ascii="Times New Roman" w:eastAsia="Times New Roman" w:hAnsi="Times New Roman" w:cs="Times New Roman"/>
                <w:i/>
                <w:iCs/>
                <w:highlight w:val="white"/>
                <w:lang w:val="it-IT"/>
              </w:rPr>
              <w:t>„3.10. Pentru categoriile de subiecți prevăzute la pct. 3, dispozițiile prezentului Regulament se aplică în conformitate cu prevederile legislației speciale aplicabile.”</w:t>
            </w:r>
          </w:p>
          <w:p w14:paraId="2FD989B7"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highlight w:val="white"/>
                <w:lang w:val="it-IT"/>
              </w:rPr>
            </w:pPr>
          </w:p>
          <w:p w14:paraId="4784F1B2"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lang w:val="it-IT"/>
              </w:rPr>
            </w:pPr>
          </w:p>
        </w:tc>
      </w:tr>
      <w:tr w:rsidR="00477212" w14:paraId="55388B35" w14:textId="77777777">
        <w:trPr>
          <w:trHeight w:val="711"/>
        </w:trPr>
        <w:tc>
          <w:tcPr>
            <w:tcW w:w="675" w:type="dxa"/>
          </w:tcPr>
          <w:p w14:paraId="70C283A6" w14:textId="77777777" w:rsidR="00477212" w:rsidRPr="00D31F43" w:rsidRDefault="00477212">
            <w:pPr>
              <w:spacing w:line="240" w:lineRule="auto"/>
              <w:ind w:firstLine="567"/>
              <w:rPr>
                <w:rFonts w:ascii="Times New Roman" w:eastAsia="Times New Roman" w:hAnsi="Times New Roman" w:cs="Times New Roman"/>
                <w:lang w:val="it-IT"/>
              </w:rPr>
            </w:pPr>
          </w:p>
        </w:tc>
        <w:tc>
          <w:tcPr>
            <w:tcW w:w="1730" w:type="dxa"/>
          </w:tcPr>
          <w:p w14:paraId="71415EDA"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Ministerul Energiei</w:t>
            </w:r>
          </w:p>
          <w:p w14:paraId="73E0D298"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10-681 din 19 martie 2026</w:t>
            </w:r>
          </w:p>
        </w:tc>
        <w:tc>
          <w:tcPr>
            <w:tcW w:w="6685" w:type="dxa"/>
          </w:tcPr>
          <w:p w14:paraId="12FC05BC"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Aviz repetat</w:t>
            </w:r>
          </w:p>
          <w:p w14:paraId="6974C227"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Insistăm asupra menținerii propunerilor formulate, având în vedere că prevederile proiectului vizează în mod direct Ministerul Energiei, în calitate de autoritate publică centrală, generând implicații semnificative asupra atribuțiilor funcționale și asupra modului de realizare a acestora, fapt ce impune, în mod imperativ, asigurarea unei reglementări clare, coerente și conforme cadrului normativ aplicabil.</w:t>
            </w:r>
          </w:p>
          <w:p w14:paraId="3F494F99"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Reiterăm suplimentar obiecțiile și propunerile:</w:t>
            </w:r>
          </w:p>
          <w:p w14:paraId="7A7F7CF7" w14:textId="77777777" w:rsidR="00477212" w:rsidRPr="00D31F43" w:rsidRDefault="00000000">
            <w:pPr>
              <w:numPr>
                <w:ilvl w:val="0"/>
                <w:numId w:val="13"/>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La Capitolul I -Dispoziții generale, punctul 5, subpunctul 5.5, se propune următoarea redacție:</w:t>
            </w:r>
          </w:p>
          <w:p w14:paraId="07EA0E83"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„5.5. Sesizare - comunicare scrisă sau electronică prin care persoana vizată, o persoană terță ori reprezentantul acesteia aduce la cunoștința angajatorului existența unor situații, acțiuni, conduite sau împrejurări susceptibile de a constitui violență și/sau hărțuire în muncă și care impun examinarea acestora în cadrul procedurii interne prevăzute de prezentul Regulament.”</w:t>
            </w:r>
          </w:p>
          <w:p w14:paraId="393B77F4"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În contextul definirii termenului de „sesizare”, se propune corelarea acestuia cu prevederile anexei nr. 7 din Hotărârea Guvernului nr. 201/2009, emisă în aplicarea Legii nr.158/2008 privind funcția publică și statutul funcționarului public, astfel încât toate sesizările depuse împotriva funcționarilor publici, indiferent de natura și obiectul acestora, să fie examinate de comisia de disciplină a autorității în care activează persoana vizată.</w:t>
            </w:r>
          </w:p>
          <w:p w14:paraId="3975A69B" w14:textId="77777777" w:rsidR="00477212" w:rsidRPr="00D31F43" w:rsidRDefault="00000000">
            <w:pPr>
              <w:shd w:val="clear" w:color="auto" w:fill="FFFFFF"/>
              <w:spacing w:line="240" w:lineRule="auto"/>
              <w:ind w:firstLine="560"/>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În același timp, o astfel de abordare este justificată de necesitatea evitării paralelismelor procedurale și a eventualelor conflicte de competență la nivel instituțional, întrucât calificarea unor fapte drept violență sau hărțuire în muncă nu exclude, după caz, incidența răspunderii disciplinare, motiv pentru care examinarea acestora de către comisia de disciplină asigură un tratament unitar, în concordanță cu cadrul normativ general aplicabil funcționarilor publici, precum și respectarea garanțiilor procedurale aferente.</w:t>
            </w:r>
          </w:p>
          <w:p w14:paraId="71854F6A" w14:textId="77777777" w:rsidR="00477212" w:rsidRDefault="00000000">
            <w:pPr>
              <w:numPr>
                <w:ilvl w:val="0"/>
                <w:numId w:val="22"/>
              </w:numPr>
              <w:shd w:val="clear" w:color="auto" w:fill="FFFFFF"/>
              <w:spacing w:line="240" w:lineRule="auto"/>
              <w:ind w:left="283"/>
              <w:jc w:val="both"/>
              <w:rPr>
                <w:rFonts w:ascii="Times New Roman" w:eastAsia="Times New Roman" w:hAnsi="Times New Roman" w:cs="Times New Roman"/>
                <w:highlight w:val="white"/>
              </w:rPr>
            </w:pPr>
            <w:r w:rsidRPr="00D31F43">
              <w:rPr>
                <w:rFonts w:ascii="Times New Roman" w:eastAsia="Times New Roman" w:hAnsi="Times New Roman" w:cs="Times New Roman"/>
                <w:highlight w:val="white"/>
                <w:lang w:val="it-IT"/>
              </w:rPr>
              <w:t xml:space="preserve">La Capitolul II – Măsuri și responsabilități instituționale în domeniul prevenirii și combaterii violenței și hărțuirii în muncă, sunt prevăzute măsurile aplicabile, totodată la punctul 9, potrivit căruia autoritatea publică are obligația de a asigura instruirea persoanelor desemnate și a </w:t>
            </w:r>
            <w:r w:rsidRPr="00D31F43">
              <w:rPr>
                <w:rFonts w:ascii="Times New Roman" w:eastAsia="Times New Roman" w:hAnsi="Times New Roman" w:cs="Times New Roman"/>
                <w:highlight w:val="white"/>
                <w:lang w:val="it-IT"/>
              </w:rPr>
              <w:lastRenderedPageBreak/>
              <w:t xml:space="preserve">membrilor comisiei de investigare în domeniul prevenirii și combaterii violenței și hărțuirii în muncă. </w:t>
            </w:r>
            <w:r w:rsidRPr="00D31F43">
              <w:rPr>
                <w:rFonts w:ascii="Times New Roman" w:eastAsia="Times New Roman" w:hAnsi="Times New Roman" w:cs="Times New Roman"/>
                <w:highlight w:val="white"/>
                <w:lang w:val="pt-BR"/>
              </w:rPr>
              <w:t xml:space="preserve">Totodată, proiectul regulamentului nu stabilește expres momentul desemnării persoanei responsabile sau al instituirii comisiei de investigare, precum și modul de organizare și funcționare a acesteia. Astfel, nu sunt reglementate aspecte esențiale precum numărul de membri ai comisiei, procedura de desemnare a președintelui, funcționarul împuternicit să exercite funcția de președinte, desemnarea secretarului comisiei, precum și condițiile pe care trebuie să le întrunească aceștia. De asemenea, nu este prevăzut dacă președintele și secretarul comisiei trebuie desemnați prin analogie cu prevederile aplicabile comisiei de disciplină prin anexa nr. 7 din Hotărârea Guvernului nr. 201/2009, unde secretarul este, de regulă, un funcționar public din cadrul subdiviziunii responsabile de asigurarea juridică a activității autorității publice, reprezentarea acesteia în instanțele de judecată și asigurarea respectării uniforme a legislației. În lipsa posibilității desemnării unui astfel de funcționar, secretarul comisiei de disciplină este desemnat din rândul funcționarilor publici cu atribuții în domeniul managementului resurselor umane, iar în cazul autorităților administrației publice locale de nivelul întâi, după caz, din rândul funcționarilor publici de execuție. În același timp, nu este stabilit termenul mandatului membrilor comisiei, și nici necesitatea desemnării membrilor supleanți, aspecte care pot afecta continuitatea și eficiența activității comisiei de investigare.În cazul sesizărilor depuse împotriva persoanelor care nu dețin funcții publice, se propune aplicarea aceleiași abordări, cu respectarea prevederilor Capitolului II „Disciplina muncii” din Codul muncii al Republicii Moldova. Instituirea unei comisii separate pentru examinarea sesizărilor privind violența la locul de muncă poate genera paralelism procedural, suprapuneri de competență, soluții contradictorii și incertitudine privind natura juridică a concluziilor. </w:t>
            </w:r>
            <w:r>
              <w:rPr>
                <w:rFonts w:ascii="Times New Roman" w:eastAsia="Times New Roman" w:hAnsi="Times New Roman" w:cs="Times New Roman"/>
                <w:highlight w:val="white"/>
              </w:rPr>
              <w:t xml:space="preserve">Examinarea sesizărilor de către o singură Comisie de disciplină asigură o abordare unitară, claritate procedurală și evitarea fragmentării competențelor. </w:t>
            </w:r>
          </w:p>
          <w:p w14:paraId="22447DCF"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3.La punctul 26, deși se prevede dreptul părților la asistență juridică, nu este clar cine asigură această asistență, nici conținutul și limitele acesteia. Se impune clarificarea acestei situații deoarece, în absența unor </w:t>
            </w:r>
            <w:r>
              <w:rPr>
                <w:rFonts w:ascii="Times New Roman" w:eastAsia="Times New Roman" w:hAnsi="Times New Roman" w:cs="Times New Roman"/>
                <w:highlight w:val="white"/>
              </w:rPr>
              <w:lastRenderedPageBreak/>
              <w:t>prevederi precise privind cine poate acorda asistența juridică, care sunt limitele și modalitatea acesteia, dreptul părților rămâne formal, dar nefuncțional, generând incertitudine și riscuri de inechitate procedurală.</w:t>
            </w:r>
          </w:p>
          <w:p w14:paraId="389B420B"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4.La punctul 28, necesită a fi revizuit sub aspectul clarității, întrucât nu delimitează expres categoriile de informații supuse obligației de confidențialitate. În forma actuală, formularea generală poate genera interpretări lipsite de precizie. În acest sens, se propune concretizarea normei prin indicarea explicită a informațiilor aferente sesizării care sunt protejate, inclusiv identitatea persoanei care a formulat sesizarea, a persoanei vizate și a altor persoane implicate, precum și orice date care pot conduce la identificarea acestora.</w:t>
            </w:r>
          </w:p>
          <w:p w14:paraId="374183A7"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5.Propunem punctul 29, se impune stabilirea termenelor de examinare, precum și a temeiurilor de suspendare a procedurii, fiind oportună aplicarea, prin analogie, a prevederilor din anexa nr. 7 la Hotărârea Guvernului nr. 201/2009.</w:t>
            </w:r>
          </w:p>
          <w:p w14:paraId="67646778"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6. În contextul subpunctul 34.1, constatarea existenței violenței și/sau hărțuirii la locul de muncă de către comisia de investigare generează un paralelism procedural cu cercetarea disciplinară, implicând audierea repetată a părților și martorilor, cu riscul unor concluzii contradictorii. În acest sens, nu este clar: care concluzii prevalează; care este prioritatea juridică între comisii; efectul juridic al constatărilor divergente; și în ce măsură conducătorul autorității este ținut de concluziile acestora. În asemenea condiții, există riscul ca rolul Comisiei de disciplină să devină formal, ceea ce poate afecta independența cercetării disciplinare, prezumția nevinovăției, imparțialitatea comisiei și principiul examinării obiective și complete a probelor, compromițând astfel credibilitatea mecanismelor interne de examinare și aplicarea uniformă a legislației în domeniul răspunderii disciplinare.</w:t>
            </w:r>
          </w:p>
          <w:p w14:paraId="11E26394"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7. De asemenea, la Capitolul IV - Măsuri provizorii de protecție în cadrul procedurii de investigare a cazurilor de violență și hărțuire în muncă, punctul 40, subpunctul 40.4, se impune clarificarea normei, întrucât aceasta se abate de la prevederile Codului muncii.</w:t>
            </w:r>
          </w:p>
          <w:p w14:paraId="3512D758"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Astfel, Titlul IV - Timpul de muncă și timpul de odihnă, de la Capitolul I până la Capitolul IV, reglementează în mod exhaustiv tipurile de concedii acordate salariaților, inclusiv cele plătite de către angajator, </w:t>
            </w:r>
            <w:r>
              <w:rPr>
                <w:rFonts w:ascii="Times New Roman" w:eastAsia="Times New Roman" w:hAnsi="Times New Roman" w:cs="Times New Roman"/>
                <w:highlight w:val="white"/>
              </w:rPr>
              <w:lastRenderedPageBreak/>
              <w:t>fără a prevedea existența unui concediu plătit sau neplătit acordat „cu titlu de excepție”, ca măsură de protecție în cadrul unei proceduri de investigare. Prin urmare, formularea prevăzută la subpunctul 40.4, referitoare la „acordarea, cu titlu de excepție, la cererea persoanei vizate și cu acordul scris al acesteia, a unui concediu plătit sau neplătit”, nu corespunde categoriilor de concedii reglementate de Codul muncii, ceea ce poate genera incertitudine, dificultăți de aplicare practică și un dezechilibru normativ în raport cu actele legislative în vigoare, totodată absența persoanei vătămate ar împiedica desfășurarea investigației.</w:t>
            </w:r>
          </w:p>
          <w:p w14:paraId="2EDC15C0"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8. La Capitolul VI Răspunderea pentru încălcarea prevederilor regulamentului, în conținutul capitolului este reglementat răspunderea pentru încălcare, dar, răspunderea disciplinară poate fi angajată doar în cazul săvârșirii unei abateri disciplinare, ca formă a faptei ilicite. Aplicarea sancțiunii disciplinare presupune, în mod necesar, existența unei asemenea abateri comise de funcționarul public. Spre deosebire de reglementările din Codul muncii, unde abaterea disciplinară este definită generic, în cazul funcționarilor publici abaterile disciplinare sunt prevăzute expres de lege, pentru a preveni arbitrariul și a limita puterea discreționară a conducătorului autorității publice.</w:t>
            </w:r>
          </w:p>
          <w:p w14:paraId="4C3B24DD"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Conform art. 57 din Legea nr. 158/2008 privind funcția publică și statutul funcționarului public, lista abaterilor disciplinare are caracter exhaustiv, acestea putând fi stabilite și prin acte subsecvente legii, cu condiția ca legea-cadru să prevadă expres această posibilitate.</w:t>
            </w:r>
          </w:p>
          <w:p w14:paraId="14022262"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Totodată, sancțiunea disciplinară poate fi aplicată exclusiv pentru fapte calificate de lege ca abateri disciplinare, în respectarea principiului legalității.</w:t>
            </w:r>
          </w:p>
          <w:p w14:paraId="30EDB2E3" w14:textId="77777777" w:rsidR="00477212" w:rsidRDefault="00477212">
            <w:pPr>
              <w:shd w:val="clear" w:color="auto" w:fill="FFFFFF"/>
              <w:spacing w:line="240" w:lineRule="auto"/>
              <w:ind w:firstLine="560"/>
              <w:jc w:val="both"/>
              <w:rPr>
                <w:rFonts w:ascii="Times New Roman" w:eastAsia="Times New Roman" w:hAnsi="Times New Roman" w:cs="Times New Roman"/>
                <w:highlight w:val="white"/>
              </w:rPr>
            </w:pPr>
          </w:p>
          <w:p w14:paraId="29F48B87" w14:textId="77777777" w:rsidR="00477212" w:rsidRDefault="00477212">
            <w:pPr>
              <w:shd w:val="clear" w:color="auto" w:fill="FFFFFF"/>
              <w:spacing w:line="240" w:lineRule="auto"/>
              <w:ind w:firstLine="560"/>
              <w:jc w:val="both"/>
              <w:rPr>
                <w:rFonts w:ascii="Times New Roman" w:eastAsia="Times New Roman" w:hAnsi="Times New Roman" w:cs="Times New Roman"/>
                <w:highlight w:val="white"/>
              </w:rPr>
            </w:pPr>
          </w:p>
          <w:p w14:paraId="25998473" w14:textId="77777777" w:rsidR="00477212" w:rsidRDefault="00477212">
            <w:pPr>
              <w:shd w:val="clear" w:color="auto" w:fill="FFFFFF"/>
              <w:spacing w:line="240" w:lineRule="auto"/>
              <w:ind w:firstLine="560"/>
              <w:jc w:val="both"/>
              <w:rPr>
                <w:rFonts w:ascii="Times New Roman" w:eastAsia="Times New Roman" w:hAnsi="Times New Roman" w:cs="Times New Roman"/>
                <w:highlight w:val="white"/>
              </w:rPr>
            </w:pPr>
          </w:p>
          <w:p w14:paraId="0D7AF16B" w14:textId="77777777" w:rsidR="00477212" w:rsidRDefault="00477212">
            <w:pPr>
              <w:shd w:val="clear" w:color="auto" w:fill="FFFFFF"/>
              <w:spacing w:line="240" w:lineRule="auto"/>
              <w:ind w:firstLine="560"/>
              <w:jc w:val="both"/>
              <w:rPr>
                <w:rFonts w:ascii="Times New Roman" w:eastAsia="Times New Roman" w:hAnsi="Times New Roman" w:cs="Times New Roman"/>
                <w:highlight w:val="white"/>
              </w:rPr>
            </w:pPr>
          </w:p>
        </w:tc>
        <w:tc>
          <w:tcPr>
            <w:tcW w:w="5925" w:type="dxa"/>
          </w:tcPr>
          <w:p w14:paraId="408C4DD8"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rPr>
            </w:pPr>
            <w:r>
              <w:rPr>
                <w:rFonts w:ascii="Times New Roman" w:eastAsia="Times New Roman" w:hAnsi="Times New Roman" w:cs="Times New Roman"/>
              </w:rPr>
              <w:lastRenderedPageBreak/>
              <w:t>Am luat act</w:t>
            </w:r>
            <w:r>
              <w:rPr>
                <w:rFonts w:ascii="Times New Roman" w:eastAsia="Times New Roman" w:hAnsi="Times New Roman" w:cs="Times New Roman"/>
                <w:b/>
                <w:bCs/>
              </w:rPr>
              <w:t xml:space="preserve"> </w:t>
            </w:r>
            <w:r>
              <w:rPr>
                <w:rFonts w:ascii="Times New Roman" w:eastAsia="Times New Roman" w:hAnsi="Times New Roman" w:cs="Times New Roman"/>
              </w:rPr>
              <w:t xml:space="preserve">(argumentarea se regăsește în sinteză). </w:t>
            </w:r>
          </w:p>
          <w:p w14:paraId="6193253E"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rPr>
            </w:pPr>
          </w:p>
          <w:p w14:paraId="6508AA31"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Suplimentar, menționăm că proiectul a fost completat cu norme suplimentare care reglementează în mod clar procedura de constituire a comisiei de investigare a cazurilor de violență și/sau hărțuire în muncă. Astfel, au fost introduse prevederi privind termenul în care se dispune constituirea comisiei (în cel mult 3 zile lucrătoare de la înregistrarea sesizării complete), actul administrativ prin care aceasta se instituie (ordinul conducătorului autorității publice), precum și modul de desemnare a persoanei responsabile sau de constituire a comisiei.</w:t>
            </w:r>
          </w:p>
          <w:p w14:paraId="1875FE82"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Totodată, sunt stabilite reguli privind componența numerică a comisiei, care poate varia în funcție de natura și complexitatea cazului, precum și procedura de alegere a președintelui și a secretarului comisiei, aceștia fiind desemnați prin votul majorității membrilor.</w:t>
            </w:r>
          </w:p>
          <w:p w14:paraId="01B17980"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În acest sens, se recomandă consultarea atentă a proiectului în forma sa îmbunătățită.</w:t>
            </w:r>
          </w:p>
          <w:p w14:paraId="108EE6CA"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rPr>
            </w:pPr>
          </w:p>
        </w:tc>
      </w:tr>
      <w:tr w:rsidR="00477212" w14:paraId="292C9F7D" w14:textId="77777777">
        <w:trPr>
          <w:trHeight w:val="711"/>
        </w:trPr>
        <w:tc>
          <w:tcPr>
            <w:tcW w:w="675" w:type="dxa"/>
          </w:tcPr>
          <w:p w14:paraId="75414718" w14:textId="77777777" w:rsidR="00477212" w:rsidRDefault="00000000">
            <w:pPr>
              <w:spacing w:line="240" w:lineRule="auto"/>
              <w:ind w:firstLine="567"/>
              <w:rPr>
                <w:rFonts w:ascii="Times New Roman" w:eastAsia="Times New Roman" w:hAnsi="Times New Roman" w:cs="Times New Roman"/>
              </w:rPr>
            </w:pPr>
            <w:r>
              <w:rPr>
                <w:rFonts w:ascii="Times New Roman" w:eastAsia="Times New Roman" w:hAnsi="Times New Roman" w:cs="Times New Roman"/>
              </w:rPr>
              <w:lastRenderedPageBreak/>
              <w:t>C</w:t>
            </w:r>
          </w:p>
        </w:tc>
        <w:tc>
          <w:tcPr>
            <w:tcW w:w="1730" w:type="dxa"/>
          </w:tcPr>
          <w:p w14:paraId="64515190"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Cancelaria de Stat</w:t>
            </w:r>
          </w:p>
          <w:p w14:paraId="1EB2E63E"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CS-1976-22-69-903</w:t>
            </w:r>
          </w:p>
        </w:tc>
        <w:tc>
          <w:tcPr>
            <w:tcW w:w="6685" w:type="dxa"/>
          </w:tcPr>
          <w:p w14:paraId="5037A5B3"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1.1. La pct. 18 din proiectul Regulamentului, se constată că prevederile acestuia nu asigură un nivel suficient de claritate și previzibilitate, întrucât nu permite determinarea cu exactitate a calității „reprezentantului desemnat în condițiile legii”, respectiv dacă acesta poate fi o persoană din cadrul autorității publice, un avocat sau un alt </w:t>
            </w:r>
            <w:r>
              <w:rPr>
                <w:rFonts w:ascii="Times New Roman" w:eastAsia="Times New Roman" w:hAnsi="Times New Roman" w:cs="Times New Roman"/>
                <w:highlight w:val="white"/>
              </w:rPr>
              <w:lastRenderedPageBreak/>
              <w:t>reprezentant împuternicit. Prin urmare, se recomandă autorului completarea pct. 18 prin în sensul clarificării categoriilor de reprezentanți admiși și a modalității minime de confirmare a împuternicirii acestora.</w:t>
            </w:r>
          </w:p>
          <w:p w14:paraId="01DCA151"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2.2. La pct.23 din proiectul Regulamentului, se stabilește că, în situația în care persoana reclamată pentru fapte de violență și/sau hărțuire în muncă este conducătorul autorității publice, iar în structura administrativă există o autoritate publică ierarhic superioară, comisia de investigare se desemnează de către aceasta. Totuși, textul nu reglementează expres situația în care autoritatea publică nu se află în subordinea unei autorități ierarhic superioare. Această lipsă de precizare creează o ambiguitate și poate conduce la interpretări diferite în practică, cu risc de blocaje procedurale sau întârzieri în investigarea sesizărilor. Soluția invocată de autor în sinteză, adică apelarea la alte mecanisme nu rezultă direct din Regulament, ci trebuie dedusă, ceea ce nu oferăv previzibilitate.</w:t>
            </w:r>
          </w:p>
          <w:p w14:paraId="08255960" w14:textId="77777777" w:rsidR="00477212" w:rsidRPr="00D31F43" w:rsidRDefault="00000000">
            <w:pPr>
              <w:numPr>
                <w:ilvl w:val="0"/>
                <w:numId w:val="22"/>
              </w:numPr>
              <w:shd w:val="clear" w:color="auto" w:fill="FFFFFF"/>
              <w:spacing w:line="240" w:lineRule="auto"/>
              <w:ind w:left="0" w:firstLine="0"/>
              <w:jc w:val="both"/>
              <w:rPr>
                <w:rFonts w:ascii="Times New Roman" w:eastAsia="Times New Roman" w:hAnsi="Times New Roman" w:cs="Times New Roman"/>
                <w:highlight w:val="white"/>
                <w:lang w:val="pt-BR"/>
              </w:rPr>
            </w:pPr>
            <w:r>
              <w:rPr>
                <w:rFonts w:ascii="Times New Roman" w:eastAsia="Times New Roman" w:hAnsi="Times New Roman" w:cs="Times New Roman"/>
                <w:highlight w:val="white"/>
              </w:rPr>
              <w:t xml:space="preserve">Cu referire la pct. 34- 35 din proiect, se constată că prevederile acestora stabilesc că, în baza raportului de constatare, conducătorul autorității publice poate dispune măsuri, inclusiv inițierea procedurii disciplinare împotriva persoanei care a săvârșit fapta. </w:t>
            </w:r>
            <w:r w:rsidRPr="00D31F43">
              <w:rPr>
                <w:rFonts w:ascii="Times New Roman" w:eastAsia="Times New Roman" w:hAnsi="Times New Roman" w:cs="Times New Roman"/>
                <w:highlight w:val="white"/>
                <w:lang w:val="pt-BR"/>
              </w:rPr>
              <w:t>În acest context, argumentele invocate de autor în susținerea acestei soluții normative nu sunt de natură să înlăture obiecțiile formulate, fiind insuficiente pentru a justifica menținerea textului în forma propusă. Se reamintește că obiecția în cauză a fost ridicată de mai multe autorități avizatoare, ceea ce relevă un caracter sistemic al deficiențelor identificate și conferă acesteia o greutate sporită în procesul de avizare. Prin urmare, se reiterează necesitatea revizuirii pct. 34- 35 în sensul stabilirii unui raport juridic clar și neechivoc între raportul de constatare și mecanismul de inițiere a procedurii disciplinare.</w:t>
            </w:r>
          </w:p>
          <w:p w14:paraId="1BE26D27" w14:textId="77777777" w:rsidR="00477212" w:rsidRPr="0047019A" w:rsidRDefault="00000000">
            <w:pPr>
              <w:numPr>
                <w:ilvl w:val="0"/>
                <w:numId w:val="22"/>
              </w:numPr>
              <w:shd w:val="clear" w:color="auto" w:fill="FFFFFF"/>
              <w:spacing w:line="240" w:lineRule="auto"/>
              <w:ind w:left="0" w:firstLine="283"/>
              <w:jc w:val="both"/>
              <w:rPr>
                <w:rFonts w:ascii="Times New Roman" w:eastAsia="Times New Roman" w:hAnsi="Times New Roman" w:cs="Times New Roman"/>
                <w:highlight w:val="white"/>
                <w:lang w:val="pt-BR"/>
              </w:rPr>
            </w:pPr>
            <w:r w:rsidRPr="0047019A">
              <w:rPr>
                <w:rFonts w:ascii="Times New Roman" w:eastAsia="Times New Roman" w:hAnsi="Times New Roman" w:cs="Times New Roman"/>
                <w:highlight w:val="white"/>
                <w:lang w:val="pt-BR"/>
              </w:rPr>
              <w:t xml:space="preserve">Suplimentar, referitor la obligația autorității publice de a asigura instruirea salariaților, se atrage atenția că instituirea unei obligații legale implică în mod necesar și stabilirea unui mecanism concret de implementare a acesteia. În acest context, se menționează că organizarea și desfășurarea anuală a instruirilor pentru întreg personalul angajat al autorității publice, cel puțin o dată pe an, generează cheltuieli bugetare semnificative. Prin urmare, se impune completarea Notei de fundamentare </w:t>
            </w:r>
            <w:r w:rsidRPr="0047019A">
              <w:rPr>
                <w:rFonts w:ascii="Times New Roman" w:eastAsia="Times New Roman" w:hAnsi="Times New Roman" w:cs="Times New Roman"/>
                <w:highlight w:val="white"/>
                <w:lang w:val="pt-BR"/>
              </w:rPr>
              <w:lastRenderedPageBreak/>
              <w:t>la punctul 4.2 cu o estimare a impactului financiar pe care autoritățile publice urmează să îl suporte în vederea implementării proiectului de hotărâre.</w:t>
            </w:r>
          </w:p>
          <w:p w14:paraId="58824141" w14:textId="77777777" w:rsidR="00477212" w:rsidRDefault="00000000">
            <w:pPr>
              <w:numPr>
                <w:ilvl w:val="0"/>
                <w:numId w:val="22"/>
              </w:numPr>
              <w:shd w:val="clear" w:color="auto" w:fill="FFFFFF"/>
              <w:spacing w:line="240" w:lineRule="auto"/>
              <w:ind w:left="0"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Adiționat, titlul sintezei urmează a fi ajustat corespunzător cu indicarea corectă a titlului proiectului de act normativ.</w:t>
            </w:r>
          </w:p>
          <w:p w14:paraId="180E523D" w14:textId="77777777" w:rsidR="00477212" w:rsidRDefault="00477212">
            <w:pPr>
              <w:shd w:val="clear" w:color="auto" w:fill="FFFFFF"/>
              <w:spacing w:line="240" w:lineRule="auto"/>
              <w:ind w:firstLine="560"/>
              <w:jc w:val="both"/>
              <w:rPr>
                <w:rFonts w:ascii="Times New Roman" w:eastAsia="Times New Roman" w:hAnsi="Times New Roman" w:cs="Times New Roman"/>
                <w:highlight w:val="white"/>
              </w:rPr>
            </w:pPr>
          </w:p>
          <w:p w14:paraId="7875B471" w14:textId="77777777" w:rsidR="00477212" w:rsidRDefault="00477212">
            <w:pPr>
              <w:shd w:val="clear" w:color="auto" w:fill="FFFFFF"/>
              <w:spacing w:line="240" w:lineRule="auto"/>
              <w:ind w:firstLine="560"/>
              <w:jc w:val="both"/>
              <w:rPr>
                <w:rFonts w:ascii="Times New Roman" w:eastAsia="Times New Roman" w:hAnsi="Times New Roman" w:cs="Times New Roman"/>
                <w:highlight w:val="white"/>
              </w:rPr>
            </w:pPr>
          </w:p>
        </w:tc>
        <w:tc>
          <w:tcPr>
            <w:tcW w:w="5925" w:type="dxa"/>
          </w:tcPr>
          <w:p w14:paraId="56983B6D"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rPr>
              <w:lastRenderedPageBreak/>
              <w:t>Am luat act</w:t>
            </w:r>
            <w:r>
              <w:rPr>
                <w:rFonts w:ascii="Times New Roman" w:eastAsia="Times New Roman" w:hAnsi="Times New Roman" w:cs="Times New Roman"/>
                <w:b/>
                <w:bCs/>
              </w:rPr>
              <w:t xml:space="preserve"> </w:t>
            </w:r>
            <w:r>
              <w:rPr>
                <w:rFonts w:ascii="Times New Roman" w:eastAsia="Times New Roman" w:hAnsi="Times New Roman" w:cs="Times New Roman"/>
              </w:rPr>
              <w:t xml:space="preserve">(argumentarea se regăsește în sinteză). </w:t>
            </w:r>
          </w:p>
        </w:tc>
      </w:tr>
      <w:tr w:rsidR="00477212" w14:paraId="72CD7A07" w14:textId="77777777">
        <w:trPr>
          <w:trHeight w:val="711"/>
        </w:trPr>
        <w:tc>
          <w:tcPr>
            <w:tcW w:w="675" w:type="dxa"/>
          </w:tcPr>
          <w:p w14:paraId="2FEF3E8D" w14:textId="77777777" w:rsidR="00477212" w:rsidRDefault="00477212">
            <w:pPr>
              <w:spacing w:line="240" w:lineRule="auto"/>
              <w:ind w:firstLine="567"/>
              <w:rPr>
                <w:rFonts w:ascii="Times New Roman" w:eastAsia="Times New Roman" w:hAnsi="Times New Roman" w:cs="Times New Roman"/>
              </w:rPr>
            </w:pPr>
          </w:p>
        </w:tc>
        <w:tc>
          <w:tcPr>
            <w:tcW w:w="1730" w:type="dxa"/>
          </w:tcPr>
          <w:p w14:paraId="083F6D49"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Consiliul pentru egalitate</w:t>
            </w:r>
          </w:p>
          <w:p w14:paraId="045036A1"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04/460 din 23.03.2026</w:t>
            </w:r>
          </w:p>
        </w:tc>
        <w:tc>
          <w:tcPr>
            <w:tcW w:w="6685" w:type="dxa"/>
          </w:tcPr>
          <w:p w14:paraId="144C7F4E" w14:textId="77777777" w:rsidR="00477212" w:rsidRDefault="00000000">
            <w:pPr>
              <w:numPr>
                <w:ilvl w:val="0"/>
                <w:numId w:val="27"/>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Consiliul reiterează propunerea de a completa Regulamentul privind aplicarea prevederilor referitoare la prevenirea și combaterea violenței și hărțuirii în muncă în autoritățile publice cu prevederi care să descrie ce reprezintă măsurile rezonabile și adecvate pentru prevenirea și combaterea violenței și a hărțuirii în muncă.</w:t>
            </w:r>
          </w:p>
          <w:p w14:paraId="55BC8B62" w14:textId="77777777" w:rsidR="00477212" w:rsidRDefault="00000000">
            <w:pPr>
              <w:numPr>
                <w:ilvl w:val="0"/>
                <w:numId w:val="27"/>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Consiliul reiterează recomandarea privind completarea Politicii interne cu definițiile noțiunilor de violență în muncă și hărțuire în muncă.</w:t>
            </w:r>
          </w:p>
          <w:p w14:paraId="3D3C0359" w14:textId="77777777" w:rsidR="00477212" w:rsidRDefault="00477212">
            <w:pPr>
              <w:shd w:val="clear" w:color="auto" w:fill="FFFFFF"/>
              <w:spacing w:line="240" w:lineRule="auto"/>
              <w:ind w:left="720"/>
              <w:jc w:val="both"/>
              <w:rPr>
                <w:rFonts w:ascii="Times New Roman" w:eastAsia="Times New Roman" w:hAnsi="Times New Roman" w:cs="Times New Roman"/>
                <w:highlight w:val="white"/>
              </w:rPr>
            </w:pPr>
          </w:p>
        </w:tc>
        <w:tc>
          <w:tcPr>
            <w:tcW w:w="5925" w:type="dxa"/>
          </w:tcPr>
          <w:p w14:paraId="42593184"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rPr>
              <w:t>Am luat act</w:t>
            </w:r>
            <w:r>
              <w:rPr>
                <w:rFonts w:ascii="Times New Roman" w:eastAsia="Times New Roman" w:hAnsi="Times New Roman" w:cs="Times New Roman"/>
                <w:b/>
                <w:bCs/>
              </w:rPr>
              <w:t xml:space="preserve"> </w:t>
            </w:r>
            <w:r>
              <w:rPr>
                <w:rFonts w:ascii="Times New Roman" w:eastAsia="Times New Roman" w:hAnsi="Times New Roman" w:cs="Times New Roman"/>
              </w:rPr>
              <w:t xml:space="preserve">(argumentarea se regăsește în sinteză). </w:t>
            </w:r>
          </w:p>
        </w:tc>
      </w:tr>
      <w:tr w:rsidR="00477212" w14:paraId="3201D155" w14:textId="77777777">
        <w:trPr>
          <w:trHeight w:val="711"/>
        </w:trPr>
        <w:tc>
          <w:tcPr>
            <w:tcW w:w="675" w:type="dxa"/>
          </w:tcPr>
          <w:p w14:paraId="4FCF6005" w14:textId="77777777" w:rsidR="00477212" w:rsidRDefault="00477212">
            <w:pPr>
              <w:spacing w:line="240" w:lineRule="auto"/>
              <w:ind w:firstLine="567"/>
              <w:rPr>
                <w:rFonts w:ascii="Times New Roman" w:eastAsia="Times New Roman" w:hAnsi="Times New Roman" w:cs="Times New Roman"/>
              </w:rPr>
            </w:pPr>
          </w:p>
        </w:tc>
        <w:tc>
          <w:tcPr>
            <w:tcW w:w="1730" w:type="dxa"/>
          </w:tcPr>
          <w:p w14:paraId="61A374DC" w14:textId="77777777" w:rsidR="00477212" w:rsidRPr="00D31F43" w:rsidRDefault="00000000">
            <w:pPr>
              <w:spacing w:line="240" w:lineRule="auto"/>
              <w:jc w:val="center"/>
              <w:rPr>
                <w:rFonts w:ascii="Times New Roman" w:eastAsia="Times New Roman" w:hAnsi="Times New Roman" w:cs="Times New Roman"/>
                <w:b/>
                <w:bCs/>
                <w:highlight w:val="white"/>
                <w:lang w:val="pt-BR"/>
              </w:rPr>
            </w:pPr>
            <w:r w:rsidRPr="00D31F43">
              <w:rPr>
                <w:rFonts w:ascii="Times New Roman" w:eastAsia="Times New Roman" w:hAnsi="Times New Roman" w:cs="Times New Roman"/>
                <w:b/>
                <w:bCs/>
                <w:highlight w:val="white"/>
                <w:lang w:val="pt-BR"/>
              </w:rPr>
              <w:t>Agenția Digitalizare în Justiție și Administrare Judecătorească</w:t>
            </w:r>
          </w:p>
          <w:p w14:paraId="56C6FBFB" w14:textId="77777777" w:rsidR="00477212" w:rsidRDefault="00000000">
            <w:pPr>
              <w:spacing w:line="240" w:lineRule="auto"/>
              <w:jc w:val="center"/>
              <w:rPr>
                <w:rFonts w:ascii="Times New Roman" w:eastAsia="Times New Roman" w:hAnsi="Times New Roman" w:cs="Times New Roman"/>
                <w:b/>
                <w:bCs/>
                <w:i/>
                <w:iCs/>
                <w:highlight w:val="white"/>
              </w:rPr>
            </w:pPr>
            <w:r>
              <w:rPr>
                <w:rFonts w:ascii="Times New Roman" w:eastAsia="Times New Roman" w:hAnsi="Times New Roman" w:cs="Times New Roman"/>
                <w:b/>
                <w:bCs/>
                <w:i/>
                <w:iCs/>
                <w:highlight w:val="white"/>
              </w:rPr>
              <w:t>Nr. 01.4/883 din 23 martie 2026</w:t>
            </w:r>
          </w:p>
        </w:tc>
        <w:tc>
          <w:tcPr>
            <w:tcW w:w="6685" w:type="dxa"/>
          </w:tcPr>
          <w:p w14:paraId="2ABDA0C7"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Urmează a fi modificat sau introdus pct. nou după cum urmează:</w:t>
            </w:r>
          </w:p>
          <w:p w14:paraId="47CDCEE7" w14:textId="77777777" w:rsidR="00477212" w:rsidRPr="00D31F43" w:rsidRDefault="00000000">
            <w:pPr>
              <w:numPr>
                <w:ilvl w:val="0"/>
                <w:numId w:val="12"/>
              </w:num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Pct.181. Sesizările anonime pot fi examinate în măsura în care conțin indicii suficiente privind existența unor fapte de violență și/sau hărțuire în muncă.</w:t>
            </w:r>
          </w:p>
          <w:p w14:paraId="3D87613D" w14:textId="77777777" w:rsidR="00477212" w:rsidRPr="00D31F43" w:rsidRDefault="00000000">
            <w:pPr>
              <w:numPr>
                <w:ilvl w:val="0"/>
                <w:numId w:val="12"/>
              </w:numPr>
              <w:shd w:val="clear" w:color="auto" w:fill="FFFFFF"/>
              <w:spacing w:line="240" w:lineRule="auto"/>
              <w:jc w:val="both"/>
              <w:rPr>
                <w:rFonts w:ascii="Times New Roman" w:eastAsia="Times New Roman" w:hAnsi="Times New Roman" w:cs="Times New Roman"/>
                <w:highlight w:val="white"/>
                <w:lang w:val="pt-BR"/>
              </w:rPr>
            </w:pPr>
            <w:r w:rsidRPr="00D31F43">
              <w:rPr>
                <w:rFonts w:ascii="Times New Roman" w:eastAsia="Times New Roman" w:hAnsi="Times New Roman" w:cs="Times New Roman"/>
                <w:highlight w:val="white"/>
                <w:lang w:val="pt-BR"/>
              </w:rPr>
              <w:t>În vederea asigurării preluării și evidenței sesizărilor, fiecare autoritate publică desemnează, prin ordin al conducătorului, o persoană responsabilă sau o structură internă competentă, care are atribuții de primire, înregistrare și gestionare a sesizărilor privind fapte susceptibile de a constitui violență și/sau hărțuire în muncă, în conformitate cu prevederile prezentului Regulament, prin înregistrarea acestora în registrul special în termen de cel mult 3 zile de la primirea sesizării;</w:t>
            </w:r>
          </w:p>
          <w:p w14:paraId="0DAA3B87" w14:textId="77777777" w:rsidR="00477212" w:rsidRDefault="00000000">
            <w:pPr>
              <w:numPr>
                <w:ilvl w:val="0"/>
                <w:numId w:val="1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Pct. 241. (nou)</w:t>
            </w:r>
          </w:p>
          <w:p w14:paraId="56BA5FC4" w14:textId="77777777" w:rsidR="00477212" w:rsidRDefault="00000000">
            <w:p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Nu pot face parte din comisia de investigare persoanele aflate în relații ierarhice directe cu părțile implicate sau care se află în orice situație de conflict de interese.</w:t>
            </w:r>
          </w:p>
          <w:p w14:paraId="46F8C51C" w14:textId="77777777" w:rsidR="00477212" w:rsidRDefault="00000000">
            <w:pPr>
              <w:numPr>
                <w:ilvl w:val="0"/>
                <w:numId w:val="1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Pct. 351. (nou)</w:t>
            </w:r>
          </w:p>
          <w:p w14:paraId="50AE9405" w14:textId="77777777" w:rsidR="00477212" w:rsidRDefault="00000000">
            <w:p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Părțile implicate pot formula obiecții motivate asupra constatărilor raportului, în termen de 5 zile de la comunicarea acestuia, fără a suspenda aplicarea măsurilor dispuse.</w:t>
            </w:r>
          </w:p>
          <w:p w14:paraId="54715D48" w14:textId="77777777" w:rsidR="00477212" w:rsidRPr="00D31F43" w:rsidRDefault="00000000">
            <w:pPr>
              <w:numPr>
                <w:ilvl w:val="0"/>
                <w:numId w:val="12"/>
              </w:num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Sesizarea se examinează într-un termen rezonabil, care nu poate depăși 30 de zile de la data înregistrării. Termenul de examinare poate fi suspendat în situații obiective, precum imposibilitatea audierii părților sau alte circumstanțe justificate, cu informarea corespunzătoare a părților implicate. În cazuri temeinic justificate, termenul de examinare poate fi prelungit o singură dată, prin ordin motivat al conducătorului autorității publice, pentru o perioadă de cel mult 15 zile calendaristice. Ordinul de prelungire se comunică părților implicate în termen de cel mult 3 zile lucrătoare de la emitere, cu indicarea motivelor care justifică prelungirea.</w:t>
            </w:r>
          </w:p>
          <w:p w14:paraId="1C14685A" w14:textId="77777777" w:rsidR="00477212" w:rsidRPr="00D31F43" w:rsidRDefault="00477212">
            <w:pPr>
              <w:shd w:val="clear" w:color="auto" w:fill="FFFFFF"/>
              <w:spacing w:line="240" w:lineRule="auto"/>
              <w:ind w:left="720"/>
              <w:jc w:val="both"/>
              <w:rPr>
                <w:rFonts w:ascii="Times New Roman" w:eastAsia="Times New Roman" w:hAnsi="Times New Roman" w:cs="Times New Roman"/>
                <w:highlight w:val="white"/>
                <w:lang w:val="it-IT"/>
              </w:rPr>
            </w:pPr>
          </w:p>
          <w:p w14:paraId="55F40C53" w14:textId="77777777" w:rsidR="00477212" w:rsidRPr="00D31F43" w:rsidRDefault="00477212">
            <w:pPr>
              <w:shd w:val="clear" w:color="auto" w:fill="FFFFFF"/>
              <w:spacing w:line="240" w:lineRule="auto"/>
              <w:ind w:left="720"/>
              <w:jc w:val="both"/>
              <w:rPr>
                <w:rFonts w:ascii="Times New Roman" w:eastAsia="Times New Roman" w:hAnsi="Times New Roman" w:cs="Times New Roman"/>
                <w:highlight w:val="white"/>
                <w:lang w:val="it-IT"/>
              </w:rPr>
            </w:pPr>
          </w:p>
        </w:tc>
        <w:tc>
          <w:tcPr>
            <w:tcW w:w="5925" w:type="dxa"/>
          </w:tcPr>
          <w:p w14:paraId="0E89BEDF"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Am luat act</w:t>
            </w:r>
            <w:r w:rsidRPr="00D31F43">
              <w:rPr>
                <w:rFonts w:ascii="Times New Roman" w:eastAsia="Times New Roman" w:hAnsi="Times New Roman" w:cs="Times New Roman"/>
                <w:b/>
                <w:bCs/>
                <w:lang w:val="it-IT"/>
              </w:rPr>
              <w:t xml:space="preserve"> </w:t>
            </w:r>
            <w:r w:rsidRPr="00D31F43">
              <w:rPr>
                <w:rFonts w:ascii="Times New Roman" w:eastAsia="Times New Roman" w:hAnsi="Times New Roman" w:cs="Times New Roman"/>
                <w:lang w:val="it-IT"/>
              </w:rPr>
              <w:t xml:space="preserve">(argumentarea se regăsește în sinteză). </w:t>
            </w:r>
          </w:p>
          <w:p w14:paraId="556C2802"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 Suplimentar menționăm:</w:t>
            </w:r>
          </w:p>
          <w:p w14:paraId="3147BB01"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Introducerea pct. 24¹ nu este necesară, întrucât aspectele privind evitarea conflictelor de interese și asigurarea imparțialității membrilor comisiei sunt deja acoperite prin principiile Regulamentului și cadrul general aplicabil.</w:t>
            </w:r>
          </w:p>
          <w:p w14:paraId="27DDECE2" w14:textId="77777777" w:rsidR="00477212" w:rsidRPr="00D31F43"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Introducerea pct. 35¹ nu se justifică, întrucât obiectul eventualei contestări îl constituie actul administrativ emis de conducătorul autorității publice (ordinul), iar nu raportul de constatare, care are caracter de act intern, fără efecte juridice directe. În acest sens, conducătorul autorității poate decide inclusiv neaplicarea unor măsuri în urma examinării raportului, astfel încât instituirea unei proceduri de contestare  asupra raportului nu este necesară.</w:t>
            </w:r>
          </w:p>
          <w:p w14:paraId="07D55393"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rPr>
            </w:pPr>
            <w:r w:rsidRPr="00D31F43">
              <w:rPr>
                <w:rFonts w:ascii="Times New Roman" w:eastAsia="Times New Roman" w:hAnsi="Times New Roman" w:cs="Times New Roman"/>
                <w:lang w:val="it-IT"/>
              </w:rPr>
              <w:t xml:space="preserve">Completarea privind suspendarea și detalierea termenului de examinare nu este necesară, întrucât suspendarea procedurilor administrative este reglementată expres de Codul administrativ al Republicii Moldova, iar Regulamentul stabilește deja termene clare și suficiente, inclusiv posibilitatea prelungirii acestora. </w:t>
            </w:r>
            <w:r>
              <w:rPr>
                <w:rFonts w:ascii="Times New Roman" w:eastAsia="Times New Roman" w:hAnsi="Times New Roman" w:cs="Times New Roman"/>
              </w:rPr>
              <w:lastRenderedPageBreak/>
              <w:t>Introducerea unor prevederi suplimentare ar genera paralelism normativ și ar conduce la o rigidizare excesivă a procedurii.</w:t>
            </w:r>
          </w:p>
          <w:p w14:paraId="1DF3EE18"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rPr>
            </w:pPr>
          </w:p>
        </w:tc>
      </w:tr>
      <w:tr w:rsidR="00477212" w14:paraId="72DA753B" w14:textId="77777777">
        <w:trPr>
          <w:trHeight w:val="711"/>
        </w:trPr>
        <w:tc>
          <w:tcPr>
            <w:tcW w:w="675" w:type="dxa"/>
          </w:tcPr>
          <w:p w14:paraId="0AC86FB7" w14:textId="77777777" w:rsidR="00477212" w:rsidRDefault="00477212">
            <w:pPr>
              <w:spacing w:line="240" w:lineRule="auto"/>
              <w:ind w:firstLine="567"/>
              <w:rPr>
                <w:rFonts w:ascii="Times New Roman" w:eastAsia="Times New Roman" w:hAnsi="Times New Roman" w:cs="Times New Roman"/>
              </w:rPr>
            </w:pPr>
          </w:p>
        </w:tc>
        <w:tc>
          <w:tcPr>
            <w:tcW w:w="1730" w:type="dxa"/>
          </w:tcPr>
          <w:p w14:paraId="46727E0C" w14:textId="77777777" w:rsidR="00477212" w:rsidRDefault="00000000">
            <w:pP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Oficiul Avocatului Poporului </w:t>
            </w:r>
          </w:p>
          <w:p w14:paraId="315A5F89" w14:textId="77777777" w:rsidR="00477212" w:rsidRDefault="00000000">
            <w:pPr>
              <w:spacing w:line="240" w:lineRule="auto"/>
              <w:jc w:val="center"/>
              <w:rPr>
                <w:rFonts w:ascii="Times New Roman" w:eastAsia="Times New Roman" w:hAnsi="Times New Roman" w:cs="Times New Roman"/>
                <w:i/>
                <w:iCs/>
                <w:highlight w:val="white"/>
              </w:rPr>
            </w:pPr>
            <w:r>
              <w:rPr>
                <w:rFonts w:ascii="Times New Roman" w:eastAsia="Times New Roman" w:hAnsi="Times New Roman" w:cs="Times New Roman"/>
                <w:i/>
                <w:iCs/>
                <w:highlight w:val="white"/>
              </w:rPr>
              <w:t>nr. 04-3/16-610 din 20.03.2026</w:t>
            </w:r>
          </w:p>
        </w:tc>
        <w:tc>
          <w:tcPr>
            <w:tcW w:w="6685" w:type="dxa"/>
          </w:tcPr>
          <w:p w14:paraId="730FE80D"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Aviz repetat</w:t>
            </w:r>
          </w:p>
          <w:p w14:paraId="44464065" w14:textId="77777777" w:rsidR="00477212" w:rsidRDefault="00000000">
            <w:pPr>
              <w:shd w:val="clear" w:color="auto" w:fill="FFFFFF"/>
              <w:spacing w:line="240" w:lineRule="auto"/>
              <w:ind w:firstLine="560"/>
              <w:jc w:val="both"/>
              <w:rPr>
                <w:rFonts w:ascii="Times New Roman" w:eastAsia="Times New Roman" w:hAnsi="Times New Roman" w:cs="Times New Roman"/>
                <w:highlight w:val="white"/>
              </w:rPr>
            </w:pPr>
            <w:r>
              <w:rPr>
                <w:rFonts w:ascii="Times New Roman" w:eastAsia="Times New Roman" w:hAnsi="Times New Roman" w:cs="Times New Roman"/>
                <w:highlight w:val="white"/>
              </w:rPr>
              <w:t>1.Avocatul Poporului își menține poziția exprimată anterior și</w:t>
            </w:r>
          </w:p>
          <w:p w14:paraId="56213E54" w14:textId="77777777" w:rsidR="00477212" w:rsidRDefault="00000000">
            <w:p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consideră necesară instituirea în cuprinsul Regulamentului a unui mecanism procedural clar prin care candidații la funcții publice să poată raporta eventuale acte de violență sau hărțuire survenite în cadrul proceselor de recrutare sau desfășurării concursurilor.</w:t>
            </w:r>
          </w:p>
          <w:p w14:paraId="5460FBF9" w14:textId="77777777" w:rsidR="00477212" w:rsidRDefault="00000000">
            <w:pPr>
              <w:numPr>
                <w:ilvl w:val="0"/>
                <w:numId w:val="22"/>
              </w:numPr>
              <w:shd w:val="clear" w:color="auto" w:fill="FFFFFF"/>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Avocatul Poporului reiterează propunerea sa cu privire la completarea Regulamentului cu o prevedere care să reglementeze procedura în cazul în care persoana reclamată pentru fapte de violență sau hărțuire în muncă este conducătorul autorităților autonome sau al unei instituții care nu are o autoritate publică ierarhic. În aceste situații investigația ar putea fi externalizată către entitatea care a numit conducătorul, după caz, organul colegial de conducere (ex. Parlament, Guvern, Consiliu). Proiectul actual prevede la pct. 22 procedura doar pentru cazul în care persoana reclamată pentru fapte de violență sau hărțuire în muncă este conducătorul autorității publice, iar în</w:t>
            </w:r>
          </w:p>
          <w:p w14:paraId="27AF6908" w14:textId="77777777" w:rsidR="00477212" w:rsidRDefault="00000000">
            <w:pPr>
              <w:shd w:val="clear" w:color="auto" w:fill="FFFFFF"/>
              <w:spacing w:line="240" w:lineRule="auto"/>
              <w:ind w:left="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structura administrativă există o autoritate publică ierarhic superioară.</w:t>
            </w:r>
          </w:p>
          <w:p w14:paraId="0F5D2F20" w14:textId="77777777" w:rsidR="00477212" w:rsidRDefault="00477212">
            <w:pPr>
              <w:shd w:val="clear" w:color="auto" w:fill="FFFFFF"/>
              <w:spacing w:line="240" w:lineRule="auto"/>
              <w:jc w:val="both"/>
              <w:rPr>
                <w:rFonts w:ascii="Times New Roman" w:eastAsia="Times New Roman" w:hAnsi="Times New Roman" w:cs="Times New Roman"/>
                <w:highlight w:val="white"/>
              </w:rPr>
            </w:pPr>
          </w:p>
          <w:p w14:paraId="04E5A297" w14:textId="77777777" w:rsidR="00477212" w:rsidRDefault="00477212">
            <w:pPr>
              <w:shd w:val="clear" w:color="auto" w:fill="FFFFFF"/>
              <w:spacing w:line="240" w:lineRule="auto"/>
              <w:ind w:firstLine="560"/>
              <w:jc w:val="both"/>
              <w:rPr>
                <w:rFonts w:ascii="Times New Roman" w:eastAsia="Times New Roman" w:hAnsi="Times New Roman" w:cs="Times New Roman"/>
                <w:highlight w:val="white"/>
              </w:rPr>
            </w:pPr>
          </w:p>
        </w:tc>
        <w:tc>
          <w:tcPr>
            <w:tcW w:w="5925" w:type="dxa"/>
          </w:tcPr>
          <w:p w14:paraId="789B24AA"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highlight w:val="white"/>
              </w:rPr>
            </w:pPr>
            <w:r>
              <w:rPr>
                <w:rFonts w:ascii="Times New Roman" w:eastAsia="Times New Roman" w:hAnsi="Times New Roman" w:cs="Times New Roman"/>
              </w:rPr>
              <w:lastRenderedPageBreak/>
              <w:t>Am luat act</w:t>
            </w:r>
            <w:r>
              <w:rPr>
                <w:rFonts w:ascii="Times New Roman" w:eastAsia="Times New Roman" w:hAnsi="Times New Roman" w:cs="Times New Roman"/>
                <w:b/>
                <w:bCs/>
              </w:rPr>
              <w:t xml:space="preserve"> </w:t>
            </w:r>
            <w:r>
              <w:rPr>
                <w:rFonts w:ascii="Times New Roman" w:eastAsia="Times New Roman" w:hAnsi="Times New Roman" w:cs="Times New Roman"/>
              </w:rPr>
              <w:t xml:space="preserve">(argumentarea se regăsește în sinteză). </w:t>
            </w:r>
          </w:p>
        </w:tc>
      </w:tr>
    </w:tbl>
    <w:p w14:paraId="41D052CB" w14:textId="77777777" w:rsidR="00477212" w:rsidRDefault="00477212">
      <w:pPr>
        <w:spacing w:after="160" w:line="240" w:lineRule="auto"/>
        <w:rPr>
          <w:rFonts w:ascii="Times New Roman" w:eastAsia="Times New Roman" w:hAnsi="Times New Roman" w:cs="Times New Roman"/>
          <w:highlight w:val="yellow"/>
        </w:rPr>
      </w:pPr>
    </w:p>
    <w:tbl>
      <w:tblPr>
        <w:tblStyle w:val="a"/>
        <w:tblpPr w:leftFromText="180" w:rightFromText="180" w:vertAnchor="text"/>
        <w:tblW w:w="15015"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5015"/>
      </w:tblGrid>
      <w:tr w:rsidR="00D31F43" w:rsidRPr="00324466" w14:paraId="336900DD" w14:textId="77777777" w:rsidTr="002F4E38">
        <w:trPr>
          <w:trHeight w:val="600"/>
        </w:trPr>
        <w:tc>
          <w:tcPr>
            <w:tcW w:w="15015" w:type="dxa"/>
          </w:tcPr>
          <w:p w14:paraId="09747962" w14:textId="77777777" w:rsidR="00D31F43" w:rsidRDefault="00D31F43" w:rsidP="002F4E3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b/>
                <w:bCs/>
                <w:sz w:val="28"/>
                <w:szCs w:val="28"/>
                <w:highlight w:val="white"/>
                <w:lang w:val="ro-MD"/>
              </w:rPr>
            </w:pPr>
          </w:p>
          <w:p w14:paraId="54614A37" w14:textId="77777777" w:rsidR="00D31F43" w:rsidRPr="00324466" w:rsidRDefault="00D31F43" w:rsidP="002F4E3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center"/>
              <w:rPr>
                <w:rFonts w:ascii="Times New Roman" w:eastAsia="Times New Roman" w:hAnsi="Times New Roman" w:cs="Times New Roman"/>
                <w:b/>
                <w:bCs/>
                <w:sz w:val="28"/>
                <w:szCs w:val="28"/>
                <w:highlight w:val="white"/>
                <w:lang w:val="ro-MD"/>
              </w:rPr>
            </w:pPr>
            <w:r w:rsidRPr="00324466">
              <w:rPr>
                <w:rFonts w:ascii="Times New Roman" w:eastAsia="Times New Roman" w:hAnsi="Times New Roman" w:cs="Times New Roman"/>
                <w:b/>
                <w:bCs/>
                <w:sz w:val="28"/>
                <w:szCs w:val="28"/>
                <w:highlight w:val="white"/>
                <w:lang w:val="ro-MD"/>
              </w:rPr>
              <w:t>Consultări publice</w:t>
            </w:r>
          </w:p>
        </w:tc>
      </w:tr>
    </w:tbl>
    <w:p w14:paraId="142FCFEF" w14:textId="77777777" w:rsidR="00477212" w:rsidRPr="00D31F43" w:rsidRDefault="00477212">
      <w:pPr>
        <w:spacing w:line="240" w:lineRule="auto"/>
        <w:jc w:val="center"/>
        <w:rPr>
          <w:rFonts w:ascii="Times New Roman" w:eastAsia="Times New Roman" w:hAnsi="Times New Roman" w:cs="Times New Roman"/>
          <w:b/>
          <w:bCs/>
          <w:sz w:val="24"/>
          <w:szCs w:val="24"/>
          <w:lang w:val="it-IT"/>
        </w:rPr>
      </w:pPr>
    </w:p>
    <w:tbl>
      <w:tblPr>
        <w:tblStyle w:val="a0"/>
        <w:tblpPr w:leftFromText="180" w:rightFromText="180" w:vertAnchor="text"/>
        <w:tblW w:w="13887"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675"/>
        <w:gridCol w:w="1730"/>
        <w:gridCol w:w="6685"/>
        <w:gridCol w:w="4797"/>
      </w:tblGrid>
      <w:tr w:rsidR="00477212" w14:paraId="79C8B68D" w14:textId="77777777">
        <w:trPr>
          <w:trHeight w:val="621"/>
        </w:trPr>
        <w:tc>
          <w:tcPr>
            <w:tcW w:w="675" w:type="dxa"/>
          </w:tcPr>
          <w:p w14:paraId="0948B3A2" w14:textId="77777777" w:rsidR="00477212" w:rsidRDefault="00000000">
            <w:pPr>
              <w:spacing w:after="160" w:line="259" w:lineRule="auto"/>
              <w:rPr>
                <w:rFonts w:ascii="Times New Roman" w:eastAsia="Times New Roman" w:hAnsi="Times New Roman" w:cs="Times New Roman"/>
              </w:rPr>
            </w:pPr>
            <w:r>
              <w:rPr>
                <w:rFonts w:ascii="Times New Roman" w:eastAsia="Times New Roman" w:hAnsi="Times New Roman" w:cs="Times New Roman"/>
              </w:rPr>
              <w:t>Nr. d/o</w:t>
            </w:r>
          </w:p>
        </w:tc>
        <w:tc>
          <w:tcPr>
            <w:tcW w:w="1730" w:type="dxa"/>
          </w:tcPr>
          <w:p w14:paraId="451FFCFB" w14:textId="77777777" w:rsidR="00477212"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Autorul propunerilor şi obiecţiilor</w:t>
            </w:r>
          </w:p>
        </w:tc>
        <w:tc>
          <w:tcPr>
            <w:tcW w:w="6685" w:type="dxa"/>
          </w:tcPr>
          <w:p w14:paraId="77390CAF" w14:textId="77777777" w:rsidR="00477212" w:rsidRDefault="00000000">
            <w:pPr>
              <w:keepNext/>
              <w:spacing w:after="160" w:line="259" w:lineRule="auto"/>
              <w:ind w:firstLine="567"/>
              <w:jc w:val="center"/>
              <w:rPr>
                <w:rFonts w:ascii="Times New Roman" w:eastAsia="Times New Roman" w:hAnsi="Times New Roman" w:cs="Times New Roman"/>
              </w:rPr>
            </w:pPr>
            <w:r>
              <w:rPr>
                <w:rFonts w:ascii="Times New Roman" w:eastAsia="Times New Roman" w:hAnsi="Times New Roman" w:cs="Times New Roman"/>
              </w:rPr>
              <w:t>Conținutul propunerilor, obiecțiilor</w:t>
            </w:r>
          </w:p>
        </w:tc>
        <w:tc>
          <w:tcPr>
            <w:tcW w:w="4797" w:type="dxa"/>
          </w:tcPr>
          <w:p w14:paraId="62A89E2B" w14:textId="77777777" w:rsidR="00477212" w:rsidRDefault="00000000">
            <w:pPr>
              <w:spacing w:after="160" w:line="259" w:lineRule="auto"/>
              <w:ind w:firstLine="567"/>
              <w:jc w:val="center"/>
              <w:rPr>
                <w:rFonts w:ascii="Times New Roman" w:eastAsia="Times New Roman" w:hAnsi="Times New Roman" w:cs="Times New Roman"/>
              </w:rPr>
            </w:pPr>
            <w:r>
              <w:rPr>
                <w:rFonts w:ascii="Times New Roman" w:eastAsia="Times New Roman" w:hAnsi="Times New Roman" w:cs="Times New Roman"/>
              </w:rPr>
              <w:t>Argumentare</w:t>
            </w:r>
          </w:p>
        </w:tc>
      </w:tr>
      <w:tr w:rsidR="00477212" w14:paraId="54714D4A" w14:textId="77777777">
        <w:trPr>
          <w:trHeight w:val="267"/>
        </w:trPr>
        <w:tc>
          <w:tcPr>
            <w:tcW w:w="675" w:type="dxa"/>
          </w:tcPr>
          <w:p w14:paraId="241044BF" w14:textId="77777777" w:rsidR="00477212" w:rsidRDefault="00000000">
            <w:pPr>
              <w:spacing w:after="160" w:line="259" w:lineRule="auto"/>
              <w:ind w:firstLine="567"/>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1</w:t>
            </w:r>
          </w:p>
        </w:tc>
        <w:tc>
          <w:tcPr>
            <w:tcW w:w="1730" w:type="dxa"/>
          </w:tcPr>
          <w:p w14:paraId="1F2A213D" w14:textId="77777777" w:rsidR="00477212" w:rsidRDefault="00000000">
            <w:pPr>
              <w:spacing w:after="160" w:line="259" w:lineRule="auto"/>
              <w:ind w:firstLine="567"/>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6685" w:type="dxa"/>
          </w:tcPr>
          <w:p w14:paraId="2E49F070" w14:textId="77777777" w:rsidR="00477212" w:rsidRDefault="00000000">
            <w:pPr>
              <w:spacing w:after="160" w:line="259" w:lineRule="auto"/>
              <w:ind w:firstLine="567"/>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3</w:t>
            </w:r>
          </w:p>
        </w:tc>
        <w:tc>
          <w:tcPr>
            <w:tcW w:w="4797" w:type="dxa"/>
          </w:tcPr>
          <w:p w14:paraId="6599B2E8" w14:textId="77777777" w:rsidR="00477212" w:rsidRDefault="00000000">
            <w:pPr>
              <w:spacing w:after="160" w:line="259" w:lineRule="auto"/>
              <w:ind w:firstLine="567"/>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4</w:t>
            </w:r>
          </w:p>
        </w:tc>
      </w:tr>
      <w:tr w:rsidR="00477212" w14:paraId="165298E3" w14:textId="77777777">
        <w:trPr>
          <w:trHeight w:val="600"/>
        </w:trPr>
        <w:tc>
          <w:tcPr>
            <w:tcW w:w="675" w:type="dxa"/>
          </w:tcPr>
          <w:p w14:paraId="19AEF603" w14:textId="77777777" w:rsidR="00477212" w:rsidRDefault="00477212">
            <w:pPr>
              <w:numPr>
                <w:ilvl w:val="0"/>
                <w:numId w:val="1"/>
              </w:numPr>
              <w:spacing w:line="240" w:lineRule="auto"/>
              <w:ind w:firstLine="567"/>
              <w:rPr>
                <w:rFonts w:ascii="Times New Roman" w:eastAsia="Times New Roman" w:hAnsi="Times New Roman" w:cs="Times New Roman"/>
                <w:b/>
                <w:bCs/>
                <w:sz w:val="24"/>
                <w:szCs w:val="24"/>
              </w:rPr>
            </w:pPr>
          </w:p>
          <w:p w14:paraId="68209AAB" w14:textId="77777777" w:rsidR="00477212"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1730" w:type="dxa"/>
          </w:tcPr>
          <w:p w14:paraId="45DA7A32" w14:textId="77777777" w:rsidR="00477212" w:rsidRDefault="00000000">
            <w:pPr>
              <w:spacing w:line="240" w:lineRule="auto"/>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Congresul Autorităților Locale din Moldova</w:t>
            </w:r>
          </w:p>
          <w:p w14:paraId="698EB577" w14:textId="77777777" w:rsidR="00477212" w:rsidRDefault="00000000">
            <w:pPr>
              <w:spacing w:line="240" w:lineRule="auto"/>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nr.46 din 17 februarie 2026</w:t>
            </w:r>
          </w:p>
          <w:p w14:paraId="22D48640" w14:textId="77777777" w:rsidR="00477212" w:rsidRDefault="00477212">
            <w:pPr>
              <w:spacing w:line="240" w:lineRule="auto"/>
              <w:jc w:val="center"/>
              <w:rPr>
                <w:rFonts w:ascii="Times New Roman" w:eastAsia="Times New Roman" w:hAnsi="Times New Roman" w:cs="Times New Roman"/>
                <w:i/>
                <w:iCs/>
                <w:sz w:val="24"/>
                <w:szCs w:val="24"/>
                <w:highlight w:val="white"/>
              </w:rPr>
            </w:pPr>
          </w:p>
        </w:tc>
        <w:tc>
          <w:tcPr>
            <w:tcW w:w="6685" w:type="dxa"/>
          </w:tcPr>
          <w:p w14:paraId="4E2F0DEE" w14:textId="77777777" w:rsidR="00477212" w:rsidRPr="00D31F43" w:rsidRDefault="00000000">
            <w:pPr>
              <w:shd w:val="clear" w:color="auto" w:fill="FFFFFF"/>
              <w:spacing w:line="240" w:lineRule="auto"/>
              <w:jc w:val="both"/>
              <w:rPr>
                <w:rFonts w:ascii="Times New Roman" w:eastAsia="Times New Roman" w:hAnsi="Times New Roman" w:cs="Times New Roman"/>
                <w:highlight w:val="white"/>
                <w:lang w:val="it-IT"/>
              </w:rPr>
            </w:pPr>
            <w:r w:rsidRPr="00D31F43">
              <w:rPr>
                <w:rFonts w:ascii="Times New Roman" w:eastAsia="Times New Roman" w:hAnsi="Times New Roman" w:cs="Times New Roman"/>
                <w:highlight w:val="white"/>
                <w:lang w:val="it-IT"/>
              </w:rPr>
              <w:t>Congresul Autorităților Locale din Moldova susține proiectul fără obiecții și propuneri.</w:t>
            </w:r>
          </w:p>
          <w:p w14:paraId="7E3644A4" w14:textId="77777777" w:rsidR="00477212" w:rsidRPr="00D31F43" w:rsidRDefault="00000000">
            <w:pPr>
              <w:spacing w:line="240" w:lineRule="auto"/>
              <w:jc w:val="both"/>
              <w:rPr>
                <w:rFonts w:ascii="Times New Roman" w:eastAsia="Times New Roman" w:hAnsi="Times New Roman" w:cs="Times New Roman"/>
                <w:b/>
                <w:bCs/>
                <w:highlight w:val="white"/>
                <w:lang w:val="it-IT"/>
              </w:rPr>
            </w:pPr>
            <w:r w:rsidRPr="00D31F43">
              <w:rPr>
                <w:rFonts w:ascii="Times New Roman" w:eastAsia="Times New Roman" w:hAnsi="Times New Roman" w:cs="Times New Roman"/>
                <w:highlight w:val="white"/>
                <w:lang w:val="it-IT"/>
              </w:rPr>
              <w:t xml:space="preserve"> </w:t>
            </w:r>
          </w:p>
          <w:p w14:paraId="02F437FA" w14:textId="77777777" w:rsidR="00477212" w:rsidRPr="00D31F43" w:rsidRDefault="00477212">
            <w:pPr>
              <w:spacing w:line="240" w:lineRule="auto"/>
              <w:jc w:val="both"/>
              <w:rPr>
                <w:rFonts w:ascii="Times New Roman" w:eastAsia="Times New Roman" w:hAnsi="Times New Roman" w:cs="Times New Roman"/>
                <w:b/>
                <w:bCs/>
                <w:i/>
                <w:iCs/>
                <w:highlight w:val="white"/>
                <w:lang w:val="it-IT"/>
              </w:rPr>
            </w:pPr>
          </w:p>
          <w:p w14:paraId="6E14109D" w14:textId="77777777" w:rsidR="00477212" w:rsidRPr="00D31F43" w:rsidRDefault="00477212">
            <w:pPr>
              <w:tabs>
                <w:tab w:val="left" w:pos="1134"/>
              </w:tabs>
              <w:spacing w:line="240" w:lineRule="auto"/>
              <w:jc w:val="both"/>
              <w:rPr>
                <w:rFonts w:ascii="Times New Roman" w:eastAsia="Times New Roman" w:hAnsi="Times New Roman" w:cs="Times New Roman"/>
                <w:highlight w:val="white"/>
                <w:lang w:val="it-IT"/>
              </w:rPr>
            </w:pPr>
          </w:p>
          <w:p w14:paraId="12CE49FB" w14:textId="77777777" w:rsidR="00477212" w:rsidRPr="00D31F43" w:rsidRDefault="00477212">
            <w:pPr>
              <w:spacing w:line="240" w:lineRule="auto"/>
              <w:jc w:val="both"/>
              <w:rPr>
                <w:rFonts w:ascii="Times New Roman" w:eastAsia="Times New Roman" w:hAnsi="Times New Roman" w:cs="Times New Roman"/>
                <w:b/>
                <w:bCs/>
                <w:i/>
                <w:iCs/>
                <w:highlight w:val="white"/>
                <w:lang w:val="it-IT"/>
              </w:rPr>
            </w:pPr>
          </w:p>
          <w:p w14:paraId="0EF8DECE" w14:textId="77777777" w:rsidR="00477212" w:rsidRPr="00D31F43" w:rsidRDefault="00477212">
            <w:pPr>
              <w:spacing w:line="240" w:lineRule="auto"/>
              <w:jc w:val="both"/>
              <w:rPr>
                <w:rFonts w:ascii="Times New Roman" w:eastAsia="Times New Roman" w:hAnsi="Times New Roman" w:cs="Times New Roman"/>
                <w:sz w:val="24"/>
                <w:szCs w:val="24"/>
                <w:highlight w:val="white"/>
                <w:lang w:val="it-IT"/>
              </w:rPr>
            </w:pPr>
          </w:p>
        </w:tc>
        <w:tc>
          <w:tcPr>
            <w:tcW w:w="4797" w:type="dxa"/>
          </w:tcPr>
          <w:p w14:paraId="7C883649" w14:textId="77777777" w:rsidR="00477212"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highlight w:val="white"/>
              </w:rPr>
              <w:t>Am luat act</w:t>
            </w:r>
          </w:p>
          <w:p w14:paraId="10978A3B"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sz w:val="24"/>
                <w:szCs w:val="24"/>
                <w:highlight w:val="white"/>
              </w:rPr>
            </w:pPr>
          </w:p>
          <w:p w14:paraId="209EA8B7"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b/>
                <w:bCs/>
                <w:sz w:val="24"/>
                <w:szCs w:val="24"/>
                <w:highlight w:val="white"/>
              </w:rPr>
            </w:pPr>
          </w:p>
          <w:p w14:paraId="07822AF1"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lang w:val="ro-MD"/>
              </w:rPr>
            </w:pPr>
          </w:p>
          <w:p w14:paraId="10D8396B" w14:textId="77777777" w:rsidR="0047019A" w:rsidRPr="0047019A" w:rsidRDefault="0047019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lang w:val="ro-MD"/>
              </w:rPr>
            </w:pPr>
          </w:p>
          <w:p w14:paraId="0CFABD89"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lang w:val="ro-MD"/>
              </w:rPr>
            </w:pPr>
          </w:p>
          <w:p w14:paraId="5986743A" w14:textId="77777777" w:rsidR="0047019A" w:rsidRPr="0047019A" w:rsidRDefault="0047019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lang w:val="ro-MD"/>
              </w:rPr>
            </w:pPr>
          </w:p>
          <w:p w14:paraId="0A45E167"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rPr>
            </w:pPr>
          </w:p>
          <w:p w14:paraId="35E4DB79"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rPr>
            </w:pPr>
          </w:p>
          <w:p w14:paraId="27C48D7F"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sz w:val="24"/>
                <w:szCs w:val="24"/>
                <w:highlight w:val="white"/>
              </w:rPr>
            </w:pPr>
          </w:p>
          <w:p w14:paraId="3A750120"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highlight w:val="white"/>
              </w:rPr>
            </w:pPr>
          </w:p>
          <w:p w14:paraId="35B9071C" w14:textId="77777777" w:rsidR="00477212"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firstLine="567"/>
              <w:jc w:val="both"/>
              <w:rPr>
                <w:rFonts w:ascii="Times New Roman" w:eastAsia="Times New Roman" w:hAnsi="Times New Roman" w:cs="Times New Roman"/>
                <w:highlight w:val="white"/>
              </w:rPr>
            </w:pPr>
          </w:p>
        </w:tc>
      </w:tr>
      <w:tr w:rsidR="00477212" w:rsidRPr="00AE06E3" w14:paraId="46B5BC3C" w14:textId="77777777">
        <w:trPr>
          <w:trHeight w:val="600"/>
        </w:trPr>
        <w:tc>
          <w:tcPr>
            <w:tcW w:w="675" w:type="dxa"/>
          </w:tcPr>
          <w:p w14:paraId="79BFFC86" w14:textId="77777777" w:rsidR="00477212" w:rsidRDefault="00000000">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30" w:type="dxa"/>
          </w:tcPr>
          <w:p w14:paraId="5547AC7F" w14:textId="0CC43970" w:rsidR="00477212" w:rsidRPr="00D31F43" w:rsidRDefault="00000000">
            <w:pPr>
              <w:spacing w:line="240" w:lineRule="auto"/>
              <w:jc w:val="center"/>
              <w:rPr>
                <w:rFonts w:ascii="Times New Roman" w:eastAsia="Times New Roman" w:hAnsi="Times New Roman" w:cs="Times New Roman"/>
                <w:b/>
                <w:bCs/>
                <w:sz w:val="23"/>
                <w:szCs w:val="23"/>
                <w:highlight w:val="white"/>
                <w:lang w:val="it-IT"/>
              </w:rPr>
            </w:pPr>
            <w:r w:rsidRPr="00D31F43">
              <w:rPr>
                <w:rFonts w:ascii="Times New Roman" w:eastAsia="Times New Roman" w:hAnsi="Times New Roman" w:cs="Times New Roman"/>
                <w:b/>
                <w:bCs/>
                <w:sz w:val="23"/>
                <w:szCs w:val="23"/>
                <w:highlight w:val="white"/>
                <w:lang w:val="it-IT"/>
              </w:rPr>
              <w:t>Ce</w:t>
            </w:r>
            <w:r w:rsidR="00D31F43">
              <w:rPr>
                <w:rFonts w:ascii="Times New Roman" w:eastAsia="Times New Roman" w:hAnsi="Times New Roman" w:cs="Times New Roman"/>
                <w:b/>
                <w:bCs/>
                <w:sz w:val="23"/>
                <w:szCs w:val="23"/>
                <w:highlight w:val="white"/>
                <w:lang w:val="it-IT"/>
              </w:rPr>
              <w:t>n</w:t>
            </w:r>
            <w:r w:rsidRPr="00D31F43">
              <w:rPr>
                <w:rFonts w:ascii="Times New Roman" w:eastAsia="Times New Roman" w:hAnsi="Times New Roman" w:cs="Times New Roman"/>
                <w:b/>
                <w:bCs/>
                <w:sz w:val="23"/>
                <w:szCs w:val="23"/>
                <w:highlight w:val="white"/>
                <w:lang w:val="it-IT"/>
              </w:rPr>
              <w:t>trul Internațional “La Strada”</w:t>
            </w:r>
          </w:p>
          <w:p w14:paraId="39B15BE1" w14:textId="77777777" w:rsidR="00477212" w:rsidRPr="00D31F43" w:rsidRDefault="00000000">
            <w:pPr>
              <w:spacing w:line="240" w:lineRule="auto"/>
              <w:jc w:val="center"/>
              <w:rPr>
                <w:rFonts w:ascii="Times New Roman" w:eastAsia="Times New Roman" w:hAnsi="Times New Roman" w:cs="Times New Roman"/>
                <w:i/>
                <w:iCs/>
                <w:highlight w:val="white"/>
                <w:lang w:val="it-IT"/>
              </w:rPr>
            </w:pPr>
            <w:r w:rsidRPr="00D31F43">
              <w:rPr>
                <w:rFonts w:ascii="Times New Roman" w:eastAsia="Times New Roman" w:hAnsi="Times New Roman" w:cs="Times New Roman"/>
                <w:i/>
                <w:iCs/>
                <w:highlight w:val="white"/>
                <w:lang w:val="it-IT"/>
              </w:rPr>
              <w:t>nr. 65</w:t>
            </w:r>
          </w:p>
          <w:p w14:paraId="641E951D" w14:textId="77777777" w:rsidR="00477212" w:rsidRDefault="00000000">
            <w:pPr>
              <w:spacing w:line="240" w:lineRule="auto"/>
              <w:jc w:val="center"/>
              <w:rPr>
                <w:rFonts w:ascii="Roboto" w:eastAsia="Roboto" w:hAnsi="Roboto" w:cs="Roboto"/>
                <w:b/>
                <w:bCs/>
                <w:sz w:val="23"/>
                <w:szCs w:val="23"/>
                <w:highlight w:val="white"/>
              </w:rPr>
            </w:pPr>
            <w:r>
              <w:rPr>
                <w:rFonts w:ascii="Times New Roman" w:eastAsia="Times New Roman" w:hAnsi="Times New Roman" w:cs="Times New Roman"/>
                <w:i/>
                <w:iCs/>
                <w:highlight w:val="white"/>
              </w:rPr>
              <w:t xml:space="preserve">din 17.06.2025 </w:t>
            </w:r>
          </w:p>
        </w:tc>
        <w:tc>
          <w:tcPr>
            <w:tcW w:w="6685" w:type="dxa"/>
          </w:tcPr>
          <w:p w14:paraId="044B533A" w14:textId="77777777" w:rsidR="00477212" w:rsidRDefault="00000000">
            <w:pPr>
              <w:spacing w:before="240" w:line="240" w:lineRule="auto"/>
              <w:jc w:val="both"/>
              <w:rPr>
                <w:rFonts w:ascii="Times New Roman" w:eastAsia="Times New Roman" w:hAnsi="Times New Roman" w:cs="Times New Roman"/>
              </w:rPr>
            </w:pPr>
            <w:r>
              <w:rPr>
                <w:rFonts w:ascii="Times New Roman" w:eastAsia="Times New Roman" w:hAnsi="Times New Roman" w:cs="Times New Roman"/>
              </w:rPr>
              <w:t>1. Completarea pct. 5, cu următoarele definiții:</w:t>
            </w:r>
          </w:p>
          <w:p w14:paraId="58C49BCE" w14:textId="77777777" w:rsidR="00477212" w:rsidRDefault="00000000">
            <w:pPr>
              <w:spacing w:before="240" w:line="240" w:lineRule="auto"/>
              <w:jc w:val="both"/>
              <w:rPr>
                <w:rFonts w:ascii="Times New Roman" w:eastAsia="Times New Roman" w:hAnsi="Times New Roman" w:cs="Times New Roman"/>
              </w:rPr>
            </w:pPr>
            <w:r>
              <w:rPr>
                <w:rFonts w:ascii="Times New Roman" w:eastAsia="Times New Roman" w:hAnsi="Times New Roman" w:cs="Times New Roman"/>
              </w:rPr>
              <w:t xml:space="preserve">violenţă în muncă – orice comportament, acţiune, faptă, omisiune sau ameninţare, săvârşită, o singură dată sau în mod repetat, în cadrul raporturilor de muncă, precum şi în cadrul altor raporturi legate nemijlocit de acestea, care are ca scop şi/sau efect vătămarea integrităţii fizice, psihice, sexuale sau economice a unei persoane. Violenţa în muncă </w:t>
            </w:r>
            <w:r>
              <w:rPr>
                <w:rFonts w:ascii="Times New Roman" w:eastAsia="Times New Roman" w:hAnsi="Times New Roman" w:cs="Times New Roman"/>
              </w:rPr>
              <w:lastRenderedPageBreak/>
              <w:t>include, în mod expres, agresiunea fizică, intimidarea, constrângerea, abuzul verbal sau psihologic, violenţa sexuală, violenţa digitală, precum şi orice altă formă de comportament care lezează demnitatea, sănătatea sau securitatea persoanei, indiferent dacă este exercitată de către conducerea autorității publice, salariat ori terţi;</w:t>
            </w:r>
          </w:p>
          <w:p w14:paraId="099A0F79" w14:textId="77777777" w:rsidR="00477212" w:rsidRDefault="00000000">
            <w:pPr>
              <w:spacing w:before="240" w:line="240" w:lineRule="auto"/>
              <w:jc w:val="both"/>
              <w:rPr>
                <w:rFonts w:ascii="Times New Roman" w:eastAsia="Times New Roman" w:hAnsi="Times New Roman" w:cs="Times New Roman"/>
              </w:rPr>
            </w:pPr>
            <w:r>
              <w:rPr>
                <w:rFonts w:ascii="Times New Roman" w:eastAsia="Times New Roman" w:hAnsi="Times New Roman" w:cs="Times New Roman"/>
              </w:rPr>
              <w:t>hărţuire în muncă - orice comportament nedorit, exprimat prin acţiuni, cuvinte, gesturi sau alte forme de manifestare, săvârşit în cadrul raporturilor de muncă, precum şi în cadrul altor raporturi legate nemijlocit de acestea, în mod izolat sau repetat, şi care are ca scop şi/sau efect lezarea demnităţii unei persoane şi crearea unui mediu de muncă ostil, intimidant, degradant, umilitor ori ofensator. Hărţuirea în muncă poate avea la bază orice criteriu protejat prin lege, real sau presupus, şi poate fi exercitată de către conducerea autorității publice, salariat ori terţi cu care persoana intră în contact în exercitarea atribuţiilor de muncă;</w:t>
            </w:r>
          </w:p>
          <w:p w14:paraId="76503C11" w14:textId="77777777" w:rsidR="00477212" w:rsidRDefault="00000000">
            <w:pPr>
              <w:spacing w:before="240" w:line="240" w:lineRule="auto"/>
              <w:jc w:val="both"/>
              <w:rPr>
                <w:rFonts w:ascii="Times New Roman" w:eastAsia="Times New Roman" w:hAnsi="Times New Roman" w:cs="Times New Roman"/>
              </w:rPr>
            </w:pPr>
            <w:r>
              <w:rPr>
                <w:rFonts w:ascii="Times New Roman" w:eastAsia="Times New Roman" w:hAnsi="Times New Roman" w:cs="Times New Roman"/>
              </w:rPr>
              <w:t>hărţuire sexuală – manifestare a unui comportament fizic, verbal, nonverbal sau a altor acţiuni de natură sexuală care conduc la crearea unui mediu intimidant, ostil, degradant, umilitor sau ofensator, având drept scop sau efect lezarea demnităţii unei persoane;</w:t>
            </w:r>
          </w:p>
          <w:p w14:paraId="7F1D5155" w14:textId="77777777" w:rsidR="00477212" w:rsidRDefault="00000000">
            <w:pPr>
              <w:spacing w:before="240" w:line="240" w:lineRule="auto"/>
              <w:jc w:val="both"/>
              <w:rPr>
                <w:rFonts w:ascii="Times New Roman" w:eastAsia="Times New Roman" w:hAnsi="Times New Roman" w:cs="Times New Roman"/>
              </w:rPr>
            </w:pPr>
            <w:r>
              <w:rPr>
                <w:rFonts w:ascii="Times New Roman" w:eastAsia="Times New Roman" w:hAnsi="Times New Roman" w:cs="Times New Roman"/>
              </w:rPr>
              <w:t>Considerăm că includerea acestor definiții în textul Regulamentului va oferi o mai bună claritate autorităților privind obiectul de reglementare a acestuia.</w:t>
            </w:r>
          </w:p>
          <w:p w14:paraId="22C61F25" w14:textId="77777777" w:rsidR="00477212" w:rsidRDefault="00000000">
            <w:pPr>
              <w:numPr>
                <w:ilvl w:val="0"/>
                <w:numId w:val="1"/>
              </w:numPr>
              <w:spacing w:before="240" w:line="240" w:lineRule="auto"/>
              <w:ind w:left="0" w:firstLine="0"/>
              <w:jc w:val="both"/>
              <w:rPr>
                <w:rFonts w:ascii="Times New Roman" w:eastAsia="Times New Roman" w:hAnsi="Times New Roman" w:cs="Times New Roman"/>
              </w:rPr>
            </w:pPr>
            <w:r>
              <w:rPr>
                <w:rFonts w:ascii="Times New Roman" w:eastAsia="Times New Roman" w:hAnsi="Times New Roman" w:cs="Times New Roman"/>
              </w:rPr>
              <w:t>Autoritățile publice elaborează și aprobă, prin act administrativ al conducătorului, politica internă privind prevenirea și combaterea violenței și hărțuirii în muncă, adaptată capacității, naturii activității și structurii lor organizatorice, având la bază modelul orientativ prevăzut în Anexa nr. 4 la Regulament. Politica internă urmează să includă proceduri clare și detaliate privind raportarea, examinarea și soluționarea cazurilor de violență și hărțuire în muncă.</w:t>
            </w:r>
          </w:p>
          <w:p w14:paraId="25A58C42" w14:textId="77777777" w:rsidR="00477212" w:rsidRDefault="00000000">
            <w:pPr>
              <w:spacing w:before="240" w:line="240" w:lineRule="auto"/>
              <w:jc w:val="both"/>
              <w:rPr>
                <w:rFonts w:ascii="Times New Roman" w:eastAsia="Times New Roman" w:hAnsi="Times New Roman" w:cs="Times New Roman"/>
              </w:rPr>
            </w:pPr>
            <w:r>
              <w:rPr>
                <w:rFonts w:ascii="Times New Roman" w:eastAsia="Times New Roman" w:hAnsi="Times New Roman" w:cs="Times New Roman"/>
              </w:rPr>
              <w:t xml:space="preserve">Considerăm necesară specificarea obligativității autorităților publice de a adapta politica internă prevăzută în Anexa nr. 4, prin includerea unor </w:t>
            </w:r>
            <w:r>
              <w:rPr>
                <w:rFonts w:ascii="Times New Roman" w:eastAsia="Times New Roman" w:hAnsi="Times New Roman" w:cs="Times New Roman"/>
              </w:rPr>
              <w:lastRenderedPageBreak/>
              <w:t>prevederi care să reflecte specificul activității și al structurii organizatorice ale fiecărei instituții. O asemenea precizare ar contribui la evitarea situațiilor în care documentul de politică internă este aprobat în mod formal, fără detalierea unor elemente esențiale care să asigure funcționalitatea mecanismului de prevenire, raportare și examinare a cazurilor de violență și hărțuire în muncă.</w:t>
            </w:r>
          </w:p>
          <w:p w14:paraId="5B029432"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3. Propunem revizuirea textului de la pct. 20, după cum urmează:</w:t>
            </w:r>
          </w:p>
          <w:p w14:paraId="0CFC224D"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20. Pentru examinarea sesizărilor referitoare la fapte susceptibile de a constitui violență sau hărțuire în muncă, conducătorul autorității publice, prin ordin, desemnează o persoană responsabilă sau constituie o comisie de investigare.</w:t>
            </w:r>
          </w:p>
          <w:p w14:paraId="3FBC992C"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Ținând cont de caracterul specific al sesizărilor ce pot viza cazuri de violență sau hărțuire în muncă, considerăm că autoritatea publică ar trebui să dispună de o anumită flexibilitate în organizarea mecanismului de investigare. Astfel, aceasta ar putea decide, în funcție de specificul activității instituției, fie constituirea unei comisii de investigare pentru fiecare caz în parte, fie desemnarea unei comisii cu caracter permanent, pentru o anumită perioadă (de exemplu, un an), cu o componență stabilă. O asemenea abordare ar fi relevantă în contextul în care membrii Comisiei de investigare trebuie să dețină cunoștințe și competențe specifice în domeniul prevenirii și combaterii violenței și hărțuirii în muncă. În acest sens, recomandăm ca regulamentul să prevadă obligația autorității publice de a constitui o comisie de investigare, fără a stabili în mod expres dacă aceasta trebuie instituită pentru fiecare caz sau dacă poate avea un caracter permanent.</w:t>
            </w:r>
          </w:p>
          <w:p w14:paraId="414D057A"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 xml:space="preserve">4. La pct. 23, propunem completarea textului specificat la pct. 23.4 cu următorul text: ,,consemnată în Declarația de confidențialitate semnată de persoana desemnată ori fiecare membru al Comisiei de Investigare (conform Anexei 5). Aspectele ce țin de păstrarea confidențialității informațiilor la care membrii Comisiei de investigare au acces în legătură cu sesizările examinate reprezintă un element esențial pentru funcționarea </w:t>
            </w:r>
            <w:r w:rsidRPr="00D31F43">
              <w:rPr>
                <w:rFonts w:ascii="Times New Roman" w:eastAsia="Times New Roman" w:hAnsi="Times New Roman" w:cs="Times New Roman"/>
                <w:lang w:val="pt-BR"/>
              </w:rPr>
              <w:lastRenderedPageBreak/>
              <w:t>eficientă a mecanismului de examinare și soluționare a cazurilor de violență și/sau hărțuire în cadrul unei autorități publice.</w:t>
            </w:r>
          </w:p>
          <w:p w14:paraId="42D7E0A7"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În lipsa unor garanții clare privind respectarea confidențialității, încrederea persoanelor vizate în mecanismul de raportare poate fi diminuată, ceea ce reduce probabilitatea semnalării acestor cazuri. Un instrument similar a fost propus de Consiliul Rectorilor din Republica Moldova în contextul elaborării Regulamentului-cadru cu privire la prevenirea, raportarea și intervenția în cazurile de hărțuire sexuală în instituțiile de învățământ superior, aprobat prin Ordinul MEC nr. 350 din 27.02.2026. Considerăm că utilizarea unui asemenea instrument este relevantă și în cazul autorităților publice, urmând a fi semnat de persoana desemnată sau de membrii Comisiei de investigare.</w:t>
            </w:r>
          </w:p>
          <w:p w14:paraId="6ED23D82" w14:textId="77777777" w:rsidR="00477212" w:rsidRPr="00D31F43" w:rsidRDefault="00000000">
            <w:pPr>
              <w:spacing w:before="240" w:line="240" w:lineRule="auto"/>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5. Propunem completarea proiectului Hotărârii Guvernului cu o nouă anexă (Anexa nr. 5), care să conțină modelul Declarației de confidențialitate, în vederea facilitării implementării prevederilor pct. 23.4 în redacția propusă.</w:t>
            </w:r>
          </w:p>
          <w:p w14:paraId="128E9213"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6. Propunem completarea Anexei nr. 4 cu următoarele prevederi:</w:t>
            </w:r>
          </w:p>
          <w:p w14:paraId="0286A17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,,Capitolul III. Măsuri de prevenire” urmează a fi completat cu pct. 5.9, cu următorul conținut:</w:t>
            </w:r>
          </w:p>
          <w:p w14:paraId="01ED45C6"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Autoritatea publică va include în toate contractele individuale de muncă o clauză privind prevenirea și combaterea violenței și hărțuirii în muncă, cu următorul conținut:</w:t>
            </w:r>
          </w:p>
          <w:p w14:paraId="069A73DC"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„Salariatul are obligația de a respecta prevederile Politicii Interne privind prevenirea și combaterea violenței și hărțuirii în muncă. Încălcarea acestor prevederi poate atrage răspunderea disciplinară, administrativă sau de altă natură, în conformitate cu legislația în vigoare.”</w:t>
            </w:r>
          </w:p>
          <w:p w14:paraId="6E5B688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Considerăm că reglementarea acestei măsuri este necesară pentru a asigura informarea și responsabilizarea tuturor angajaților autorităților </w:t>
            </w:r>
            <w:r w:rsidRPr="00D31F43">
              <w:rPr>
                <w:rFonts w:ascii="Times New Roman" w:eastAsia="Times New Roman" w:hAnsi="Times New Roman" w:cs="Times New Roman"/>
                <w:lang w:val="it-IT"/>
              </w:rPr>
              <w:lastRenderedPageBreak/>
              <w:t>publice cu privire la obligația de a respecta principiul toleranței zero față de orice forme de violență și hărțuire la locul de muncă.</w:t>
            </w:r>
          </w:p>
          <w:p w14:paraId="43C4E7CE"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7. La ,,Capitolul VI. Responsabilități instituționale”, pct. 23. urmează a fi completat cu următoarele subpuncte:</w:t>
            </w:r>
          </w:p>
          <w:p w14:paraId="73FDACD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23.6. Dispune, prin ordin, instituirea, modificarea sau actualizarea procedurii interne de raportare și investigare a cazurilor de violență și/sau hărțuire la locul de muncă;</w:t>
            </w:r>
          </w:p>
          <w:p w14:paraId="65DBA5BD"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23.7. Asigură resursele necesare pentru implementarea măsurilor de prevenire și combatere a violenței și hărțuirii în muncă, inclusiv pentru activități de informare, instruire și consiliere a personalului;</w:t>
            </w:r>
          </w:p>
          <w:p w14:paraId="36723F5E"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23.8. Dispune măsuri de protecție provizorie, în cazurile prevăzute de lege și de prezenta Politică, pentru protejarea victimelor, martorilor sau altor persoane implicate, atunci când există un risc iminent de vătămare, intimidare sau presiune;</w:t>
            </w:r>
          </w:p>
          <w:p w14:paraId="57F5CEB7"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23.9. Aplică sau dispune inițierea procedurilor disciplinare, în condițiile legii, în baza concluziilor procedurilor de examinare a cazurilor de violență și/sau hărțuire în muncă;</w:t>
            </w:r>
          </w:p>
          <w:p w14:paraId="0C082CF5"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23.10. Asigură protecția persoanelor care raportează cazuri de hărțuire, precum și a victimelor și martorilor, împotriva oricărei forme de vătămare, intimidare sau presiune.</w:t>
            </w:r>
          </w:p>
          <w:p w14:paraId="30B16AC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8. Punctul 24 urmează a fi completat cu următoarele subpuncte:</w:t>
            </w:r>
          </w:p>
          <w:p w14:paraId="215926FC"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24.5. Asigură informarea și consilierea personalului autorității publice cu privire la drepturile, obligațiile și procedurile interne aplicabile în domeniul prevenirii și combaterii violenței și hărțuirii în muncă;</w:t>
            </w:r>
          </w:p>
          <w:p w14:paraId="74396637"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24.6. Coordonează activitățile de instruire și conștientizare a personalului privind prevenirea violenței și hărțuirii în muncă, inclusiv prin integrarea acestora în programele de instruire inițială și continuă;</w:t>
            </w:r>
          </w:p>
          <w:p w14:paraId="59132F8F"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24.7. Monitorizează respectarea măsurilor de protecție dispuse în favoarea victimelor, martorilor sau altor persoane implicate în procedură, în limita competențelor sale;</w:t>
            </w:r>
          </w:p>
          <w:p w14:paraId="50146A3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24.8. Asigură cooperarea cu autoritățile competente, la solicitarea conducerii autorității publice, inclusiv cu Inspectoratul de Stat al Muncii, Consiliul pentru egalitate sau alte instituții abilitate;</w:t>
            </w:r>
          </w:p>
          <w:p w14:paraId="3A3BEE6A"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24.9. Asigură raportarea internă periodică către conducerea autorității publice privind implementarea prezentei politici, respectând confidențialitatea datelorpersonale;</w:t>
            </w:r>
          </w:p>
          <w:p w14:paraId="28362CF4"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24.10. Îndeplinește alte atribuții stabilite de conducerea autorității publice, necesare pentru implementarea eficientă a prezentei politici.</w:t>
            </w:r>
          </w:p>
          <w:p w14:paraId="41675B51"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9. Punctul 25 urmează a fi completat cu următoarele subpuncte:</w:t>
            </w:r>
          </w:p>
          <w:p w14:paraId="352701A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25.5. Examinează sesizările privind cazurile de violență și/sau hărțuire în muncă,transmise în conformitate cu procedura prevăzută de prezenta politică;</w:t>
            </w:r>
          </w:p>
          <w:p w14:paraId="347630BE"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25.6. Desfășoară investigarea cazurilor de violență și/sau hărțuire în mod imparțial, obiectiv și confidențial, cu respectarea dreptului la apărare al tuturor părților implicate;</w:t>
            </w:r>
          </w:p>
          <w:p w14:paraId="3538A5CB"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25.7. Colectează, analizează și apreciază probele relevante pentru soluționarea cazurilor, inclusiv explicații scrise, declarații ale părților și ale martorilor, documente sau alte mijloace de probă permise de lege;</w:t>
            </w:r>
          </w:p>
          <w:p w14:paraId="593D1C22"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25.8. Asigură audierea părților implicate, oferindu-le posibilitatea de a-și prezenta poziția, de a formula explicații și de a propune probe, în condițiile prezentei politici;</w:t>
            </w:r>
          </w:p>
          <w:p w14:paraId="186D37D2"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23.11. Propune conducerii autorității publice măsuri provizorii de protecție, atunci când există riscul de vătămare, intimidare sau presiune;</w:t>
            </w:r>
          </w:p>
          <w:p w14:paraId="3103233F"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25.9. Elaborează raportul de constatare, care include constatări de fapt, analiza circumstanțelor cazului, concluzii și recomandări privind măsurile ce urmează a fi dispuse;</w:t>
            </w:r>
          </w:p>
          <w:p w14:paraId="606BE4F4"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25.10. Înaintează conducerii autorității publice propuneri motivate privind dispunerea măsurilor disciplinare, administrative sau de altă natură, în conformitate cu legislația în vigoare;</w:t>
            </w:r>
          </w:p>
          <w:p w14:paraId="263B3FE8"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25.11. Formulează recomandări pentru prevenirea repetării faptelor de violență și/sau hărțuire, inclusiv propuneri de îmbunătățire a mediului de muncă sau a procedurilor interne;</w:t>
            </w:r>
          </w:p>
          <w:p w14:paraId="4A0F63E6"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10. Capitolul VI urmează a fi completat cu punctul 251 cu următorul conținut:</w:t>
            </w:r>
          </w:p>
          <w:p w14:paraId="4B78465F"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 Funcționarii publici de conducere și funcționarii publici de conducere de nivel superior din cadrul autorității publice au următoarele atribuții:</w:t>
            </w:r>
          </w:p>
          <w:p w14:paraId="60307FDA"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2511. Asigură un climat de muncă sigur, respectuos și lipsit de violență și/sau hărțuire în cadrul direcțiilor pe care le conduc;</w:t>
            </w:r>
          </w:p>
          <w:p w14:paraId="3FA5CA21"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 2. Informează și sensibilizează personalul din subordine cu privire la prevederile prezentei politici și mecanismele interne de raportare a cazurilor de hărțuire;</w:t>
            </w:r>
          </w:p>
          <w:p w14:paraId="5648181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 3. Informează și sensibilizează personalul din subordine cu privire la prevederile prezentei politici și mecanismele interne de raportare a cazurilor de hărțuire;</w:t>
            </w:r>
          </w:p>
          <w:p w14:paraId="26D15532"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 4. Monitorizează respectarea normelor de conduită profesională și intervin prompt în situațiile în care identifică comportamente care pot constitui violență sau hărțuire la locul de muncă;</w:t>
            </w:r>
          </w:p>
          <w:p w14:paraId="47BE180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251 5. Iau măsuri imediate de prevenire și reducere a riscurilor, inclusiv prin informarea entității desemnate sau a conducerii autorității publice, atunci când există suspiciuni privind fapte de violență și/sau hărțuire;</w:t>
            </w:r>
          </w:p>
          <w:p w14:paraId="62ACE5F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251 6. Contribuie la implementarea măsurilor de prevenire a violenței și hărțuirii la locul de muncă, inclusiv prin propuneri de îmbunătățire a mediului organizațional;</w:t>
            </w:r>
          </w:p>
          <w:p w14:paraId="1DFE0BC5"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11. Capitolul VI urmează a fi completat cu subpunctul 252 cu următorul conținut:</w:t>
            </w:r>
          </w:p>
          <w:p w14:paraId="36164767"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252 Personalul autorității publice are următoarele responsabilități:</w:t>
            </w:r>
          </w:p>
          <w:p w14:paraId="0FBE152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252 1. Respectă prevederile prezentei politici, normele de conduită profesională și principiul toleranței zero față de orice formă de violență și/sau hărțuire în muncă;</w:t>
            </w:r>
          </w:p>
          <w:p w14:paraId="0A3E781A"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252 2. Se abține de la orice comportament care poate constitui violență sau hărțuire la locul de muncă, indiferent de forma, frecvența sau intensitatea acestuia;</w:t>
            </w:r>
          </w:p>
          <w:p w14:paraId="19922563"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252 3. Contribuie la menținerea unui climat de muncă respectuos și sigur, bazat pe demnitate, egalitate și respect reciproc;</w:t>
            </w:r>
          </w:p>
          <w:p w14:paraId="16B0F353"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252 4. Se informează și participă, după caz, la activitățile de instruire și conștientizare organizate de autoritatea publică în domeniul prevenirii violenței și hărțuirii în muncă;</w:t>
            </w:r>
          </w:p>
          <w:p w14:paraId="1D737F03" w14:textId="77777777" w:rsidR="00477212" w:rsidRPr="0047019A" w:rsidRDefault="00000000">
            <w:pPr>
              <w:spacing w:before="240" w:line="240" w:lineRule="auto"/>
              <w:jc w:val="both"/>
              <w:rPr>
                <w:rFonts w:ascii="Times New Roman" w:eastAsia="Times New Roman" w:hAnsi="Times New Roman" w:cs="Times New Roman"/>
                <w:lang w:val="it-IT"/>
              </w:rPr>
            </w:pPr>
            <w:r w:rsidRPr="0047019A">
              <w:rPr>
                <w:rFonts w:ascii="Times New Roman" w:eastAsia="Times New Roman" w:hAnsi="Times New Roman" w:cs="Times New Roman"/>
                <w:lang w:val="it-IT"/>
              </w:rPr>
              <w:t>252 5. Îndeplinește orice alte obligații prevăzute de legislația în vigoare, contractele aplicabile sau de prezenta politică.</w:t>
            </w:r>
          </w:p>
          <w:p w14:paraId="72DC50FB"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12. Capitolul VI urmează a fi completat cu subpunctul 253 cu următorul conținut:</w:t>
            </w:r>
          </w:p>
          <w:p w14:paraId="091BA48C"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253 Partenerii contractuali ai autorității publice au următoarele atribuții:</w:t>
            </w:r>
          </w:p>
          <w:p w14:paraId="04844FFA"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lastRenderedPageBreak/>
              <w:t>253 1. Respectă principiile din prezenta politică în interacțiunile profesionale cu personalul autorității publice, precum și în cadrul activităților, proiectelor sau programelor implementate în parteneriat cu acesta;</w:t>
            </w:r>
          </w:p>
          <w:p w14:paraId="62FCD76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253 2. Se abțin de la orice comportament care poate constitui violență sau hărțuire, inclusiv hărțuire verbală, psihologică, sexuală sau comportamente abuzive manifestate în cadrul relațiilor profesionale cu personalul autorității publice;</w:t>
            </w:r>
          </w:p>
          <w:p w14:paraId="18DF6880"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253 3. Au dreptul de a raporta fapte de violență sau hărțuire săvârșite la locul de muncă în cadrul autorității publice, în condițiile prezentei politici sau ale actelor contractuale aplicabile;</w:t>
            </w:r>
          </w:p>
          <w:p w14:paraId="4DB8BC2F"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253 4. Iau la cunoștință și acceptă aplicarea prezentei politici, în măsura în care acesta este integrat prin clauze contractuale, condiții de finanțare sau alte instrumente juridice aplicabile;</w:t>
            </w:r>
          </w:p>
          <w:p w14:paraId="43182E11" w14:textId="77777777" w:rsidR="00477212" w:rsidRPr="00AE06E3" w:rsidRDefault="00000000">
            <w:pPr>
              <w:spacing w:before="240" w:line="240" w:lineRule="auto"/>
              <w:jc w:val="both"/>
              <w:rPr>
                <w:rFonts w:ascii="Times New Roman" w:eastAsia="Times New Roman" w:hAnsi="Times New Roman" w:cs="Times New Roman"/>
                <w:lang w:val="it-IT"/>
              </w:rPr>
            </w:pPr>
            <w:r w:rsidRPr="00AE06E3">
              <w:rPr>
                <w:rFonts w:ascii="Times New Roman" w:eastAsia="Times New Roman" w:hAnsi="Times New Roman" w:cs="Times New Roman"/>
                <w:lang w:val="it-IT"/>
              </w:rPr>
              <w:t>253 5. Îndeplinesc orice alte obligații prevăzute de legislația în vigoare, actele contractuale sau de prezenta politică.</w:t>
            </w:r>
          </w:p>
          <w:p w14:paraId="11AC1799"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Considerăm că stabilirea mai clară și mai detaliată a responsabilităților instituționale ar reduce riscul aprobării politicii interne în forma generală prevăzută în Anexa nr. 4. În forma actuală, aceasta are un caracter orientativ și nu stabilește un mecanism suficient de clar de implementare și responsabilități instituționale concrete, necesare pentru aplicarea eficientă a politicii.</w:t>
            </w:r>
          </w:p>
          <w:p w14:paraId="1211FEC2" w14:textId="77777777" w:rsidR="00477212" w:rsidRPr="00D31F43" w:rsidRDefault="00000000">
            <w:pPr>
              <w:spacing w:before="240" w:line="240" w:lineRule="auto"/>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13. Totodată, considerăm necesară reglementarea explicită a responsabilităților partenerilor contractuali, având în vedere că proiectul Regulamentului prevede, la pct. 3.6, 3.7 și 3.8, că dispozițiile referitoare la prevenirea și combaterea violenței și hărțuirii în muncă se aplică și colaboratorilor externi, consultanților, persoanelor din alte instituții sau organizații cu care autoritatea publică interacționează instituțional, </w:t>
            </w:r>
            <w:r w:rsidRPr="00D31F43">
              <w:rPr>
                <w:rFonts w:ascii="Times New Roman" w:eastAsia="Times New Roman" w:hAnsi="Times New Roman" w:cs="Times New Roman"/>
                <w:lang w:val="it-IT"/>
              </w:rPr>
              <w:lastRenderedPageBreak/>
              <w:t>precum și altor persoane față de care pot surveni acte de violență sau hărțuire în muncă în legătură cu activitatea autorității publice.</w:t>
            </w:r>
          </w:p>
        </w:tc>
        <w:tc>
          <w:tcPr>
            <w:tcW w:w="4797" w:type="dxa"/>
          </w:tcPr>
          <w:p w14:paraId="29226BB7"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288B2732"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Definițiile propuse pentru noțiunile de „violență în muncă” și „hărțuire în muncă” sunt deja prevăzute expres în Codul muncii al Republicii Moldova nr. 154/2003, astfel cum a fost modificat prin Legea nr. 194 din 10.07.2025.În aceste condiții, reiterarea acestor definiții într-un </w:t>
            </w:r>
            <w:r w:rsidRPr="00D31F43">
              <w:rPr>
                <w:rFonts w:ascii="Times New Roman" w:eastAsia="Times New Roman" w:hAnsi="Times New Roman" w:cs="Times New Roman"/>
                <w:lang w:val="it-IT"/>
              </w:rPr>
              <w:lastRenderedPageBreak/>
              <w:t xml:space="preserve">act normativ subsecvent nu este necesară, deoarece noțiunile respective sunt deja consacrate în legislația primară și sunt aplicabile în mod direct.Totodată, potrivit tehnicii legislative, actele normative subordonate legii nu trebuie să dubleze sau să reproducă dispoziții deja reglementate prin lege, ci să stabilească mecanismele de aplicare ale acestora. </w:t>
            </w:r>
            <w:r w:rsidRPr="00D31F43">
              <w:rPr>
                <w:rFonts w:ascii="Times New Roman" w:eastAsia="Times New Roman" w:hAnsi="Times New Roman" w:cs="Times New Roman"/>
                <w:lang w:val="pt-BR"/>
              </w:rPr>
              <w:t>Prin urmare, includerea definițiilor propuse în textul Regulamentului nu se justifică.</w:t>
            </w:r>
          </w:p>
          <w:p w14:paraId="7D6B6939"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Aspectele invocate în observație sunt deja reglementate în legislația primară. Astfel, potrivit art. 81 alin. (3)–(4) din Codul muncii al Republicii Moldova nr. 154/2003, în redacția modificată prin Legea nr. 194/2025, angajatorul are obligația de a elabora și de a pune în aplicare o politică internă privind prevenirea și combaterea violenței și a hărțuirii în muncă, care trebuie să conțină proceduri clare de raportare, investigare și soluționare a sesizărilor, precum și alte elemente obligatorii. Totodată, conform art. 81 alin. (4), conținutul politicii interne se stabilește în funcție de capacitatea, natura activității și structura organizatorică a unității, ceea ce presupune deja adaptarea acesteia la specificul fiecărei instituții. În aceste condiții, completarea propusă nu se justifică, întrucât obligația de adaptare a politicii interne și elementele minime ale acesteia sunt deja prevăzute expres de Codul muncii, iar regulamentul urmărește doar stabilirea mecanismelor de aplicare a cadrului legal existent, fără a dubla dispozițiile legii.</w:t>
            </w:r>
          </w:p>
          <w:p w14:paraId="1CB0BB87" w14:textId="77777777" w:rsidR="00477212"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highlight w:val="white"/>
              </w:rPr>
            </w:pPr>
            <w:r w:rsidRPr="00D31F43">
              <w:rPr>
                <w:rFonts w:ascii="Times New Roman" w:eastAsia="Times New Roman" w:hAnsi="Times New Roman" w:cs="Times New Roman"/>
                <w:highlight w:val="white"/>
                <w:lang w:val="pt-BR"/>
              </w:rPr>
              <w:t xml:space="preserve">Soluția propusă de Regulament – desemnarea unei persoane responsabile sau constituirea unei comisii pentru fiecare caz – este justificată prin necesitatea asigurării imparțialității </w:t>
            </w:r>
            <w:r w:rsidRPr="00D31F43">
              <w:rPr>
                <w:rFonts w:ascii="Times New Roman" w:eastAsia="Times New Roman" w:hAnsi="Times New Roman" w:cs="Times New Roman"/>
                <w:highlight w:val="white"/>
                <w:lang w:val="pt-BR"/>
              </w:rPr>
              <w:lastRenderedPageBreak/>
              <w:t xml:space="preserve">și evitării conflictelor de interese. În cazul unei comisii permanente există riscul ca unul dintre membri să fie persoana vizată, persoana reclamată sau să se afle într-o relație care ar putea afecta obiectivitatea examinării, situație care ar impune înlocuiri repetate și ar diminua eficiența mecanismului. </w:t>
            </w:r>
            <w:r w:rsidRPr="00D31F43">
              <w:rPr>
                <w:rFonts w:ascii="Times New Roman" w:eastAsia="Times New Roman" w:hAnsi="Times New Roman" w:cs="Times New Roman"/>
                <w:highlight w:val="white"/>
                <w:lang w:val="it-IT"/>
              </w:rPr>
              <w:t xml:space="preserve">Totodată, cerința prevăzută la pct. 23 privind instruirea specifică nu presupune limitarea acesteia doar la membrii unei comisii permanente. Dimpotrivă, pentru a asigura funcționarea efectivă a mecanismului și pentru a preveni apariția conflictelor de interese, este oportun ca instruirea în domeniul prevenirii și combaterii violenței și hărțuirii în muncă să fie realizată la nivelul autorității pentru un număr suficient de persoane, astfel încât conducătorul instituției să poată desemna, în fiecare caz, persoane competente și imparțiale. </w:t>
            </w:r>
            <w:r>
              <w:rPr>
                <w:rFonts w:ascii="Times New Roman" w:eastAsia="Times New Roman" w:hAnsi="Times New Roman" w:cs="Times New Roman"/>
                <w:highlight w:val="white"/>
              </w:rPr>
              <w:t>Această abordare asigură atât flexibilitatea procedurii, cât și respectarea principiilor de obiectivitate și independență în investigarea sesizărilor.</w:t>
            </w:r>
          </w:p>
          <w:p w14:paraId="4316DB6C"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Propunerea nu se acceptă, întrucât obligația de respectare a confidențialității este deja prevăzută expres în textul Regulamentului. Membrii comisiei de investigare și persoanele implicate în procedura de examinare a sesizărilor sunt obligați, prin normele inserate în Regulament, să respecte caracterul confidențial al informațiilor și al datelor cu caracter personal la care au acces în cadrul procedurii de investigare.Totodată, Regulamentul stabilește în mod clar că încălcarea obligației de confidențialitate atrage răspunderea prevăzută de lege, inclusiv răspunderea disciplinară.</w:t>
            </w:r>
          </w:p>
          <w:p w14:paraId="5EEC8C9C"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lastRenderedPageBreak/>
              <w:t>În aceste condiții, introducerea unei declarații suplimentare de confidențialitate în anexă nu se justifică, întrucât obligația de păstrare a confidențialității decurge deja din cadrul normativ aplicabil și din prevederile Regulamentului, iar nerespectarea acesteia produce consecințe juridice.</w:t>
            </w:r>
          </w:p>
          <w:p w14:paraId="33DB165D"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t>Propunerea nu se acceptă. În primul rând, măsura propusă vizează exclusiv salariații angajați în baza contractelor individuale de muncă, în timp ce sfera de aplicare a Regulamentului include o categorie mai largă de persoane care își desfășoară activitatea în cadrul autorităților publice, precum demnitari publici, funcționari publici, funcționari publici cu statut special, persoane detașate, stagiari, voluntari sau colaboratori externi. În aceste condiții, instituirea unei clauze doar în contractele individuale de muncă nu ar acoperi întregul cerc de subiecți cărora li se aplică prevederile Regulamentului. În al doilea rând, drepturile și obligațiile angajaților și ale angajatorilor în domeniul prevenirii și combaterii violenței și hărțuirii în muncă sunt deja reglementate prin Codul muncii al Republicii Moldova, modificat prin Legea nr. 194/2025, care stabilește atât dreptul la un mediu de muncă sigur, sănătos și lipsit de violență sau hărțuire, cât și obligațiile angajatorului de a preveni și combate astfel de comportamente, de a elabora politici interne și de a informa periodic personalul.  Prin urmare, obligația de respectare a politicilor interne și a principiului toleranței zero față de violență și hărțuire rezultă deja din cadrul normativ aplicabil, nefiind necesară instituirea unei clauze suplimentare în contractele individuale de muncă.</w:t>
            </w:r>
          </w:p>
          <w:p w14:paraId="76F5B184"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pt-BR"/>
              </w:rPr>
            </w:pPr>
            <w:r w:rsidRPr="00D31F43">
              <w:rPr>
                <w:rFonts w:ascii="Times New Roman" w:eastAsia="Times New Roman" w:hAnsi="Times New Roman" w:cs="Times New Roman"/>
                <w:lang w:val="pt-BR"/>
              </w:rPr>
              <w:lastRenderedPageBreak/>
              <w:t>Propunerea nu se acceptă, întrucât atribuțiile menționate rezultă deja din prevederile Regulamentului. Acesta stabilește cadrul procedural privind raportarea, investigarea și soluționarea cazurilor de violență și hărțuire în muncă, precum și competențele conducătorului autorității publice în ceea ce privește desemnarea persoanelor sau a comisiilor de investigare, dispunerea măsurilor necesare în urma examinării cazurilor, aplicarea măsurilor de protecție provizorie și inițierea procedurilor disciplinare sau sesizarea autorităților competente. De asemenea, Regulamentul prevede obligația autorității publice de a asigura instruirea personalului, implementarea politicilor interne și protecția persoanelor implicate în procedura de raportare și investigare a cazurilor de violență și hărțuire în muncă. În aceste condiții, completarea propusă ar conduce la dublarea unor atribuții deja reglementate în textul Regulamentului și nu se justifică.</w:t>
            </w:r>
          </w:p>
          <w:p w14:paraId="4AA81CF3"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Propunerea nu se acceptă, întrucât atribuțiile menționate rezultă deja din prevederile Regulamentului și ale Politicii interne. Cadrul normativ stabilește obligațiile autorității publice privind informarea și instruirea periodică a personalului, monitorizarea aplicării măsurilor dispuse, protecția persoanelor implicate în procedura de examinare a cazurilor de violență și hărțuire în muncă, precum și cooperarea cu autoritățile competente. De asemenea, Regulamentul prevede mecanismele de monitorizare, raportare și evaluare a implementării măsurilor de prevenire și combatere a violenței și hărțuirii în muncă, inclusiv responsabilitățile </w:t>
            </w:r>
            <w:r w:rsidRPr="00D31F43">
              <w:rPr>
                <w:rFonts w:ascii="Times New Roman" w:eastAsia="Times New Roman" w:hAnsi="Times New Roman" w:cs="Times New Roman"/>
                <w:lang w:val="it-IT"/>
              </w:rPr>
              <w:lastRenderedPageBreak/>
              <w:t>structurilor și persoanelor implicate în acest proces. În aceste condiții, completarea propusă ar conduce la reiterarea unor atribuții deja reglementate în cadrul normativ existent și nu se justifică.</w:t>
            </w:r>
          </w:p>
          <w:p w14:paraId="2E6B63D4"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pt-BR"/>
              </w:rPr>
            </w:pPr>
            <w:r w:rsidRPr="00D31F43">
              <w:rPr>
                <w:rFonts w:ascii="Times New Roman" w:eastAsia="Times New Roman" w:hAnsi="Times New Roman" w:cs="Times New Roman"/>
                <w:lang w:val="it-IT"/>
              </w:rPr>
              <w:t xml:space="preserve">Propunerea nu se acceptă, întrucât atribuțiile menționate rezultă deja din prevederile Regulamentului, care stabilește în mod detaliat procedura de raportare, investigare și soluționare a cazurilor de violență și hărțuire în muncă, precum și rolul persoanei desemnate sau al comisiei de investigare. Regulamentul reglementează deja examinarea sesizărilor, desfășurarea investigației în condiții de imparțialitate și confidențialitate, administrarea și evaluarea probelor, audierea părților implicate, elaborarea raportului de constatare și înaintarea propunerilor de măsuri către conducătorul autorității publice. În aceste condiții, completarea propusă ar conduce la repetarea unor atribuții deja reglementate în cadrul normativ existent și nu se justifică. </w:t>
            </w:r>
            <w:r w:rsidRPr="00D31F43">
              <w:rPr>
                <w:rFonts w:ascii="Times New Roman" w:eastAsia="Times New Roman" w:hAnsi="Times New Roman" w:cs="Times New Roman"/>
                <w:lang w:val="pt-BR"/>
              </w:rPr>
              <w:t>De asemenea, se constată și o neconcordanță de numerotare în textul propus (introducerea subpunctului 23.11 în cadrul punctului 25).</w:t>
            </w:r>
          </w:p>
          <w:p w14:paraId="68E195C7" w14:textId="77777777" w:rsidR="00477212"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r w:rsidRPr="00D31F43">
              <w:rPr>
                <w:rFonts w:ascii="Times New Roman" w:eastAsia="Times New Roman" w:hAnsi="Times New Roman" w:cs="Times New Roman"/>
                <w:lang w:val="pt-BR"/>
              </w:rPr>
              <w:t xml:space="preserve">Propunerea nu se acceptă. În primul rând, completarea propusă instituie atribuții exclusiv pentru </w:t>
            </w:r>
            <w:r w:rsidRPr="00D31F43">
              <w:rPr>
                <w:rFonts w:ascii="Times New Roman" w:eastAsia="Times New Roman" w:hAnsi="Times New Roman" w:cs="Times New Roman"/>
                <w:b/>
                <w:bCs/>
                <w:lang w:val="pt-BR"/>
              </w:rPr>
              <w:t>funcționarii publici de conducere și funcționarii publici de conducere de nivel superior</w:t>
            </w:r>
            <w:r w:rsidRPr="00D31F43">
              <w:rPr>
                <w:rFonts w:ascii="Times New Roman" w:eastAsia="Times New Roman" w:hAnsi="Times New Roman" w:cs="Times New Roman"/>
                <w:lang w:val="pt-BR"/>
              </w:rPr>
              <w:t xml:space="preserve">, în timp ce sfera de aplicare a Regulamentului este mai largă și include diverse categorii de persoane care își desfășoară activitatea în cadrul autorităților publice, precum demnitari publici, funcționari publici, funcționari publici cu statut special, salariați angajați în baza contractului individual de muncă, persoane detașate, stagiari, </w:t>
            </w:r>
            <w:r w:rsidRPr="00D31F43">
              <w:rPr>
                <w:rFonts w:ascii="Times New Roman" w:eastAsia="Times New Roman" w:hAnsi="Times New Roman" w:cs="Times New Roman"/>
                <w:lang w:val="pt-BR"/>
              </w:rPr>
              <w:lastRenderedPageBreak/>
              <w:t xml:space="preserve">voluntari sau colaboratori externi. Prin urmare, instituirea unor prevederi specifice doar pentru o singură categorie de persoane nu ar acoperi întregul cerc de subiecți cărora li se aplică Regulamentul. În al doilea rând, obligațiile privind menținerea unui mediu de muncă sigur, prevenirea și combaterea violenței și hărțuirii în muncă, informarea personalului și intervenția în situațiile de risc rezultă deja din prevederile Regulamentului și din responsabilitățile generale stabilite pentru autoritățile publice și pentru persoanele aflate în raporturi de muncă sau în raporturi conexe acestora. </w:t>
            </w:r>
            <w:r>
              <w:rPr>
                <w:rFonts w:ascii="Times New Roman" w:eastAsia="Times New Roman" w:hAnsi="Times New Roman" w:cs="Times New Roman"/>
              </w:rPr>
              <w:t>În aceste condiții, completarea propusă nu se justifică.</w:t>
            </w:r>
          </w:p>
          <w:p w14:paraId="313BE45C" w14:textId="77777777" w:rsidR="00477212"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rPr>
            </w:pPr>
            <w:r>
              <w:rPr>
                <w:rFonts w:ascii="Times New Roman" w:eastAsia="Times New Roman" w:hAnsi="Times New Roman" w:cs="Times New Roman"/>
              </w:rPr>
              <w:t>Propunerea nu se acceptă, întrucât obligațiile personalului privind respectarea normelor de conduită, manifestarea unui comportament lipsit de violență și hărțuire în muncă, precum și contribuția la menținerea unui mediu de muncă sigur și respectuos sunt deja reglementate prin Codul muncii al Republicii Moldova, modificat prin Legea nr. 194/2025. Actul normativ menționat stabilește drepturile și obligațiile salariaților și ale angajatorilor în domeniul prevenirii și combaterii violenței și hărțuirii în muncă, inclusiv obligația de a manifesta un comportament lipsit de violență și/sau hărțuire în cadrul raporturilor de muncă, precum și dreptul la un mediu de muncă sigur, sănătos și demn. În aceste condiții, completarea propusă ar conduce la reiterarea unor obligații deja prevăzute în legislația primară și nu se justifică.</w:t>
            </w:r>
          </w:p>
          <w:p w14:paraId="61B47AEE"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firstLine="0"/>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Propunerea nu se acceptă, întrucât aspectele invocate sunt deja reglementate prin prevederile Regulamentului. Regulamentul stabilește expres </w:t>
            </w:r>
            <w:r w:rsidRPr="00D31F43">
              <w:rPr>
                <w:rFonts w:ascii="Times New Roman" w:eastAsia="Times New Roman" w:hAnsi="Times New Roman" w:cs="Times New Roman"/>
                <w:lang w:val="it-IT"/>
              </w:rPr>
              <w:lastRenderedPageBreak/>
              <w:t>sfera largă de aplicare a politicii și a mecanismelor de prevenire și combatere a violenței și hărțuirii în muncă, care include nu doar personalul autorității publice, ci și alte persoane care interacționează în contextul activității profesionale, inclusiv colaboratori externi, experți, consultanți sau reprezentanți ai altor instituții ori organizații. În consecință, obligația de a respecta un comportament lipsit de violență și hărțuire, precum și posibilitatea de a raporta astfel de situații rezultă deja din cadrul general stabilit de Regulament. Totodată, Regulamentul reglementează mecanismele de raportare, investigare și soluționare a sesizărilor, precum și obligația autorității publice de a aplica aceste mecanisme ori de câte ori faptele de violență sau hărțuire apar în cadrul sau în legătură cu activitatea profesională a instituției, indiferent de statutul persoanei implicate. De asemenea, raporturile cu partenerii contractuali sunt reglementate prin actele contractuale și cadrul legal aplicabil, iar introducerea unor prevederi suplimentare în politica internă ar putea genera suprapuneri sau confuzii cu obligațiile stabilite prin contracte sau prin legislația aplicabilă.</w:t>
            </w:r>
          </w:p>
          <w:p w14:paraId="63DCF0AC" w14:textId="77777777" w:rsidR="00477212" w:rsidRPr="00D31F43" w:rsidRDefault="00000000">
            <w:pPr>
              <w:numPr>
                <w:ilvl w:val="0"/>
                <w:numId w:val="23"/>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141" w:firstLine="0"/>
              <w:jc w:val="both"/>
              <w:rPr>
                <w:rFonts w:ascii="Times New Roman" w:eastAsia="Times New Roman" w:hAnsi="Times New Roman" w:cs="Times New Roman"/>
                <w:lang w:val="it-IT"/>
              </w:rPr>
            </w:pPr>
            <w:r w:rsidRPr="00D31F43">
              <w:rPr>
                <w:rFonts w:ascii="Times New Roman" w:eastAsia="Times New Roman" w:hAnsi="Times New Roman" w:cs="Times New Roman"/>
                <w:lang w:val="it-IT"/>
              </w:rPr>
              <w:t xml:space="preserve">Regulamentul stabilește deja în mod expres sfera de aplicare extinsă a prevederilor privind prevenirea și combaterea violenței și hărțuirii în muncă, incluzând, pe lângă personalul autorității publice, și colaboratori externi, experți, consultanți, persoane din alte instituții sau organizații cu care autoritatea publică interacționează instituțional, precum și alte persoane care desfășoară activități în legătură cu atribuțiile acesteia. În consecință, aceste persoane </w:t>
            </w:r>
            <w:r w:rsidRPr="00D31F43">
              <w:rPr>
                <w:rFonts w:ascii="Times New Roman" w:eastAsia="Times New Roman" w:hAnsi="Times New Roman" w:cs="Times New Roman"/>
                <w:lang w:val="it-IT"/>
              </w:rPr>
              <w:lastRenderedPageBreak/>
              <w:t>intră deja sub incidența mecanismelor prevăzute de Regulament în situațiile în care interacțiunea are loc în contextul activității profesionale a autorității publice. Totodată, raporturile dintre autoritatea publică și partenerii contractuali sunt guvernate în principal de actele contractuale și de cadrul legal aplicabil, care stabilesc drepturile și obligațiile părților. Introducerea unor responsabilități suplimentare în politica internă ar putea genera suprapuneri sau neclarități în raport cu obligațiile deja stabilite prin contracte sau prin legislația aplicabilă. Prin urmare, prevederile existente ale Regulamentului sunt suficiente pentru a asigura aplicarea mecanismelor de prevenire și combatere a violenței și hărțuirii și în situațiile în care sunt implicate persoane din afara autorității publice, fără a fi necesară instituirea unor responsabilități suplimentare distincte pentru partenerii contractuali.</w:t>
            </w:r>
          </w:p>
          <w:p w14:paraId="2E09EC20"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it-IT"/>
              </w:rPr>
            </w:pPr>
          </w:p>
          <w:p w14:paraId="4DB441D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it-IT"/>
              </w:rPr>
            </w:pPr>
          </w:p>
          <w:p w14:paraId="174EDA7B"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it-IT"/>
              </w:rPr>
            </w:pPr>
          </w:p>
          <w:p w14:paraId="47206073"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141"/>
              <w:jc w:val="both"/>
              <w:rPr>
                <w:rFonts w:ascii="Times New Roman" w:eastAsia="Times New Roman" w:hAnsi="Times New Roman" w:cs="Times New Roman"/>
                <w:lang w:val="it-IT"/>
              </w:rPr>
            </w:pPr>
          </w:p>
          <w:p w14:paraId="4020E55B"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490BBC22"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623D49A7"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643F7BAF"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7278D79D"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20F4A995"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651A833B"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lang w:val="it-IT"/>
              </w:rPr>
            </w:pPr>
          </w:p>
          <w:p w14:paraId="452960ED"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5F782C8D"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20520FDD"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073767AE"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7391423E"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26A7420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799CE9F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13C8D0B9"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19FC05FA"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747E0735"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p w14:paraId="21E76FB8" w14:textId="77777777" w:rsidR="00477212" w:rsidRPr="00D31F43" w:rsidRDefault="00477212">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jc w:val="both"/>
              <w:rPr>
                <w:rFonts w:ascii="Times New Roman" w:eastAsia="Times New Roman" w:hAnsi="Times New Roman" w:cs="Times New Roman"/>
                <w:b/>
                <w:bCs/>
                <w:lang w:val="it-IT"/>
              </w:rPr>
            </w:pPr>
          </w:p>
        </w:tc>
      </w:tr>
    </w:tbl>
    <w:p w14:paraId="45033432" w14:textId="77777777" w:rsidR="00477212" w:rsidRPr="00D31F43" w:rsidRDefault="00477212">
      <w:pPr>
        <w:spacing w:before="240" w:after="240"/>
        <w:jc w:val="both"/>
        <w:rPr>
          <w:lang w:val="it-IT"/>
        </w:rPr>
      </w:pPr>
    </w:p>
    <w:p w14:paraId="26F6394F" w14:textId="77777777" w:rsidR="00477212" w:rsidRPr="00D31F43" w:rsidRDefault="00477212">
      <w:pPr>
        <w:rPr>
          <w:lang w:val="it-IT"/>
        </w:rPr>
      </w:pPr>
    </w:p>
    <w:sectPr w:rsidR="00477212" w:rsidRPr="00D31F43">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9763B" w14:textId="77777777" w:rsidR="006D748D" w:rsidRDefault="006D748D" w:rsidP="00D31F43">
      <w:pPr>
        <w:spacing w:line="240" w:lineRule="auto"/>
      </w:pPr>
      <w:r>
        <w:separator/>
      </w:r>
    </w:p>
  </w:endnote>
  <w:endnote w:type="continuationSeparator" w:id="0">
    <w:p w14:paraId="3A25D223" w14:textId="77777777" w:rsidR="006D748D" w:rsidRDefault="006D748D" w:rsidP="00D31F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1" w:fontKey="{295E64B4-88FD-4DD8-BCA5-C6B145BE7D45}"/>
    <w:embedItalic r:id="rId2" w:fontKey="{F3DC6B44-C482-4F5F-B222-81423E62793D}"/>
    <w:embedBoldItalic r:id="rId3" w:fontKey="{FAD75F1E-F83F-4F3C-837A-D3563070676F}"/>
  </w:font>
  <w:font w:name="Roboto">
    <w:charset w:val="00"/>
    <w:family w:val="auto"/>
    <w:pitch w:val="variable"/>
    <w:sig w:usb0="E0000AFF" w:usb1="5000217F" w:usb2="00000021" w:usb3="00000000" w:csb0="0000019F" w:csb1="00000000"/>
    <w:embedRegular r:id="rId4" w:fontKey="{E891632E-C3FE-45AA-8ED4-53FC55797447}"/>
    <w:embedBold r:id="rId5" w:fontKey="{D234F158-373E-49F3-ABEA-A9ABB6521F61}"/>
  </w:font>
  <w:font w:name="Calibri">
    <w:panose1 w:val="020F0502020204030204"/>
    <w:charset w:val="CC"/>
    <w:family w:val="swiss"/>
    <w:pitch w:val="variable"/>
    <w:sig w:usb0="E4002EFF" w:usb1="C200247B" w:usb2="00000009" w:usb3="00000000" w:csb0="000001FF" w:csb1="00000000"/>
    <w:embedRegular r:id="rId6" w:fontKey="{8E606069-6AD5-4133-9DA1-D73DFF23337D}"/>
  </w:font>
  <w:font w:name="Cambria">
    <w:panose1 w:val="02040503050406030204"/>
    <w:charset w:val="CC"/>
    <w:family w:val="roman"/>
    <w:pitch w:val="variable"/>
    <w:sig w:usb0="E00006FF" w:usb1="420024FF" w:usb2="02000000" w:usb3="00000000" w:csb0="0000019F" w:csb1="00000000"/>
    <w:embedRegular r:id="rId7" w:fontKey="{540356E2-66DB-466B-8743-D7C4108A62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57E35" w14:textId="77777777" w:rsidR="006D748D" w:rsidRDefault="006D748D" w:rsidP="00D31F43">
      <w:pPr>
        <w:spacing w:line="240" w:lineRule="auto"/>
      </w:pPr>
      <w:r>
        <w:separator/>
      </w:r>
    </w:p>
  </w:footnote>
  <w:footnote w:type="continuationSeparator" w:id="0">
    <w:p w14:paraId="162E5155" w14:textId="77777777" w:rsidR="006D748D" w:rsidRDefault="006D748D" w:rsidP="00D31F4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AE8"/>
    <w:multiLevelType w:val="multilevel"/>
    <w:tmpl w:val="089A35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3B48BA"/>
    <w:multiLevelType w:val="multilevel"/>
    <w:tmpl w:val="ACFCEF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3B67EB8"/>
    <w:multiLevelType w:val="multilevel"/>
    <w:tmpl w:val="5770C85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3" w15:restartNumberingAfterBreak="0">
    <w:nsid w:val="0E917386"/>
    <w:multiLevelType w:val="multilevel"/>
    <w:tmpl w:val="73145D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F415F3F"/>
    <w:multiLevelType w:val="multilevel"/>
    <w:tmpl w:val="8CE6C9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3165E5E"/>
    <w:multiLevelType w:val="multilevel"/>
    <w:tmpl w:val="154A09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53B3FB9"/>
    <w:multiLevelType w:val="multilevel"/>
    <w:tmpl w:val="AA423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69A433B"/>
    <w:multiLevelType w:val="multilevel"/>
    <w:tmpl w:val="061222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22471FC"/>
    <w:multiLevelType w:val="multilevel"/>
    <w:tmpl w:val="3D043F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5BE1EC7"/>
    <w:multiLevelType w:val="multilevel"/>
    <w:tmpl w:val="DA22F5EC"/>
    <w:lvl w:ilvl="0">
      <w:start w:val="1"/>
      <w:numFmt w:val="decimal"/>
      <w:lvlText w:val="%1."/>
      <w:lvlJc w:val="left"/>
      <w:pPr>
        <w:ind w:left="0" w:firstLine="141"/>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8BD21D4"/>
    <w:multiLevelType w:val="multilevel"/>
    <w:tmpl w:val="05DC39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A815DE4"/>
    <w:multiLevelType w:val="multilevel"/>
    <w:tmpl w:val="83AE3B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AA7168A"/>
    <w:multiLevelType w:val="multilevel"/>
    <w:tmpl w:val="D9D68DC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13" w15:restartNumberingAfterBreak="0">
    <w:nsid w:val="2C5168CC"/>
    <w:multiLevelType w:val="multilevel"/>
    <w:tmpl w:val="50BCB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1606A47"/>
    <w:multiLevelType w:val="multilevel"/>
    <w:tmpl w:val="C49629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23444EB"/>
    <w:multiLevelType w:val="multilevel"/>
    <w:tmpl w:val="3AFC28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32890153"/>
    <w:multiLevelType w:val="multilevel"/>
    <w:tmpl w:val="DF124D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83E4F90"/>
    <w:multiLevelType w:val="multilevel"/>
    <w:tmpl w:val="0D1429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39CD2931"/>
    <w:multiLevelType w:val="multilevel"/>
    <w:tmpl w:val="D1CE5F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C041F1A"/>
    <w:multiLevelType w:val="multilevel"/>
    <w:tmpl w:val="BDCE0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C6F1B90"/>
    <w:multiLevelType w:val="multilevel"/>
    <w:tmpl w:val="202C7D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0A81ED8"/>
    <w:multiLevelType w:val="multilevel"/>
    <w:tmpl w:val="FE36EF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6E91B73"/>
    <w:multiLevelType w:val="multilevel"/>
    <w:tmpl w:val="A692E0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D3E188A"/>
    <w:multiLevelType w:val="multilevel"/>
    <w:tmpl w:val="1F44E6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18234BC"/>
    <w:multiLevelType w:val="multilevel"/>
    <w:tmpl w:val="7E8A0B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36E3AF6"/>
    <w:multiLevelType w:val="multilevel"/>
    <w:tmpl w:val="8370F380"/>
    <w:lvl w:ilvl="0">
      <w:start w:val="1"/>
      <w:numFmt w:val="decimal"/>
      <w:lvlText w:val="%1."/>
      <w:lvlJc w:val="left"/>
      <w:pPr>
        <w:ind w:left="720" w:hanging="360"/>
      </w:pPr>
      <w:rPr>
        <w:highlight w:val="white"/>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5CC170E"/>
    <w:multiLevelType w:val="multilevel"/>
    <w:tmpl w:val="757A6B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0507CB2"/>
    <w:multiLevelType w:val="multilevel"/>
    <w:tmpl w:val="F42A86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97E2760"/>
    <w:multiLevelType w:val="multilevel"/>
    <w:tmpl w:val="7CD6B560"/>
    <w:lvl w:ilvl="0">
      <w:start w:val="1"/>
      <w:numFmt w:val="decimal"/>
      <w:lvlText w:val="%1."/>
      <w:lvlJc w:val="left"/>
      <w:pPr>
        <w:ind w:left="720"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AB723E7"/>
    <w:multiLevelType w:val="multilevel"/>
    <w:tmpl w:val="41747D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7B3B625B"/>
    <w:multiLevelType w:val="multilevel"/>
    <w:tmpl w:val="110A2C16"/>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06727262">
    <w:abstractNumId w:val="12"/>
  </w:num>
  <w:num w:numId="2" w16cid:durableId="1235431221">
    <w:abstractNumId w:val="13"/>
  </w:num>
  <w:num w:numId="3" w16cid:durableId="2106030893">
    <w:abstractNumId w:val="14"/>
  </w:num>
  <w:num w:numId="4" w16cid:durableId="277759702">
    <w:abstractNumId w:val="26"/>
  </w:num>
  <w:num w:numId="5" w16cid:durableId="62920898">
    <w:abstractNumId w:val="9"/>
  </w:num>
  <w:num w:numId="6" w16cid:durableId="26683035">
    <w:abstractNumId w:val="1"/>
  </w:num>
  <w:num w:numId="7" w16cid:durableId="677195704">
    <w:abstractNumId w:val="16"/>
  </w:num>
  <w:num w:numId="8" w16cid:durableId="1570115966">
    <w:abstractNumId w:val="25"/>
  </w:num>
  <w:num w:numId="9" w16cid:durableId="51462423">
    <w:abstractNumId w:val="2"/>
  </w:num>
  <w:num w:numId="10" w16cid:durableId="1945115561">
    <w:abstractNumId w:val="21"/>
  </w:num>
  <w:num w:numId="11" w16cid:durableId="269162931">
    <w:abstractNumId w:val="28"/>
  </w:num>
  <w:num w:numId="12" w16cid:durableId="850950918">
    <w:abstractNumId w:val="22"/>
  </w:num>
  <w:num w:numId="13" w16cid:durableId="2038775954">
    <w:abstractNumId w:val="15"/>
  </w:num>
  <w:num w:numId="14" w16cid:durableId="1441802728">
    <w:abstractNumId w:val="6"/>
  </w:num>
  <w:num w:numId="15" w16cid:durableId="1477601997">
    <w:abstractNumId w:val="27"/>
  </w:num>
  <w:num w:numId="16" w16cid:durableId="477915654">
    <w:abstractNumId w:val="29"/>
  </w:num>
  <w:num w:numId="17" w16cid:durableId="600838650">
    <w:abstractNumId w:val="19"/>
  </w:num>
  <w:num w:numId="18" w16cid:durableId="743376105">
    <w:abstractNumId w:val="20"/>
  </w:num>
  <w:num w:numId="19" w16cid:durableId="97799465">
    <w:abstractNumId w:val="23"/>
  </w:num>
  <w:num w:numId="20" w16cid:durableId="1510871602">
    <w:abstractNumId w:val="5"/>
  </w:num>
  <w:num w:numId="21" w16cid:durableId="1740591372">
    <w:abstractNumId w:val="3"/>
  </w:num>
  <w:num w:numId="22" w16cid:durableId="1781879656">
    <w:abstractNumId w:val="17"/>
  </w:num>
  <w:num w:numId="23" w16cid:durableId="834417605">
    <w:abstractNumId w:val="10"/>
  </w:num>
  <w:num w:numId="24" w16cid:durableId="1387753135">
    <w:abstractNumId w:val="30"/>
  </w:num>
  <w:num w:numId="25" w16cid:durableId="1981614358">
    <w:abstractNumId w:val="11"/>
  </w:num>
  <w:num w:numId="26" w16cid:durableId="532152720">
    <w:abstractNumId w:val="24"/>
  </w:num>
  <w:num w:numId="27" w16cid:durableId="1561018637">
    <w:abstractNumId w:val="0"/>
  </w:num>
  <w:num w:numId="28" w16cid:durableId="116526988">
    <w:abstractNumId w:val="18"/>
  </w:num>
  <w:num w:numId="29" w16cid:durableId="678461335">
    <w:abstractNumId w:val="4"/>
  </w:num>
  <w:num w:numId="30" w16cid:durableId="1489203606">
    <w:abstractNumId w:val="8"/>
  </w:num>
  <w:num w:numId="31" w16cid:durableId="6410339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212"/>
    <w:rsid w:val="00012DB7"/>
    <w:rsid w:val="0047019A"/>
    <w:rsid w:val="00477212"/>
    <w:rsid w:val="004D1F35"/>
    <w:rsid w:val="006D748D"/>
    <w:rsid w:val="007C618D"/>
    <w:rsid w:val="00AE06E3"/>
    <w:rsid w:val="00C42090"/>
    <w:rsid w:val="00D31F43"/>
    <w:rsid w:val="00D63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1693B"/>
  <w15:docId w15:val="{8196CD46-F2A6-46C5-9F7D-020003830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iCs/>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paragraph" w:styleId="Antet">
    <w:name w:val="header"/>
    <w:basedOn w:val="Normal"/>
    <w:link w:val="AntetCaracter"/>
    <w:uiPriority w:val="99"/>
    <w:unhideWhenUsed/>
    <w:rsid w:val="00D31F43"/>
    <w:pPr>
      <w:tabs>
        <w:tab w:val="center" w:pos="4513"/>
        <w:tab w:val="right" w:pos="9026"/>
      </w:tabs>
      <w:spacing w:line="240" w:lineRule="auto"/>
    </w:pPr>
  </w:style>
  <w:style w:type="character" w:customStyle="1" w:styleId="AntetCaracter">
    <w:name w:val="Antet Caracter"/>
    <w:basedOn w:val="Fontdeparagrafimplicit"/>
    <w:link w:val="Antet"/>
    <w:uiPriority w:val="99"/>
    <w:rsid w:val="00D31F43"/>
  </w:style>
  <w:style w:type="paragraph" w:styleId="Subsol">
    <w:name w:val="footer"/>
    <w:basedOn w:val="Normal"/>
    <w:link w:val="SubsolCaracter"/>
    <w:uiPriority w:val="99"/>
    <w:unhideWhenUsed/>
    <w:rsid w:val="00D31F43"/>
    <w:pPr>
      <w:tabs>
        <w:tab w:val="center" w:pos="4513"/>
        <w:tab w:val="right" w:pos="9026"/>
      </w:tabs>
      <w:spacing w:line="240" w:lineRule="auto"/>
    </w:pPr>
  </w:style>
  <w:style w:type="character" w:customStyle="1" w:styleId="SubsolCaracter">
    <w:name w:val="Subsol Caracter"/>
    <w:basedOn w:val="Fontdeparagrafimplicit"/>
    <w:link w:val="Subsol"/>
    <w:uiPriority w:val="99"/>
    <w:rsid w:val="00D31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rticip.gov.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89</Pages>
  <Words>38705</Words>
  <Characters>220623</Characters>
  <Application>Microsoft Office Word</Application>
  <DocSecurity>0</DocSecurity>
  <Lines>1838</Lines>
  <Paragraphs>517</Paragraphs>
  <ScaleCrop>false</ScaleCrop>
  <Company/>
  <LinksUpToDate>false</LinksUpToDate>
  <CharactersWithSpaces>258811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Direcția Politici în Domeniul Raporturi de Muncă</cp:lastModifiedBy>
  <cp:revision>4</cp:revision>
  <dcterms:created xsi:type="dcterms:W3CDTF">2026-04-07T10:36:00Z</dcterms:created>
  <dcterms:modified xsi:type="dcterms:W3CDTF">2026-04-07T15:28:00Z</dcterms:modified>
</cp:coreProperties>
</file>