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FED7" w14:textId="77777777" w:rsidR="005A3228" w:rsidRPr="003D5ACB" w:rsidRDefault="005A3228" w:rsidP="00C65660">
      <w:pPr>
        <w:tabs>
          <w:tab w:val="left" w:pos="1080"/>
        </w:tabs>
        <w:jc w:val="right"/>
        <w:rPr>
          <w:sz w:val="24"/>
          <w:szCs w:val="24"/>
          <w:lang w:val="ro-RO"/>
        </w:rPr>
      </w:pPr>
    </w:p>
    <w:tbl>
      <w:tblPr>
        <w:tblpPr w:leftFromText="180" w:rightFromText="180" w:vertAnchor="text" w:horzAnchor="margin" w:tblpXSpec="center" w:tblpY="56"/>
        <w:tblW w:w="10350" w:type="dxa"/>
        <w:tblBorders>
          <w:bottom w:val="single" w:sz="4" w:space="0" w:color="auto"/>
        </w:tblBorders>
        <w:tblLook w:val="01E0" w:firstRow="1" w:lastRow="1" w:firstColumn="1" w:lastColumn="1" w:noHBand="0" w:noVBand="0"/>
      </w:tblPr>
      <w:tblGrid>
        <w:gridCol w:w="4827"/>
        <w:gridCol w:w="1258"/>
        <w:gridCol w:w="4265"/>
      </w:tblGrid>
      <w:tr w:rsidR="001F0B1C" w:rsidRPr="003D5ACB" w14:paraId="6CB90B6E" w14:textId="77777777" w:rsidTr="002D6AA8">
        <w:trPr>
          <w:cantSplit/>
          <w:trHeight w:val="374"/>
        </w:trPr>
        <w:tc>
          <w:tcPr>
            <w:tcW w:w="4827" w:type="dxa"/>
          </w:tcPr>
          <w:p w14:paraId="379DD4AA" w14:textId="77777777" w:rsidR="00C65660" w:rsidRPr="003D5ACB" w:rsidRDefault="00C65660" w:rsidP="00C65660">
            <w:pPr>
              <w:ind w:left="-15"/>
              <w:jc w:val="center"/>
              <w:rPr>
                <w:b/>
                <w:bCs/>
                <w:sz w:val="24"/>
                <w:szCs w:val="24"/>
                <w:lang w:val="ro-RO"/>
              </w:rPr>
            </w:pPr>
            <w:bookmarkStart w:id="0" w:name="_Hlk502124532"/>
            <w:r w:rsidRPr="003D5ACB">
              <w:rPr>
                <w:b/>
                <w:bCs/>
                <w:sz w:val="24"/>
                <w:szCs w:val="24"/>
                <w:lang w:val="ro-RO"/>
              </w:rPr>
              <w:t>AGENŢIA NAŢIONALĂ PENTRU</w:t>
            </w:r>
          </w:p>
          <w:p w14:paraId="3CF45E31" w14:textId="77777777" w:rsidR="00C65660" w:rsidRPr="003D5ACB" w:rsidRDefault="00C65660" w:rsidP="00C65660">
            <w:pPr>
              <w:ind w:left="-15"/>
              <w:jc w:val="center"/>
              <w:rPr>
                <w:sz w:val="24"/>
                <w:szCs w:val="24"/>
                <w:lang w:val="ro-RO"/>
              </w:rPr>
            </w:pPr>
            <w:r w:rsidRPr="003D5ACB">
              <w:rPr>
                <w:b/>
                <w:bCs/>
                <w:sz w:val="24"/>
                <w:szCs w:val="24"/>
                <w:lang w:val="ro-RO"/>
              </w:rPr>
              <w:t>SIGURANŢA ALIMENTELOR</w:t>
            </w:r>
          </w:p>
        </w:tc>
        <w:tc>
          <w:tcPr>
            <w:tcW w:w="1258" w:type="dxa"/>
            <w:vAlign w:val="center"/>
          </w:tcPr>
          <w:p w14:paraId="05CE4EE1" w14:textId="77777777" w:rsidR="00C65660" w:rsidRPr="003D5ACB" w:rsidRDefault="00C65660" w:rsidP="00C65660">
            <w:pPr>
              <w:jc w:val="center"/>
              <w:rPr>
                <w:sz w:val="24"/>
                <w:szCs w:val="24"/>
                <w:lang w:val="ro-RO"/>
              </w:rPr>
            </w:pPr>
          </w:p>
        </w:tc>
        <w:tc>
          <w:tcPr>
            <w:tcW w:w="4265" w:type="dxa"/>
          </w:tcPr>
          <w:p w14:paraId="56B4AF61" w14:textId="77777777" w:rsidR="00C65660" w:rsidRPr="003D5ACB" w:rsidRDefault="00C65660" w:rsidP="00C65660">
            <w:pPr>
              <w:jc w:val="center"/>
              <w:rPr>
                <w:b/>
                <w:bCs/>
                <w:sz w:val="24"/>
                <w:szCs w:val="24"/>
                <w:lang w:val="ro-RO"/>
              </w:rPr>
            </w:pPr>
            <w:r w:rsidRPr="003D5ACB">
              <w:rPr>
                <w:b/>
                <w:sz w:val="24"/>
                <w:szCs w:val="24"/>
                <w:lang w:val="ro-RO"/>
              </w:rPr>
              <w:t>NATIONAL FOOD SAFETY</w:t>
            </w:r>
            <w:r w:rsidRPr="003D5ACB">
              <w:rPr>
                <w:b/>
                <w:sz w:val="24"/>
                <w:szCs w:val="24"/>
                <w:lang w:val="ro-RO"/>
              </w:rPr>
              <w:br/>
              <w:t>AGENCY</w:t>
            </w:r>
          </w:p>
        </w:tc>
      </w:tr>
      <w:tr w:rsidR="001F0B1C" w:rsidRPr="003D5ACB" w14:paraId="7D1E6DDD" w14:textId="77777777" w:rsidTr="002D6AA8">
        <w:trPr>
          <w:trHeight w:val="701"/>
        </w:trPr>
        <w:tc>
          <w:tcPr>
            <w:tcW w:w="4827" w:type="dxa"/>
          </w:tcPr>
          <w:p w14:paraId="11F86A15" w14:textId="77777777" w:rsidR="00C65660" w:rsidRPr="003D5ACB" w:rsidRDefault="00C65660" w:rsidP="00C65660">
            <w:pPr>
              <w:jc w:val="center"/>
              <w:rPr>
                <w:bCs/>
                <w:sz w:val="20"/>
                <w:szCs w:val="20"/>
                <w:lang w:val="ro-RO"/>
              </w:rPr>
            </w:pPr>
            <w:r w:rsidRPr="003D5ACB">
              <w:rPr>
                <w:bCs/>
                <w:sz w:val="20"/>
                <w:szCs w:val="20"/>
                <w:lang w:val="ro-RO"/>
              </w:rPr>
              <w:t>MD-2009, mun. Chișinău, str. M. Kogălniceanu, nr.63</w:t>
            </w:r>
          </w:p>
          <w:p w14:paraId="020A697F" w14:textId="77777777" w:rsidR="00C65660" w:rsidRPr="003D5ACB" w:rsidRDefault="00C65660" w:rsidP="00C65660">
            <w:pPr>
              <w:jc w:val="center"/>
              <w:rPr>
                <w:bCs/>
                <w:sz w:val="20"/>
                <w:szCs w:val="20"/>
                <w:lang w:val="ro-RO"/>
              </w:rPr>
            </w:pPr>
            <w:r w:rsidRPr="003D5ACB">
              <w:rPr>
                <w:bCs/>
                <w:sz w:val="20"/>
                <w:szCs w:val="20"/>
                <w:lang w:val="ro-RO"/>
              </w:rPr>
              <w:t>Republica Moldova</w:t>
            </w:r>
          </w:p>
          <w:p w14:paraId="647DD3A6" w14:textId="77777777" w:rsidR="00C65660" w:rsidRPr="003D5ACB" w:rsidRDefault="00C65660" w:rsidP="00C65660">
            <w:pPr>
              <w:jc w:val="center"/>
              <w:rPr>
                <w:bCs/>
                <w:sz w:val="20"/>
                <w:szCs w:val="20"/>
                <w:lang w:val="ro-RO"/>
              </w:rPr>
            </w:pPr>
            <w:r w:rsidRPr="003D5ACB">
              <w:rPr>
                <w:bCs/>
                <w:sz w:val="20"/>
                <w:szCs w:val="20"/>
                <w:lang w:val="ro-RO"/>
              </w:rPr>
              <w:t>Tel.: +(373) 22 264 644, +(373) 22 264 640</w:t>
            </w:r>
          </w:p>
          <w:p w14:paraId="4A2D6F15" w14:textId="77777777" w:rsidR="00C65660" w:rsidRPr="003D5ACB" w:rsidRDefault="00C65660" w:rsidP="00C65660">
            <w:pPr>
              <w:jc w:val="center"/>
              <w:rPr>
                <w:b/>
                <w:sz w:val="20"/>
                <w:szCs w:val="20"/>
                <w:lang w:val="ro-RO"/>
              </w:rPr>
            </w:pPr>
          </w:p>
        </w:tc>
        <w:tc>
          <w:tcPr>
            <w:tcW w:w="1258" w:type="dxa"/>
          </w:tcPr>
          <w:p w14:paraId="4C0B5910" w14:textId="77777777" w:rsidR="00C65660" w:rsidRPr="003D5ACB" w:rsidRDefault="00C65660" w:rsidP="00C65660">
            <w:pPr>
              <w:jc w:val="center"/>
              <w:rPr>
                <w:sz w:val="24"/>
                <w:szCs w:val="24"/>
                <w:lang w:val="ro-RO"/>
              </w:rPr>
            </w:pPr>
            <w:r w:rsidRPr="003D5ACB">
              <w:rPr>
                <w:noProof/>
                <w:sz w:val="24"/>
                <w:szCs w:val="24"/>
                <w:lang w:val="ro-RO"/>
              </w:rPr>
              <w:drawing>
                <wp:anchor distT="0" distB="0" distL="114300" distR="114300" simplePos="0" relativeHeight="251659264" behindDoc="0" locked="0" layoutInCell="1" allowOverlap="1" wp14:anchorId="1369A38F" wp14:editId="56B46A8E">
                  <wp:simplePos x="0" y="0"/>
                  <wp:positionH relativeFrom="column">
                    <wp:posOffset>24628</wp:posOffset>
                  </wp:positionH>
                  <wp:positionV relativeFrom="paragraph">
                    <wp:posOffset>-349799</wp:posOffset>
                  </wp:positionV>
                  <wp:extent cx="709295" cy="878205"/>
                  <wp:effectExtent l="0" t="0" r="0" b="0"/>
                  <wp:wrapNone/>
                  <wp:docPr id="1" name="Рисунок 1" descr="i_gerb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_gerb_bi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9295" cy="878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65" w:type="dxa"/>
            <w:vAlign w:val="center"/>
          </w:tcPr>
          <w:p w14:paraId="6A648BE2" w14:textId="77777777" w:rsidR="00C65660" w:rsidRPr="003D5ACB" w:rsidRDefault="00C65660" w:rsidP="00C65660">
            <w:pPr>
              <w:pStyle w:val="NoSpacing"/>
              <w:jc w:val="center"/>
              <w:rPr>
                <w:rFonts w:ascii="Times New Roman" w:hAnsi="Times New Roman"/>
                <w:bCs/>
                <w:sz w:val="20"/>
                <w:szCs w:val="20"/>
                <w:lang w:val="ro-RO" w:eastAsia="en-US"/>
              </w:rPr>
            </w:pPr>
            <w:r w:rsidRPr="003D5ACB">
              <w:rPr>
                <w:rFonts w:ascii="Times New Roman" w:hAnsi="Times New Roman"/>
                <w:bCs/>
                <w:sz w:val="20"/>
                <w:szCs w:val="20"/>
                <w:lang w:val="ro-RO" w:eastAsia="en-US"/>
              </w:rPr>
              <w:t>63  Mihail Kogălniceanu Str., MD-2009, Chișinău</w:t>
            </w:r>
          </w:p>
          <w:p w14:paraId="2E574B79" w14:textId="77777777" w:rsidR="00C65660" w:rsidRPr="003D5ACB" w:rsidRDefault="00C65660" w:rsidP="00C65660">
            <w:pPr>
              <w:pStyle w:val="NoSpacing"/>
              <w:jc w:val="center"/>
              <w:rPr>
                <w:rFonts w:ascii="Times New Roman" w:hAnsi="Times New Roman"/>
                <w:bCs/>
                <w:sz w:val="20"/>
                <w:szCs w:val="20"/>
                <w:lang w:val="ro-RO" w:eastAsia="en-US"/>
              </w:rPr>
            </w:pPr>
            <w:r w:rsidRPr="003D5ACB">
              <w:rPr>
                <w:rFonts w:ascii="Times New Roman" w:hAnsi="Times New Roman"/>
                <w:bCs/>
                <w:sz w:val="20"/>
                <w:szCs w:val="20"/>
                <w:lang w:val="ro-RO" w:eastAsia="en-US"/>
              </w:rPr>
              <w:t>Republic of Moldova</w:t>
            </w:r>
          </w:p>
          <w:p w14:paraId="65F729C9" w14:textId="77777777" w:rsidR="00C65660" w:rsidRPr="003D5ACB" w:rsidRDefault="00C65660" w:rsidP="00C65660">
            <w:pPr>
              <w:jc w:val="center"/>
              <w:rPr>
                <w:bCs/>
                <w:sz w:val="20"/>
                <w:szCs w:val="20"/>
                <w:lang w:val="ro-RO"/>
              </w:rPr>
            </w:pPr>
            <w:r w:rsidRPr="003D5ACB">
              <w:rPr>
                <w:bCs/>
                <w:sz w:val="20"/>
                <w:szCs w:val="20"/>
                <w:lang w:val="ro-RO"/>
              </w:rPr>
              <w:t>Phone: +(373) 22 264 660, +(373) 22 264 640</w:t>
            </w:r>
          </w:p>
          <w:p w14:paraId="560AF323" w14:textId="77777777" w:rsidR="00C65660" w:rsidRPr="003D5ACB" w:rsidRDefault="00C65660" w:rsidP="00C65660">
            <w:pPr>
              <w:jc w:val="center"/>
              <w:rPr>
                <w:b/>
                <w:sz w:val="20"/>
                <w:szCs w:val="20"/>
                <w:lang w:val="ro-RO"/>
              </w:rPr>
            </w:pPr>
          </w:p>
        </w:tc>
      </w:tr>
      <w:bookmarkEnd w:id="0"/>
    </w:tbl>
    <w:p w14:paraId="30625EA6" w14:textId="77777777" w:rsidR="00C65660" w:rsidRPr="00464676" w:rsidRDefault="00C65660" w:rsidP="00C65660">
      <w:pPr>
        <w:tabs>
          <w:tab w:val="left" w:pos="9720"/>
        </w:tabs>
        <w:ind w:right="26"/>
        <w:rPr>
          <w:b/>
          <w:bCs/>
          <w:sz w:val="22"/>
          <w:szCs w:val="22"/>
          <w:lang w:val="ro-RO"/>
        </w:rPr>
      </w:pPr>
    </w:p>
    <w:p w14:paraId="51B15E9B" w14:textId="4C41C870" w:rsidR="00C65660" w:rsidRPr="003D5ACB" w:rsidRDefault="00C65660" w:rsidP="00C65660">
      <w:pPr>
        <w:tabs>
          <w:tab w:val="left" w:pos="9720"/>
        </w:tabs>
        <w:ind w:right="26"/>
        <w:jc w:val="center"/>
        <w:rPr>
          <w:b/>
          <w:bCs/>
          <w:sz w:val="32"/>
          <w:szCs w:val="32"/>
          <w:lang w:val="ro-RO"/>
        </w:rPr>
      </w:pPr>
      <w:r w:rsidRPr="003D5ACB">
        <w:rPr>
          <w:b/>
          <w:bCs/>
          <w:sz w:val="32"/>
          <w:szCs w:val="32"/>
          <w:lang w:val="ro-RO"/>
        </w:rPr>
        <w:t>O R D I N U L</w:t>
      </w:r>
    </w:p>
    <w:p w14:paraId="6492755C" w14:textId="1549F7BA" w:rsidR="006133E5" w:rsidRPr="003D5ACB" w:rsidRDefault="006133E5" w:rsidP="006133E5">
      <w:pPr>
        <w:ind w:right="26"/>
        <w:jc w:val="center"/>
        <w:rPr>
          <w:sz w:val="24"/>
          <w:szCs w:val="24"/>
          <w:lang w:val="ro-RO"/>
        </w:rPr>
      </w:pPr>
      <w:r w:rsidRPr="003D5ACB">
        <w:rPr>
          <w:sz w:val="24"/>
          <w:szCs w:val="24"/>
          <w:lang w:val="ro-RO"/>
        </w:rPr>
        <w:t>mun. Chișinău</w:t>
      </w:r>
    </w:p>
    <w:p w14:paraId="61AD24EF" w14:textId="77777777" w:rsidR="006133E5" w:rsidRPr="003D5ACB" w:rsidRDefault="006133E5" w:rsidP="006133E5">
      <w:pPr>
        <w:ind w:right="332"/>
        <w:rPr>
          <w:sz w:val="24"/>
          <w:szCs w:val="24"/>
          <w:lang w:val="ro-RO"/>
        </w:rPr>
      </w:pPr>
    </w:p>
    <w:p w14:paraId="4A6ECED9" w14:textId="417044BF" w:rsidR="006133E5" w:rsidRPr="003D5ACB" w:rsidRDefault="006133E5" w:rsidP="006133E5">
      <w:pPr>
        <w:ind w:right="332"/>
        <w:rPr>
          <w:b/>
          <w:bCs/>
          <w:sz w:val="24"/>
          <w:szCs w:val="24"/>
          <w:lang w:val="ro-RO"/>
        </w:rPr>
      </w:pPr>
      <w:r w:rsidRPr="003D5ACB">
        <w:rPr>
          <w:sz w:val="24"/>
          <w:szCs w:val="24"/>
          <w:lang w:val="ro-RO"/>
        </w:rPr>
        <w:t>” _____” ________________20___</w:t>
      </w:r>
      <w:r w:rsidRPr="003D5ACB">
        <w:rPr>
          <w:sz w:val="24"/>
          <w:szCs w:val="24"/>
          <w:lang w:val="ro-RO"/>
        </w:rPr>
        <w:tab/>
      </w:r>
      <w:r w:rsidRPr="003D5ACB">
        <w:rPr>
          <w:sz w:val="24"/>
          <w:szCs w:val="24"/>
          <w:lang w:val="ro-RO"/>
        </w:rPr>
        <w:tab/>
        <w:t xml:space="preserve">                                                             Nr. ________</w:t>
      </w:r>
    </w:p>
    <w:p w14:paraId="57F8A52C" w14:textId="487A3BE4" w:rsidR="009A45A2" w:rsidRPr="003D5ACB" w:rsidRDefault="006133E5" w:rsidP="00C65660">
      <w:pPr>
        <w:jc w:val="both"/>
        <w:rPr>
          <w:b/>
          <w:bCs/>
          <w:sz w:val="24"/>
          <w:szCs w:val="24"/>
          <w:lang w:val="ro-RO"/>
        </w:rPr>
      </w:pPr>
      <w:r w:rsidRPr="003D5ACB">
        <w:rPr>
          <w:b/>
          <w:bCs/>
          <w:sz w:val="24"/>
          <w:szCs w:val="24"/>
          <w:lang w:val="ro-RO"/>
        </w:rPr>
        <w:tab/>
      </w:r>
      <w:r w:rsidRPr="003D5ACB">
        <w:rPr>
          <w:b/>
          <w:bCs/>
          <w:sz w:val="24"/>
          <w:szCs w:val="24"/>
          <w:lang w:val="ro-RO"/>
        </w:rPr>
        <w:tab/>
      </w:r>
      <w:r w:rsidRPr="003D5ACB">
        <w:rPr>
          <w:b/>
          <w:bCs/>
          <w:sz w:val="24"/>
          <w:szCs w:val="24"/>
          <w:lang w:val="ro-RO"/>
        </w:rPr>
        <w:tab/>
      </w:r>
      <w:r w:rsidRPr="003D5ACB">
        <w:rPr>
          <w:b/>
          <w:bCs/>
          <w:sz w:val="24"/>
          <w:szCs w:val="24"/>
          <w:lang w:val="ro-RO"/>
        </w:rPr>
        <w:tab/>
      </w:r>
      <w:r w:rsidRPr="003D5ACB">
        <w:rPr>
          <w:b/>
          <w:bCs/>
          <w:sz w:val="24"/>
          <w:szCs w:val="24"/>
          <w:lang w:val="ro-RO"/>
        </w:rPr>
        <w:tab/>
      </w:r>
      <w:r w:rsidR="00C65660" w:rsidRPr="003D5ACB">
        <w:rPr>
          <w:b/>
          <w:bCs/>
          <w:sz w:val="24"/>
          <w:szCs w:val="24"/>
          <w:lang w:val="ro-RO"/>
        </w:rPr>
        <w:t xml:space="preserve"> </w:t>
      </w:r>
    </w:p>
    <w:p w14:paraId="5E3294FC" w14:textId="77777777" w:rsidR="0005323D" w:rsidRPr="003D5ACB" w:rsidRDefault="0005323D" w:rsidP="009A45A2">
      <w:pPr>
        <w:jc w:val="both"/>
        <w:rPr>
          <w:b/>
          <w:bCs/>
          <w:lang w:val="ro-RO"/>
        </w:rPr>
      </w:pPr>
      <w:r w:rsidRPr="003D5ACB">
        <w:rPr>
          <w:b/>
          <w:bCs/>
          <w:lang w:val="ro-RO"/>
        </w:rPr>
        <w:t xml:space="preserve">Cu privire la aprobarea Regulamentului </w:t>
      </w:r>
    </w:p>
    <w:p w14:paraId="28B77482" w14:textId="3C4D7C07" w:rsidR="00C52C7E" w:rsidRPr="003D5ACB" w:rsidRDefault="0005323D" w:rsidP="009A45A2">
      <w:pPr>
        <w:jc w:val="both"/>
        <w:rPr>
          <w:b/>
          <w:bCs/>
          <w:lang w:val="ro-RO"/>
        </w:rPr>
      </w:pPr>
      <w:r w:rsidRPr="003D5ACB">
        <w:rPr>
          <w:b/>
          <w:bCs/>
          <w:lang w:val="ro-RO"/>
        </w:rPr>
        <w:t>p</w:t>
      </w:r>
      <w:r w:rsidR="006D1011" w:rsidRPr="003D5ACB">
        <w:rPr>
          <w:b/>
          <w:bCs/>
          <w:lang w:val="ro-RO"/>
        </w:rPr>
        <w:t>rivind</w:t>
      </w:r>
      <w:r w:rsidR="00C52C7E" w:rsidRPr="003D5ACB">
        <w:rPr>
          <w:b/>
          <w:bCs/>
          <w:lang w:val="ro-RO"/>
        </w:rPr>
        <w:t xml:space="preserve"> stabilirea metodelor de eșantionare </w:t>
      </w:r>
    </w:p>
    <w:p w14:paraId="366F05E0" w14:textId="77777777" w:rsidR="00C52C7E" w:rsidRPr="003D5ACB" w:rsidRDefault="00C52C7E" w:rsidP="009A45A2">
      <w:pPr>
        <w:jc w:val="both"/>
        <w:rPr>
          <w:b/>
          <w:bCs/>
          <w:lang w:val="ro-RO"/>
        </w:rPr>
      </w:pPr>
      <w:r w:rsidRPr="003D5ACB">
        <w:rPr>
          <w:b/>
          <w:bCs/>
          <w:lang w:val="ro-RO"/>
        </w:rPr>
        <w:t xml:space="preserve">și analiză pentru controlul oficial al furajelor </w:t>
      </w:r>
    </w:p>
    <w:p w14:paraId="4BA7930F" w14:textId="77777777" w:rsidR="00C52C7E" w:rsidRPr="003D5ACB" w:rsidRDefault="00C52C7E" w:rsidP="009A45A2">
      <w:pPr>
        <w:jc w:val="both"/>
        <w:rPr>
          <w:b/>
          <w:bCs/>
          <w:lang w:val="ro-RO"/>
        </w:rPr>
      </w:pPr>
      <w:r w:rsidRPr="003D5ACB">
        <w:rPr>
          <w:b/>
          <w:bCs/>
          <w:lang w:val="ro-RO"/>
        </w:rPr>
        <w:t xml:space="preserve">în vederea detectării materialului modificat </w:t>
      </w:r>
    </w:p>
    <w:p w14:paraId="7044D71E" w14:textId="77777777" w:rsidR="009A45A2" w:rsidRPr="003D5ACB" w:rsidRDefault="00C52C7E" w:rsidP="009A45A2">
      <w:pPr>
        <w:jc w:val="both"/>
        <w:rPr>
          <w:b/>
          <w:bCs/>
          <w:lang w:val="ro-RO"/>
        </w:rPr>
      </w:pPr>
      <w:r w:rsidRPr="003D5ACB">
        <w:rPr>
          <w:b/>
          <w:bCs/>
          <w:lang w:val="ro-RO"/>
        </w:rPr>
        <w:t xml:space="preserve">genetic pentru care o procedură de </w:t>
      </w:r>
    </w:p>
    <w:p w14:paraId="4CE4F89E" w14:textId="77777777" w:rsidR="009A45A2" w:rsidRPr="003D5ACB" w:rsidRDefault="00C52C7E" w:rsidP="009A45A2">
      <w:pPr>
        <w:jc w:val="both"/>
        <w:rPr>
          <w:b/>
          <w:bCs/>
          <w:lang w:val="ro-RO"/>
        </w:rPr>
      </w:pPr>
      <w:r w:rsidRPr="003D5ACB">
        <w:rPr>
          <w:b/>
          <w:bCs/>
          <w:lang w:val="ro-RO"/>
        </w:rPr>
        <w:t xml:space="preserve">autorizare este în curs de desfășurare sau </w:t>
      </w:r>
    </w:p>
    <w:p w14:paraId="6210A9CD" w14:textId="6A993CAE" w:rsidR="00C52C7E" w:rsidRPr="003D5ACB" w:rsidRDefault="00C52C7E" w:rsidP="009A45A2">
      <w:pPr>
        <w:jc w:val="both"/>
        <w:rPr>
          <w:b/>
          <w:bCs/>
          <w:lang w:val="ro-RO"/>
        </w:rPr>
      </w:pPr>
      <w:r w:rsidRPr="003D5ACB">
        <w:rPr>
          <w:b/>
          <w:bCs/>
          <w:lang w:val="ro-RO"/>
        </w:rPr>
        <w:t>a cărui autorizare a expirat</w:t>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r>
      <w:r w:rsidR="006D1011" w:rsidRPr="003D5ACB">
        <w:rPr>
          <w:b/>
          <w:bCs/>
          <w:lang w:val="ro-RO"/>
        </w:rPr>
        <w:tab/>
        <w:t xml:space="preserve">        UE</w:t>
      </w:r>
    </w:p>
    <w:p w14:paraId="04891370" w14:textId="77777777" w:rsidR="006D1011" w:rsidRPr="003D5ACB" w:rsidRDefault="006D1011" w:rsidP="009A45A2">
      <w:pPr>
        <w:ind w:firstLine="567"/>
        <w:jc w:val="both"/>
        <w:rPr>
          <w:b/>
          <w:bCs/>
          <w:lang w:val="ro-RO"/>
        </w:rPr>
      </w:pPr>
    </w:p>
    <w:p w14:paraId="4FB4E247" w14:textId="4F44AF23" w:rsidR="0005323D" w:rsidRPr="003D5ACB" w:rsidRDefault="0005323D" w:rsidP="009A45A2">
      <w:pPr>
        <w:spacing w:after="160"/>
        <w:ind w:firstLine="720"/>
        <w:jc w:val="both"/>
        <w:rPr>
          <w:color w:val="000000"/>
          <w:lang w:val="ro-RO" w:eastAsia="ru-RU"/>
        </w:rPr>
      </w:pPr>
      <w:r w:rsidRPr="003D5ACB">
        <w:rPr>
          <w:color w:val="000000"/>
          <w:lang w:val="ro-RO" w:eastAsia="ru-RU"/>
        </w:rPr>
        <w:t xml:space="preserve">În temeiul Legii nr. 112 din 02-07-2014 pentru ratificarea Acordului de Asociere între Republica Moldova, pe de o parte, și Uniunea Europeană și Comunitatea Europeană a Energiei Atomice și statele membre ale acestora, pe de altă parte, a acțiunii nr.64 din anexa A, Cluster 5, al Programului național de aderare a Republicii Moldova la Uniunea Europeană pentru anii 2025-2029, aprobat prin Hotărârea Guvernului nr. 306/2025, </w:t>
      </w:r>
    </w:p>
    <w:p w14:paraId="5890937A" w14:textId="4CB488E4" w:rsidR="0005323D" w:rsidRPr="003D5ACB" w:rsidRDefault="0005323D" w:rsidP="009A45A2">
      <w:pPr>
        <w:pStyle w:val="oj-doc-ti"/>
        <w:shd w:val="clear" w:color="auto" w:fill="FFFFFF"/>
        <w:spacing w:before="0" w:after="0"/>
        <w:ind w:firstLine="720"/>
        <w:jc w:val="both"/>
        <w:rPr>
          <w:sz w:val="28"/>
          <w:szCs w:val="28"/>
          <w:lang w:val="ro-RO"/>
        </w:rPr>
      </w:pPr>
      <w:r w:rsidRPr="003D5ACB">
        <w:rPr>
          <w:sz w:val="28"/>
          <w:szCs w:val="28"/>
          <w:lang w:val="ro-RO" w:eastAsia="ru-RU"/>
        </w:rPr>
        <w:t>Prezentul ordin transpune</w:t>
      </w:r>
      <w:r w:rsidRPr="003D5ACB">
        <w:rPr>
          <w:sz w:val="28"/>
          <w:szCs w:val="28"/>
          <w:lang w:val="ro-RO"/>
        </w:rPr>
        <w:t xml:space="preserve"> Regulamentul delegat (UE) 619/2011 al Comisiei din 24 iunie 2011 stabilire a metodelor de eșantionare și analiză pentru controlul oficial al furajelor în vederea detectării materialului modificat genetic pentru care o procedură de autorizare este în curs de desfășurare sau a cărui autorizare a expirat, (CELEX: 32011R0619), publicat în Jurnalul Oficial al Uniunii Europene L 116/9 din 25 iunie 2011,</w:t>
      </w:r>
    </w:p>
    <w:p w14:paraId="12ECBC7A" w14:textId="3D7683FD" w:rsidR="00170C32" w:rsidRPr="003D5ACB" w:rsidRDefault="00170C32" w:rsidP="009A45A2">
      <w:pPr>
        <w:ind w:firstLine="567"/>
        <w:jc w:val="both"/>
        <w:rPr>
          <w:lang w:val="ro-RO"/>
        </w:rPr>
      </w:pPr>
    </w:p>
    <w:p w14:paraId="6387CC47" w14:textId="54D380EA" w:rsidR="00C65660" w:rsidRPr="003D5ACB" w:rsidRDefault="00C65660" w:rsidP="009A45A2">
      <w:pPr>
        <w:jc w:val="center"/>
        <w:rPr>
          <w:b/>
          <w:bCs/>
          <w:lang w:val="ro-RO"/>
        </w:rPr>
      </w:pPr>
      <w:r w:rsidRPr="003D5ACB">
        <w:rPr>
          <w:b/>
          <w:bCs/>
          <w:lang w:val="ro-RO"/>
        </w:rPr>
        <w:t>ORDON:</w:t>
      </w:r>
      <w:r w:rsidR="009953B4">
        <w:rPr>
          <w:b/>
          <w:bCs/>
          <w:lang w:val="ro-RO"/>
        </w:rPr>
        <w:t xml:space="preserve"> </w:t>
      </w:r>
    </w:p>
    <w:p w14:paraId="78CF86F2" w14:textId="77777777" w:rsidR="00170C32" w:rsidRPr="003D5ACB" w:rsidRDefault="00170C32" w:rsidP="009A6C34">
      <w:pPr>
        <w:rPr>
          <w:b/>
          <w:bCs/>
          <w:lang w:val="ro-RO"/>
        </w:rPr>
      </w:pPr>
    </w:p>
    <w:p w14:paraId="6BB4A971" w14:textId="44F47A3B" w:rsidR="00C65660" w:rsidRPr="003D5ACB" w:rsidRDefault="00C65660" w:rsidP="009A45A2">
      <w:pPr>
        <w:tabs>
          <w:tab w:val="left" w:pos="284"/>
          <w:tab w:val="left" w:pos="851"/>
          <w:tab w:val="left" w:pos="993"/>
        </w:tabs>
        <w:jc w:val="both"/>
        <w:rPr>
          <w:lang w:val="ro-RO"/>
        </w:rPr>
      </w:pPr>
      <w:r w:rsidRPr="003D5ACB">
        <w:rPr>
          <w:b/>
          <w:bCs/>
          <w:lang w:val="ro-RO"/>
        </w:rPr>
        <w:t>1.</w:t>
      </w:r>
      <w:r w:rsidRPr="003D5ACB">
        <w:rPr>
          <w:lang w:val="ro-RO"/>
        </w:rPr>
        <w:t xml:space="preserve"> Se aprobă </w:t>
      </w:r>
      <w:r w:rsidR="001F0B1C" w:rsidRPr="003D5ACB">
        <w:rPr>
          <w:lang w:val="ro-RO"/>
        </w:rPr>
        <w:t>Regulamentul</w:t>
      </w:r>
      <w:r w:rsidR="00346DD8" w:rsidRPr="003D5ACB">
        <w:rPr>
          <w:lang w:val="ro-RO"/>
        </w:rPr>
        <w:t xml:space="preserve"> </w:t>
      </w:r>
      <w:r w:rsidR="00C52C7E" w:rsidRPr="003D5ACB">
        <w:rPr>
          <w:lang w:val="ro-RO"/>
        </w:rPr>
        <w:t>privind stabilirea metodelor de eșantionare și analiză pentru controlul oficial al furajelor în vederea detectării materialului modificat genetic pentru care o procedură de autorizare este în curs de desfășurare sau a cărui autorizare a expirat</w:t>
      </w:r>
      <w:r w:rsidR="00346DD8" w:rsidRPr="003D5ACB">
        <w:rPr>
          <w:lang w:val="ro-RO"/>
        </w:rPr>
        <w:t xml:space="preserve">, </w:t>
      </w:r>
      <w:r w:rsidRPr="003D5ACB">
        <w:rPr>
          <w:lang w:val="ro-RO"/>
        </w:rPr>
        <w:t>conform anexei.</w:t>
      </w:r>
    </w:p>
    <w:p w14:paraId="7201F662" w14:textId="77D47FDE" w:rsidR="0005323D" w:rsidRPr="003D5ACB" w:rsidRDefault="0005323D" w:rsidP="009A45A2">
      <w:pPr>
        <w:tabs>
          <w:tab w:val="left" w:pos="284"/>
          <w:tab w:val="left" w:pos="851"/>
          <w:tab w:val="left" w:pos="993"/>
        </w:tabs>
        <w:jc w:val="both"/>
        <w:rPr>
          <w:b/>
          <w:bCs/>
          <w:lang w:val="ro-RO"/>
        </w:rPr>
      </w:pPr>
      <w:r w:rsidRPr="003D5ACB">
        <w:rPr>
          <w:b/>
          <w:bCs/>
          <w:lang w:val="ro-RO"/>
        </w:rPr>
        <w:t xml:space="preserve">2. </w:t>
      </w:r>
      <w:r w:rsidR="00AB04BC" w:rsidRPr="003D5ACB">
        <w:rPr>
          <w:rFonts w:eastAsia="Calibri"/>
          <w:kern w:val="2"/>
          <w:lang w:val="ro-RO"/>
          <w14:ligatures w14:val="standardContextual"/>
        </w:rPr>
        <w:t>Prezentul ordin întră în vigoare la data publicării în Monitorul Oficial al Republicii Moldova.</w:t>
      </w:r>
    </w:p>
    <w:p w14:paraId="0CD5323D" w14:textId="515C88EC" w:rsidR="00C65660" w:rsidRPr="003D5ACB" w:rsidRDefault="00C65660" w:rsidP="009A45A2">
      <w:pPr>
        <w:jc w:val="both"/>
        <w:rPr>
          <w:lang w:val="ro-RO"/>
        </w:rPr>
      </w:pPr>
      <w:r w:rsidRPr="003D5ACB">
        <w:rPr>
          <w:b/>
          <w:bCs/>
          <w:lang w:val="ro-RO"/>
        </w:rPr>
        <w:t>3.</w:t>
      </w:r>
      <w:r w:rsidRPr="003D5ACB">
        <w:rPr>
          <w:lang w:val="ro-RO"/>
        </w:rPr>
        <w:t xml:space="preserve"> </w:t>
      </w:r>
      <w:r w:rsidR="00AB04BC" w:rsidRPr="003D5ACB">
        <w:rPr>
          <w:rFonts w:eastAsia="Calibri"/>
          <w:kern w:val="2"/>
          <w:lang w:val="ro-RO"/>
          <w14:ligatures w14:val="standardContextual"/>
        </w:rPr>
        <w:t>Prezentul ordin se abrogă la data aderării la Uniunea Europeană.</w:t>
      </w:r>
    </w:p>
    <w:p w14:paraId="69F50E12" w14:textId="357D30D9" w:rsidR="00C65660" w:rsidRPr="003D5ACB" w:rsidRDefault="00C65660" w:rsidP="00C65660">
      <w:pPr>
        <w:jc w:val="both"/>
        <w:rPr>
          <w:lang w:val="ro-RO"/>
        </w:rPr>
      </w:pPr>
    </w:p>
    <w:p w14:paraId="52ADD6B4" w14:textId="77777777" w:rsidR="00C65660" w:rsidRPr="007E4160" w:rsidRDefault="00C65660" w:rsidP="00C65660">
      <w:pPr>
        <w:jc w:val="both"/>
        <w:rPr>
          <w:sz w:val="36"/>
          <w:szCs w:val="36"/>
          <w:lang w:val="ro-RO"/>
        </w:rPr>
      </w:pPr>
    </w:p>
    <w:p w14:paraId="4DE91BDD" w14:textId="5A571543" w:rsidR="002D6AA8" w:rsidRDefault="00C65660" w:rsidP="00FE0935">
      <w:pPr>
        <w:jc w:val="center"/>
        <w:rPr>
          <w:sz w:val="22"/>
          <w:szCs w:val="22"/>
          <w:lang w:val="ro-RO"/>
        </w:rPr>
      </w:pPr>
      <w:r w:rsidRPr="003D5ACB">
        <w:rPr>
          <w:b/>
          <w:bCs/>
          <w:lang w:val="ro-RO"/>
        </w:rPr>
        <w:t>Director general</w:t>
      </w:r>
      <w:r w:rsidRPr="003D5ACB">
        <w:rPr>
          <w:b/>
          <w:bCs/>
          <w:lang w:val="ro-RO"/>
        </w:rPr>
        <w:tab/>
      </w:r>
      <w:r w:rsidRPr="003D5ACB">
        <w:rPr>
          <w:b/>
          <w:bCs/>
          <w:lang w:val="ro-RO"/>
        </w:rPr>
        <w:tab/>
      </w:r>
      <w:r w:rsidRPr="003D5ACB">
        <w:rPr>
          <w:b/>
          <w:bCs/>
          <w:lang w:val="ro-RO"/>
        </w:rPr>
        <w:tab/>
      </w:r>
      <w:r w:rsidRPr="003D5ACB">
        <w:rPr>
          <w:b/>
          <w:bCs/>
          <w:lang w:val="ro-RO"/>
        </w:rPr>
        <w:tab/>
        <w:t xml:space="preserve">            </w:t>
      </w:r>
      <w:r w:rsidRPr="003D5ACB">
        <w:rPr>
          <w:b/>
          <w:bCs/>
          <w:lang w:val="ro-RO"/>
        </w:rPr>
        <w:tab/>
      </w:r>
      <w:r w:rsidRPr="003D5ACB">
        <w:rPr>
          <w:b/>
          <w:bCs/>
          <w:lang w:val="ro-RO"/>
        </w:rPr>
        <w:tab/>
        <w:t xml:space="preserve">         Radu MUSTEAȚA</w:t>
      </w:r>
    </w:p>
    <w:p w14:paraId="6B2A0C6E" w14:textId="548D5B01" w:rsidR="009A45A2" w:rsidRPr="003D5ACB" w:rsidRDefault="009A45A2" w:rsidP="009A45A2">
      <w:pPr>
        <w:jc w:val="right"/>
        <w:rPr>
          <w:sz w:val="22"/>
          <w:szCs w:val="22"/>
          <w:lang w:val="ro-RO"/>
        </w:rPr>
      </w:pPr>
      <w:r w:rsidRPr="003D5ACB">
        <w:rPr>
          <w:sz w:val="22"/>
          <w:szCs w:val="22"/>
          <w:lang w:val="ro-RO"/>
        </w:rPr>
        <w:lastRenderedPageBreak/>
        <w:t xml:space="preserve">Aprobat prin Ordinul </w:t>
      </w:r>
    </w:p>
    <w:p w14:paraId="472BCEB9" w14:textId="77777777" w:rsidR="009A45A2" w:rsidRPr="003D5ACB" w:rsidRDefault="009A45A2" w:rsidP="009A45A2">
      <w:pPr>
        <w:jc w:val="right"/>
        <w:rPr>
          <w:sz w:val="22"/>
          <w:szCs w:val="22"/>
          <w:lang w:val="ro-RO"/>
        </w:rPr>
      </w:pPr>
      <w:r w:rsidRPr="003D5ACB">
        <w:rPr>
          <w:sz w:val="22"/>
          <w:szCs w:val="22"/>
          <w:lang w:val="ro-RO"/>
        </w:rPr>
        <w:t xml:space="preserve">directorului general al Agenției Naționale </w:t>
      </w:r>
    </w:p>
    <w:p w14:paraId="76A6654C" w14:textId="77777777" w:rsidR="009A45A2" w:rsidRPr="003D5ACB" w:rsidRDefault="009A45A2" w:rsidP="009A45A2">
      <w:pPr>
        <w:jc w:val="right"/>
        <w:rPr>
          <w:sz w:val="22"/>
          <w:szCs w:val="22"/>
          <w:lang w:val="ro-RO"/>
        </w:rPr>
      </w:pPr>
      <w:r w:rsidRPr="003D5ACB">
        <w:rPr>
          <w:sz w:val="22"/>
          <w:szCs w:val="22"/>
          <w:lang w:val="ro-RO"/>
        </w:rPr>
        <w:t xml:space="preserve">pentru Siguranța Alimentelor </w:t>
      </w:r>
    </w:p>
    <w:p w14:paraId="6889097F" w14:textId="306E5C96" w:rsidR="009A45A2" w:rsidRPr="003D5ACB" w:rsidRDefault="009A45A2" w:rsidP="009A45A2">
      <w:pPr>
        <w:jc w:val="right"/>
        <w:rPr>
          <w:sz w:val="22"/>
          <w:szCs w:val="22"/>
          <w:lang w:val="ro-RO"/>
        </w:rPr>
      </w:pPr>
      <w:r w:rsidRPr="003D5ACB">
        <w:rPr>
          <w:sz w:val="22"/>
          <w:szCs w:val="22"/>
          <w:lang w:val="ro-RO"/>
        </w:rPr>
        <w:t>nr. _______din _______________ 2026</w:t>
      </w:r>
    </w:p>
    <w:p w14:paraId="7CC73589" w14:textId="77777777" w:rsidR="00170C32" w:rsidRPr="003D5ACB" w:rsidRDefault="00170C32" w:rsidP="00170C32">
      <w:pPr>
        <w:jc w:val="right"/>
        <w:rPr>
          <w:sz w:val="22"/>
          <w:szCs w:val="22"/>
          <w:lang w:val="ro-RO"/>
        </w:rPr>
      </w:pPr>
    </w:p>
    <w:p w14:paraId="538D32E0" w14:textId="77777777" w:rsidR="00170C32" w:rsidRPr="003D5ACB" w:rsidRDefault="00170C32" w:rsidP="00170C32">
      <w:pPr>
        <w:jc w:val="center"/>
        <w:rPr>
          <w:b/>
          <w:bCs/>
          <w:sz w:val="22"/>
          <w:szCs w:val="22"/>
          <w:lang w:val="ro-RO"/>
        </w:rPr>
      </w:pPr>
    </w:p>
    <w:p w14:paraId="19133911" w14:textId="1D93ACA8" w:rsidR="00170C32" w:rsidRPr="003D5ACB" w:rsidRDefault="00AA0103" w:rsidP="0008002E">
      <w:pPr>
        <w:spacing w:line="276" w:lineRule="auto"/>
        <w:jc w:val="center"/>
        <w:rPr>
          <w:b/>
          <w:bCs/>
          <w:lang w:val="ro-RO"/>
        </w:rPr>
      </w:pPr>
      <w:r w:rsidRPr="003D5ACB">
        <w:rPr>
          <w:b/>
          <w:bCs/>
          <w:lang w:val="ro-RO"/>
        </w:rPr>
        <w:t>REGULAMENT</w:t>
      </w:r>
    </w:p>
    <w:p w14:paraId="125C8827" w14:textId="6C5802C5" w:rsidR="00C52C7E" w:rsidRPr="003D5ACB" w:rsidRDefault="00C52C7E" w:rsidP="00C52C7E">
      <w:pPr>
        <w:pStyle w:val="oj-doc-ti"/>
        <w:shd w:val="clear" w:color="auto" w:fill="FFFFFF"/>
        <w:spacing w:before="0" w:after="0" w:line="276" w:lineRule="auto"/>
        <w:jc w:val="center"/>
        <w:rPr>
          <w:b/>
          <w:bCs/>
          <w:sz w:val="28"/>
          <w:szCs w:val="28"/>
          <w:lang w:val="ro-RO" w:eastAsia="en-US"/>
        </w:rPr>
      </w:pPr>
      <w:r w:rsidRPr="003D5ACB">
        <w:rPr>
          <w:b/>
          <w:bCs/>
          <w:sz w:val="28"/>
          <w:szCs w:val="28"/>
          <w:lang w:val="ro-RO" w:eastAsia="en-US"/>
        </w:rPr>
        <w:t>privind stabilirea metodelor de eșantionare și analiză pentru controlul oficial</w:t>
      </w:r>
      <w:r w:rsidR="00884F9C" w:rsidRPr="003D5ACB">
        <w:rPr>
          <w:b/>
          <w:bCs/>
          <w:sz w:val="28"/>
          <w:szCs w:val="28"/>
          <w:lang w:val="ro-RO" w:eastAsia="en-US"/>
        </w:rPr>
        <w:t xml:space="preserve"> </w:t>
      </w:r>
      <w:r w:rsidRPr="003D5ACB">
        <w:rPr>
          <w:b/>
          <w:bCs/>
          <w:sz w:val="28"/>
          <w:szCs w:val="28"/>
          <w:lang w:val="ro-RO" w:eastAsia="en-US"/>
        </w:rPr>
        <w:t>al furajelor în vederea detectării materialului modificat genetic pentru care o procedură de autorizare este în curs de desfășurare sau a cărui autorizare a expirat</w:t>
      </w:r>
    </w:p>
    <w:p w14:paraId="3FBA5564" w14:textId="77777777" w:rsidR="003D5ACB" w:rsidRPr="003D5ACB" w:rsidRDefault="003D5ACB" w:rsidP="003D5ACB">
      <w:pPr>
        <w:shd w:val="clear" w:color="auto" w:fill="FFFFFF"/>
        <w:jc w:val="center"/>
        <w:rPr>
          <w:bCs/>
          <w:shd w:val="clear" w:color="auto" w:fill="FFFFFF"/>
          <w:lang w:val="ro-RO" w:eastAsia="ro-RO"/>
        </w:rPr>
      </w:pPr>
    </w:p>
    <w:p w14:paraId="3C9D67D9" w14:textId="5E3C05E0" w:rsidR="003D5ACB" w:rsidRPr="003D5ACB" w:rsidRDefault="003D5ACB" w:rsidP="003D5ACB">
      <w:pPr>
        <w:shd w:val="clear" w:color="auto" w:fill="FFFFFF"/>
        <w:jc w:val="center"/>
        <w:rPr>
          <w:b/>
          <w:shd w:val="clear" w:color="auto" w:fill="FFFFFF"/>
          <w:lang w:val="ro-RO" w:eastAsia="ro-RO"/>
        </w:rPr>
      </w:pPr>
      <w:r w:rsidRPr="003D5ACB">
        <w:rPr>
          <w:b/>
          <w:shd w:val="clear" w:color="auto" w:fill="FFFFFF"/>
          <w:lang w:val="ro-RO" w:eastAsia="ro-RO"/>
        </w:rPr>
        <w:t>Secțiunea 1</w:t>
      </w:r>
    </w:p>
    <w:p w14:paraId="02BEA0C4" w14:textId="54920BF1" w:rsidR="00BA4EBE" w:rsidRPr="003D5ACB" w:rsidRDefault="003D5ACB" w:rsidP="003D5ACB">
      <w:pPr>
        <w:jc w:val="center"/>
        <w:rPr>
          <w:b/>
          <w:bCs/>
          <w:color w:val="000000"/>
          <w:lang w:val="ro-RO"/>
        </w:rPr>
      </w:pPr>
      <w:r w:rsidRPr="003D2536">
        <w:rPr>
          <w:b/>
          <w:bCs/>
          <w:color w:val="000000"/>
          <w:lang w:val="ro-RO"/>
        </w:rPr>
        <w:t>Dispoziții generale</w:t>
      </w:r>
      <w:r>
        <w:rPr>
          <w:b/>
          <w:bCs/>
          <w:color w:val="000000"/>
          <w:lang w:val="ro-RO"/>
        </w:rPr>
        <w:t xml:space="preserve"> </w:t>
      </w:r>
    </w:p>
    <w:p w14:paraId="6728C060" w14:textId="5213CF04" w:rsidR="008F238D" w:rsidRPr="003D5ACB" w:rsidRDefault="00BA4EBE" w:rsidP="00BA4EBE">
      <w:pPr>
        <w:pStyle w:val="oj-doc-ti"/>
        <w:shd w:val="clear" w:color="auto" w:fill="FFFFFF"/>
        <w:spacing w:before="0" w:after="0" w:line="276" w:lineRule="auto"/>
        <w:jc w:val="both"/>
        <w:rPr>
          <w:sz w:val="28"/>
          <w:szCs w:val="28"/>
          <w:lang w:val="ro-RO"/>
        </w:rPr>
      </w:pPr>
      <w:r w:rsidRPr="003D5ACB">
        <w:rPr>
          <w:b/>
          <w:bCs/>
          <w:sz w:val="28"/>
          <w:szCs w:val="28"/>
          <w:lang w:val="ro-RO"/>
        </w:rPr>
        <w:t>1.</w:t>
      </w:r>
      <w:r w:rsidRPr="003D5ACB">
        <w:rPr>
          <w:sz w:val="28"/>
          <w:szCs w:val="28"/>
          <w:lang w:val="ro-RO"/>
        </w:rPr>
        <w:t xml:space="preserve"> </w:t>
      </w:r>
      <w:r w:rsidR="00884F9C" w:rsidRPr="003D5ACB">
        <w:rPr>
          <w:sz w:val="28"/>
          <w:szCs w:val="28"/>
          <w:lang w:val="ro-RO"/>
        </w:rPr>
        <w:t>Prezentul r</w:t>
      </w:r>
      <w:r w:rsidR="00C52C7E" w:rsidRPr="003D5ACB">
        <w:rPr>
          <w:sz w:val="28"/>
          <w:szCs w:val="28"/>
          <w:lang w:val="ro-RO"/>
        </w:rPr>
        <w:t>egulament stabile</w:t>
      </w:r>
      <w:r w:rsidR="00884F9C" w:rsidRPr="003D5ACB">
        <w:rPr>
          <w:sz w:val="28"/>
          <w:szCs w:val="28"/>
          <w:lang w:val="ro-RO"/>
        </w:rPr>
        <w:t>ște</w:t>
      </w:r>
      <w:r w:rsidR="00C52C7E" w:rsidRPr="003D5ACB">
        <w:rPr>
          <w:sz w:val="28"/>
          <w:szCs w:val="28"/>
          <w:lang w:val="ro-RO"/>
        </w:rPr>
        <w:t xml:space="preserve"> metode de eșantionare și analiză pentru controlul oficial al furajelor în vederea detectării materialului modificat genetic pentru care o procedură de autorizare este în curs de desfășurare sau a cărui autorizare a expirat</w:t>
      </w:r>
      <w:r w:rsidR="00884F9C" w:rsidRPr="003D5ACB">
        <w:rPr>
          <w:sz w:val="28"/>
          <w:szCs w:val="28"/>
          <w:lang w:val="ro-RO"/>
        </w:rPr>
        <w:t>.</w:t>
      </w:r>
    </w:p>
    <w:p w14:paraId="1DBFE7F8" w14:textId="2DA13447" w:rsidR="008F238D" w:rsidRPr="003D5ACB" w:rsidRDefault="003D5ACB" w:rsidP="008F238D">
      <w:pPr>
        <w:jc w:val="both"/>
        <w:rPr>
          <w:b/>
          <w:bCs/>
          <w:shd w:val="clear" w:color="auto" w:fill="FFFFFF"/>
          <w:lang w:val="ro-RO"/>
        </w:rPr>
      </w:pPr>
      <w:r w:rsidRPr="006D5385">
        <w:rPr>
          <w:b/>
          <w:bCs/>
          <w:shd w:val="clear" w:color="auto" w:fill="FFFFFF"/>
          <w:lang w:val="ro-RO"/>
        </w:rPr>
        <w:t>2</w:t>
      </w:r>
      <w:r w:rsidR="008F238D" w:rsidRPr="006D5385">
        <w:rPr>
          <w:b/>
          <w:bCs/>
          <w:shd w:val="clear" w:color="auto" w:fill="FFFFFF"/>
          <w:lang w:val="ro-RO"/>
        </w:rPr>
        <w:t>.</w:t>
      </w:r>
      <w:r w:rsidR="008F238D" w:rsidRPr="003D5ACB">
        <w:rPr>
          <w:shd w:val="clear" w:color="auto" w:fill="FFFFFF"/>
          <w:lang w:val="ro-RO"/>
        </w:rPr>
        <w:t xml:space="preserve"> În sensul prezentului ordin, se aplică următoarele noțiuni: </w:t>
      </w:r>
    </w:p>
    <w:p w14:paraId="6632C6EB" w14:textId="505D026F" w:rsidR="008F238D" w:rsidRPr="003D5ACB" w:rsidRDefault="008F238D" w:rsidP="008F238D">
      <w:pPr>
        <w:jc w:val="both"/>
        <w:rPr>
          <w:shd w:val="clear" w:color="auto" w:fill="FFFFFF"/>
          <w:lang w:val="ro-RO"/>
        </w:rPr>
      </w:pPr>
      <w:r w:rsidRPr="006D49D4">
        <w:rPr>
          <w:i/>
          <w:iCs/>
          <w:shd w:val="clear" w:color="auto" w:fill="FFFFFF"/>
          <w:lang w:val="ro-RO"/>
        </w:rPr>
        <w:t>precizie</w:t>
      </w:r>
      <w:r w:rsidR="006D49D4" w:rsidRPr="006D49D4">
        <w:rPr>
          <w:i/>
          <w:iCs/>
          <w:shd w:val="clear" w:color="auto" w:fill="FFFFFF"/>
          <w:lang w:val="ro-RO"/>
        </w:rPr>
        <w:t xml:space="preserve"> </w:t>
      </w:r>
      <w:r w:rsidRPr="006D49D4">
        <w:rPr>
          <w:i/>
          <w:iCs/>
          <w:shd w:val="clear" w:color="auto" w:fill="FFFFFF"/>
          <w:lang w:val="ro-RO"/>
        </w:rPr>
        <w:t>- deviația standard relativă a repetabilității (RSDr)</w:t>
      </w:r>
      <w:r w:rsidRPr="003D5ACB">
        <w:rPr>
          <w:b/>
          <w:bCs/>
          <w:shd w:val="clear" w:color="auto" w:fill="FFFFFF"/>
          <w:lang w:val="ro-RO"/>
        </w:rPr>
        <w:t xml:space="preserve"> </w:t>
      </w:r>
      <w:r w:rsidRPr="003D5ACB">
        <w:rPr>
          <w:shd w:val="clear" w:color="auto" w:fill="FFFFFF"/>
          <w:lang w:val="ro-RO"/>
        </w:rPr>
        <w:t>deviația standard relativă a rezultatelor încercărilor obținute în condiții de repetabilitate. Condiții de repetabilitate sunt condiții în care rezultatele încercărilor sunt obținute prin aplicarea aceleiași metode unui material de încercare identic, în același laborator și de către același operator, folosind același echipament la intervale scurte de timp;</w:t>
      </w:r>
    </w:p>
    <w:p w14:paraId="45061D8E" w14:textId="1FD64A8A" w:rsidR="008F238D" w:rsidRPr="003D5ACB" w:rsidRDefault="008F238D" w:rsidP="008F238D">
      <w:pPr>
        <w:jc w:val="both"/>
        <w:rPr>
          <w:shd w:val="clear" w:color="auto" w:fill="FFFFFF"/>
          <w:lang w:val="ro-RO"/>
        </w:rPr>
      </w:pPr>
      <w:r w:rsidRPr="006D49D4">
        <w:rPr>
          <w:i/>
          <w:iCs/>
          <w:shd w:val="clear" w:color="auto" w:fill="FFFFFF"/>
          <w:lang w:val="ro-RO"/>
        </w:rPr>
        <w:t>limita de performanță minima necesară” (LPMN)</w:t>
      </w:r>
      <w:r w:rsidRPr="003D5ACB">
        <w:rPr>
          <w:b/>
          <w:bCs/>
          <w:shd w:val="clear" w:color="auto" w:fill="FFFFFF"/>
          <w:lang w:val="ro-RO"/>
        </w:rPr>
        <w:t xml:space="preserve"> </w:t>
      </w:r>
      <w:r w:rsidR="006D49D4">
        <w:rPr>
          <w:b/>
          <w:bCs/>
          <w:shd w:val="clear" w:color="auto" w:fill="FFFFFF"/>
          <w:lang w:val="ro-RO"/>
        </w:rPr>
        <w:t xml:space="preserve">- </w:t>
      </w:r>
      <w:r w:rsidRPr="003D5ACB">
        <w:rPr>
          <w:shd w:val="clear" w:color="auto" w:fill="FFFFFF"/>
          <w:lang w:val="ro-RO"/>
        </w:rPr>
        <w:t>cea mai scăzută cantitate sau concentrație de analit din eșantion care trebuie detectată și confirmată cu certitudine de laboratoarele oficiale;</w:t>
      </w:r>
    </w:p>
    <w:p w14:paraId="16A8B7EA" w14:textId="435312C6" w:rsidR="008F238D" w:rsidRPr="003D5ACB" w:rsidRDefault="008F238D" w:rsidP="008F238D">
      <w:pPr>
        <w:jc w:val="both"/>
        <w:rPr>
          <w:shd w:val="clear" w:color="auto" w:fill="FFFFFF"/>
          <w:lang w:val="ro-RO"/>
        </w:rPr>
      </w:pPr>
      <w:r w:rsidRPr="006D49D4">
        <w:rPr>
          <w:i/>
          <w:iCs/>
          <w:shd w:val="clear" w:color="auto" w:fill="FFFFFF"/>
          <w:lang w:val="ro-RO"/>
        </w:rPr>
        <w:t>material MG</w:t>
      </w:r>
      <w:r w:rsidR="006D49D4">
        <w:rPr>
          <w:shd w:val="clear" w:color="auto" w:fill="FFFFFF"/>
          <w:lang w:val="ro-RO"/>
        </w:rPr>
        <w:t xml:space="preserve"> -</w:t>
      </w:r>
      <w:r w:rsidRPr="003D5ACB">
        <w:rPr>
          <w:shd w:val="clear" w:color="auto" w:fill="FFFFFF"/>
          <w:lang w:val="ro-RO"/>
        </w:rPr>
        <w:t xml:space="preserve"> material care conține, constă din sau este produs din OMG-uri.</w:t>
      </w:r>
    </w:p>
    <w:p w14:paraId="74718D47" w14:textId="01678E8F" w:rsidR="008F238D" w:rsidRPr="003D5ACB" w:rsidRDefault="003D5ACB" w:rsidP="008F238D">
      <w:pPr>
        <w:pStyle w:val="oj-doc-ti"/>
        <w:shd w:val="clear" w:color="auto" w:fill="FFFFFF"/>
        <w:spacing w:before="0" w:after="0" w:line="276" w:lineRule="auto"/>
        <w:jc w:val="both"/>
        <w:rPr>
          <w:sz w:val="28"/>
          <w:szCs w:val="28"/>
          <w:shd w:val="clear" w:color="auto" w:fill="FFFFFF"/>
          <w:lang w:val="ro-RO"/>
        </w:rPr>
      </w:pPr>
      <w:r w:rsidRPr="006D5385">
        <w:rPr>
          <w:b/>
          <w:bCs/>
          <w:sz w:val="28"/>
          <w:szCs w:val="28"/>
          <w:shd w:val="clear" w:color="auto" w:fill="FFFFFF"/>
          <w:lang w:val="ro-RO"/>
        </w:rPr>
        <w:t>3</w:t>
      </w:r>
      <w:r w:rsidR="008F238D" w:rsidRPr="006D5385">
        <w:rPr>
          <w:b/>
          <w:bCs/>
          <w:sz w:val="28"/>
          <w:szCs w:val="28"/>
          <w:shd w:val="clear" w:color="auto" w:fill="FFFFFF"/>
          <w:lang w:val="ro-RO"/>
        </w:rPr>
        <w:t>.</w:t>
      </w:r>
      <w:r w:rsidR="008F238D" w:rsidRPr="003D5ACB">
        <w:rPr>
          <w:sz w:val="28"/>
          <w:szCs w:val="28"/>
          <w:shd w:val="clear" w:color="auto" w:fill="FFFFFF"/>
          <w:lang w:val="ro-RO"/>
        </w:rPr>
        <w:t xml:space="preserve"> Sunt aplicabile și definițiile prevăzute la articolul 2 din Legea nr.394/2023 privind produsele alimentare și furajele modificate genetic și în anexa nr. 1 la Hotărârea Guvernului nr.686/2012 cu privire la aprobarea unor metode de analiză pentru controlul nutrețurilor.</w:t>
      </w:r>
    </w:p>
    <w:p w14:paraId="587116BE" w14:textId="77777777" w:rsidR="008F238D" w:rsidRPr="007906E6" w:rsidRDefault="008F238D" w:rsidP="008F238D">
      <w:pPr>
        <w:shd w:val="clear" w:color="auto" w:fill="FFFFFF"/>
        <w:jc w:val="center"/>
        <w:rPr>
          <w:b/>
          <w:shd w:val="clear" w:color="auto" w:fill="FFFFFF"/>
          <w:lang w:val="ro-RO" w:eastAsia="ro-RO"/>
        </w:rPr>
      </w:pPr>
      <w:r w:rsidRPr="007906E6">
        <w:rPr>
          <w:b/>
          <w:shd w:val="clear" w:color="auto" w:fill="FFFFFF"/>
          <w:lang w:val="ro-RO" w:eastAsia="ro-RO"/>
        </w:rPr>
        <w:t>Secțiunea 2</w:t>
      </w:r>
    </w:p>
    <w:p w14:paraId="058262D9" w14:textId="18FD5F46" w:rsidR="008F238D" w:rsidRPr="007906E6" w:rsidRDefault="00E94B78" w:rsidP="008F238D">
      <w:pPr>
        <w:shd w:val="clear" w:color="auto" w:fill="FFFFFF"/>
        <w:jc w:val="center"/>
        <w:rPr>
          <w:b/>
          <w:shd w:val="clear" w:color="auto" w:fill="FFFFFF"/>
          <w:lang w:val="ro-RO" w:eastAsia="ro-RO"/>
        </w:rPr>
      </w:pPr>
      <w:r w:rsidRPr="007906E6">
        <w:rPr>
          <w:b/>
          <w:shd w:val="clear" w:color="auto" w:fill="FFFFFF"/>
          <w:lang w:val="ro-RO" w:eastAsia="ro-RO"/>
        </w:rPr>
        <w:t>D</w:t>
      </w:r>
      <w:r w:rsidR="008F238D" w:rsidRPr="007906E6">
        <w:rPr>
          <w:b/>
          <w:shd w:val="clear" w:color="auto" w:fill="FFFFFF"/>
          <w:lang w:val="ro-RO" w:eastAsia="ro-RO"/>
        </w:rPr>
        <w:t>omeniu de aplicare</w:t>
      </w:r>
    </w:p>
    <w:p w14:paraId="7616E0EA" w14:textId="7E9A8EA9" w:rsidR="008F238D" w:rsidRPr="007906E6" w:rsidRDefault="006D5385" w:rsidP="008F238D">
      <w:pPr>
        <w:shd w:val="clear" w:color="auto" w:fill="FFFFFF"/>
        <w:jc w:val="both"/>
        <w:rPr>
          <w:bCs/>
          <w:shd w:val="clear" w:color="auto" w:fill="FFFFFF"/>
          <w:lang w:val="ro-RO" w:eastAsia="ro-RO"/>
        </w:rPr>
      </w:pPr>
      <w:r w:rsidRPr="007906E6">
        <w:rPr>
          <w:b/>
          <w:shd w:val="clear" w:color="auto" w:fill="FFFFFF"/>
          <w:lang w:val="ro-RO" w:eastAsia="ro-RO"/>
        </w:rPr>
        <w:t>4</w:t>
      </w:r>
      <w:r w:rsidR="008F238D" w:rsidRPr="007906E6">
        <w:rPr>
          <w:b/>
          <w:shd w:val="clear" w:color="auto" w:fill="FFFFFF"/>
          <w:lang w:val="ro-RO" w:eastAsia="ro-RO"/>
        </w:rPr>
        <w:t>.</w:t>
      </w:r>
      <w:r w:rsidR="008F238D" w:rsidRPr="007906E6">
        <w:rPr>
          <w:bCs/>
          <w:shd w:val="clear" w:color="auto" w:fill="FFFFFF"/>
          <w:lang w:val="ro-RO" w:eastAsia="ro-RO"/>
        </w:rPr>
        <w:t xml:space="preserve"> Prezentul </w:t>
      </w:r>
      <w:r w:rsidR="00D531DD" w:rsidRPr="007906E6">
        <w:rPr>
          <w:bCs/>
          <w:shd w:val="clear" w:color="auto" w:fill="FFFFFF"/>
          <w:lang w:val="ro-RO" w:eastAsia="ro-RO"/>
        </w:rPr>
        <w:t>regulament</w:t>
      </w:r>
      <w:r w:rsidR="008F238D" w:rsidRPr="007906E6">
        <w:rPr>
          <w:bCs/>
          <w:shd w:val="clear" w:color="auto" w:fill="FFFFFF"/>
          <w:lang w:val="ro-RO" w:eastAsia="ro-RO"/>
        </w:rPr>
        <w:t xml:space="preserve"> se aplică controalelor oficiale ale furajelor pentru verificarea prezenței următoarelor materiale:</w:t>
      </w:r>
    </w:p>
    <w:p w14:paraId="66BF7927" w14:textId="500B5169" w:rsidR="008F238D" w:rsidRPr="007906E6" w:rsidRDefault="0044354A" w:rsidP="008F238D">
      <w:pPr>
        <w:shd w:val="clear" w:color="auto" w:fill="FFFFFF"/>
        <w:jc w:val="both"/>
        <w:rPr>
          <w:bCs/>
          <w:shd w:val="clear" w:color="auto" w:fill="FFFFFF"/>
          <w:lang w:val="ro-RO" w:eastAsia="ro-RO"/>
        </w:rPr>
      </w:pPr>
      <w:r w:rsidRPr="007906E6">
        <w:rPr>
          <w:bCs/>
          <w:shd w:val="clear" w:color="auto" w:fill="FFFFFF"/>
          <w:lang w:val="ro-RO" w:eastAsia="ro-RO"/>
        </w:rPr>
        <w:t>4</w:t>
      </w:r>
      <w:r w:rsidR="008F238D" w:rsidRPr="007906E6">
        <w:rPr>
          <w:bCs/>
          <w:shd w:val="clear" w:color="auto" w:fill="FFFFFF"/>
          <w:lang w:val="ro-RO" w:eastAsia="ro-RO"/>
        </w:rPr>
        <w:t xml:space="preserve">.1 material modificat genetic autorizat pentru comercializare într-o țară </w:t>
      </w:r>
      <w:r w:rsidR="00E94B78" w:rsidRPr="007906E6">
        <w:rPr>
          <w:bCs/>
          <w:shd w:val="clear" w:color="auto" w:fill="FFFFFF"/>
          <w:lang w:val="ro-RO" w:eastAsia="ro-RO"/>
        </w:rPr>
        <w:t xml:space="preserve">membră a Uniunii Europene </w:t>
      </w:r>
      <w:r w:rsidR="008F238D" w:rsidRPr="007906E6">
        <w:rPr>
          <w:bCs/>
          <w:shd w:val="clear" w:color="auto" w:fill="FFFFFF"/>
          <w:lang w:val="ro-RO" w:eastAsia="ro-RO"/>
        </w:rPr>
        <w:t xml:space="preserve">și pentru care a fost depusă o cerere de autorizare </w:t>
      </w:r>
      <w:r w:rsidR="00E94B78" w:rsidRPr="007906E6">
        <w:rPr>
          <w:bCs/>
          <w:shd w:val="clear" w:color="auto" w:fill="FFFFFF"/>
          <w:lang w:val="ro-RO" w:eastAsia="ro-RO"/>
        </w:rPr>
        <w:t xml:space="preserve">în Republica Moldova, </w:t>
      </w:r>
      <w:r w:rsidR="008F238D" w:rsidRPr="007906E6">
        <w:rPr>
          <w:bCs/>
          <w:shd w:val="clear" w:color="auto" w:fill="FFFFFF"/>
          <w:lang w:val="ro-RO" w:eastAsia="ro-RO"/>
        </w:rPr>
        <w:t>în temeiul art. 5 din Legea nr. 394/2023 privind produsele alimentare și furajele modificate genetic și pentru care procedura de autorizare este în curs de desfășurare de mai mult de trei luni, cu condiția ca:</w:t>
      </w:r>
    </w:p>
    <w:p w14:paraId="5A97A8A7" w14:textId="37AAFB2A" w:rsidR="008F238D" w:rsidRPr="007906E6" w:rsidRDefault="0044354A" w:rsidP="008F238D">
      <w:pPr>
        <w:shd w:val="clear" w:color="auto" w:fill="FFFFFF"/>
        <w:jc w:val="both"/>
        <w:rPr>
          <w:bCs/>
          <w:shd w:val="clear" w:color="auto" w:fill="FFFFFF"/>
          <w:lang w:val="ro-RO" w:eastAsia="ro-RO"/>
        </w:rPr>
      </w:pPr>
      <w:r w:rsidRPr="007906E6">
        <w:rPr>
          <w:bCs/>
          <w:shd w:val="clear" w:color="auto" w:fill="FFFFFF"/>
          <w:lang w:val="ro-RO" w:eastAsia="ro-RO"/>
        </w:rPr>
        <w:t>4</w:t>
      </w:r>
      <w:r w:rsidR="008F238D" w:rsidRPr="007906E6">
        <w:rPr>
          <w:bCs/>
          <w:shd w:val="clear" w:color="auto" w:fill="FFFFFF"/>
          <w:lang w:val="ro-RO" w:eastAsia="ro-RO"/>
        </w:rPr>
        <w:t xml:space="preserve">.1.1 </w:t>
      </w:r>
      <w:r w:rsidR="008F238D" w:rsidRPr="007906E6">
        <w:rPr>
          <w:shd w:val="clear" w:color="auto" w:fill="FFFFFF"/>
          <w:lang w:val="ro-RO"/>
        </w:rPr>
        <w:t>Comisia Națională pentru Securitate Biologică</w:t>
      </w:r>
      <w:r w:rsidR="008F238D" w:rsidRPr="007906E6">
        <w:rPr>
          <w:rFonts w:ascii="PT Serif" w:hAnsi="PT Serif"/>
          <w:shd w:val="clear" w:color="auto" w:fill="FFFFFF"/>
          <w:lang w:val="ro-RO"/>
        </w:rPr>
        <w:t xml:space="preserve"> </w:t>
      </w:r>
      <w:r w:rsidR="008F238D" w:rsidRPr="007906E6">
        <w:rPr>
          <w:bCs/>
          <w:shd w:val="clear" w:color="auto" w:fill="FFFFFF"/>
          <w:lang w:val="ro-RO" w:eastAsia="ro-RO"/>
        </w:rPr>
        <w:t>să nu-l fi identificat ca susceptibil de a avea efecte negative asupra sănătății sau mediului atunci când este prezent sub limita de performanță minimă necesară (LPMN);</w:t>
      </w:r>
    </w:p>
    <w:p w14:paraId="072E068F" w14:textId="64137716" w:rsidR="008F238D" w:rsidRPr="007906E6" w:rsidRDefault="0044354A" w:rsidP="008F238D">
      <w:pPr>
        <w:shd w:val="clear" w:color="auto" w:fill="FFFFFF"/>
        <w:jc w:val="both"/>
        <w:rPr>
          <w:bCs/>
          <w:color w:val="EE0000"/>
          <w:shd w:val="clear" w:color="auto" w:fill="FFFFFF"/>
          <w:lang w:val="ro-RO" w:eastAsia="ro-RO"/>
        </w:rPr>
      </w:pPr>
      <w:r w:rsidRPr="007906E6">
        <w:rPr>
          <w:bCs/>
          <w:shd w:val="clear" w:color="auto" w:fill="FFFFFF"/>
          <w:lang w:val="ro-RO" w:eastAsia="ro-RO"/>
        </w:rPr>
        <w:t>4</w:t>
      </w:r>
      <w:r w:rsidR="008F238D" w:rsidRPr="007906E6">
        <w:rPr>
          <w:bCs/>
          <w:shd w:val="clear" w:color="auto" w:fill="FFFFFF"/>
          <w:lang w:val="ro-RO" w:eastAsia="ro-RO"/>
        </w:rPr>
        <w:t xml:space="preserve">.1.2 metoda cantitativă prevăzută la </w:t>
      </w:r>
      <w:r w:rsidR="00C33EDB" w:rsidRPr="007906E6">
        <w:rPr>
          <w:bCs/>
          <w:shd w:val="clear" w:color="auto" w:fill="FFFFFF"/>
          <w:lang w:val="ro-RO" w:eastAsia="ro-RO"/>
        </w:rPr>
        <w:t xml:space="preserve">art. 5 din Legea nr. 394/2023 </w:t>
      </w:r>
      <w:r w:rsidR="008F238D" w:rsidRPr="007906E6">
        <w:rPr>
          <w:bCs/>
          <w:shd w:val="clear" w:color="auto" w:fill="FFFFFF"/>
          <w:lang w:val="ro-RO" w:eastAsia="ro-RO"/>
        </w:rPr>
        <w:t xml:space="preserve">să fi fost validată și publicată de către Laboratorul național de referință al Republicii Moldova sau </w:t>
      </w:r>
      <w:r w:rsidR="00E70E93" w:rsidRPr="007906E6">
        <w:rPr>
          <w:bCs/>
          <w:shd w:val="clear" w:color="auto" w:fill="FFFFFF"/>
          <w:lang w:val="ro-RO" w:eastAsia="ro-RO"/>
        </w:rPr>
        <w:t xml:space="preserve">au un alt </w:t>
      </w:r>
      <w:r w:rsidR="00E70E93" w:rsidRPr="007906E6">
        <w:rPr>
          <w:bCs/>
          <w:shd w:val="clear" w:color="auto" w:fill="FFFFFF"/>
          <w:lang w:val="ro-RO" w:eastAsia="ro-RO"/>
        </w:rPr>
        <w:lastRenderedPageBreak/>
        <w:t>laborator din Rețeaua europeană de laboratoare pentru OMG-uri care utilizează metode cantitative de analiză care au fost validate de Laboratorul de referință al Uniunii Europene</w:t>
      </w:r>
      <w:r w:rsidR="008F238D" w:rsidRPr="007906E6">
        <w:rPr>
          <w:bCs/>
          <w:shd w:val="clear" w:color="auto" w:fill="FFFFFF"/>
          <w:lang w:val="ro-RO" w:eastAsia="ro-RO"/>
        </w:rPr>
        <w:t xml:space="preserve">; </w:t>
      </w:r>
    </w:p>
    <w:p w14:paraId="0BBE410B" w14:textId="6A341C1C" w:rsidR="008F238D" w:rsidRPr="007906E6" w:rsidRDefault="0044354A" w:rsidP="008F238D">
      <w:pPr>
        <w:shd w:val="clear" w:color="auto" w:fill="FFFFFF"/>
        <w:jc w:val="both"/>
        <w:rPr>
          <w:bCs/>
          <w:shd w:val="clear" w:color="auto" w:fill="FFFFFF"/>
          <w:lang w:val="ro-RO" w:eastAsia="ro-RO"/>
        </w:rPr>
      </w:pPr>
      <w:r w:rsidRPr="007906E6">
        <w:rPr>
          <w:bCs/>
          <w:shd w:val="clear" w:color="auto" w:fill="FFFFFF"/>
          <w:lang w:val="ro-RO" w:eastAsia="ro-RO"/>
        </w:rPr>
        <w:t>4</w:t>
      </w:r>
      <w:r w:rsidR="008F238D" w:rsidRPr="007906E6">
        <w:rPr>
          <w:bCs/>
          <w:shd w:val="clear" w:color="auto" w:fill="FFFFFF"/>
          <w:lang w:val="ro-RO" w:eastAsia="ro-RO"/>
        </w:rPr>
        <w:t xml:space="preserve">.1.3 materialul de referință certificat să îndeplinească condițiile prevăzute la </w:t>
      </w:r>
      <w:r w:rsidR="007906E6">
        <w:rPr>
          <w:bCs/>
          <w:shd w:val="clear" w:color="auto" w:fill="FFFFFF"/>
          <w:lang w:val="ro-RO" w:eastAsia="ro-RO"/>
        </w:rPr>
        <w:t>pct. 7-9 din prezentul regulament</w:t>
      </w:r>
      <w:r w:rsidR="008F238D" w:rsidRPr="007906E6">
        <w:rPr>
          <w:bCs/>
          <w:shd w:val="clear" w:color="auto" w:fill="FFFFFF"/>
          <w:lang w:val="ro-RO" w:eastAsia="ro-RO"/>
        </w:rPr>
        <w:t>;</w:t>
      </w:r>
    </w:p>
    <w:p w14:paraId="1CD1F31A" w14:textId="690AF29C" w:rsidR="008F238D" w:rsidRPr="007906E6" w:rsidRDefault="00C33EDB" w:rsidP="008F238D">
      <w:pPr>
        <w:shd w:val="clear" w:color="auto" w:fill="FFFFFF"/>
        <w:jc w:val="both"/>
        <w:rPr>
          <w:bCs/>
          <w:shd w:val="clear" w:color="auto" w:fill="FFFFFF"/>
          <w:lang w:val="ro-RO" w:eastAsia="ro-RO"/>
        </w:rPr>
      </w:pPr>
      <w:r w:rsidRPr="007906E6">
        <w:rPr>
          <w:b/>
          <w:shd w:val="clear" w:color="auto" w:fill="FFFFFF"/>
          <w:lang w:val="ro-RO" w:eastAsia="ro-RO"/>
        </w:rPr>
        <w:t>5</w:t>
      </w:r>
      <w:r w:rsidR="008F238D" w:rsidRPr="007906E6">
        <w:rPr>
          <w:b/>
          <w:shd w:val="clear" w:color="auto" w:fill="FFFFFF"/>
          <w:lang w:val="ro-RO" w:eastAsia="ro-RO"/>
        </w:rPr>
        <w:t>.</w:t>
      </w:r>
      <w:r w:rsidR="008F238D" w:rsidRPr="007906E6">
        <w:rPr>
          <w:bCs/>
          <w:shd w:val="clear" w:color="auto" w:fill="FFFFFF"/>
          <w:lang w:val="ro-RO" w:eastAsia="ro-RO"/>
        </w:rPr>
        <w:t xml:space="preserve"> materialul MG notificat în conformitate cu Legea nr.394/2023 a cărui autorizație a expirat și pentru care metoda cantitativă a fost validată și publicată de către Laboratorul național de referință al Republicii Moldova sau </w:t>
      </w:r>
      <w:r w:rsidR="00E70E93" w:rsidRPr="007906E6">
        <w:rPr>
          <w:bCs/>
          <w:shd w:val="clear" w:color="auto" w:fill="FFFFFF"/>
          <w:lang w:val="ro-RO" w:eastAsia="ro-RO"/>
        </w:rPr>
        <w:t>au un alt laborator din Rețeaua europeană de laboratoare pentru OMG-uri care utilizează metode cantitative de analiză care au fost validate de Laboratorul de referință al Uniunii Europene</w:t>
      </w:r>
      <w:r w:rsidR="008F238D" w:rsidRPr="007906E6">
        <w:rPr>
          <w:bCs/>
          <w:shd w:val="clear" w:color="auto" w:fill="FFFFFF"/>
          <w:lang w:val="ro-RO" w:eastAsia="ro-RO"/>
        </w:rPr>
        <w:t xml:space="preserve">, cu condiția ca materialul de referință certificat să îndeplinească condițiile prevăzute la </w:t>
      </w:r>
      <w:r w:rsidR="007906E6" w:rsidRPr="007906E6">
        <w:rPr>
          <w:bCs/>
          <w:shd w:val="clear" w:color="auto" w:fill="FFFFFF"/>
          <w:lang w:val="ro-RO" w:eastAsia="ro-RO"/>
        </w:rPr>
        <w:t>pct. 7-9 din prezentul regulament</w:t>
      </w:r>
      <w:r w:rsidR="008F238D" w:rsidRPr="007906E6">
        <w:rPr>
          <w:bCs/>
          <w:shd w:val="clear" w:color="auto" w:fill="FFFFFF"/>
          <w:lang w:val="ro-RO" w:eastAsia="ro-RO"/>
        </w:rPr>
        <w:t xml:space="preserve">; </w:t>
      </w:r>
    </w:p>
    <w:p w14:paraId="73B20501" w14:textId="46A8450B" w:rsidR="008F238D" w:rsidRDefault="001526E7" w:rsidP="007906E6">
      <w:pPr>
        <w:shd w:val="clear" w:color="auto" w:fill="FFFFFF"/>
        <w:jc w:val="both"/>
        <w:rPr>
          <w:bCs/>
          <w:shd w:val="clear" w:color="auto" w:fill="FFFFFF"/>
          <w:lang w:val="ro-RO" w:eastAsia="ro-RO"/>
        </w:rPr>
      </w:pPr>
      <w:r w:rsidRPr="007906E6">
        <w:rPr>
          <w:b/>
          <w:shd w:val="clear" w:color="auto" w:fill="FFFFFF"/>
          <w:lang w:val="ro-RO" w:eastAsia="ro-RO"/>
        </w:rPr>
        <w:t>6</w:t>
      </w:r>
      <w:r w:rsidR="008F238D" w:rsidRPr="007906E6">
        <w:rPr>
          <w:b/>
          <w:shd w:val="clear" w:color="auto" w:fill="FFFFFF"/>
          <w:lang w:val="ro-RO" w:eastAsia="ro-RO"/>
        </w:rPr>
        <w:t>.</w:t>
      </w:r>
      <w:r w:rsidR="008F238D" w:rsidRPr="007906E6">
        <w:rPr>
          <w:bCs/>
          <w:shd w:val="clear" w:color="auto" w:fill="FFFFFF"/>
          <w:lang w:val="ro-RO" w:eastAsia="ro-RO"/>
        </w:rPr>
        <w:t xml:space="preserve"> materialul MG a cărui autorizație a expirat datorită faptului că nu a fost depusă nicio cerere de reînnoire în conformitate cu art.10 din Legea nr. 394/2023, cu condiția ca materialul de referință certificat să îndeplinească condițiile </w:t>
      </w:r>
      <w:r w:rsidR="007906E6" w:rsidRPr="007906E6">
        <w:rPr>
          <w:bCs/>
          <w:shd w:val="clear" w:color="auto" w:fill="FFFFFF"/>
          <w:lang w:val="ro-RO" w:eastAsia="ro-RO"/>
        </w:rPr>
        <w:t xml:space="preserve">prevăzute la </w:t>
      </w:r>
      <w:r w:rsidR="007906E6">
        <w:rPr>
          <w:bCs/>
          <w:shd w:val="clear" w:color="auto" w:fill="FFFFFF"/>
          <w:lang w:val="ro-RO" w:eastAsia="ro-RO"/>
        </w:rPr>
        <w:t>pct. 7-9 din prezentul regulament</w:t>
      </w:r>
      <w:r w:rsidR="008F238D" w:rsidRPr="007906E6">
        <w:rPr>
          <w:bCs/>
          <w:shd w:val="clear" w:color="auto" w:fill="FFFFFF"/>
          <w:lang w:val="ro-RO" w:eastAsia="ro-RO"/>
        </w:rPr>
        <w:t>.</w:t>
      </w:r>
    </w:p>
    <w:p w14:paraId="6A01155B" w14:textId="77777777" w:rsidR="00E94B78" w:rsidRPr="003D5ACB" w:rsidRDefault="00E94B78" w:rsidP="008F238D">
      <w:pPr>
        <w:pStyle w:val="oj-doc-ti"/>
        <w:shd w:val="clear" w:color="auto" w:fill="FFFFFF"/>
        <w:spacing w:before="0" w:after="0" w:line="276" w:lineRule="auto"/>
        <w:jc w:val="both"/>
        <w:rPr>
          <w:bCs/>
          <w:sz w:val="28"/>
          <w:szCs w:val="28"/>
          <w:shd w:val="clear" w:color="auto" w:fill="FFFFFF"/>
          <w:lang w:val="ro-RO" w:eastAsia="ro-RO"/>
        </w:rPr>
      </w:pPr>
    </w:p>
    <w:p w14:paraId="1C4A5E36" w14:textId="77777777" w:rsidR="008F238D" w:rsidRPr="00E94B78" w:rsidRDefault="008F238D" w:rsidP="008F238D">
      <w:pPr>
        <w:shd w:val="clear" w:color="auto" w:fill="FFFFFF"/>
        <w:jc w:val="center"/>
        <w:rPr>
          <w:b/>
          <w:shd w:val="clear" w:color="auto" w:fill="FFFFFF"/>
          <w:lang w:val="ro-RO" w:eastAsia="ro-RO"/>
        </w:rPr>
      </w:pPr>
      <w:r w:rsidRPr="00E94B78">
        <w:rPr>
          <w:b/>
          <w:shd w:val="clear" w:color="auto" w:fill="FFFFFF"/>
          <w:lang w:val="ro-RO" w:eastAsia="ro-RO"/>
        </w:rPr>
        <w:t>Secțiunea 3</w:t>
      </w:r>
    </w:p>
    <w:p w14:paraId="6C0CF776" w14:textId="77777777" w:rsidR="008F238D" w:rsidRPr="003D5ACB" w:rsidRDefault="008F238D" w:rsidP="008F238D">
      <w:pPr>
        <w:shd w:val="clear" w:color="auto" w:fill="FFFFFF"/>
        <w:jc w:val="center"/>
        <w:rPr>
          <w:b/>
          <w:shd w:val="clear" w:color="auto" w:fill="FFFFFF"/>
          <w:lang w:val="ro-RO" w:eastAsia="ro-RO"/>
        </w:rPr>
      </w:pPr>
      <w:r w:rsidRPr="003D5ACB">
        <w:rPr>
          <w:b/>
          <w:shd w:val="clear" w:color="auto" w:fill="FFFFFF"/>
          <w:lang w:val="ro-RO" w:eastAsia="ro-RO"/>
        </w:rPr>
        <w:t>Materialul de referință certificat</w:t>
      </w:r>
    </w:p>
    <w:p w14:paraId="487E4C66" w14:textId="7518C291" w:rsidR="008F238D" w:rsidRPr="003D5ACB" w:rsidRDefault="001526E7" w:rsidP="008F238D">
      <w:pPr>
        <w:shd w:val="clear" w:color="auto" w:fill="FFFFFF"/>
        <w:jc w:val="both"/>
        <w:rPr>
          <w:shd w:val="clear" w:color="auto" w:fill="FFFFFF"/>
          <w:lang w:val="ro-RO"/>
        </w:rPr>
      </w:pPr>
      <w:r w:rsidRPr="001526E7">
        <w:rPr>
          <w:b/>
          <w:bCs/>
          <w:shd w:val="clear" w:color="auto" w:fill="FFFFFF"/>
          <w:lang w:val="ro-RO"/>
        </w:rPr>
        <w:t>7</w:t>
      </w:r>
      <w:r w:rsidR="008F238D" w:rsidRPr="001526E7">
        <w:rPr>
          <w:b/>
          <w:bCs/>
          <w:shd w:val="clear" w:color="auto" w:fill="FFFFFF"/>
          <w:lang w:val="ro-RO"/>
        </w:rPr>
        <w:t>.</w:t>
      </w:r>
      <w:r w:rsidR="008F238D" w:rsidRPr="003D5ACB">
        <w:rPr>
          <w:shd w:val="clear" w:color="auto" w:fill="FFFFFF"/>
          <w:lang w:val="ro-RO"/>
        </w:rPr>
        <w:t xml:space="preserve"> Materialul de referință certificat trebuie să fie accesibil  autorităților competente din Republica Moldova și oricărei părți terțe;</w:t>
      </w:r>
    </w:p>
    <w:p w14:paraId="3045B980" w14:textId="130159B3" w:rsidR="008F238D" w:rsidRPr="003D5ACB" w:rsidRDefault="001526E7" w:rsidP="008F238D">
      <w:pPr>
        <w:shd w:val="clear" w:color="auto" w:fill="FFFFFF"/>
        <w:jc w:val="both"/>
        <w:rPr>
          <w:shd w:val="clear" w:color="auto" w:fill="FFFFFF"/>
          <w:lang w:val="ro-RO"/>
        </w:rPr>
      </w:pPr>
      <w:r w:rsidRPr="001526E7">
        <w:rPr>
          <w:b/>
          <w:shd w:val="clear" w:color="auto" w:fill="FFFFFF"/>
          <w:lang w:val="ro-RO" w:eastAsia="ro-RO"/>
        </w:rPr>
        <w:t>8</w:t>
      </w:r>
      <w:r w:rsidR="008F238D" w:rsidRPr="001526E7">
        <w:rPr>
          <w:b/>
          <w:shd w:val="clear" w:color="auto" w:fill="FFFFFF"/>
          <w:lang w:val="ro-RO" w:eastAsia="ro-RO"/>
        </w:rPr>
        <w:t>.</w:t>
      </w:r>
      <w:r w:rsidR="008F238D" w:rsidRPr="003D5ACB">
        <w:rPr>
          <w:shd w:val="clear" w:color="auto" w:fill="FFFFFF"/>
          <w:lang w:val="ro-RO"/>
        </w:rPr>
        <w:t xml:space="preserve"> Materialul de referință certificat este produs și certificat în conformitate cu Ghidurile ISO 3035;</w:t>
      </w:r>
    </w:p>
    <w:p w14:paraId="6B59E8B8" w14:textId="294048BC" w:rsidR="008F238D" w:rsidRPr="003D5ACB" w:rsidRDefault="001526E7" w:rsidP="008F238D">
      <w:pPr>
        <w:pStyle w:val="oj-doc-ti"/>
        <w:shd w:val="clear" w:color="auto" w:fill="FFFFFF"/>
        <w:spacing w:before="0" w:after="0" w:line="276" w:lineRule="auto"/>
        <w:jc w:val="both"/>
        <w:rPr>
          <w:sz w:val="28"/>
          <w:szCs w:val="28"/>
          <w:shd w:val="clear" w:color="auto" w:fill="FFFFFF"/>
          <w:lang w:val="ro-RO"/>
        </w:rPr>
      </w:pPr>
      <w:r w:rsidRPr="001526E7">
        <w:rPr>
          <w:b/>
          <w:bCs/>
          <w:sz w:val="28"/>
          <w:szCs w:val="28"/>
          <w:shd w:val="clear" w:color="auto" w:fill="FFFFFF"/>
          <w:lang w:val="ro-RO"/>
        </w:rPr>
        <w:t>9</w:t>
      </w:r>
      <w:r w:rsidR="008F238D" w:rsidRPr="001526E7">
        <w:rPr>
          <w:b/>
          <w:bCs/>
          <w:sz w:val="28"/>
          <w:szCs w:val="28"/>
          <w:shd w:val="clear" w:color="auto" w:fill="FFFFFF"/>
          <w:lang w:val="ro-RO"/>
        </w:rPr>
        <w:t>.</w:t>
      </w:r>
      <w:r w:rsidR="008F238D" w:rsidRPr="003D5ACB">
        <w:rPr>
          <w:sz w:val="28"/>
          <w:szCs w:val="28"/>
          <w:shd w:val="clear" w:color="auto" w:fill="FFFFFF"/>
          <w:lang w:val="ro-RO"/>
        </w:rPr>
        <w:t xml:space="preserve"> Informațiile care însoțesc materialul de referință certificat cuprind date despre cultura plantei care a fost utilizată pentru producerea materialului de referință certificat, precum și despre zigozitatea inserției (inserțiilor). Conținutul în OMG-uri certificat trebuie exprimat în procente masice și, dacă informația este disponibilă, în număr de copii per echivalent genom haploid.</w:t>
      </w:r>
    </w:p>
    <w:p w14:paraId="2847FDD3" w14:textId="77777777" w:rsidR="002B31A2" w:rsidRDefault="002B31A2" w:rsidP="008F238D">
      <w:pPr>
        <w:shd w:val="clear" w:color="auto" w:fill="FFFFFF"/>
        <w:jc w:val="center"/>
        <w:rPr>
          <w:bCs/>
          <w:shd w:val="clear" w:color="auto" w:fill="FFFFFF"/>
          <w:lang w:val="ro-RO" w:eastAsia="ro-RO"/>
        </w:rPr>
      </w:pPr>
    </w:p>
    <w:p w14:paraId="690498F4" w14:textId="4CF6848D" w:rsidR="008F238D" w:rsidRPr="002B31A2" w:rsidRDefault="008F238D" w:rsidP="008F238D">
      <w:pPr>
        <w:shd w:val="clear" w:color="auto" w:fill="FFFFFF"/>
        <w:jc w:val="center"/>
        <w:rPr>
          <w:b/>
          <w:shd w:val="clear" w:color="auto" w:fill="FFFFFF"/>
          <w:lang w:val="ro-RO" w:eastAsia="ro-RO"/>
        </w:rPr>
      </w:pPr>
      <w:r w:rsidRPr="002B31A2">
        <w:rPr>
          <w:b/>
          <w:shd w:val="clear" w:color="auto" w:fill="FFFFFF"/>
          <w:lang w:val="ro-RO" w:eastAsia="ro-RO"/>
        </w:rPr>
        <w:t>Secțiunea 4</w:t>
      </w:r>
    </w:p>
    <w:p w14:paraId="4BD1398C" w14:textId="77777777" w:rsidR="007906E6" w:rsidRDefault="008F238D" w:rsidP="008F238D">
      <w:pPr>
        <w:shd w:val="clear" w:color="auto" w:fill="FFFFFF"/>
        <w:jc w:val="center"/>
        <w:rPr>
          <w:b/>
          <w:bCs/>
          <w:shd w:val="clear" w:color="auto" w:fill="FFFFFF"/>
          <w:lang w:val="ro-RO"/>
        </w:rPr>
      </w:pPr>
      <w:r w:rsidRPr="003D5ACB">
        <w:rPr>
          <w:b/>
          <w:shd w:val="clear" w:color="auto" w:fill="FFFFFF"/>
          <w:lang w:val="ro-RO" w:eastAsia="ro-RO"/>
        </w:rPr>
        <w:t>Metode de prelevare</w:t>
      </w:r>
      <w:r w:rsidR="00CA74FD">
        <w:rPr>
          <w:b/>
          <w:shd w:val="clear" w:color="auto" w:fill="FFFFFF"/>
          <w:lang w:val="ro-RO" w:eastAsia="ro-RO"/>
        </w:rPr>
        <w:t xml:space="preserve"> și</w:t>
      </w:r>
      <w:r w:rsidR="00CA74FD" w:rsidRPr="00CA74FD">
        <w:rPr>
          <w:b/>
          <w:bCs/>
          <w:shd w:val="clear" w:color="auto" w:fill="FFFFFF"/>
          <w:lang w:val="ro-RO"/>
        </w:rPr>
        <w:t xml:space="preserve"> </w:t>
      </w:r>
      <w:r w:rsidR="00CA74FD">
        <w:rPr>
          <w:b/>
          <w:bCs/>
          <w:shd w:val="clear" w:color="auto" w:fill="FFFFFF"/>
          <w:lang w:val="ro-RO"/>
        </w:rPr>
        <w:t>p</w:t>
      </w:r>
      <w:r w:rsidR="00CA74FD" w:rsidRPr="003D5ACB">
        <w:rPr>
          <w:b/>
          <w:bCs/>
          <w:shd w:val="clear" w:color="auto" w:fill="FFFFFF"/>
          <w:lang w:val="ro-RO"/>
        </w:rPr>
        <w:t>regătirea</w:t>
      </w:r>
      <w:r w:rsidRPr="003D5ACB">
        <w:rPr>
          <w:b/>
          <w:shd w:val="clear" w:color="auto" w:fill="FFFFFF"/>
          <w:lang w:val="ro-RO" w:eastAsia="ro-RO"/>
        </w:rPr>
        <w:t xml:space="preserve"> a probelor</w:t>
      </w:r>
      <w:r w:rsidR="00464676">
        <w:rPr>
          <w:b/>
          <w:shd w:val="clear" w:color="auto" w:fill="FFFFFF"/>
          <w:lang w:val="ro-RO" w:eastAsia="ro-RO"/>
        </w:rPr>
        <w:t>.</w:t>
      </w:r>
      <w:r w:rsidR="00663154" w:rsidRPr="00663154">
        <w:rPr>
          <w:b/>
          <w:bCs/>
          <w:shd w:val="clear" w:color="auto" w:fill="FFFFFF"/>
          <w:lang w:val="ro-RO"/>
        </w:rPr>
        <w:t xml:space="preserve"> </w:t>
      </w:r>
    </w:p>
    <w:p w14:paraId="706CC3E5" w14:textId="69390712" w:rsidR="008F238D" w:rsidRPr="003D5ACB" w:rsidRDefault="00464676" w:rsidP="008F238D">
      <w:pPr>
        <w:shd w:val="clear" w:color="auto" w:fill="FFFFFF"/>
        <w:jc w:val="center"/>
        <w:rPr>
          <w:b/>
          <w:shd w:val="clear" w:color="auto" w:fill="FFFFFF"/>
          <w:lang w:val="ro-RO" w:eastAsia="ro-RO"/>
        </w:rPr>
      </w:pPr>
      <w:r>
        <w:rPr>
          <w:b/>
          <w:bCs/>
          <w:shd w:val="clear" w:color="auto" w:fill="FFFFFF"/>
          <w:lang w:val="ro-RO"/>
        </w:rPr>
        <w:t>M</w:t>
      </w:r>
      <w:r w:rsidR="00663154" w:rsidRPr="003D5ACB">
        <w:rPr>
          <w:b/>
          <w:bCs/>
          <w:shd w:val="clear" w:color="auto" w:fill="FFFFFF"/>
          <w:lang w:val="ro-RO"/>
        </w:rPr>
        <w:t>etode de analiză</w:t>
      </w:r>
      <w:r w:rsidR="00663154">
        <w:rPr>
          <w:b/>
          <w:bCs/>
          <w:shd w:val="clear" w:color="auto" w:fill="FFFFFF"/>
          <w:lang w:val="ro-RO"/>
        </w:rPr>
        <w:t>,</w:t>
      </w:r>
      <w:r w:rsidR="00663154" w:rsidRPr="003D5ACB">
        <w:rPr>
          <w:b/>
          <w:bCs/>
          <w:shd w:val="clear" w:color="auto" w:fill="FFFFFF"/>
          <w:lang w:val="ro-RO"/>
        </w:rPr>
        <w:t xml:space="preserve"> și interpretarea rezultatelor</w:t>
      </w:r>
    </w:p>
    <w:p w14:paraId="48769B1A" w14:textId="269F2A2F" w:rsidR="007906E6" w:rsidRPr="007906E6" w:rsidRDefault="002B31A2" w:rsidP="007906E6">
      <w:pPr>
        <w:shd w:val="clear" w:color="auto" w:fill="FFFFFF"/>
        <w:jc w:val="both"/>
        <w:rPr>
          <w:bCs/>
          <w:shd w:val="clear" w:color="auto" w:fill="FFFFFF"/>
          <w:lang w:val="ro-RO" w:eastAsia="ro-RO"/>
        </w:rPr>
      </w:pPr>
      <w:r w:rsidRPr="002B31A2">
        <w:rPr>
          <w:b/>
          <w:bCs/>
          <w:shd w:val="clear" w:color="auto" w:fill="FFFFFF"/>
          <w:lang w:val="ro-RO"/>
        </w:rPr>
        <w:t>10</w:t>
      </w:r>
      <w:r w:rsidR="008F238D" w:rsidRPr="002B31A2">
        <w:rPr>
          <w:b/>
          <w:bCs/>
          <w:shd w:val="clear" w:color="auto" w:fill="FFFFFF"/>
          <w:lang w:val="ro-RO"/>
        </w:rPr>
        <w:t>.</w:t>
      </w:r>
      <w:r w:rsidR="008F238D" w:rsidRPr="003D5ACB">
        <w:rPr>
          <w:shd w:val="clear" w:color="auto" w:fill="FFFFFF"/>
          <w:lang w:val="ro-RO"/>
        </w:rPr>
        <w:t xml:space="preserve"> Probele destinate controlului oficial al furajelor pentru detectarea prezenței materialului MG menționat la </w:t>
      </w:r>
      <w:r w:rsidR="007906E6" w:rsidRPr="007906E6">
        <w:rPr>
          <w:bCs/>
          <w:shd w:val="clear" w:color="auto" w:fill="FFFFFF"/>
          <w:lang w:val="ro-RO" w:eastAsia="ro-RO"/>
        </w:rPr>
        <w:t xml:space="preserve">prevăzute la </w:t>
      </w:r>
      <w:r w:rsidR="007906E6">
        <w:rPr>
          <w:bCs/>
          <w:shd w:val="clear" w:color="auto" w:fill="FFFFFF"/>
          <w:lang w:val="ro-RO" w:eastAsia="ro-RO"/>
        </w:rPr>
        <w:t>pct. 4-6 din prezentul regulament</w:t>
      </w:r>
      <w:r w:rsidR="007906E6" w:rsidRPr="007906E6">
        <w:rPr>
          <w:bCs/>
          <w:shd w:val="clear" w:color="auto" w:fill="FFFFFF"/>
          <w:lang w:val="ro-RO" w:eastAsia="ro-RO"/>
        </w:rPr>
        <w:t>;</w:t>
      </w:r>
    </w:p>
    <w:p w14:paraId="1BA2572B" w14:textId="09290658" w:rsidR="002B31A2" w:rsidRPr="003D5ACB" w:rsidRDefault="008F238D" w:rsidP="008F238D">
      <w:pPr>
        <w:pStyle w:val="oj-doc-ti"/>
        <w:shd w:val="clear" w:color="auto" w:fill="FFFFFF"/>
        <w:spacing w:before="0" w:after="0" w:line="276" w:lineRule="auto"/>
        <w:jc w:val="both"/>
        <w:rPr>
          <w:sz w:val="28"/>
          <w:szCs w:val="28"/>
          <w:shd w:val="clear" w:color="auto" w:fill="FFFFFF"/>
          <w:lang w:val="ro-RO"/>
        </w:rPr>
      </w:pPr>
      <w:r w:rsidRPr="003D5ACB">
        <w:rPr>
          <w:sz w:val="28"/>
          <w:szCs w:val="28"/>
          <w:shd w:val="clear" w:color="auto" w:fill="FFFFFF"/>
          <w:lang w:val="ro-RO"/>
        </w:rPr>
        <w:t xml:space="preserve"> sunt prelevate conform metodelor de prelevare specificate în anexa nr.1.</w:t>
      </w:r>
    </w:p>
    <w:p w14:paraId="19520BDB" w14:textId="4E685A0A" w:rsidR="008F238D" w:rsidRDefault="008F238D" w:rsidP="004E4539">
      <w:pPr>
        <w:pStyle w:val="oj-doc-ti"/>
        <w:shd w:val="clear" w:color="auto" w:fill="FFFFFF"/>
        <w:spacing w:before="0" w:after="0" w:line="276" w:lineRule="auto"/>
        <w:jc w:val="both"/>
        <w:rPr>
          <w:sz w:val="28"/>
          <w:szCs w:val="28"/>
          <w:shd w:val="clear" w:color="auto" w:fill="FFFFFF"/>
          <w:lang w:val="ro-RO"/>
        </w:rPr>
      </w:pPr>
      <w:r w:rsidRPr="002B31A2">
        <w:rPr>
          <w:b/>
          <w:bCs/>
          <w:sz w:val="28"/>
          <w:szCs w:val="28"/>
          <w:shd w:val="clear" w:color="auto" w:fill="FFFFFF"/>
          <w:lang w:val="ro-RO"/>
        </w:rPr>
        <w:t>1</w:t>
      </w:r>
      <w:r w:rsidR="002B31A2" w:rsidRPr="002B31A2">
        <w:rPr>
          <w:b/>
          <w:bCs/>
          <w:sz w:val="28"/>
          <w:szCs w:val="28"/>
          <w:shd w:val="clear" w:color="auto" w:fill="FFFFFF"/>
          <w:lang w:val="ro-RO"/>
        </w:rPr>
        <w:t>1</w:t>
      </w:r>
      <w:r w:rsidRPr="002B31A2">
        <w:rPr>
          <w:b/>
          <w:bCs/>
          <w:sz w:val="28"/>
          <w:szCs w:val="28"/>
          <w:shd w:val="clear" w:color="auto" w:fill="FFFFFF"/>
          <w:lang w:val="ro-RO"/>
        </w:rPr>
        <w:t>.</w:t>
      </w:r>
      <w:r w:rsidRPr="003D5ACB">
        <w:rPr>
          <w:sz w:val="28"/>
          <w:szCs w:val="28"/>
          <w:shd w:val="clear" w:color="auto" w:fill="FFFFFF"/>
          <w:lang w:val="ro-RO"/>
        </w:rPr>
        <w:t xml:space="preserve"> Pregătirea probelor de laborator, metodele de analiză și interpretarea rezultatelor îndeplinesc cerințele specificate în anexa nr. 2</w:t>
      </w:r>
      <w:r w:rsidR="007E4160">
        <w:rPr>
          <w:sz w:val="28"/>
          <w:szCs w:val="28"/>
          <w:shd w:val="clear" w:color="auto" w:fill="FFFFFF"/>
          <w:lang w:val="ro-RO"/>
        </w:rPr>
        <w:t xml:space="preserve"> din prezentul regulament</w:t>
      </w:r>
      <w:r w:rsidRPr="003D5ACB">
        <w:rPr>
          <w:sz w:val="28"/>
          <w:szCs w:val="28"/>
          <w:shd w:val="clear" w:color="auto" w:fill="FFFFFF"/>
          <w:lang w:val="ro-RO"/>
        </w:rPr>
        <w:t>.</w:t>
      </w:r>
    </w:p>
    <w:p w14:paraId="42F15A2E" w14:textId="77777777" w:rsidR="002B31A2" w:rsidRPr="003D5ACB" w:rsidRDefault="002B31A2" w:rsidP="004E4539">
      <w:pPr>
        <w:pStyle w:val="oj-doc-ti"/>
        <w:shd w:val="clear" w:color="auto" w:fill="FFFFFF"/>
        <w:spacing w:before="0" w:after="0" w:line="276" w:lineRule="auto"/>
        <w:jc w:val="both"/>
        <w:rPr>
          <w:sz w:val="28"/>
          <w:szCs w:val="28"/>
          <w:shd w:val="clear" w:color="auto" w:fill="FFFFFF"/>
          <w:lang w:val="ro-RO"/>
        </w:rPr>
      </w:pPr>
    </w:p>
    <w:p w14:paraId="3864104C" w14:textId="3BF7391C" w:rsidR="008F238D" w:rsidRPr="002B31A2" w:rsidRDefault="008F238D" w:rsidP="004E4539">
      <w:pPr>
        <w:shd w:val="clear" w:color="auto" w:fill="FFFFFF"/>
        <w:jc w:val="center"/>
        <w:rPr>
          <w:b/>
          <w:shd w:val="clear" w:color="auto" w:fill="FFFFFF"/>
          <w:lang w:val="ro-RO" w:eastAsia="ro-RO"/>
        </w:rPr>
      </w:pPr>
      <w:r w:rsidRPr="002B31A2">
        <w:rPr>
          <w:b/>
          <w:shd w:val="clear" w:color="auto" w:fill="FFFFFF"/>
          <w:lang w:val="ro-RO" w:eastAsia="ro-RO"/>
        </w:rPr>
        <w:t xml:space="preserve">Secțiunea </w:t>
      </w:r>
      <w:r w:rsidR="00464676">
        <w:rPr>
          <w:b/>
          <w:shd w:val="clear" w:color="auto" w:fill="FFFFFF"/>
          <w:lang w:val="ro-RO" w:eastAsia="ro-RO"/>
        </w:rPr>
        <w:t>5</w:t>
      </w:r>
    </w:p>
    <w:p w14:paraId="4D4C17AA" w14:textId="3034A895" w:rsidR="007906E6" w:rsidRDefault="008F238D" w:rsidP="007906E6">
      <w:pPr>
        <w:shd w:val="clear" w:color="auto" w:fill="FFFFFF"/>
        <w:jc w:val="center"/>
        <w:rPr>
          <w:b/>
          <w:bCs/>
          <w:shd w:val="clear" w:color="auto" w:fill="FFFFFF"/>
          <w:lang w:val="ro-RO"/>
        </w:rPr>
      </w:pPr>
      <w:r w:rsidRPr="003D5ACB">
        <w:rPr>
          <w:b/>
          <w:bCs/>
          <w:shd w:val="clear" w:color="auto" w:fill="FFFFFF"/>
          <w:lang w:val="ro-RO"/>
        </w:rPr>
        <w:t>Măsuri de întreprins în cazul detectării materialului</w:t>
      </w:r>
    </w:p>
    <w:p w14:paraId="71D1FC10" w14:textId="5D42232B" w:rsidR="008F238D" w:rsidRPr="007906E6" w:rsidRDefault="008F238D" w:rsidP="007906E6">
      <w:pPr>
        <w:shd w:val="clear" w:color="auto" w:fill="FFFFFF"/>
        <w:jc w:val="center"/>
        <w:rPr>
          <w:b/>
          <w:bCs/>
          <w:shd w:val="clear" w:color="auto" w:fill="FFFFFF"/>
          <w:lang w:val="ro-RO"/>
        </w:rPr>
      </w:pPr>
      <w:r w:rsidRPr="003D5ACB">
        <w:rPr>
          <w:b/>
          <w:bCs/>
          <w:shd w:val="clear" w:color="auto" w:fill="FFFFFF"/>
          <w:lang w:val="ro-RO"/>
        </w:rPr>
        <w:t xml:space="preserve">MG menționat </w:t>
      </w:r>
      <w:r w:rsidRPr="007906E6">
        <w:rPr>
          <w:b/>
          <w:bCs/>
          <w:shd w:val="clear" w:color="auto" w:fill="FFFFFF"/>
          <w:lang w:val="ro-RO"/>
        </w:rPr>
        <w:t>la</w:t>
      </w:r>
      <w:r w:rsidR="004E4539" w:rsidRPr="007906E6">
        <w:rPr>
          <w:b/>
          <w:bCs/>
          <w:shd w:val="clear" w:color="auto" w:fill="FFFFFF"/>
          <w:lang w:val="ro-RO"/>
        </w:rPr>
        <w:t xml:space="preserve"> </w:t>
      </w:r>
      <w:r w:rsidR="007906E6" w:rsidRPr="007906E6">
        <w:rPr>
          <w:b/>
          <w:bCs/>
          <w:shd w:val="clear" w:color="auto" w:fill="FFFFFF"/>
          <w:lang w:val="ro-RO" w:eastAsia="ro-RO"/>
        </w:rPr>
        <w:t>pct. 4-6 din prezentul regulament</w:t>
      </w:r>
    </w:p>
    <w:p w14:paraId="1FBFE475" w14:textId="6FD18386" w:rsidR="008F238D" w:rsidRPr="003D5ACB" w:rsidRDefault="008F238D" w:rsidP="004E4539">
      <w:pPr>
        <w:shd w:val="clear" w:color="auto" w:fill="FFFFFF"/>
        <w:jc w:val="both"/>
        <w:rPr>
          <w:shd w:val="clear" w:color="auto" w:fill="FFFFFF"/>
          <w:lang w:val="ro-RO"/>
        </w:rPr>
      </w:pPr>
      <w:r w:rsidRPr="00840885">
        <w:rPr>
          <w:b/>
          <w:bCs/>
          <w:shd w:val="clear" w:color="auto" w:fill="FFFFFF"/>
          <w:lang w:val="ro-RO"/>
        </w:rPr>
        <w:t>1</w:t>
      </w:r>
      <w:r w:rsidR="00840885" w:rsidRPr="00840885">
        <w:rPr>
          <w:b/>
          <w:bCs/>
          <w:shd w:val="clear" w:color="auto" w:fill="FFFFFF"/>
          <w:lang w:val="ro-RO"/>
        </w:rPr>
        <w:t>2</w:t>
      </w:r>
      <w:r w:rsidRPr="00840885">
        <w:rPr>
          <w:b/>
          <w:bCs/>
          <w:shd w:val="clear" w:color="auto" w:fill="FFFFFF"/>
          <w:lang w:val="ro-RO"/>
        </w:rPr>
        <w:t>.</w:t>
      </w:r>
      <w:r w:rsidRPr="003D5ACB">
        <w:rPr>
          <w:shd w:val="clear" w:color="auto" w:fill="FFFFFF"/>
          <w:lang w:val="ro-RO"/>
        </w:rPr>
        <w:t xml:space="preserve"> În cazul în care încercările analitice indică un conținut de material MG menționat la</w:t>
      </w:r>
      <w:r w:rsidR="007906E6" w:rsidRPr="007906E6">
        <w:rPr>
          <w:bCs/>
          <w:shd w:val="clear" w:color="auto" w:fill="FFFFFF"/>
          <w:lang w:val="ro-RO" w:eastAsia="ro-RO"/>
        </w:rPr>
        <w:t xml:space="preserve"> </w:t>
      </w:r>
      <w:r w:rsidR="007906E6">
        <w:rPr>
          <w:bCs/>
          <w:shd w:val="clear" w:color="auto" w:fill="FFFFFF"/>
          <w:lang w:val="ro-RO" w:eastAsia="ro-RO"/>
        </w:rPr>
        <w:t>pct. 4-6 din prezentul regulament</w:t>
      </w:r>
      <w:r w:rsidRPr="003D5ACB">
        <w:rPr>
          <w:shd w:val="clear" w:color="auto" w:fill="FFFFFF"/>
          <w:lang w:val="ro-RO"/>
        </w:rPr>
        <w:t xml:space="preserve"> superior sau egal cu LPMN, stabilit în conformitate cu regulile de interpretare specificate în anexa nr. 2 partea B, furajele în cauză se </w:t>
      </w:r>
      <w:r w:rsidRPr="003D5ACB">
        <w:rPr>
          <w:shd w:val="clear" w:color="auto" w:fill="FFFFFF"/>
          <w:lang w:val="ro-RO"/>
        </w:rPr>
        <w:lastRenderedPageBreak/>
        <w:t xml:space="preserve">consideră neconforme cu </w:t>
      </w:r>
      <w:r w:rsidR="00464676">
        <w:rPr>
          <w:shd w:val="clear" w:color="auto" w:fill="FFFFFF"/>
          <w:lang w:val="ro-RO"/>
        </w:rPr>
        <w:t xml:space="preserve">prevederile </w:t>
      </w:r>
      <w:r w:rsidRPr="003D5ACB">
        <w:rPr>
          <w:shd w:val="clear" w:color="auto" w:fill="FFFFFF"/>
          <w:lang w:val="ro-RO"/>
        </w:rPr>
        <w:t>Leg</w:t>
      </w:r>
      <w:r w:rsidR="00464676">
        <w:rPr>
          <w:shd w:val="clear" w:color="auto" w:fill="FFFFFF"/>
          <w:lang w:val="ro-RO"/>
        </w:rPr>
        <w:t>ii</w:t>
      </w:r>
      <w:r w:rsidRPr="003D5ACB">
        <w:rPr>
          <w:shd w:val="clear" w:color="auto" w:fill="FFFFFF"/>
          <w:lang w:val="ro-RO"/>
        </w:rPr>
        <w:t xml:space="preserve"> nr.394/2023 privind produsele alimentare și furajele modificate genetic. Agenția Națională pentru </w:t>
      </w:r>
      <w:r w:rsidRPr="009F3088">
        <w:rPr>
          <w:shd w:val="clear" w:color="auto" w:fill="FFFFFF"/>
          <w:lang w:val="ro-RO"/>
        </w:rPr>
        <w:t xml:space="preserve">Siguranța Alimentelor comunică imediat această informație prin intermediul subsistemului informațional de </w:t>
      </w:r>
      <w:r w:rsidR="00F54197" w:rsidRPr="009F3088">
        <w:rPr>
          <w:shd w:val="clear" w:color="auto" w:fill="FFFFFF"/>
          <w:lang w:val="ro-RO"/>
        </w:rPr>
        <w:t>”</w:t>
      </w:r>
      <w:r w:rsidR="009F3088" w:rsidRPr="009F3088">
        <w:rPr>
          <w:shd w:val="clear" w:color="auto" w:fill="FFFFFF"/>
          <w:lang w:val="ro-RO"/>
        </w:rPr>
        <w:t>Sistemul Rapid de alertă pentru alimente și furaje</w:t>
      </w:r>
      <w:r w:rsidR="00F54197" w:rsidRPr="009F3088">
        <w:rPr>
          <w:shd w:val="clear" w:color="auto" w:fill="FFFFFF"/>
          <w:lang w:val="ro-RO"/>
        </w:rPr>
        <w:t>”</w:t>
      </w:r>
      <w:r w:rsidRPr="009F3088">
        <w:rPr>
          <w:shd w:val="clear" w:color="auto" w:fill="FFFFFF"/>
          <w:lang w:val="ro-RO"/>
        </w:rPr>
        <w:t xml:space="preserve">, în conformitate cu </w:t>
      </w:r>
      <w:r w:rsidRPr="003D5ACB">
        <w:rPr>
          <w:shd w:val="clear" w:color="auto" w:fill="FFFFFF"/>
          <w:lang w:val="ro-RO"/>
        </w:rPr>
        <w:t>pct. 29 din Hotărârea Guvernului 791/2022</w:t>
      </w:r>
      <w:r w:rsidRPr="00F340F4">
        <w:rPr>
          <w:lang w:val="ro-RO"/>
        </w:rPr>
        <w:t xml:space="preserve"> </w:t>
      </w:r>
      <w:r w:rsidRPr="003D5ACB">
        <w:rPr>
          <w:shd w:val="clear" w:color="auto" w:fill="FFFFFF"/>
          <w:lang w:val="ro-RO"/>
        </w:rPr>
        <w:t>cu privire la instituirea și aprobarea Conceptului Sistemului informațional integrat „e-ANSA”.</w:t>
      </w:r>
      <w:r w:rsidR="00095E76">
        <w:rPr>
          <w:shd w:val="clear" w:color="auto" w:fill="FFFFFF"/>
          <w:lang w:val="ro-RO"/>
        </w:rPr>
        <w:t xml:space="preserve"> </w:t>
      </w:r>
    </w:p>
    <w:p w14:paraId="1FAC0CAF" w14:textId="01CD919D" w:rsidR="008F238D" w:rsidRPr="003D5ACB" w:rsidRDefault="008F238D" w:rsidP="004E4539">
      <w:pPr>
        <w:shd w:val="clear" w:color="auto" w:fill="FFFFFF"/>
        <w:jc w:val="both"/>
        <w:rPr>
          <w:shd w:val="clear" w:color="auto" w:fill="FFFFFF"/>
          <w:lang w:val="ro-RO"/>
        </w:rPr>
      </w:pPr>
      <w:r w:rsidRPr="00424615">
        <w:rPr>
          <w:b/>
          <w:bCs/>
          <w:shd w:val="clear" w:color="auto" w:fill="FFFFFF"/>
          <w:lang w:val="ro-RO" w:eastAsia="ro-RO"/>
        </w:rPr>
        <w:t>1</w:t>
      </w:r>
      <w:r w:rsidR="00424615" w:rsidRPr="00424615">
        <w:rPr>
          <w:b/>
          <w:bCs/>
          <w:shd w:val="clear" w:color="auto" w:fill="FFFFFF"/>
          <w:lang w:val="ro-RO" w:eastAsia="ro-RO"/>
        </w:rPr>
        <w:t>3</w:t>
      </w:r>
      <w:r w:rsidRPr="00424615">
        <w:rPr>
          <w:b/>
          <w:bCs/>
          <w:shd w:val="clear" w:color="auto" w:fill="FFFFFF"/>
          <w:lang w:val="ro-RO" w:eastAsia="ro-RO"/>
        </w:rPr>
        <w:t>.</w:t>
      </w:r>
      <w:r w:rsidRPr="003D5ACB">
        <w:rPr>
          <w:shd w:val="clear" w:color="auto" w:fill="FFFFFF"/>
          <w:lang w:val="ro-RO" w:eastAsia="ro-RO"/>
        </w:rPr>
        <w:t xml:space="preserve"> </w:t>
      </w:r>
      <w:r w:rsidRPr="003D5ACB">
        <w:rPr>
          <w:shd w:val="clear" w:color="auto" w:fill="FFFFFF"/>
          <w:lang w:val="ro-RO"/>
        </w:rPr>
        <w:t xml:space="preserve">În cazul în care încercările analitice indică un conținut de material MG menționat la </w:t>
      </w:r>
      <w:r w:rsidR="007906E6">
        <w:rPr>
          <w:bCs/>
          <w:shd w:val="clear" w:color="auto" w:fill="FFFFFF"/>
          <w:lang w:val="ro-RO" w:eastAsia="ro-RO"/>
        </w:rPr>
        <w:t>pct. 4-6 din prezentul regulament</w:t>
      </w:r>
      <w:r w:rsidRPr="003D5ACB">
        <w:rPr>
          <w:shd w:val="clear" w:color="auto" w:fill="FFFFFF"/>
          <w:lang w:val="ro-RO"/>
        </w:rPr>
        <w:t xml:space="preserve"> inferior LPMN, stabilit în conformitate cu regulile de interpretare specificate în </w:t>
      </w:r>
      <w:r w:rsidR="007906E6">
        <w:rPr>
          <w:shd w:val="clear" w:color="auto" w:fill="FFFFFF"/>
          <w:lang w:val="ro-RO"/>
        </w:rPr>
        <w:t>pct. 3 din a</w:t>
      </w:r>
      <w:r w:rsidRPr="003D5ACB">
        <w:rPr>
          <w:shd w:val="clear" w:color="auto" w:fill="FFFFFF"/>
          <w:lang w:val="ro-RO"/>
        </w:rPr>
        <w:t>nexa nr.2, Agenția înregistrează această informație și o transmit</w:t>
      </w:r>
      <w:r w:rsidR="00036B0F">
        <w:rPr>
          <w:shd w:val="clear" w:color="auto" w:fill="FFFFFF"/>
          <w:lang w:val="ro-RO"/>
        </w:rPr>
        <w:t>e</w:t>
      </w:r>
      <w:r w:rsidRPr="003D5ACB">
        <w:rPr>
          <w:shd w:val="clear" w:color="auto" w:fill="FFFFFF"/>
          <w:lang w:val="ro-RO"/>
        </w:rPr>
        <w:t xml:space="preserve"> Comisiei </w:t>
      </w:r>
      <w:r w:rsidRPr="00F340F4">
        <w:rPr>
          <w:shd w:val="clear" w:color="auto" w:fill="FFFFFF"/>
          <w:lang w:val="ro-RO"/>
        </w:rPr>
        <w:t>Naționale pentru Securitate Biologică</w:t>
      </w:r>
      <w:r w:rsidRPr="00F340F4">
        <w:rPr>
          <w:rFonts w:ascii="PT Serif" w:hAnsi="PT Serif"/>
          <w:shd w:val="clear" w:color="auto" w:fill="FFFFFF"/>
          <w:lang w:val="ro-RO"/>
        </w:rPr>
        <w:t xml:space="preserve"> </w:t>
      </w:r>
      <w:r w:rsidRPr="003D5ACB">
        <w:rPr>
          <w:shd w:val="clear" w:color="auto" w:fill="FFFFFF"/>
          <w:lang w:val="ro-RO"/>
        </w:rPr>
        <w:t>și celorlalte țări implicate. Rezultatele care se repetă într-un interval de trei luni se comunică fără întârziere.</w:t>
      </w:r>
    </w:p>
    <w:p w14:paraId="7ED47A48" w14:textId="632F4655" w:rsidR="008F238D" w:rsidRDefault="008F238D" w:rsidP="004E4539">
      <w:pPr>
        <w:pStyle w:val="oj-doc-ti"/>
        <w:shd w:val="clear" w:color="auto" w:fill="FFFFFF"/>
        <w:spacing w:before="0" w:after="0" w:line="276" w:lineRule="auto"/>
        <w:jc w:val="both"/>
        <w:rPr>
          <w:sz w:val="28"/>
          <w:szCs w:val="28"/>
          <w:shd w:val="clear" w:color="auto" w:fill="FFFFFF"/>
          <w:lang w:val="ro-RO"/>
        </w:rPr>
      </w:pPr>
      <w:r w:rsidRPr="00424615">
        <w:rPr>
          <w:b/>
          <w:bCs/>
          <w:sz w:val="28"/>
          <w:szCs w:val="28"/>
          <w:shd w:val="clear" w:color="auto" w:fill="FFFFFF"/>
          <w:lang w:val="ro-RO"/>
        </w:rPr>
        <w:t>1</w:t>
      </w:r>
      <w:r w:rsidR="00424615" w:rsidRPr="00424615">
        <w:rPr>
          <w:b/>
          <w:bCs/>
          <w:sz w:val="28"/>
          <w:szCs w:val="28"/>
          <w:shd w:val="clear" w:color="auto" w:fill="FFFFFF"/>
          <w:lang w:val="ro-RO"/>
        </w:rPr>
        <w:t>4</w:t>
      </w:r>
      <w:r w:rsidRPr="00424615">
        <w:rPr>
          <w:b/>
          <w:bCs/>
          <w:sz w:val="28"/>
          <w:szCs w:val="28"/>
          <w:shd w:val="clear" w:color="auto" w:fill="FFFFFF"/>
          <w:lang w:val="ro-RO"/>
        </w:rPr>
        <w:t>.</w:t>
      </w:r>
      <w:r w:rsidRPr="003D5ACB">
        <w:rPr>
          <w:sz w:val="28"/>
          <w:szCs w:val="28"/>
          <w:shd w:val="clear" w:color="auto" w:fill="FFFFFF"/>
          <w:lang w:val="ro-RO"/>
        </w:rPr>
        <w:t xml:space="preserve"> Dacă este cazul, Agenția poate adopta măsuri de urgență, în conformitate cu art. 28 și 29 din Legea nr.306/2018 privind siguranța alimentelor.</w:t>
      </w:r>
    </w:p>
    <w:p w14:paraId="06786285" w14:textId="77777777" w:rsidR="00E85426" w:rsidRPr="003D5ACB" w:rsidRDefault="00E85426" w:rsidP="004E4539">
      <w:pPr>
        <w:pStyle w:val="oj-doc-ti"/>
        <w:shd w:val="clear" w:color="auto" w:fill="FFFFFF"/>
        <w:spacing w:before="0" w:after="0" w:line="276" w:lineRule="auto"/>
        <w:jc w:val="both"/>
        <w:rPr>
          <w:sz w:val="28"/>
          <w:szCs w:val="28"/>
          <w:shd w:val="clear" w:color="auto" w:fill="FFFFFF"/>
          <w:lang w:val="ro-RO"/>
        </w:rPr>
      </w:pPr>
    </w:p>
    <w:p w14:paraId="7C0A4AD4" w14:textId="53AE1FD6" w:rsidR="004E4539" w:rsidRPr="00E85426" w:rsidRDefault="004E4539" w:rsidP="004E4539">
      <w:pPr>
        <w:shd w:val="clear" w:color="auto" w:fill="FFFFFF"/>
        <w:jc w:val="center"/>
        <w:rPr>
          <w:b/>
          <w:shd w:val="clear" w:color="auto" w:fill="FFFFFF"/>
          <w:lang w:val="ro-RO" w:eastAsia="ro-RO"/>
        </w:rPr>
      </w:pPr>
      <w:r w:rsidRPr="00E85426">
        <w:rPr>
          <w:b/>
          <w:shd w:val="clear" w:color="auto" w:fill="FFFFFF"/>
          <w:lang w:val="ro-RO" w:eastAsia="ro-RO"/>
        </w:rPr>
        <w:t xml:space="preserve">Secțiunea </w:t>
      </w:r>
      <w:r w:rsidR="00E85426">
        <w:rPr>
          <w:b/>
          <w:shd w:val="clear" w:color="auto" w:fill="FFFFFF"/>
          <w:lang w:val="ro-RO" w:eastAsia="ro-RO"/>
        </w:rPr>
        <w:t>6</w:t>
      </w:r>
    </w:p>
    <w:p w14:paraId="31E5AE7D" w14:textId="74CDC481" w:rsidR="004E4539" w:rsidRPr="003D5ACB" w:rsidRDefault="004E4539" w:rsidP="004E4539">
      <w:pPr>
        <w:shd w:val="clear" w:color="auto" w:fill="FFFFFF"/>
        <w:jc w:val="center"/>
        <w:rPr>
          <w:b/>
          <w:bCs/>
          <w:shd w:val="clear" w:color="auto" w:fill="FFFFFF"/>
          <w:lang w:val="ro-RO"/>
        </w:rPr>
      </w:pPr>
      <w:r w:rsidRPr="003D5ACB">
        <w:rPr>
          <w:b/>
          <w:bCs/>
          <w:shd w:val="clear" w:color="auto" w:fill="FFFFFF"/>
          <w:lang w:val="ro-RO"/>
        </w:rPr>
        <w:t xml:space="preserve">Lista materialelor MG menționate </w:t>
      </w:r>
      <w:r w:rsidR="007906E6" w:rsidRPr="007906E6">
        <w:rPr>
          <w:b/>
          <w:bCs/>
          <w:shd w:val="clear" w:color="auto" w:fill="FFFFFF"/>
          <w:lang w:val="ro-RO"/>
        </w:rPr>
        <w:t>la pct. 4-6</w:t>
      </w:r>
    </w:p>
    <w:p w14:paraId="63852CFD" w14:textId="116A1DC3" w:rsidR="00E85426" w:rsidRPr="003D5ACB" w:rsidRDefault="004E4539" w:rsidP="004E4539">
      <w:pPr>
        <w:pStyle w:val="oj-doc-ti"/>
        <w:shd w:val="clear" w:color="auto" w:fill="FFFFFF"/>
        <w:spacing w:before="0" w:after="0" w:line="276" w:lineRule="auto"/>
        <w:jc w:val="both"/>
        <w:rPr>
          <w:sz w:val="28"/>
          <w:szCs w:val="28"/>
          <w:shd w:val="clear" w:color="auto" w:fill="FFFFFF"/>
          <w:lang w:val="ro-RO"/>
        </w:rPr>
      </w:pPr>
      <w:r w:rsidRPr="005F043A">
        <w:rPr>
          <w:b/>
          <w:bCs/>
          <w:sz w:val="28"/>
          <w:szCs w:val="28"/>
          <w:shd w:val="clear" w:color="auto" w:fill="FFFFFF"/>
          <w:lang w:val="ro-RO"/>
        </w:rPr>
        <w:t>1</w:t>
      </w:r>
      <w:r w:rsidR="00036B0F" w:rsidRPr="005F043A">
        <w:rPr>
          <w:b/>
          <w:bCs/>
          <w:sz w:val="28"/>
          <w:szCs w:val="28"/>
          <w:shd w:val="clear" w:color="auto" w:fill="FFFFFF"/>
          <w:lang w:val="ro-RO"/>
        </w:rPr>
        <w:t>5</w:t>
      </w:r>
      <w:r w:rsidRPr="005F043A">
        <w:rPr>
          <w:b/>
          <w:bCs/>
          <w:sz w:val="28"/>
          <w:szCs w:val="28"/>
          <w:shd w:val="clear" w:color="auto" w:fill="FFFFFF"/>
          <w:lang w:val="ro-RO"/>
        </w:rPr>
        <w:t>.</w:t>
      </w:r>
      <w:r w:rsidRPr="003D5ACB">
        <w:rPr>
          <w:sz w:val="28"/>
          <w:szCs w:val="28"/>
          <w:shd w:val="clear" w:color="auto" w:fill="FFFFFF"/>
          <w:lang w:val="ro-RO"/>
        </w:rPr>
        <w:t xml:space="preserve"> </w:t>
      </w:r>
      <w:r w:rsidRPr="008E0EC4">
        <w:rPr>
          <w:sz w:val="28"/>
          <w:szCs w:val="28"/>
          <w:shd w:val="clear" w:color="auto" w:fill="FFFFFF"/>
          <w:lang w:val="ro-RO"/>
        </w:rPr>
        <w:t>Agenția p</w:t>
      </w:r>
      <w:r w:rsidRPr="003D5ACB">
        <w:rPr>
          <w:sz w:val="28"/>
          <w:szCs w:val="28"/>
          <w:shd w:val="clear" w:color="auto" w:fill="FFFFFF"/>
          <w:lang w:val="ro-RO"/>
        </w:rPr>
        <w:t xml:space="preserve">ublică pe </w:t>
      </w:r>
      <w:r w:rsidR="00DA7217">
        <w:rPr>
          <w:sz w:val="28"/>
          <w:szCs w:val="28"/>
          <w:shd w:val="clear" w:color="auto" w:fill="FFFFFF"/>
          <w:lang w:val="ro-RO"/>
        </w:rPr>
        <w:t>site său</w:t>
      </w:r>
      <w:r w:rsidRPr="003D5ACB">
        <w:rPr>
          <w:sz w:val="28"/>
          <w:szCs w:val="28"/>
          <w:shd w:val="clear" w:color="auto" w:fill="FFFFFF"/>
          <w:lang w:val="ro-RO"/>
        </w:rPr>
        <w:t xml:space="preserve"> lista materialelor MG care satisfac condițiile specificate </w:t>
      </w:r>
      <w:r w:rsidRPr="007906E6">
        <w:rPr>
          <w:sz w:val="28"/>
          <w:szCs w:val="28"/>
          <w:shd w:val="clear" w:color="auto" w:fill="FFFFFF"/>
          <w:lang w:val="ro-RO"/>
        </w:rPr>
        <w:t>la</w:t>
      </w:r>
      <w:r w:rsidR="007906E6" w:rsidRPr="007906E6">
        <w:rPr>
          <w:bCs/>
          <w:sz w:val="28"/>
          <w:szCs w:val="28"/>
          <w:shd w:val="clear" w:color="auto" w:fill="FFFFFF"/>
          <w:lang w:val="ro-RO" w:eastAsia="ro-RO"/>
        </w:rPr>
        <w:t xml:space="preserve"> pct. 4-6 din prezentul regulament</w:t>
      </w:r>
      <w:r w:rsidRPr="007906E6">
        <w:rPr>
          <w:sz w:val="28"/>
          <w:szCs w:val="28"/>
          <w:shd w:val="clear" w:color="auto" w:fill="FFFFFF"/>
          <w:lang w:val="ro-RO"/>
        </w:rPr>
        <w:t>. Această</w:t>
      </w:r>
      <w:r w:rsidRPr="003D5ACB">
        <w:rPr>
          <w:sz w:val="28"/>
          <w:szCs w:val="28"/>
          <w:shd w:val="clear" w:color="auto" w:fill="FFFFFF"/>
          <w:lang w:val="ro-RO"/>
        </w:rPr>
        <w:t xml:space="preserve"> listă conține informații cu privire la locul unde materialul de referință certificat este disponibil, în conformitate cu art. 5 alin. (1) lit. (j) din Legea nr.394/2023 privind produsele alimentare și furajele modificate genetic și, dacă este cazul, informații cu privire la măsurile adoptate în conformitate cu pct.13  din prezentul </w:t>
      </w:r>
      <w:r w:rsidR="00DA7217">
        <w:rPr>
          <w:sz w:val="28"/>
          <w:szCs w:val="28"/>
          <w:shd w:val="clear" w:color="auto" w:fill="FFFFFF"/>
          <w:lang w:val="ro-RO"/>
        </w:rPr>
        <w:t>regulament</w:t>
      </w:r>
      <w:r w:rsidRPr="003D5ACB">
        <w:rPr>
          <w:sz w:val="28"/>
          <w:szCs w:val="28"/>
          <w:shd w:val="clear" w:color="auto" w:fill="FFFFFF"/>
          <w:lang w:val="ro-RO"/>
        </w:rPr>
        <w:t>.</w:t>
      </w:r>
    </w:p>
    <w:p w14:paraId="441E61B9" w14:textId="7E6DF702" w:rsidR="004E4539" w:rsidRPr="003D5ACB" w:rsidRDefault="004E4539" w:rsidP="004E4539">
      <w:pPr>
        <w:pStyle w:val="oj-doc-ti"/>
        <w:shd w:val="clear" w:color="auto" w:fill="FFFFFF"/>
        <w:spacing w:before="0" w:after="0" w:line="276" w:lineRule="auto"/>
        <w:jc w:val="both"/>
        <w:rPr>
          <w:sz w:val="28"/>
          <w:szCs w:val="28"/>
          <w:shd w:val="clear" w:color="auto" w:fill="FFFFFF"/>
          <w:lang w:val="ro-RO"/>
        </w:rPr>
      </w:pPr>
      <w:r w:rsidRPr="005F043A">
        <w:rPr>
          <w:b/>
          <w:bCs/>
          <w:sz w:val="28"/>
          <w:szCs w:val="28"/>
          <w:shd w:val="clear" w:color="auto" w:fill="FFFFFF"/>
          <w:lang w:val="ro-RO"/>
        </w:rPr>
        <w:t>1</w:t>
      </w:r>
      <w:r w:rsidR="005F043A" w:rsidRPr="005F043A">
        <w:rPr>
          <w:b/>
          <w:bCs/>
          <w:sz w:val="28"/>
          <w:szCs w:val="28"/>
          <w:shd w:val="clear" w:color="auto" w:fill="FFFFFF"/>
          <w:lang w:val="ro-RO"/>
        </w:rPr>
        <w:t>6</w:t>
      </w:r>
      <w:r w:rsidRPr="005F043A">
        <w:rPr>
          <w:b/>
          <w:bCs/>
          <w:sz w:val="28"/>
          <w:szCs w:val="28"/>
          <w:shd w:val="clear" w:color="auto" w:fill="FFFFFF"/>
          <w:lang w:val="ro-RO"/>
        </w:rPr>
        <w:t>.</w:t>
      </w:r>
      <w:r w:rsidRPr="003D5ACB">
        <w:rPr>
          <w:sz w:val="28"/>
          <w:szCs w:val="28"/>
          <w:shd w:val="clear" w:color="auto" w:fill="FFFFFF"/>
          <w:lang w:val="ro-RO"/>
        </w:rPr>
        <w:t xml:space="preserve"> Agenția supraveghează aplicarea prezentului </w:t>
      </w:r>
      <w:r w:rsidR="00DA7217">
        <w:rPr>
          <w:sz w:val="28"/>
          <w:szCs w:val="28"/>
          <w:shd w:val="clear" w:color="auto" w:fill="FFFFFF"/>
          <w:lang w:val="ro-RO"/>
        </w:rPr>
        <w:t>regulament</w:t>
      </w:r>
      <w:r w:rsidRPr="003D5ACB">
        <w:rPr>
          <w:sz w:val="28"/>
          <w:szCs w:val="28"/>
          <w:shd w:val="clear" w:color="auto" w:fill="FFFFFF"/>
          <w:lang w:val="ro-RO"/>
        </w:rPr>
        <w:t xml:space="preserve"> </w:t>
      </w:r>
      <w:r w:rsidR="00DA7217">
        <w:rPr>
          <w:sz w:val="28"/>
          <w:szCs w:val="28"/>
          <w:shd w:val="clear" w:color="auto" w:fill="FFFFFF"/>
          <w:lang w:val="ro-RO"/>
        </w:rPr>
        <w:t>și</w:t>
      </w:r>
      <w:r w:rsidRPr="003D5ACB">
        <w:rPr>
          <w:sz w:val="28"/>
          <w:szCs w:val="28"/>
          <w:shd w:val="clear" w:color="auto" w:fill="FFFFFF"/>
          <w:lang w:val="ro-RO"/>
        </w:rPr>
        <w:t xml:space="preserve"> impactul acestuia asupra pieței interne, asupra operatorilor din sectorul furajelor și creșterii animalelor, precum și asupra altor operatori și prezintă, dacă este cazul, propuneri de reexaminare a prezentului </w:t>
      </w:r>
      <w:r w:rsidR="00DA7217">
        <w:rPr>
          <w:sz w:val="28"/>
          <w:szCs w:val="28"/>
          <w:shd w:val="clear" w:color="auto" w:fill="FFFFFF"/>
          <w:lang w:val="ro-RO"/>
        </w:rPr>
        <w:t>regulament</w:t>
      </w:r>
      <w:r w:rsidRPr="003D5ACB">
        <w:rPr>
          <w:sz w:val="28"/>
          <w:szCs w:val="28"/>
          <w:shd w:val="clear" w:color="auto" w:fill="FFFFFF"/>
          <w:lang w:val="ro-RO"/>
        </w:rPr>
        <w:t>.</w:t>
      </w:r>
    </w:p>
    <w:p w14:paraId="340AB589" w14:textId="77777777" w:rsidR="00DA7217" w:rsidRDefault="00DA7217" w:rsidP="00DA7217">
      <w:pPr>
        <w:ind w:left="-180" w:right="81"/>
        <w:jc w:val="right"/>
        <w:rPr>
          <w:sz w:val="20"/>
          <w:szCs w:val="20"/>
          <w:lang w:val="ro-RO"/>
        </w:rPr>
      </w:pPr>
    </w:p>
    <w:p w14:paraId="35AE7AA5" w14:textId="77777777" w:rsidR="00DA7217" w:rsidRDefault="00DA7217" w:rsidP="00DA7217">
      <w:pPr>
        <w:ind w:left="-180" w:right="81"/>
        <w:jc w:val="right"/>
        <w:rPr>
          <w:sz w:val="20"/>
          <w:szCs w:val="20"/>
          <w:lang w:val="ro-RO"/>
        </w:rPr>
      </w:pPr>
    </w:p>
    <w:p w14:paraId="09E07A45" w14:textId="77777777" w:rsidR="00E85814" w:rsidRDefault="00E85814" w:rsidP="00DA7217">
      <w:pPr>
        <w:ind w:left="-180" w:right="81"/>
        <w:jc w:val="right"/>
        <w:rPr>
          <w:sz w:val="20"/>
          <w:szCs w:val="20"/>
          <w:lang w:val="ro-RO"/>
        </w:rPr>
      </w:pPr>
    </w:p>
    <w:p w14:paraId="2E235EDF" w14:textId="41AFA1D7" w:rsidR="00DA7217" w:rsidRDefault="00DA7217" w:rsidP="00DA7217">
      <w:pPr>
        <w:ind w:left="-180" w:right="81"/>
        <w:jc w:val="right"/>
        <w:rPr>
          <w:sz w:val="20"/>
          <w:szCs w:val="20"/>
          <w:lang w:val="ro-RO"/>
        </w:rPr>
      </w:pPr>
      <w:r w:rsidRPr="00DA7217">
        <w:rPr>
          <w:sz w:val="20"/>
          <w:szCs w:val="20"/>
          <w:lang w:val="ro-RO"/>
        </w:rPr>
        <w:t xml:space="preserve">Anexa nr.1 la Regulamentul privind stabilirea </w:t>
      </w:r>
    </w:p>
    <w:p w14:paraId="55CDAC3F" w14:textId="77777777" w:rsidR="00DA7217" w:rsidRDefault="00DA7217" w:rsidP="00DA7217">
      <w:pPr>
        <w:ind w:left="-180" w:right="81"/>
        <w:jc w:val="right"/>
        <w:rPr>
          <w:sz w:val="20"/>
          <w:szCs w:val="20"/>
          <w:lang w:val="ro-RO"/>
        </w:rPr>
      </w:pPr>
      <w:r w:rsidRPr="00DA7217">
        <w:rPr>
          <w:sz w:val="20"/>
          <w:szCs w:val="20"/>
          <w:lang w:val="ro-RO"/>
        </w:rPr>
        <w:t xml:space="preserve">metodelor de eșantionare și analiză pentru controlul </w:t>
      </w:r>
    </w:p>
    <w:p w14:paraId="44B28AF7" w14:textId="77777777" w:rsidR="00DA7217" w:rsidRDefault="00DA7217" w:rsidP="00DA7217">
      <w:pPr>
        <w:ind w:left="-180" w:right="81"/>
        <w:jc w:val="right"/>
        <w:rPr>
          <w:sz w:val="20"/>
          <w:szCs w:val="20"/>
          <w:lang w:val="ro-RO"/>
        </w:rPr>
      </w:pPr>
      <w:r w:rsidRPr="00DA7217">
        <w:rPr>
          <w:sz w:val="20"/>
          <w:szCs w:val="20"/>
          <w:lang w:val="ro-RO"/>
        </w:rPr>
        <w:t xml:space="preserve">oficial al furajelor în vederea detectării materialului </w:t>
      </w:r>
    </w:p>
    <w:p w14:paraId="14DF58AB" w14:textId="77777777" w:rsidR="00DA7217" w:rsidRDefault="00DA7217" w:rsidP="00DA7217">
      <w:pPr>
        <w:ind w:left="-180" w:right="81"/>
        <w:jc w:val="right"/>
        <w:rPr>
          <w:sz w:val="20"/>
          <w:szCs w:val="20"/>
          <w:lang w:val="ro-RO"/>
        </w:rPr>
      </w:pPr>
      <w:r w:rsidRPr="00DA7217">
        <w:rPr>
          <w:sz w:val="20"/>
          <w:szCs w:val="20"/>
          <w:lang w:val="ro-RO"/>
        </w:rPr>
        <w:t xml:space="preserve">modificat genetic pentru care o procedură de autorizare </w:t>
      </w:r>
    </w:p>
    <w:p w14:paraId="5C3C0965" w14:textId="3AACDE77" w:rsidR="00DA7217" w:rsidRPr="00DA7217" w:rsidRDefault="00DA7217" w:rsidP="00DA7217">
      <w:pPr>
        <w:ind w:left="-180" w:right="81"/>
        <w:jc w:val="right"/>
        <w:rPr>
          <w:sz w:val="20"/>
          <w:szCs w:val="20"/>
          <w:lang w:val="ro-RO"/>
        </w:rPr>
      </w:pPr>
      <w:r w:rsidRPr="00DA7217">
        <w:rPr>
          <w:sz w:val="20"/>
          <w:szCs w:val="20"/>
          <w:lang w:val="ro-RO"/>
        </w:rPr>
        <w:t xml:space="preserve">este în curs de desfășurare sau a cărui autorizare a expirat, </w:t>
      </w:r>
    </w:p>
    <w:p w14:paraId="06414AAD" w14:textId="77777777" w:rsidR="00DA7217" w:rsidRPr="00DA7217" w:rsidRDefault="00DA7217" w:rsidP="00DA7217">
      <w:pPr>
        <w:ind w:left="-180" w:right="81"/>
        <w:jc w:val="right"/>
        <w:rPr>
          <w:sz w:val="20"/>
          <w:szCs w:val="20"/>
          <w:lang w:val="ro-RO"/>
        </w:rPr>
      </w:pPr>
      <w:r w:rsidRPr="00DA7217">
        <w:rPr>
          <w:sz w:val="20"/>
          <w:szCs w:val="20"/>
          <w:lang w:val="ro-RO"/>
        </w:rPr>
        <w:t xml:space="preserve">aprobat prin Ordinul directorului general al </w:t>
      </w:r>
    </w:p>
    <w:p w14:paraId="11DA804E" w14:textId="77777777" w:rsidR="00DA7217" w:rsidRPr="00DA7217" w:rsidRDefault="00DA7217" w:rsidP="00DA7217">
      <w:pPr>
        <w:ind w:left="-180" w:right="81"/>
        <w:jc w:val="right"/>
        <w:rPr>
          <w:sz w:val="20"/>
          <w:szCs w:val="20"/>
          <w:lang w:val="ro-RO"/>
        </w:rPr>
      </w:pPr>
      <w:r w:rsidRPr="00DA7217">
        <w:rPr>
          <w:sz w:val="20"/>
          <w:szCs w:val="20"/>
          <w:lang w:val="ro-RO"/>
        </w:rPr>
        <w:t>Agenției Naționale pentru Siguranța Alimentelor</w:t>
      </w:r>
    </w:p>
    <w:p w14:paraId="6C213790" w14:textId="77777777" w:rsidR="00DA7217" w:rsidRDefault="00DA7217" w:rsidP="00DA7217">
      <w:pPr>
        <w:pStyle w:val="oj-doc-ti"/>
        <w:shd w:val="clear" w:color="auto" w:fill="FFFFFF"/>
        <w:spacing w:before="0" w:after="0" w:line="276" w:lineRule="auto"/>
        <w:ind w:right="81"/>
        <w:jc w:val="right"/>
        <w:rPr>
          <w:sz w:val="20"/>
          <w:szCs w:val="20"/>
          <w:lang w:val="ro-RO"/>
        </w:rPr>
      </w:pPr>
      <w:r w:rsidRPr="00DA7217">
        <w:rPr>
          <w:sz w:val="20"/>
          <w:szCs w:val="20"/>
          <w:lang w:val="ro-RO"/>
        </w:rPr>
        <w:t>nr. ........ din .......................... 2026</w:t>
      </w:r>
    </w:p>
    <w:p w14:paraId="0482A010" w14:textId="77777777" w:rsidR="00DA7217" w:rsidRDefault="00DA7217" w:rsidP="00DA7217">
      <w:pPr>
        <w:pStyle w:val="oj-doc-ti"/>
        <w:shd w:val="clear" w:color="auto" w:fill="FFFFFF"/>
        <w:spacing w:before="0" w:after="0" w:line="276" w:lineRule="auto"/>
        <w:ind w:right="81"/>
        <w:jc w:val="right"/>
        <w:rPr>
          <w:sz w:val="20"/>
          <w:szCs w:val="20"/>
          <w:lang w:val="ro-RO"/>
        </w:rPr>
      </w:pPr>
    </w:p>
    <w:p w14:paraId="05140A6C" w14:textId="77777777" w:rsidR="00DA7217" w:rsidRDefault="00DA7217" w:rsidP="00DA7217">
      <w:pPr>
        <w:pStyle w:val="oj-doc-ti"/>
        <w:shd w:val="clear" w:color="auto" w:fill="FFFFFF"/>
        <w:spacing w:before="0" w:after="0" w:line="276" w:lineRule="auto"/>
        <w:ind w:right="81"/>
        <w:jc w:val="right"/>
        <w:rPr>
          <w:sz w:val="20"/>
          <w:szCs w:val="20"/>
          <w:lang w:val="ro-RO"/>
        </w:rPr>
      </w:pPr>
    </w:p>
    <w:p w14:paraId="2E3E55CE" w14:textId="347225E3" w:rsidR="004E4539" w:rsidRPr="003D5ACB" w:rsidRDefault="004E4539" w:rsidP="00DA7217">
      <w:pPr>
        <w:shd w:val="clear" w:color="auto" w:fill="FFFFFF"/>
        <w:jc w:val="center"/>
        <w:rPr>
          <w:b/>
          <w:bCs/>
          <w:shd w:val="clear" w:color="auto" w:fill="FFFFFF"/>
          <w:lang w:val="ro-RO"/>
        </w:rPr>
      </w:pPr>
      <w:r w:rsidRPr="003D5ACB">
        <w:rPr>
          <w:b/>
          <w:bCs/>
          <w:shd w:val="clear" w:color="auto" w:fill="FFFFFF"/>
          <w:lang w:val="ro-RO"/>
        </w:rPr>
        <w:t>METODE DE PRELEVARE A PROBELOR</w:t>
      </w:r>
    </w:p>
    <w:p w14:paraId="6477ACAB" w14:textId="77777777" w:rsidR="004E4539" w:rsidRPr="003D5ACB" w:rsidRDefault="004E4539" w:rsidP="004E4539">
      <w:pPr>
        <w:shd w:val="clear" w:color="auto" w:fill="FFFFFF"/>
        <w:jc w:val="both"/>
        <w:rPr>
          <w:shd w:val="clear" w:color="auto" w:fill="FFFFFF"/>
          <w:lang w:val="ro-RO" w:eastAsia="ro-RO"/>
        </w:rPr>
      </w:pPr>
      <w:r w:rsidRPr="00A26755">
        <w:rPr>
          <w:b/>
          <w:bCs/>
          <w:shd w:val="clear" w:color="auto" w:fill="FFFFFF"/>
          <w:lang w:val="ro-RO" w:eastAsia="ro-RO"/>
        </w:rPr>
        <w:t>1.</w:t>
      </w:r>
      <w:r w:rsidRPr="003D5ACB">
        <w:rPr>
          <w:lang w:val="ro-RO"/>
        </w:rPr>
        <w:t xml:space="preserve"> </w:t>
      </w:r>
      <w:r w:rsidRPr="003D5ACB">
        <w:rPr>
          <w:shd w:val="clear" w:color="auto" w:fill="FFFFFF"/>
          <w:lang w:val="ro-RO" w:eastAsia="ro-RO"/>
        </w:rPr>
        <w:t>În scopul aplicării anexei nr. 1 la Hotărârea Guvernului nr.686/2012 cu privire la aprobarea unor metode de analiză pentru controlul nutrețurilor, materialul MG trebuie considerat o substanță susceptibilă să fie distribuită de manieră neuniformă în furaj.</w:t>
      </w:r>
    </w:p>
    <w:p w14:paraId="5E27F91B" w14:textId="77777777" w:rsidR="004E4539" w:rsidRPr="003D5ACB" w:rsidRDefault="004E4539" w:rsidP="004E4539">
      <w:pPr>
        <w:shd w:val="clear" w:color="auto" w:fill="FFFFFF"/>
        <w:jc w:val="both"/>
        <w:rPr>
          <w:shd w:val="clear" w:color="auto" w:fill="FFFFFF"/>
          <w:lang w:val="ro-RO"/>
        </w:rPr>
      </w:pPr>
      <w:r w:rsidRPr="00A26755">
        <w:rPr>
          <w:b/>
          <w:bCs/>
          <w:shd w:val="clear" w:color="auto" w:fill="FFFFFF"/>
          <w:lang w:val="ro-RO" w:eastAsia="ro-RO"/>
        </w:rPr>
        <w:t>2.</w:t>
      </w:r>
      <w:r w:rsidRPr="003D5ACB">
        <w:rPr>
          <w:shd w:val="clear" w:color="auto" w:fill="FFFFFF"/>
          <w:lang w:val="ro-RO"/>
        </w:rPr>
        <w:t xml:space="preserve"> Mărimea probelor globale ale materiilor prime furajere nu trebuie să fie inferioară unei greutăți care corespunde la 35 000 boabe/semințe, iar cea a eșantionului final nu trebuie să fie inferioară greutății corespunzătoare cu 10 000 boabe/semințe.</w:t>
      </w:r>
    </w:p>
    <w:p w14:paraId="3E8C6A9C" w14:textId="48F43CD9" w:rsidR="004E4539" w:rsidRPr="003D5ACB" w:rsidRDefault="004E4539" w:rsidP="004E4539">
      <w:pPr>
        <w:shd w:val="clear" w:color="auto" w:fill="FFFFFF"/>
        <w:jc w:val="both"/>
        <w:rPr>
          <w:shd w:val="clear" w:color="auto" w:fill="FFFFFF"/>
          <w:lang w:val="ro-RO"/>
        </w:rPr>
      </w:pPr>
      <w:r w:rsidRPr="003D5ACB">
        <w:rPr>
          <w:shd w:val="clear" w:color="auto" w:fill="FFFFFF"/>
          <w:lang w:val="ro-RO"/>
        </w:rPr>
        <w:t>Masele echivalente a 10 000 boabe/semințe sunt prezentate în tabelul de mai jos.</w:t>
      </w:r>
    </w:p>
    <w:p w14:paraId="2BE2A86F" w14:textId="01363D21" w:rsidR="004E4539" w:rsidRPr="003D5ACB" w:rsidRDefault="004E4539" w:rsidP="00E85814">
      <w:pPr>
        <w:shd w:val="clear" w:color="auto" w:fill="FFFFFF"/>
        <w:jc w:val="center"/>
        <w:rPr>
          <w:shd w:val="clear" w:color="auto" w:fill="FFFFFF"/>
          <w:lang w:val="ro-RO"/>
        </w:rPr>
      </w:pPr>
      <w:r w:rsidRPr="003D5ACB">
        <w:rPr>
          <w:shd w:val="clear" w:color="auto" w:fill="FFFFFF"/>
          <w:lang w:val="ro-RO"/>
        </w:rPr>
        <w:lastRenderedPageBreak/>
        <w:t>Tabel</w:t>
      </w:r>
    </w:p>
    <w:p w14:paraId="730D6C07" w14:textId="286E8F09" w:rsidR="004E4539" w:rsidRPr="003D5ACB" w:rsidRDefault="004E4539" w:rsidP="00E85814">
      <w:pPr>
        <w:shd w:val="clear" w:color="auto" w:fill="FFFFFF"/>
        <w:jc w:val="center"/>
        <w:rPr>
          <w:shd w:val="clear" w:color="auto" w:fill="FFFFFF"/>
          <w:lang w:val="ro-RO"/>
        </w:rPr>
      </w:pPr>
      <w:r w:rsidRPr="003D5ACB">
        <w:rPr>
          <w:shd w:val="clear" w:color="auto" w:fill="FFFFFF"/>
          <w:lang w:val="ro-RO"/>
        </w:rPr>
        <w:t>Masa echivalentă a 10 000 boabe/semințe pentru diferite plante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9720"/>
      </w:tblGrid>
      <w:tr w:rsidR="004E4539" w:rsidRPr="003D5ACB" w14:paraId="5159070E" w14:textId="77777777" w:rsidTr="006854CC">
        <w:tc>
          <w:tcPr>
            <w:tcW w:w="9689" w:type="dxa"/>
            <w:shd w:val="clear" w:color="auto" w:fill="FFFFFF"/>
            <w:hideMark/>
          </w:tcPr>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412"/>
              <w:gridCol w:w="6292"/>
            </w:tblGrid>
            <w:tr w:rsidR="004E4539" w:rsidRPr="003D5ACB" w14:paraId="19B0A35C" w14:textId="77777777" w:rsidTr="00EF0936">
              <w:trPr>
                <w:trHeight w:val="243"/>
              </w:trPr>
              <w:tc>
                <w:tcPr>
                  <w:tcW w:w="3412" w:type="dxa"/>
                  <w:tcBorders>
                    <w:top w:val="single" w:sz="6" w:space="0" w:color="000000"/>
                    <w:left w:val="single" w:sz="6" w:space="0" w:color="000000"/>
                    <w:bottom w:val="single" w:sz="6" w:space="0" w:color="000000"/>
                    <w:right w:val="single" w:sz="6" w:space="0" w:color="000000"/>
                  </w:tcBorders>
                  <w:hideMark/>
                </w:tcPr>
                <w:p w14:paraId="64F64BD1" w14:textId="77777777" w:rsidR="004E4539" w:rsidRPr="003D5ACB" w:rsidRDefault="004E4539" w:rsidP="006854CC">
                  <w:pPr>
                    <w:spacing w:before="60" w:after="60"/>
                    <w:ind w:right="195"/>
                    <w:jc w:val="center"/>
                    <w:rPr>
                      <w:b/>
                      <w:bCs/>
                      <w:sz w:val="24"/>
                      <w:szCs w:val="24"/>
                      <w:lang w:val="ro-RO" w:eastAsia="ro-RO"/>
                    </w:rPr>
                  </w:pPr>
                  <w:r w:rsidRPr="003D5ACB">
                    <w:rPr>
                      <w:b/>
                      <w:bCs/>
                      <w:sz w:val="24"/>
                      <w:szCs w:val="24"/>
                      <w:lang w:val="ro-RO" w:eastAsia="ro-RO"/>
                    </w:rPr>
                    <w:t>Plantă</w:t>
                  </w:r>
                </w:p>
              </w:tc>
              <w:tc>
                <w:tcPr>
                  <w:tcW w:w="6292" w:type="dxa"/>
                  <w:tcBorders>
                    <w:top w:val="single" w:sz="6" w:space="0" w:color="000000"/>
                    <w:left w:val="single" w:sz="6" w:space="0" w:color="000000"/>
                    <w:bottom w:val="single" w:sz="6" w:space="0" w:color="000000"/>
                    <w:right w:val="single" w:sz="6" w:space="0" w:color="000000"/>
                  </w:tcBorders>
                  <w:hideMark/>
                </w:tcPr>
                <w:p w14:paraId="57C773C1" w14:textId="77777777" w:rsidR="004E4539" w:rsidRPr="003D5ACB" w:rsidRDefault="004E4539" w:rsidP="006854CC">
                  <w:pPr>
                    <w:spacing w:before="60" w:after="60"/>
                    <w:ind w:right="195"/>
                    <w:jc w:val="center"/>
                    <w:rPr>
                      <w:b/>
                      <w:bCs/>
                      <w:sz w:val="24"/>
                      <w:szCs w:val="24"/>
                      <w:lang w:val="ro-RO" w:eastAsia="ro-RO"/>
                    </w:rPr>
                  </w:pPr>
                  <w:r w:rsidRPr="003D5ACB">
                    <w:rPr>
                      <w:b/>
                      <w:bCs/>
                      <w:sz w:val="24"/>
                      <w:szCs w:val="24"/>
                      <w:lang w:val="ro-RO" w:eastAsia="ro-RO"/>
                    </w:rPr>
                    <w:t>Masa, în grame, corespunzătoare cu 10 000 boabe/semințe</w:t>
                  </w:r>
                </w:p>
              </w:tc>
            </w:tr>
            <w:tr w:rsidR="004E4539" w:rsidRPr="003D5ACB" w14:paraId="3BFC48FE" w14:textId="77777777" w:rsidTr="00EF0936">
              <w:trPr>
                <w:trHeight w:val="189"/>
              </w:trPr>
              <w:tc>
                <w:tcPr>
                  <w:tcW w:w="3412" w:type="dxa"/>
                  <w:tcBorders>
                    <w:top w:val="single" w:sz="6" w:space="0" w:color="000000"/>
                    <w:left w:val="single" w:sz="6" w:space="0" w:color="000000"/>
                    <w:bottom w:val="single" w:sz="6" w:space="0" w:color="000000"/>
                    <w:right w:val="single" w:sz="6" w:space="0" w:color="000000"/>
                  </w:tcBorders>
                  <w:hideMark/>
                </w:tcPr>
                <w:p w14:paraId="2877B7A5" w14:textId="77777777" w:rsidR="004E4539" w:rsidRPr="003D5ACB" w:rsidRDefault="004E4539" w:rsidP="00E85814">
                  <w:pPr>
                    <w:spacing w:before="60" w:after="60"/>
                    <w:ind w:left="129"/>
                    <w:rPr>
                      <w:sz w:val="24"/>
                      <w:szCs w:val="24"/>
                      <w:lang w:val="ro-RO" w:eastAsia="ro-RO"/>
                    </w:rPr>
                  </w:pPr>
                  <w:r w:rsidRPr="003D5ACB">
                    <w:rPr>
                      <w:sz w:val="24"/>
                      <w:szCs w:val="24"/>
                      <w:lang w:val="ro-RO" w:eastAsia="ro-RO"/>
                    </w:rPr>
                    <w:t>Orz, mei, ovăz, orez, secară, grâu</w:t>
                  </w:r>
                </w:p>
              </w:tc>
              <w:tc>
                <w:tcPr>
                  <w:tcW w:w="6292" w:type="dxa"/>
                  <w:tcBorders>
                    <w:top w:val="single" w:sz="6" w:space="0" w:color="000000"/>
                    <w:left w:val="single" w:sz="6" w:space="0" w:color="000000"/>
                    <w:bottom w:val="single" w:sz="6" w:space="0" w:color="000000"/>
                    <w:right w:val="single" w:sz="6" w:space="0" w:color="000000"/>
                  </w:tcBorders>
                  <w:hideMark/>
                </w:tcPr>
                <w:p w14:paraId="13CD09C3" w14:textId="77777777" w:rsidR="004E4539" w:rsidRPr="003D5ACB" w:rsidRDefault="004E4539" w:rsidP="00E85814">
                  <w:pPr>
                    <w:spacing w:before="60" w:after="60"/>
                    <w:ind w:right="69"/>
                    <w:jc w:val="right"/>
                    <w:rPr>
                      <w:sz w:val="24"/>
                      <w:szCs w:val="24"/>
                      <w:lang w:val="ro-RO" w:eastAsia="ro-RO"/>
                    </w:rPr>
                  </w:pPr>
                  <w:r w:rsidRPr="003D5ACB">
                    <w:rPr>
                      <w:sz w:val="24"/>
                      <w:szCs w:val="24"/>
                      <w:lang w:val="ro-RO" w:eastAsia="ro-RO"/>
                    </w:rPr>
                    <w:t>400</w:t>
                  </w:r>
                </w:p>
              </w:tc>
            </w:tr>
            <w:tr w:rsidR="004E4539" w:rsidRPr="003D5ACB" w14:paraId="0C977A43" w14:textId="77777777" w:rsidTr="00EF0936">
              <w:tc>
                <w:tcPr>
                  <w:tcW w:w="3412" w:type="dxa"/>
                  <w:tcBorders>
                    <w:top w:val="single" w:sz="6" w:space="0" w:color="000000"/>
                    <w:left w:val="single" w:sz="6" w:space="0" w:color="000000"/>
                    <w:bottom w:val="single" w:sz="6" w:space="0" w:color="000000"/>
                    <w:right w:val="single" w:sz="6" w:space="0" w:color="000000"/>
                  </w:tcBorders>
                  <w:hideMark/>
                </w:tcPr>
                <w:p w14:paraId="5889193B" w14:textId="77777777" w:rsidR="004E4539" w:rsidRPr="003D5ACB" w:rsidRDefault="004E4539" w:rsidP="00E85814">
                  <w:pPr>
                    <w:spacing w:before="60" w:after="60"/>
                    <w:ind w:left="129"/>
                    <w:rPr>
                      <w:sz w:val="24"/>
                      <w:szCs w:val="24"/>
                      <w:lang w:val="ro-RO" w:eastAsia="ro-RO"/>
                    </w:rPr>
                  </w:pPr>
                  <w:r w:rsidRPr="003D5ACB">
                    <w:rPr>
                      <w:sz w:val="24"/>
                      <w:szCs w:val="24"/>
                      <w:lang w:val="ro-RO" w:eastAsia="ro-RO"/>
                    </w:rPr>
                    <w:t>Porumb</w:t>
                  </w:r>
                </w:p>
              </w:tc>
              <w:tc>
                <w:tcPr>
                  <w:tcW w:w="6292" w:type="dxa"/>
                  <w:tcBorders>
                    <w:top w:val="single" w:sz="6" w:space="0" w:color="000000"/>
                    <w:left w:val="single" w:sz="6" w:space="0" w:color="000000"/>
                    <w:bottom w:val="single" w:sz="6" w:space="0" w:color="000000"/>
                    <w:right w:val="single" w:sz="6" w:space="0" w:color="000000"/>
                  </w:tcBorders>
                  <w:hideMark/>
                </w:tcPr>
                <w:p w14:paraId="1E99C7EC" w14:textId="77777777" w:rsidR="004E4539" w:rsidRPr="003D5ACB" w:rsidRDefault="004E4539" w:rsidP="00E85814">
                  <w:pPr>
                    <w:spacing w:before="60" w:after="60"/>
                    <w:ind w:right="69"/>
                    <w:jc w:val="right"/>
                    <w:rPr>
                      <w:sz w:val="24"/>
                      <w:szCs w:val="24"/>
                      <w:lang w:val="ro-RO" w:eastAsia="ro-RO"/>
                    </w:rPr>
                  </w:pPr>
                  <w:r w:rsidRPr="003D5ACB">
                    <w:rPr>
                      <w:sz w:val="24"/>
                      <w:szCs w:val="24"/>
                      <w:lang w:val="ro-RO" w:eastAsia="ro-RO"/>
                    </w:rPr>
                    <w:t>3 000</w:t>
                  </w:r>
                </w:p>
              </w:tc>
            </w:tr>
            <w:tr w:rsidR="004E4539" w:rsidRPr="003D5ACB" w14:paraId="0837D9F8" w14:textId="77777777" w:rsidTr="00EF0936">
              <w:tc>
                <w:tcPr>
                  <w:tcW w:w="3412" w:type="dxa"/>
                  <w:tcBorders>
                    <w:top w:val="single" w:sz="6" w:space="0" w:color="000000"/>
                    <w:left w:val="single" w:sz="6" w:space="0" w:color="000000"/>
                    <w:bottom w:val="single" w:sz="6" w:space="0" w:color="000000"/>
                    <w:right w:val="single" w:sz="6" w:space="0" w:color="000000"/>
                  </w:tcBorders>
                  <w:hideMark/>
                </w:tcPr>
                <w:p w14:paraId="2A3A016E" w14:textId="77777777" w:rsidR="004E4539" w:rsidRPr="003D5ACB" w:rsidRDefault="004E4539" w:rsidP="00E85814">
                  <w:pPr>
                    <w:spacing w:before="60" w:after="60"/>
                    <w:ind w:left="129"/>
                    <w:rPr>
                      <w:sz w:val="24"/>
                      <w:szCs w:val="24"/>
                      <w:lang w:val="ro-RO" w:eastAsia="ro-RO"/>
                    </w:rPr>
                  </w:pPr>
                  <w:r w:rsidRPr="003D5ACB">
                    <w:rPr>
                      <w:sz w:val="24"/>
                      <w:szCs w:val="24"/>
                      <w:lang w:val="ro-RO" w:eastAsia="ro-RO"/>
                    </w:rPr>
                    <w:t>Soia</w:t>
                  </w:r>
                </w:p>
              </w:tc>
              <w:tc>
                <w:tcPr>
                  <w:tcW w:w="6292" w:type="dxa"/>
                  <w:tcBorders>
                    <w:top w:val="single" w:sz="6" w:space="0" w:color="000000"/>
                    <w:left w:val="single" w:sz="6" w:space="0" w:color="000000"/>
                    <w:bottom w:val="single" w:sz="6" w:space="0" w:color="000000"/>
                    <w:right w:val="single" w:sz="6" w:space="0" w:color="000000"/>
                  </w:tcBorders>
                  <w:hideMark/>
                </w:tcPr>
                <w:p w14:paraId="0E55AF6E" w14:textId="77777777" w:rsidR="004E4539" w:rsidRPr="003D5ACB" w:rsidRDefault="004E4539" w:rsidP="00E85814">
                  <w:pPr>
                    <w:spacing w:before="60" w:after="60"/>
                    <w:ind w:right="69"/>
                    <w:jc w:val="right"/>
                    <w:rPr>
                      <w:sz w:val="24"/>
                      <w:szCs w:val="24"/>
                      <w:lang w:val="ro-RO" w:eastAsia="ro-RO"/>
                    </w:rPr>
                  </w:pPr>
                  <w:r w:rsidRPr="003D5ACB">
                    <w:rPr>
                      <w:sz w:val="24"/>
                      <w:szCs w:val="24"/>
                      <w:lang w:val="ro-RO" w:eastAsia="ro-RO"/>
                    </w:rPr>
                    <w:t>2 000</w:t>
                  </w:r>
                </w:p>
              </w:tc>
            </w:tr>
            <w:tr w:rsidR="004E4539" w:rsidRPr="003D5ACB" w14:paraId="1D15E775" w14:textId="77777777" w:rsidTr="00EF0936">
              <w:tc>
                <w:tcPr>
                  <w:tcW w:w="3412" w:type="dxa"/>
                  <w:tcBorders>
                    <w:top w:val="single" w:sz="6" w:space="0" w:color="000000"/>
                    <w:left w:val="single" w:sz="6" w:space="0" w:color="000000"/>
                    <w:bottom w:val="single" w:sz="6" w:space="0" w:color="000000"/>
                    <w:right w:val="single" w:sz="6" w:space="0" w:color="000000"/>
                  </w:tcBorders>
                  <w:hideMark/>
                </w:tcPr>
                <w:p w14:paraId="61B1ABC0" w14:textId="77777777" w:rsidR="004E4539" w:rsidRPr="003D5ACB" w:rsidRDefault="004E4539" w:rsidP="00E85814">
                  <w:pPr>
                    <w:spacing w:before="60" w:after="60"/>
                    <w:ind w:left="129"/>
                    <w:rPr>
                      <w:sz w:val="24"/>
                      <w:szCs w:val="24"/>
                      <w:lang w:val="ro-RO" w:eastAsia="ro-RO"/>
                    </w:rPr>
                  </w:pPr>
                  <w:r w:rsidRPr="003D5ACB">
                    <w:rPr>
                      <w:sz w:val="24"/>
                      <w:szCs w:val="24"/>
                      <w:lang w:val="ro-RO" w:eastAsia="ro-RO"/>
                    </w:rPr>
                    <w:t>Semințe de rapiță</w:t>
                  </w:r>
                </w:p>
              </w:tc>
              <w:tc>
                <w:tcPr>
                  <w:tcW w:w="6292" w:type="dxa"/>
                  <w:tcBorders>
                    <w:top w:val="single" w:sz="6" w:space="0" w:color="000000"/>
                    <w:left w:val="single" w:sz="6" w:space="0" w:color="000000"/>
                    <w:bottom w:val="single" w:sz="6" w:space="0" w:color="000000"/>
                    <w:right w:val="single" w:sz="6" w:space="0" w:color="000000"/>
                  </w:tcBorders>
                  <w:hideMark/>
                </w:tcPr>
                <w:p w14:paraId="7816C87A" w14:textId="77777777" w:rsidR="004E4539" w:rsidRPr="003D5ACB" w:rsidRDefault="004E4539" w:rsidP="00E85814">
                  <w:pPr>
                    <w:spacing w:before="60" w:after="60"/>
                    <w:ind w:right="69"/>
                    <w:jc w:val="right"/>
                    <w:rPr>
                      <w:sz w:val="24"/>
                      <w:szCs w:val="24"/>
                      <w:lang w:val="ro-RO" w:eastAsia="ro-RO"/>
                    </w:rPr>
                  </w:pPr>
                  <w:r w:rsidRPr="003D5ACB">
                    <w:rPr>
                      <w:sz w:val="24"/>
                      <w:szCs w:val="24"/>
                      <w:lang w:val="ro-RO" w:eastAsia="ro-RO"/>
                    </w:rPr>
                    <w:t>40</w:t>
                  </w:r>
                </w:p>
              </w:tc>
            </w:tr>
          </w:tbl>
          <w:p w14:paraId="6C5D4626" w14:textId="77777777" w:rsidR="004E4539" w:rsidRPr="003D5ACB" w:rsidRDefault="004E4539" w:rsidP="006854CC">
            <w:pPr>
              <w:rPr>
                <w:rFonts w:ascii="inherit" w:hAnsi="inherit"/>
                <w:sz w:val="24"/>
                <w:szCs w:val="24"/>
                <w:lang w:val="ro-RO" w:eastAsia="ro-RO"/>
              </w:rPr>
            </w:pPr>
          </w:p>
        </w:tc>
      </w:tr>
    </w:tbl>
    <w:p w14:paraId="65701A04" w14:textId="77777777" w:rsidR="004E4539" w:rsidRPr="003D5ACB" w:rsidRDefault="004E4539" w:rsidP="004E4539">
      <w:pPr>
        <w:pStyle w:val="oj-doc-ti"/>
        <w:shd w:val="clear" w:color="auto" w:fill="FFFFFF"/>
        <w:spacing w:before="0" w:after="0" w:line="276" w:lineRule="auto"/>
        <w:jc w:val="both"/>
        <w:rPr>
          <w:sz w:val="28"/>
          <w:szCs w:val="28"/>
          <w:lang w:val="ro-RO"/>
        </w:rPr>
      </w:pPr>
    </w:p>
    <w:p w14:paraId="542ACAA2" w14:textId="77777777" w:rsidR="007467E7" w:rsidRDefault="007467E7" w:rsidP="007467E7">
      <w:pPr>
        <w:ind w:left="-180" w:right="81"/>
        <w:jc w:val="right"/>
        <w:rPr>
          <w:sz w:val="20"/>
          <w:szCs w:val="20"/>
          <w:lang w:val="ro-RO"/>
        </w:rPr>
      </w:pPr>
    </w:p>
    <w:p w14:paraId="7DD26207" w14:textId="77777777" w:rsidR="007467E7" w:rsidRDefault="007467E7" w:rsidP="007467E7">
      <w:pPr>
        <w:ind w:left="-180" w:right="81"/>
        <w:jc w:val="right"/>
        <w:rPr>
          <w:sz w:val="20"/>
          <w:szCs w:val="20"/>
          <w:lang w:val="ro-RO"/>
        </w:rPr>
      </w:pPr>
    </w:p>
    <w:p w14:paraId="3C6A239B" w14:textId="77777777" w:rsidR="007467E7" w:rsidRDefault="007467E7" w:rsidP="007467E7">
      <w:pPr>
        <w:ind w:left="-180" w:right="81"/>
        <w:jc w:val="right"/>
        <w:rPr>
          <w:sz w:val="20"/>
          <w:szCs w:val="20"/>
          <w:lang w:val="ro-RO"/>
        </w:rPr>
      </w:pPr>
    </w:p>
    <w:p w14:paraId="08AC823F" w14:textId="0C277241" w:rsidR="007467E7" w:rsidRDefault="007467E7" w:rsidP="007467E7">
      <w:pPr>
        <w:ind w:left="-180" w:right="81"/>
        <w:jc w:val="right"/>
        <w:rPr>
          <w:sz w:val="20"/>
          <w:szCs w:val="20"/>
          <w:lang w:val="ro-RO"/>
        </w:rPr>
      </w:pPr>
      <w:r w:rsidRPr="00DA7217">
        <w:rPr>
          <w:sz w:val="20"/>
          <w:szCs w:val="20"/>
          <w:lang w:val="ro-RO"/>
        </w:rPr>
        <w:t>Anexa nr.</w:t>
      </w:r>
      <w:r>
        <w:rPr>
          <w:sz w:val="20"/>
          <w:szCs w:val="20"/>
          <w:lang w:val="ro-RO"/>
        </w:rPr>
        <w:t>2</w:t>
      </w:r>
      <w:r w:rsidRPr="00DA7217">
        <w:rPr>
          <w:sz w:val="20"/>
          <w:szCs w:val="20"/>
          <w:lang w:val="ro-RO"/>
        </w:rPr>
        <w:t xml:space="preserve"> la Regulamentul privind stabilirea </w:t>
      </w:r>
    </w:p>
    <w:p w14:paraId="5D0D52BF" w14:textId="77777777" w:rsidR="007467E7" w:rsidRDefault="007467E7" w:rsidP="007467E7">
      <w:pPr>
        <w:ind w:left="-180" w:right="81"/>
        <w:jc w:val="right"/>
        <w:rPr>
          <w:sz w:val="20"/>
          <w:szCs w:val="20"/>
          <w:lang w:val="ro-RO"/>
        </w:rPr>
      </w:pPr>
      <w:r w:rsidRPr="00DA7217">
        <w:rPr>
          <w:sz w:val="20"/>
          <w:szCs w:val="20"/>
          <w:lang w:val="ro-RO"/>
        </w:rPr>
        <w:t xml:space="preserve">metodelor de eșantionare și analiză pentru controlul </w:t>
      </w:r>
    </w:p>
    <w:p w14:paraId="632C5B80" w14:textId="77777777" w:rsidR="007467E7" w:rsidRDefault="007467E7" w:rsidP="007467E7">
      <w:pPr>
        <w:ind w:left="-180" w:right="81"/>
        <w:jc w:val="right"/>
        <w:rPr>
          <w:sz w:val="20"/>
          <w:szCs w:val="20"/>
          <w:lang w:val="ro-RO"/>
        </w:rPr>
      </w:pPr>
      <w:r w:rsidRPr="00DA7217">
        <w:rPr>
          <w:sz w:val="20"/>
          <w:szCs w:val="20"/>
          <w:lang w:val="ro-RO"/>
        </w:rPr>
        <w:t xml:space="preserve">oficial al furajelor în vederea detectării materialului </w:t>
      </w:r>
    </w:p>
    <w:p w14:paraId="37BF2FD7" w14:textId="77777777" w:rsidR="007467E7" w:rsidRDefault="007467E7" w:rsidP="007467E7">
      <w:pPr>
        <w:ind w:left="-180" w:right="81"/>
        <w:jc w:val="right"/>
        <w:rPr>
          <w:sz w:val="20"/>
          <w:szCs w:val="20"/>
          <w:lang w:val="ro-RO"/>
        </w:rPr>
      </w:pPr>
      <w:r w:rsidRPr="00DA7217">
        <w:rPr>
          <w:sz w:val="20"/>
          <w:szCs w:val="20"/>
          <w:lang w:val="ro-RO"/>
        </w:rPr>
        <w:t xml:space="preserve">modificat genetic pentru care o procedură de autorizare </w:t>
      </w:r>
    </w:p>
    <w:p w14:paraId="3C9B2BFD" w14:textId="77777777" w:rsidR="007467E7" w:rsidRPr="00DA7217" w:rsidRDefault="007467E7" w:rsidP="007467E7">
      <w:pPr>
        <w:ind w:left="-180" w:right="81"/>
        <w:jc w:val="right"/>
        <w:rPr>
          <w:sz w:val="20"/>
          <w:szCs w:val="20"/>
          <w:lang w:val="ro-RO"/>
        </w:rPr>
      </w:pPr>
      <w:r w:rsidRPr="00DA7217">
        <w:rPr>
          <w:sz w:val="20"/>
          <w:szCs w:val="20"/>
          <w:lang w:val="ro-RO"/>
        </w:rPr>
        <w:t xml:space="preserve">este în curs de desfășurare sau a cărui autorizare a expirat, </w:t>
      </w:r>
    </w:p>
    <w:p w14:paraId="27F35D6E" w14:textId="77777777" w:rsidR="007467E7" w:rsidRPr="00DA7217" w:rsidRDefault="007467E7" w:rsidP="007467E7">
      <w:pPr>
        <w:ind w:left="-180" w:right="81"/>
        <w:jc w:val="right"/>
        <w:rPr>
          <w:sz w:val="20"/>
          <w:szCs w:val="20"/>
          <w:lang w:val="ro-RO"/>
        </w:rPr>
      </w:pPr>
      <w:r w:rsidRPr="00DA7217">
        <w:rPr>
          <w:sz w:val="20"/>
          <w:szCs w:val="20"/>
          <w:lang w:val="ro-RO"/>
        </w:rPr>
        <w:t xml:space="preserve">aprobat prin Ordinul directorului general al </w:t>
      </w:r>
    </w:p>
    <w:p w14:paraId="3E541A9B" w14:textId="77777777" w:rsidR="007467E7" w:rsidRPr="00DA7217" w:rsidRDefault="007467E7" w:rsidP="007467E7">
      <w:pPr>
        <w:ind w:left="-180" w:right="81"/>
        <w:jc w:val="right"/>
        <w:rPr>
          <w:sz w:val="20"/>
          <w:szCs w:val="20"/>
          <w:lang w:val="ro-RO"/>
        </w:rPr>
      </w:pPr>
      <w:r w:rsidRPr="00DA7217">
        <w:rPr>
          <w:sz w:val="20"/>
          <w:szCs w:val="20"/>
          <w:lang w:val="ro-RO"/>
        </w:rPr>
        <w:t>Agenției Naționale pentru Siguranța Alimentelor</w:t>
      </w:r>
    </w:p>
    <w:p w14:paraId="3B8D7763" w14:textId="77777777" w:rsidR="007467E7" w:rsidRDefault="007467E7" w:rsidP="007467E7">
      <w:pPr>
        <w:pStyle w:val="oj-doc-ti"/>
        <w:shd w:val="clear" w:color="auto" w:fill="FFFFFF"/>
        <w:spacing w:before="0" w:after="0" w:line="276" w:lineRule="auto"/>
        <w:ind w:right="81"/>
        <w:jc w:val="right"/>
        <w:rPr>
          <w:sz w:val="20"/>
          <w:szCs w:val="20"/>
          <w:lang w:val="ro-RO"/>
        </w:rPr>
      </w:pPr>
      <w:r w:rsidRPr="00DA7217">
        <w:rPr>
          <w:sz w:val="20"/>
          <w:szCs w:val="20"/>
          <w:lang w:val="ro-RO"/>
        </w:rPr>
        <w:t>nr. ........ din .......................... 2026</w:t>
      </w:r>
    </w:p>
    <w:p w14:paraId="78A7B07E" w14:textId="77777777" w:rsidR="007467E7" w:rsidRDefault="007467E7" w:rsidP="004E4539">
      <w:pPr>
        <w:shd w:val="clear" w:color="auto" w:fill="FFFFFF"/>
        <w:rPr>
          <w:b/>
          <w:bCs/>
          <w:shd w:val="clear" w:color="auto" w:fill="FFFFFF"/>
          <w:lang w:val="ro-RO"/>
        </w:rPr>
      </w:pPr>
    </w:p>
    <w:p w14:paraId="373BC60B" w14:textId="77777777" w:rsidR="007467E7" w:rsidRDefault="007467E7" w:rsidP="004E4539">
      <w:pPr>
        <w:shd w:val="clear" w:color="auto" w:fill="FFFFFF"/>
        <w:rPr>
          <w:b/>
          <w:bCs/>
          <w:shd w:val="clear" w:color="auto" w:fill="FFFFFF"/>
          <w:lang w:val="ro-RO"/>
        </w:rPr>
      </w:pPr>
    </w:p>
    <w:p w14:paraId="578C14AE" w14:textId="77777777" w:rsidR="004E4539" w:rsidRPr="003D5ACB" w:rsidRDefault="004E4539" w:rsidP="007467E7">
      <w:pPr>
        <w:shd w:val="clear" w:color="auto" w:fill="FFFFFF"/>
        <w:jc w:val="center"/>
        <w:rPr>
          <w:b/>
          <w:bCs/>
          <w:shd w:val="clear" w:color="auto" w:fill="FFFFFF"/>
          <w:lang w:val="ro-RO"/>
        </w:rPr>
      </w:pPr>
      <w:r w:rsidRPr="003D5ACB">
        <w:rPr>
          <w:b/>
          <w:bCs/>
          <w:shd w:val="clear" w:color="auto" w:fill="FFFFFF"/>
          <w:lang w:val="ro-RO"/>
        </w:rPr>
        <w:t>CRITERII APLICABILE PREPARĂRII EȘANTIOANELOR ȘI METODE DE ANALIZĂ</w:t>
      </w:r>
    </w:p>
    <w:p w14:paraId="34023313" w14:textId="5AD5DA57" w:rsidR="004E4539" w:rsidRPr="003D5ACB" w:rsidRDefault="004E4539" w:rsidP="007467E7">
      <w:pPr>
        <w:shd w:val="clear" w:color="auto" w:fill="FFFFFF"/>
        <w:jc w:val="both"/>
        <w:rPr>
          <w:shd w:val="clear" w:color="auto" w:fill="FFFFFF"/>
          <w:lang w:val="ro-RO"/>
        </w:rPr>
      </w:pPr>
      <w:r w:rsidRPr="003D5ACB">
        <w:rPr>
          <w:b/>
          <w:bCs/>
          <w:shd w:val="clear" w:color="auto" w:fill="FFFFFF"/>
          <w:lang w:val="ro-RO"/>
        </w:rPr>
        <w:t>1.</w:t>
      </w:r>
      <w:r w:rsidRPr="003D5ACB">
        <w:rPr>
          <w:shd w:val="clear" w:color="auto" w:fill="FFFFFF"/>
          <w:lang w:val="ro-RO"/>
        </w:rPr>
        <w:t xml:space="preserve"> Pentru detectarea prezenței în furaje a materialului MG menționat la</w:t>
      </w:r>
      <w:r w:rsidR="007906E6" w:rsidRPr="007906E6">
        <w:rPr>
          <w:bCs/>
          <w:shd w:val="clear" w:color="auto" w:fill="FFFFFF"/>
          <w:lang w:val="ro-RO" w:eastAsia="ro-RO"/>
        </w:rPr>
        <w:t xml:space="preserve"> </w:t>
      </w:r>
      <w:r w:rsidR="007906E6">
        <w:rPr>
          <w:bCs/>
          <w:shd w:val="clear" w:color="auto" w:fill="FFFFFF"/>
          <w:lang w:val="ro-RO" w:eastAsia="ro-RO"/>
        </w:rPr>
        <w:t>pct. 4-6 din prezentul</w:t>
      </w:r>
      <w:r w:rsidR="00B00423">
        <w:rPr>
          <w:shd w:val="clear" w:color="auto" w:fill="FFFFFF"/>
          <w:lang w:val="ro-RO"/>
        </w:rPr>
        <w:t xml:space="preserve"> din regulament</w:t>
      </w:r>
      <w:r w:rsidRPr="003D5ACB">
        <w:rPr>
          <w:shd w:val="clear" w:color="auto" w:fill="FFFFFF"/>
          <w:lang w:val="ro-RO"/>
        </w:rPr>
        <w:t>,</w:t>
      </w:r>
      <w:r w:rsidR="007467E7">
        <w:rPr>
          <w:shd w:val="clear" w:color="auto" w:fill="FFFFFF"/>
          <w:lang w:val="ro-RO"/>
        </w:rPr>
        <w:t xml:space="preserve"> </w:t>
      </w:r>
      <w:r w:rsidRPr="003D5ACB">
        <w:rPr>
          <w:shd w:val="clear" w:color="auto" w:fill="FFFFFF"/>
          <w:lang w:val="ro-RO"/>
        </w:rPr>
        <w:t>laboratoarele oficiale utilizează metodele de analiză și aplică criteriile de control descrise în prezenta anexă.</w:t>
      </w:r>
    </w:p>
    <w:p w14:paraId="0C8D9CFA" w14:textId="77777777" w:rsidR="00B00423" w:rsidRDefault="00B00423" w:rsidP="004E4539">
      <w:pPr>
        <w:shd w:val="clear" w:color="auto" w:fill="FFFFFF"/>
        <w:jc w:val="center"/>
        <w:rPr>
          <w:b/>
          <w:bCs/>
          <w:shd w:val="clear" w:color="auto" w:fill="FFFFFF"/>
          <w:lang w:val="ro-RO"/>
        </w:rPr>
      </w:pPr>
    </w:p>
    <w:p w14:paraId="536E2DE7" w14:textId="5A691669" w:rsidR="004E4539" w:rsidRPr="003D5ACB" w:rsidRDefault="004E4539" w:rsidP="004E4539">
      <w:pPr>
        <w:shd w:val="clear" w:color="auto" w:fill="FFFFFF"/>
        <w:jc w:val="center"/>
        <w:rPr>
          <w:b/>
          <w:bCs/>
          <w:shd w:val="clear" w:color="auto" w:fill="FFFFFF"/>
          <w:lang w:val="ro-RO"/>
        </w:rPr>
      </w:pPr>
      <w:r w:rsidRPr="003D5ACB">
        <w:rPr>
          <w:b/>
          <w:bCs/>
          <w:shd w:val="clear" w:color="auto" w:fill="FFFFFF"/>
          <w:lang w:val="ro-RO"/>
        </w:rPr>
        <w:t>Capitolul I</w:t>
      </w:r>
    </w:p>
    <w:p w14:paraId="44E3D421" w14:textId="3F955C1D" w:rsidR="004E4539" w:rsidRPr="003D5ACB" w:rsidRDefault="004E4539" w:rsidP="00B00423">
      <w:pPr>
        <w:shd w:val="clear" w:color="auto" w:fill="FFFFFF"/>
        <w:jc w:val="center"/>
        <w:rPr>
          <w:b/>
          <w:bCs/>
          <w:shd w:val="clear" w:color="auto" w:fill="FFFFFF"/>
          <w:lang w:val="ro-RO"/>
        </w:rPr>
      </w:pPr>
      <w:r w:rsidRPr="003D5ACB">
        <w:rPr>
          <w:b/>
          <w:bCs/>
          <w:shd w:val="clear" w:color="auto" w:fill="FFFFFF"/>
          <w:lang w:val="ro-RO"/>
        </w:rPr>
        <w:t>PREPARAREA EȘANTIOANELOR PENTRU ANALIZĂ</w:t>
      </w:r>
    </w:p>
    <w:p w14:paraId="734DCE53" w14:textId="77777777" w:rsidR="004E4539" w:rsidRPr="003D5ACB" w:rsidRDefault="004E4539" w:rsidP="007467E7">
      <w:pPr>
        <w:shd w:val="clear" w:color="auto" w:fill="FFFFFF"/>
        <w:jc w:val="both"/>
        <w:rPr>
          <w:bCs/>
          <w:shd w:val="clear" w:color="auto" w:fill="FFFFFF"/>
          <w:lang w:val="ro-RO" w:eastAsia="ro-RO"/>
        </w:rPr>
      </w:pPr>
      <w:r w:rsidRPr="003D5ACB">
        <w:rPr>
          <w:b/>
          <w:shd w:val="clear" w:color="auto" w:fill="FFFFFF"/>
          <w:lang w:val="ro-RO" w:eastAsia="ro-RO"/>
        </w:rPr>
        <w:t>2.</w:t>
      </w:r>
      <w:r w:rsidRPr="003D5ACB">
        <w:rPr>
          <w:bCs/>
          <w:shd w:val="clear" w:color="auto" w:fill="FFFFFF"/>
          <w:lang w:val="ro-RO" w:eastAsia="ro-RO"/>
        </w:rPr>
        <w:t xml:space="preserve"> Prepararea eșantioanelor pentru analiză se efectuează în conformitate cu anexa nr.2 la  Hotărârea Guvernului nr.686/2012 cu privire la aprobarea unor metode de analiză pentru controlul nutrețurilor. Suplimentar se aplică următoarele dispoziții.</w:t>
      </w:r>
    </w:p>
    <w:p w14:paraId="0AF14C47" w14:textId="77777777" w:rsidR="004E4539" w:rsidRPr="003D5ACB" w:rsidRDefault="004E4539" w:rsidP="007467E7">
      <w:pPr>
        <w:shd w:val="clear" w:color="auto" w:fill="FFFFFF"/>
        <w:jc w:val="both"/>
        <w:rPr>
          <w:b/>
          <w:bCs/>
          <w:shd w:val="clear" w:color="auto" w:fill="FFFFFF"/>
          <w:lang w:val="ro-RO"/>
        </w:rPr>
      </w:pPr>
      <w:r w:rsidRPr="003D5ACB">
        <w:rPr>
          <w:b/>
          <w:shd w:val="clear" w:color="auto" w:fill="FFFFFF"/>
          <w:lang w:val="ro-RO" w:eastAsia="ro-RO"/>
        </w:rPr>
        <w:t>2.1.</w:t>
      </w:r>
      <w:r w:rsidRPr="003D5ACB">
        <w:rPr>
          <w:b/>
          <w:bCs/>
          <w:shd w:val="clear" w:color="auto" w:fill="FFFFFF"/>
          <w:lang w:val="ro-RO"/>
        </w:rPr>
        <w:t xml:space="preserve"> Tratarea probelor finale</w:t>
      </w:r>
    </w:p>
    <w:p w14:paraId="6607F8A9" w14:textId="77777777" w:rsidR="004E4539" w:rsidRPr="003D5ACB" w:rsidRDefault="004E4539" w:rsidP="007467E7">
      <w:pPr>
        <w:shd w:val="clear" w:color="auto" w:fill="FFFFFF"/>
        <w:jc w:val="both"/>
        <w:rPr>
          <w:shd w:val="clear" w:color="auto" w:fill="FFFFFF"/>
          <w:lang w:val="ro-RO"/>
        </w:rPr>
      </w:pPr>
      <w:r w:rsidRPr="003D5ACB">
        <w:rPr>
          <w:shd w:val="clear" w:color="auto" w:fill="FFFFFF"/>
          <w:lang w:val="ro-RO"/>
        </w:rPr>
        <w:t>Laboratoarele oficiale utilizează standardele EN ISO 24276, ISO 21570, ISO 21569 și ISO 21571 care definesc metodele de omogenizare a eșantionului final (denumit și „eșantion de laborator” în standardele ISO), de reducere a eșantionului final la un eșantion pentru analiză, de preparare a eșantionului pentru analiză și de extragere și analiză a analitului țintă.</w:t>
      </w:r>
    </w:p>
    <w:p w14:paraId="5ADB666D" w14:textId="77777777" w:rsidR="004E4539" w:rsidRPr="003D5ACB" w:rsidRDefault="004E4539" w:rsidP="007467E7">
      <w:pPr>
        <w:shd w:val="clear" w:color="auto" w:fill="FFFFFF"/>
        <w:jc w:val="both"/>
        <w:rPr>
          <w:b/>
          <w:bCs/>
          <w:shd w:val="clear" w:color="auto" w:fill="FFFFFF"/>
          <w:lang w:val="ro-RO"/>
        </w:rPr>
      </w:pPr>
      <w:r w:rsidRPr="003D5ACB">
        <w:rPr>
          <w:b/>
          <w:shd w:val="clear" w:color="auto" w:fill="FFFFFF"/>
          <w:lang w:val="ro-RO"/>
        </w:rPr>
        <w:t>2.2.</w:t>
      </w:r>
      <w:r w:rsidRPr="003D5ACB">
        <w:rPr>
          <w:b/>
          <w:bCs/>
          <w:shd w:val="clear" w:color="auto" w:fill="FFFFFF"/>
          <w:lang w:val="ro-RO"/>
        </w:rPr>
        <w:t xml:space="preserve"> Prepararea eșantionului pentru analiză</w:t>
      </w:r>
    </w:p>
    <w:p w14:paraId="2DF5472E" w14:textId="77777777" w:rsidR="004E4539" w:rsidRPr="003D5ACB" w:rsidRDefault="004E4539" w:rsidP="007467E7">
      <w:pPr>
        <w:shd w:val="clear" w:color="auto" w:fill="FFFFFF"/>
        <w:jc w:val="both"/>
        <w:rPr>
          <w:shd w:val="clear" w:color="auto" w:fill="FFFFFF"/>
          <w:lang w:val="ro-RO"/>
        </w:rPr>
      </w:pPr>
      <w:r w:rsidRPr="003D5ACB">
        <w:rPr>
          <w:shd w:val="clear" w:color="auto" w:fill="FFFFFF"/>
          <w:lang w:val="ro-RO"/>
        </w:rPr>
        <w:t>Eșantionul pentru analiză are o mărime care permite cuantificarea materialului MG la o prezență corespunzătoare LPMN cu un grad statistic de încredere de 95 %.</w:t>
      </w:r>
    </w:p>
    <w:p w14:paraId="4A668780" w14:textId="77777777" w:rsidR="00B00423" w:rsidRDefault="00B00423" w:rsidP="00B00423">
      <w:pPr>
        <w:shd w:val="clear" w:color="auto" w:fill="FFFFFF"/>
        <w:jc w:val="center"/>
        <w:rPr>
          <w:b/>
          <w:bCs/>
          <w:shd w:val="clear" w:color="auto" w:fill="FFFFFF"/>
          <w:lang w:val="ro-RO"/>
        </w:rPr>
      </w:pPr>
    </w:p>
    <w:p w14:paraId="47D15720" w14:textId="42DA43C4" w:rsidR="004E4539" w:rsidRPr="003D5ACB" w:rsidRDefault="004E4539" w:rsidP="00B00423">
      <w:pPr>
        <w:shd w:val="clear" w:color="auto" w:fill="FFFFFF"/>
        <w:jc w:val="center"/>
        <w:rPr>
          <w:b/>
          <w:bCs/>
          <w:shd w:val="clear" w:color="auto" w:fill="FFFFFF"/>
          <w:lang w:val="ro-RO"/>
        </w:rPr>
      </w:pPr>
      <w:r w:rsidRPr="003D5ACB">
        <w:rPr>
          <w:b/>
          <w:bCs/>
          <w:shd w:val="clear" w:color="auto" w:fill="FFFFFF"/>
          <w:lang w:val="ro-RO"/>
        </w:rPr>
        <w:t>Capitolul II</w:t>
      </w:r>
    </w:p>
    <w:p w14:paraId="000F3F9A" w14:textId="3699DD73" w:rsidR="004E4539" w:rsidRPr="003D5ACB" w:rsidRDefault="004E4539" w:rsidP="00B00423">
      <w:pPr>
        <w:shd w:val="clear" w:color="auto" w:fill="FFFFFF"/>
        <w:jc w:val="center"/>
        <w:rPr>
          <w:b/>
          <w:bCs/>
          <w:shd w:val="clear" w:color="auto" w:fill="FFFFFF"/>
          <w:lang w:val="ro-RO"/>
        </w:rPr>
      </w:pPr>
      <w:r w:rsidRPr="003D5ACB">
        <w:rPr>
          <w:b/>
          <w:bCs/>
          <w:shd w:val="clear" w:color="auto" w:fill="FFFFFF"/>
          <w:lang w:val="ro-RO"/>
        </w:rPr>
        <w:t>APLICAREA METODELOR DE ANALIZĂ ȘI PREZENTAREA REZULTATELOR</w:t>
      </w:r>
    </w:p>
    <w:p w14:paraId="6407A925" w14:textId="77777777" w:rsidR="004E4539" w:rsidRPr="003D5ACB" w:rsidRDefault="004E4539" w:rsidP="007467E7">
      <w:pPr>
        <w:shd w:val="clear" w:color="auto" w:fill="FFFFFF"/>
        <w:jc w:val="both"/>
        <w:rPr>
          <w:shd w:val="clear" w:color="auto" w:fill="FFFFFF"/>
          <w:lang w:val="ro-RO"/>
        </w:rPr>
      </w:pPr>
      <w:r w:rsidRPr="003D5ACB">
        <w:rPr>
          <w:b/>
          <w:bCs/>
          <w:shd w:val="clear" w:color="auto" w:fill="FFFFFF"/>
          <w:lang w:val="ro-RO"/>
        </w:rPr>
        <w:t>3.</w:t>
      </w:r>
      <w:r w:rsidRPr="003D5ACB">
        <w:rPr>
          <w:shd w:val="clear" w:color="auto" w:fill="FFFFFF"/>
          <w:lang w:val="ro-RO"/>
        </w:rPr>
        <w:t xml:space="preserve"> Se aplică următoarele reguli pentru aplicarea metodelor de analiză și formularea rezultatelor.</w:t>
      </w:r>
    </w:p>
    <w:p w14:paraId="14F0E51C" w14:textId="3D446C9D" w:rsidR="004E4539" w:rsidRPr="003D5ACB" w:rsidRDefault="004E4539" w:rsidP="007467E7">
      <w:pPr>
        <w:shd w:val="clear" w:color="auto" w:fill="FFFFFF"/>
        <w:jc w:val="both"/>
        <w:rPr>
          <w:rStyle w:val="oj-bold"/>
          <w:rFonts w:eastAsiaTheme="majorEastAsia"/>
          <w:b/>
          <w:bCs/>
          <w:shd w:val="clear" w:color="auto" w:fill="FFFFFF"/>
          <w:lang w:val="ro-RO"/>
        </w:rPr>
      </w:pPr>
      <w:r w:rsidRPr="003D5ACB">
        <w:rPr>
          <w:b/>
          <w:bCs/>
          <w:shd w:val="clear" w:color="auto" w:fill="FFFFFF"/>
          <w:lang w:val="ro-RO"/>
        </w:rPr>
        <w:lastRenderedPageBreak/>
        <w:t>3.1. </w:t>
      </w:r>
      <w:r w:rsidRPr="003D5ACB">
        <w:rPr>
          <w:rStyle w:val="oj-bold"/>
          <w:rFonts w:eastAsiaTheme="majorEastAsia"/>
          <w:b/>
          <w:bCs/>
          <w:shd w:val="clear" w:color="auto" w:fill="FFFFFF"/>
          <w:lang w:val="ro-RO"/>
        </w:rPr>
        <w:t>Condiții generale</w:t>
      </w:r>
    </w:p>
    <w:p w14:paraId="78921D2A" w14:textId="77777777" w:rsidR="004E4539" w:rsidRPr="003D5ACB" w:rsidRDefault="004E4539" w:rsidP="007467E7">
      <w:pPr>
        <w:shd w:val="clear" w:color="auto" w:fill="FFFFFF"/>
        <w:jc w:val="both"/>
        <w:rPr>
          <w:shd w:val="clear" w:color="auto" w:fill="FFFFFF"/>
          <w:lang w:val="ro-RO"/>
        </w:rPr>
      </w:pPr>
      <w:r w:rsidRPr="003D5ACB">
        <w:rPr>
          <w:shd w:val="clear" w:color="auto" w:fill="FFFFFF"/>
          <w:lang w:val="ro-RO"/>
        </w:rPr>
        <w:t>Laboratoarele oficiale respectă cerințele standardului ISO 17025 și utilizează metode cantitative de analiză care au fost validate. Acestea se asigură, pe parcursul întregii proceduri de analiză începând cu tratarea eșantionului de laborator, că sunt în măsură să efectueze analiza la nivelul de 0,1 % procente masice de material MG în furaj cu precizie corespunzătoare (deviația standard relativă a repetabilității de cel mult 25 %).</w:t>
      </w:r>
    </w:p>
    <w:p w14:paraId="7908DFC5" w14:textId="0F5977B7" w:rsidR="004E4539" w:rsidRPr="003D5ACB" w:rsidRDefault="004E4539" w:rsidP="007467E7">
      <w:pPr>
        <w:shd w:val="clear" w:color="auto" w:fill="FFFFFF"/>
        <w:jc w:val="both"/>
        <w:rPr>
          <w:rFonts w:eastAsiaTheme="majorEastAsia"/>
          <w:b/>
          <w:bCs/>
          <w:shd w:val="clear" w:color="auto" w:fill="FFFFFF"/>
          <w:lang w:val="ro-RO"/>
        </w:rPr>
      </w:pPr>
      <w:r w:rsidRPr="003D5ACB">
        <w:rPr>
          <w:b/>
          <w:bCs/>
          <w:shd w:val="clear" w:color="auto" w:fill="FFFFFF"/>
          <w:lang w:val="ro-RO"/>
        </w:rPr>
        <w:t>3.2. </w:t>
      </w:r>
      <w:r w:rsidRPr="003D5ACB">
        <w:rPr>
          <w:rStyle w:val="oj-bold"/>
          <w:rFonts w:eastAsiaTheme="majorEastAsia"/>
          <w:b/>
          <w:bCs/>
          <w:shd w:val="clear" w:color="auto" w:fill="FFFFFF"/>
          <w:lang w:val="ro-RO"/>
        </w:rPr>
        <w:t>Reguli privind interpretarea rezultatelor</w:t>
      </w:r>
    </w:p>
    <w:p w14:paraId="647D7E5A" w14:textId="77777777" w:rsidR="004E4539" w:rsidRPr="003D5ACB" w:rsidRDefault="004E4539" w:rsidP="007467E7">
      <w:pPr>
        <w:shd w:val="clear" w:color="auto" w:fill="FFFFFF"/>
        <w:jc w:val="both"/>
        <w:rPr>
          <w:shd w:val="clear" w:color="auto" w:fill="FFFFFF"/>
          <w:lang w:val="ro-RO"/>
        </w:rPr>
      </w:pPr>
      <w:r w:rsidRPr="003D5ACB">
        <w:rPr>
          <w:shd w:val="clear" w:color="auto" w:fill="FFFFFF"/>
          <w:lang w:val="ro-RO"/>
        </w:rPr>
        <w:t>Pentru a asigura un nivel de încredere de aproximativ 95 %, rezultatul analizei este exprimat sub forma x +/– </w:t>
      </w:r>
      <w:r w:rsidRPr="003D5ACB">
        <w:rPr>
          <w:rStyle w:val="oj-italic"/>
          <w:rFonts w:eastAsiaTheme="majorEastAsia"/>
          <w:shd w:val="clear" w:color="auto" w:fill="FFFFFF"/>
          <w:lang w:val="ro-RO"/>
        </w:rPr>
        <w:t>U</w:t>
      </w:r>
      <w:r w:rsidRPr="003D5ACB">
        <w:rPr>
          <w:shd w:val="clear" w:color="auto" w:fill="FFFFFF"/>
          <w:lang w:val="ro-RO"/>
        </w:rPr>
        <w:t>, unde x este rezultatul analizei pentru un eveniment de transformare măsurat, iar </w:t>
      </w:r>
      <w:r w:rsidRPr="003D5ACB">
        <w:rPr>
          <w:rStyle w:val="oj-italic"/>
          <w:rFonts w:eastAsiaTheme="majorEastAsia"/>
          <w:shd w:val="clear" w:color="auto" w:fill="FFFFFF"/>
          <w:lang w:val="ro-RO"/>
        </w:rPr>
        <w:t>U</w:t>
      </w:r>
      <w:r w:rsidRPr="003D5ACB">
        <w:rPr>
          <w:shd w:val="clear" w:color="auto" w:fill="FFFFFF"/>
          <w:lang w:val="ro-RO"/>
        </w:rPr>
        <w:t> este incertitudinea de măsurare extinsă corespunzătoare.</w:t>
      </w:r>
    </w:p>
    <w:p w14:paraId="6E1DE1BF" w14:textId="6C0162B3" w:rsidR="004E4539" w:rsidRPr="009A6C34" w:rsidRDefault="004E4539" w:rsidP="007467E7">
      <w:pPr>
        <w:shd w:val="clear" w:color="auto" w:fill="FFFFFF"/>
        <w:jc w:val="both"/>
        <w:rPr>
          <w:shd w:val="clear" w:color="auto" w:fill="FFFFFF"/>
          <w:lang w:val="ro-RO"/>
        </w:rPr>
      </w:pPr>
      <w:r w:rsidRPr="003D5ACB">
        <w:rPr>
          <w:shd w:val="clear" w:color="auto" w:fill="FFFFFF"/>
          <w:lang w:val="ro-RO"/>
        </w:rPr>
        <w:t xml:space="preserve">U este specificată de către laboratorul oficial pentru întreaga metodă analitică și este confirmată în conformitate </w:t>
      </w:r>
      <w:r w:rsidRPr="009A6C34">
        <w:rPr>
          <w:shd w:val="clear" w:color="auto" w:fill="FFFFFF"/>
          <w:lang w:val="ro-RO"/>
        </w:rPr>
        <w:t>cu documentul de orientare privind incertitudinea de măsurare destinat laboratoarelor care analizează OMG-urile  elaborat de</w:t>
      </w:r>
      <w:r w:rsidR="009A6C34" w:rsidRPr="009A6C34">
        <w:rPr>
          <w:shd w:val="clear" w:color="auto" w:fill="FFFFFF"/>
          <w:lang w:val="ro-RO"/>
        </w:rPr>
        <w:t xml:space="preserve"> Centrul Comun de Cercetare </w:t>
      </w:r>
      <w:r w:rsidR="00C377A2">
        <w:rPr>
          <w:shd w:val="clear" w:color="auto" w:fill="FFFFFF"/>
          <w:lang w:val="ro-RO"/>
        </w:rPr>
        <w:t xml:space="preserve">al Comisiei Europene </w:t>
      </w:r>
      <w:r w:rsidR="009A6C34" w:rsidRPr="009A6C34">
        <w:rPr>
          <w:shd w:val="clear" w:color="auto" w:fill="FFFFFF"/>
          <w:lang w:val="ro-RO"/>
        </w:rPr>
        <w:t>-</w:t>
      </w:r>
      <w:r w:rsidRPr="009A6C34">
        <w:rPr>
          <w:shd w:val="clear" w:color="auto" w:fill="FFFFFF"/>
          <w:lang w:val="ro-RO"/>
        </w:rPr>
        <w:t xml:space="preserve"> JRC</w:t>
      </w:r>
      <w:r w:rsidR="009A6C34" w:rsidRPr="009A6C34">
        <w:rPr>
          <w:shd w:val="clear" w:color="auto" w:fill="FFFFFF"/>
          <w:lang w:val="ro-RO"/>
        </w:rPr>
        <w:t xml:space="preserve"> (eng.</w:t>
      </w:r>
      <w:r w:rsidR="009A6C34" w:rsidRPr="009A6C34">
        <w:t xml:space="preserve"> </w:t>
      </w:r>
      <w:r w:rsidR="009A6C34" w:rsidRPr="009A6C34">
        <w:rPr>
          <w:shd w:val="clear" w:color="auto" w:fill="FFFFFF"/>
          <w:lang w:val="ro-RO"/>
        </w:rPr>
        <w:t>Joint Research Centre).</w:t>
      </w:r>
      <w:r w:rsidR="002D6AA8">
        <w:rPr>
          <w:shd w:val="clear" w:color="auto" w:fill="FFFFFF"/>
          <w:lang w:val="ro-RO"/>
        </w:rPr>
        <w:t xml:space="preserve"> </w:t>
      </w:r>
    </w:p>
    <w:p w14:paraId="44A3AA6D" w14:textId="4A083E33" w:rsidR="004E4539" w:rsidRPr="003D5ACB" w:rsidRDefault="004E4539" w:rsidP="007467E7">
      <w:pPr>
        <w:pStyle w:val="oj-doc-ti"/>
        <w:shd w:val="clear" w:color="auto" w:fill="FFFFFF"/>
        <w:spacing w:before="0" w:after="0" w:line="276" w:lineRule="auto"/>
        <w:jc w:val="both"/>
        <w:rPr>
          <w:sz w:val="28"/>
          <w:szCs w:val="28"/>
          <w:lang w:val="ro-RO"/>
        </w:rPr>
      </w:pPr>
      <w:r w:rsidRPr="009A6C34">
        <w:rPr>
          <w:sz w:val="28"/>
          <w:szCs w:val="28"/>
          <w:shd w:val="clear" w:color="auto" w:fill="FFFFFF"/>
          <w:lang w:val="ro-RO"/>
        </w:rPr>
        <w:t xml:space="preserve">O materie primă sau un aditiv pentru furaje sau, în cazul furajelor </w:t>
      </w:r>
      <w:r w:rsidRPr="003D5ACB">
        <w:rPr>
          <w:sz w:val="28"/>
          <w:szCs w:val="28"/>
          <w:shd w:val="clear" w:color="auto" w:fill="FFFFFF"/>
          <w:lang w:val="ro-RO"/>
        </w:rPr>
        <w:t>compuse, fiecare din materiile prime sau aditivii care intră în compoziția acestora se consideră neconformă cu</w:t>
      </w:r>
      <w:r w:rsidRPr="003D5ACB">
        <w:rPr>
          <w:bCs/>
          <w:sz w:val="28"/>
          <w:szCs w:val="28"/>
          <w:shd w:val="clear" w:color="auto" w:fill="FFFFFF"/>
          <w:lang w:val="ro-RO" w:eastAsia="ro-RO"/>
        </w:rPr>
        <w:t xml:space="preserve"> Legea nr. 394/2023</w:t>
      </w:r>
      <w:r w:rsidRPr="003D5ACB">
        <w:rPr>
          <w:sz w:val="28"/>
          <w:szCs w:val="28"/>
          <w:shd w:val="clear" w:color="auto" w:fill="FFFFFF"/>
          <w:lang w:val="ro-RO"/>
        </w:rPr>
        <w:t>, dacă rezultatul analitic (x) pentru un eveniment de transformare măsurat minus incertitudinea de măsurare extinsă (</w:t>
      </w:r>
      <w:r w:rsidRPr="003D5ACB">
        <w:rPr>
          <w:rStyle w:val="oj-italic"/>
          <w:rFonts w:eastAsiaTheme="majorEastAsia"/>
          <w:sz w:val="28"/>
          <w:szCs w:val="28"/>
          <w:shd w:val="clear" w:color="auto" w:fill="FFFFFF"/>
          <w:lang w:val="ro-RO"/>
        </w:rPr>
        <w:t>U</w:t>
      </w:r>
      <w:r w:rsidRPr="003D5ACB">
        <w:rPr>
          <w:sz w:val="28"/>
          <w:szCs w:val="28"/>
          <w:shd w:val="clear" w:color="auto" w:fill="FFFFFF"/>
          <w:lang w:val="ro-RO"/>
        </w:rPr>
        <w:t>) este egal sau mai mare de 0,1 % procente masice de material MG. Atunci când rezultatele sunt exprimate în număr de copii de ADN-MG raportat la numărul de copii de ADN specific al axonului țintă calculat pe baza genomilor haploizi, acestea sunt convertite în procente masice în conformitate cu datele furnizate în fiecare raport de validare al Laboratorului național de referință al Republicii Moldova sau un alt laborator din afara Republicii Moldova.</w:t>
      </w:r>
      <w:r w:rsidR="007E4160">
        <w:rPr>
          <w:sz w:val="28"/>
          <w:szCs w:val="28"/>
          <w:shd w:val="clear" w:color="auto" w:fill="FFFFFF"/>
          <w:lang w:val="ro-RO"/>
        </w:rPr>
        <w:t xml:space="preserve"> </w:t>
      </w:r>
    </w:p>
    <w:sectPr w:rsidR="004E4539" w:rsidRPr="003D5ACB" w:rsidSect="00464676">
      <w:pgSz w:w="11906" w:h="16838"/>
      <w:pgMar w:top="993" w:right="746" w:bottom="10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EUAlbertina">
    <w:altName w:val="Calibri"/>
    <w:charset w:val="00"/>
    <w:family w:val="swiss"/>
    <w:pitch w:val="default"/>
  </w:font>
  <w:font w:name="PT Serif">
    <w:charset w:val="00"/>
    <w:family w:val="roman"/>
    <w:pitch w:val="variable"/>
    <w:sig w:usb0="A00002EF" w:usb1="5000204B" w:usb2="00000000" w:usb3="00000000" w:csb0="00000097"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C64AF"/>
    <w:multiLevelType w:val="hybridMultilevel"/>
    <w:tmpl w:val="DB362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C421B"/>
    <w:multiLevelType w:val="hybridMultilevel"/>
    <w:tmpl w:val="A70AC5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F07062"/>
    <w:multiLevelType w:val="hybridMultilevel"/>
    <w:tmpl w:val="085AE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66963099">
    <w:abstractNumId w:val="2"/>
  </w:num>
  <w:num w:numId="2" w16cid:durableId="1354575302">
    <w:abstractNumId w:val="1"/>
  </w:num>
  <w:num w:numId="3" w16cid:durableId="36398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982"/>
    <w:rsid w:val="00036B0F"/>
    <w:rsid w:val="0005323D"/>
    <w:rsid w:val="00075A81"/>
    <w:rsid w:val="0008002E"/>
    <w:rsid w:val="00095670"/>
    <w:rsid w:val="00095E76"/>
    <w:rsid w:val="000A267A"/>
    <w:rsid w:val="000A4B9A"/>
    <w:rsid w:val="000B0348"/>
    <w:rsid w:val="000C7D2E"/>
    <w:rsid w:val="000F4E02"/>
    <w:rsid w:val="0013547F"/>
    <w:rsid w:val="00142E90"/>
    <w:rsid w:val="001526E7"/>
    <w:rsid w:val="00170C32"/>
    <w:rsid w:val="0017337E"/>
    <w:rsid w:val="00177003"/>
    <w:rsid w:val="001A70FD"/>
    <w:rsid w:val="001B24A9"/>
    <w:rsid w:val="001F0B1C"/>
    <w:rsid w:val="00206982"/>
    <w:rsid w:val="002104AD"/>
    <w:rsid w:val="00214A60"/>
    <w:rsid w:val="002471E3"/>
    <w:rsid w:val="002836D4"/>
    <w:rsid w:val="002B31A2"/>
    <w:rsid w:val="002D3DB8"/>
    <w:rsid w:val="002D6AA8"/>
    <w:rsid w:val="002F64B7"/>
    <w:rsid w:val="00301F3E"/>
    <w:rsid w:val="00346DD8"/>
    <w:rsid w:val="00376DEE"/>
    <w:rsid w:val="00385D40"/>
    <w:rsid w:val="0039613A"/>
    <w:rsid w:val="003C3B61"/>
    <w:rsid w:val="003D5ACB"/>
    <w:rsid w:val="003E6EBF"/>
    <w:rsid w:val="00407ABE"/>
    <w:rsid w:val="00423C09"/>
    <w:rsid w:val="00424615"/>
    <w:rsid w:val="00425749"/>
    <w:rsid w:val="00436422"/>
    <w:rsid w:val="0044354A"/>
    <w:rsid w:val="0044494D"/>
    <w:rsid w:val="00464676"/>
    <w:rsid w:val="004A22DE"/>
    <w:rsid w:val="004C1592"/>
    <w:rsid w:val="004E4539"/>
    <w:rsid w:val="004F4B02"/>
    <w:rsid w:val="00523BD7"/>
    <w:rsid w:val="005349D5"/>
    <w:rsid w:val="00536B32"/>
    <w:rsid w:val="00543793"/>
    <w:rsid w:val="00551A19"/>
    <w:rsid w:val="00552A5A"/>
    <w:rsid w:val="005A0DB0"/>
    <w:rsid w:val="005A3228"/>
    <w:rsid w:val="005B1333"/>
    <w:rsid w:val="005C348D"/>
    <w:rsid w:val="005E72AC"/>
    <w:rsid w:val="005F043A"/>
    <w:rsid w:val="006133E5"/>
    <w:rsid w:val="00621AEB"/>
    <w:rsid w:val="00642D11"/>
    <w:rsid w:val="0066245C"/>
    <w:rsid w:val="00663154"/>
    <w:rsid w:val="006639F1"/>
    <w:rsid w:val="0069128B"/>
    <w:rsid w:val="006B5A2D"/>
    <w:rsid w:val="006B714F"/>
    <w:rsid w:val="006C382E"/>
    <w:rsid w:val="006C3E24"/>
    <w:rsid w:val="006D1011"/>
    <w:rsid w:val="006D49D4"/>
    <w:rsid w:val="006D5385"/>
    <w:rsid w:val="006F3032"/>
    <w:rsid w:val="006F3C55"/>
    <w:rsid w:val="00726272"/>
    <w:rsid w:val="00726AE1"/>
    <w:rsid w:val="007467E7"/>
    <w:rsid w:val="0076390C"/>
    <w:rsid w:val="007906E6"/>
    <w:rsid w:val="00795D03"/>
    <w:rsid w:val="007A3D1A"/>
    <w:rsid w:val="007B26E7"/>
    <w:rsid w:val="007C72FF"/>
    <w:rsid w:val="007E4160"/>
    <w:rsid w:val="00840885"/>
    <w:rsid w:val="00884F9C"/>
    <w:rsid w:val="00894BD4"/>
    <w:rsid w:val="008A7AA6"/>
    <w:rsid w:val="008B1BDB"/>
    <w:rsid w:val="008C59D5"/>
    <w:rsid w:val="008E0EC4"/>
    <w:rsid w:val="008F238D"/>
    <w:rsid w:val="009446D7"/>
    <w:rsid w:val="00944A1B"/>
    <w:rsid w:val="00983C1D"/>
    <w:rsid w:val="009953B4"/>
    <w:rsid w:val="009A45A2"/>
    <w:rsid w:val="009A62D1"/>
    <w:rsid w:val="009A6343"/>
    <w:rsid w:val="009A6C34"/>
    <w:rsid w:val="009C2350"/>
    <w:rsid w:val="009D4F17"/>
    <w:rsid w:val="009F3088"/>
    <w:rsid w:val="00A24E74"/>
    <w:rsid w:val="00A26755"/>
    <w:rsid w:val="00A62E37"/>
    <w:rsid w:val="00A76AAF"/>
    <w:rsid w:val="00A86C69"/>
    <w:rsid w:val="00A965BF"/>
    <w:rsid w:val="00AA0103"/>
    <w:rsid w:val="00AA33DE"/>
    <w:rsid w:val="00AB04BC"/>
    <w:rsid w:val="00AB5996"/>
    <w:rsid w:val="00AC4DD3"/>
    <w:rsid w:val="00AC7BB8"/>
    <w:rsid w:val="00B00423"/>
    <w:rsid w:val="00B15E77"/>
    <w:rsid w:val="00B6010B"/>
    <w:rsid w:val="00B93B6D"/>
    <w:rsid w:val="00B97068"/>
    <w:rsid w:val="00BA4EBE"/>
    <w:rsid w:val="00BD0C09"/>
    <w:rsid w:val="00BD11DA"/>
    <w:rsid w:val="00C33EDB"/>
    <w:rsid w:val="00C377A2"/>
    <w:rsid w:val="00C524B9"/>
    <w:rsid w:val="00C52C7E"/>
    <w:rsid w:val="00C626EF"/>
    <w:rsid w:val="00C65660"/>
    <w:rsid w:val="00C8119B"/>
    <w:rsid w:val="00CA74FD"/>
    <w:rsid w:val="00CA7672"/>
    <w:rsid w:val="00CD7FE3"/>
    <w:rsid w:val="00CF6802"/>
    <w:rsid w:val="00D05F3E"/>
    <w:rsid w:val="00D16D46"/>
    <w:rsid w:val="00D361EF"/>
    <w:rsid w:val="00D4677B"/>
    <w:rsid w:val="00D531DD"/>
    <w:rsid w:val="00D6458F"/>
    <w:rsid w:val="00D94B53"/>
    <w:rsid w:val="00DA0F15"/>
    <w:rsid w:val="00DA7217"/>
    <w:rsid w:val="00DC351C"/>
    <w:rsid w:val="00DF509A"/>
    <w:rsid w:val="00DF5965"/>
    <w:rsid w:val="00DF792C"/>
    <w:rsid w:val="00E23808"/>
    <w:rsid w:val="00E70E93"/>
    <w:rsid w:val="00E75ECA"/>
    <w:rsid w:val="00E85426"/>
    <w:rsid w:val="00E85814"/>
    <w:rsid w:val="00E94B78"/>
    <w:rsid w:val="00ED046A"/>
    <w:rsid w:val="00EF0936"/>
    <w:rsid w:val="00EF1E6A"/>
    <w:rsid w:val="00F340F4"/>
    <w:rsid w:val="00F372BC"/>
    <w:rsid w:val="00F4572B"/>
    <w:rsid w:val="00F52DC1"/>
    <w:rsid w:val="00F54197"/>
    <w:rsid w:val="00F74366"/>
    <w:rsid w:val="00F757A8"/>
    <w:rsid w:val="00F75F82"/>
    <w:rsid w:val="00F8773A"/>
    <w:rsid w:val="00FE0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DFF5"/>
  <w15:docId w15:val="{6C0F0129-3AFA-45F0-B538-8A1DAB85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3E5"/>
    <w:pPr>
      <w:spacing w:after="0" w:line="240" w:lineRule="auto"/>
    </w:pPr>
    <w:rPr>
      <w:rFonts w:ascii="Times New Roman" w:eastAsia="Times New Roman" w:hAnsi="Times New Roman" w:cs="Times New Roman"/>
      <w:kern w:val="0"/>
      <w:sz w:val="28"/>
      <w:szCs w:val="28"/>
      <w:lang w:val="en-US"/>
      <w14:ligatures w14:val="none"/>
    </w:rPr>
  </w:style>
  <w:style w:type="paragraph" w:styleId="Heading1">
    <w:name w:val="heading 1"/>
    <w:basedOn w:val="Normal"/>
    <w:next w:val="Normal"/>
    <w:link w:val="Heading1Char"/>
    <w:uiPriority w:val="9"/>
    <w:qFormat/>
    <w:rsid w:val="0020698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20698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206982"/>
    <w:pPr>
      <w:keepNext/>
      <w:keepLines/>
      <w:spacing w:before="160" w:after="80" w:line="259" w:lineRule="auto"/>
      <w:outlineLvl w:val="2"/>
    </w:pPr>
    <w:rPr>
      <w:rFonts w:asciiTheme="minorHAnsi" w:eastAsiaTheme="majorEastAsia" w:hAnsiTheme="minorHAnsi" w:cstheme="majorBidi"/>
      <w:color w:val="2F5496" w:themeColor="accent1" w:themeShade="BF"/>
      <w:kern w:val="2"/>
      <w:lang w:val="en-GB"/>
      <w14:ligatures w14:val="standardContextual"/>
    </w:rPr>
  </w:style>
  <w:style w:type="paragraph" w:styleId="Heading4">
    <w:name w:val="heading 4"/>
    <w:basedOn w:val="Normal"/>
    <w:next w:val="Normal"/>
    <w:link w:val="Heading4Char"/>
    <w:uiPriority w:val="9"/>
    <w:semiHidden/>
    <w:unhideWhenUsed/>
    <w:qFormat/>
    <w:rsid w:val="0020698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20698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20698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20698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20698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20698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9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9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9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9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9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982"/>
    <w:rPr>
      <w:rFonts w:eastAsiaTheme="majorEastAsia" w:cstheme="majorBidi"/>
      <w:color w:val="272727" w:themeColor="text1" w:themeTint="D8"/>
    </w:rPr>
  </w:style>
  <w:style w:type="paragraph" w:styleId="Title">
    <w:name w:val="Title"/>
    <w:basedOn w:val="Normal"/>
    <w:next w:val="Normal"/>
    <w:link w:val="TitleChar"/>
    <w:uiPriority w:val="10"/>
    <w:qFormat/>
    <w:rsid w:val="00206982"/>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206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982"/>
    <w:pPr>
      <w:numPr>
        <w:ilvl w:val="1"/>
      </w:numPr>
      <w:spacing w:after="160" w:line="259" w:lineRule="auto"/>
    </w:pPr>
    <w:rPr>
      <w:rFonts w:asciiTheme="minorHAnsi" w:eastAsiaTheme="majorEastAsia" w:hAnsiTheme="minorHAnsi" w:cstheme="majorBidi"/>
      <w:color w:val="595959" w:themeColor="text1" w:themeTint="A6"/>
      <w:spacing w:val="15"/>
      <w:kern w:val="2"/>
      <w:lang w:val="en-GB"/>
      <w14:ligatures w14:val="standardContextual"/>
    </w:rPr>
  </w:style>
  <w:style w:type="character" w:customStyle="1" w:styleId="SubtitleChar">
    <w:name w:val="Subtitle Char"/>
    <w:basedOn w:val="DefaultParagraphFont"/>
    <w:link w:val="Subtitle"/>
    <w:uiPriority w:val="11"/>
    <w:rsid w:val="00206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98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206982"/>
    <w:rPr>
      <w:i/>
      <w:iCs/>
      <w:color w:val="404040" w:themeColor="text1" w:themeTint="BF"/>
    </w:rPr>
  </w:style>
  <w:style w:type="paragraph" w:styleId="ListParagraph">
    <w:name w:val="List Paragraph"/>
    <w:basedOn w:val="Normal"/>
    <w:uiPriority w:val="34"/>
    <w:qFormat/>
    <w:rsid w:val="00206982"/>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206982"/>
    <w:rPr>
      <w:i/>
      <w:iCs/>
      <w:color w:val="2F5496" w:themeColor="accent1" w:themeShade="BF"/>
    </w:rPr>
  </w:style>
  <w:style w:type="paragraph" w:styleId="IntenseQuote">
    <w:name w:val="Intense Quote"/>
    <w:basedOn w:val="Normal"/>
    <w:next w:val="Normal"/>
    <w:link w:val="IntenseQuoteChar"/>
    <w:uiPriority w:val="30"/>
    <w:qFormat/>
    <w:rsid w:val="0020698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206982"/>
    <w:rPr>
      <w:i/>
      <w:iCs/>
      <w:color w:val="2F5496" w:themeColor="accent1" w:themeShade="BF"/>
    </w:rPr>
  </w:style>
  <w:style w:type="character" w:styleId="IntenseReference">
    <w:name w:val="Intense Reference"/>
    <w:basedOn w:val="DefaultParagraphFont"/>
    <w:uiPriority w:val="32"/>
    <w:qFormat/>
    <w:rsid w:val="00206982"/>
    <w:rPr>
      <w:b/>
      <w:bCs/>
      <w:smallCaps/>
      <w:color w:val="2F5496" w:themeColor="accent1" w:themeShade="BF"/>
      <w:spacing w:val="5"/>
    </w:rPr>
  </w:style>
  <w:style w:type="character" w:styleId="Hyperlink">
    <w:name w:val="Hyperlink"/>
    <w:basedOn w:val="DefaultParagraphFont"/>
    <w:uiPriority w:val="99"/>
    <w:unhideWhenUsed/>
    <w:rsid w:val="0039613A"/>
    <w:rPr>
      <w:color w:val="0563C1" w:themeColor="hyperlink"/>
      <w:u w:val="single"/>
    </w:rPr>
  </w:style>
  <w:style w:type="paragraph" w:styleId="NoSpacing">
    <w:name w:val="No Spacing"/>
    <w:qFormat/>
    <w:rsid w:val="0039613A"/>
    <w:pPr>
      <w:spacing w:after="0" w:line="240" w:lineRule="auto"/>
    </w:pPr>
    <w:rPr>
      <w:rFonts w:ascii="Calibri" w:eastAsia="PMingLiU" w:hAnsi="Calibri" w:cs="Times New Roman"/>
      <w:kern w:val="0"/>
      <w:lang w:val="en-US" w:eastAsia="zh-CN"/>
      <w14:ligatures w14:val="none"/>
    </w:rPr>
  </w:style>
  <w:style w:type="paragraph" w:customStyle="1" w:styleId="oj-doc-ti">
    <w:name w:val="oj-doc-ti"/>
    <w:basedOn w:val="Normal"/>
    <w:rsid w:val="00170C32"/>
    <w:pPr>
      <w:autoSpaceDN w:val="0"/>
      <w:spacing w:before="100" w:after="100"/>
    </w:pPr>
    <w:rPr>
      <w:sz w:val="24"/>
      <w:szCs w:val="24"/>
      <w:lang w:val="en-GB" w:eastAsia="en-GB"/>
    </w:rPr>
  </w:style>
  <w:style w:type="paragraph" w:customStyle="1" w:styleId="Default">
    <w:name w:val="Default"/>
    <w:rsid w:val="00B15E77"/>
    <w:pPr>
      <w:autoSpaceDE w:val="0"/>
      <w:autoSpaceDN w:val="0"/>
      <w:spacing w:after="0" w:line="240" w:lineRule="auto"/>
      <w:textAlignment w:val="baseline"/>
    </w:pPr>
    <w:rPr>
      <w:rFonts w:ascii="EUAlbertina" w:eastAsia="Calibri" w:hAnsi="EUAlbertina" w:cs="EUAlbertina"/>
      <w:color w:val="000000"/>
      <w:kern w:val="0"/>
      <w:sz w:val="24"/>
      <w:szCs w:val="24"/>
      <w14:ligatures w14:val="none"/>
    </w:rPr>
  </w:style>
  <w:style w:type="table" w:styleId="TableGrid">
    <w:name w:val="Table Grid"/>
    <w:basedOn w:val="TableNormal"/>
    <w:rsid w:val="002104AD"/>
    <w:pPr>
      <w:spacing w:after="0" w:line="240" w:lineRule="auto"/>
    </w:pPr>
    <w:rPr>
      <w:rFonts w:ascii="Calibri" w:eastAsia="Calibri" w:hAnsi="Calibri"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2104AD"/>
    <w:pPr>
      <w:widowControl w:val="0"/>
      <w:autoSpaceDE w:val="0"/>
      <w:autoSpaceDN w:val="0"/>
      <w:ind w:left="884"/>
    </w:pPr>
    <w:rPr>
      <w:sz w:val="24"/>
      <w:szCs w:val="24"/>
      <w:lang w:val="ro-RO"/>
    </w:rPr>
  </w:style>
  <w:style w:type="character" w:customStyle="1" w:styleId="BodyTextChar">
    <w:name w:val="Body Text Char"/>
    <w:basedOn w:val="DefaultParagraphFont"/>
    <w:link w:val="BodyText"/>
    <w:uiPriority w:val="1"/>
    <w:rsid w:val="002104AD"/>
    <w:rPr>
      <w:rFonts w:ascii="Times New Roman" w:eastAsia="Times New Roman" w:hAnsi="Times New Roman" w:cs="Times New Roman"/>
      <w:kern w:val="0"/>
      <w:sz w:val="24"/>
      <w:szCs w:val="24"/>
      <w:lang w:val="ro-RO"/>
      <w14:ligatures w14:val="none"/>
    </w:rPr>
  </w:style>
  <w:style w:type="paragraph" w:customStyle="1" w:styleId="doc-ti">
    <w:name w:val="doc-ti"/>
    <w:basedOn w:val="Normal"/>
    <w:rsid w:val="008B1BDB"/>
    <w:pPr>
      <w:spacing w:before="100" w:beforeAutospacing="1" w:after="100" w:afterAutospacing="1"/>
    </w:pPr>
    <w:rPr>
      <w:sz w:val="24"/>
      <w:szCs w:val="24"/>
    </w:rPr>
  </w:style>
  <w:style w:type="paragraph" w:customStyle="1" w:styleId="TableParagraph">
    <w:name w:val="Table Paragraph"/>
    <w:basedOn w:val="Normal"/>
    <w:uiPriority w:val="1"/>
    <w:qFormat/>
    <w:rsid w:val="00DF509A"/>
    <w:pPr>
      <w:widowControl w:val="0"/>
      <w:autoSpaceDE w:val="0"/>
      <w:autoSpaceDN w:val="0"/>
      <w:spacing w:before="76"/>
    </w:pPr>
    <w:rPr>
      <w:sz w:val="22"/>
      <w:szCs w:val="22"/>
      <w:lang w:val="ro-RO"/>
    </w:rPr>
  </w:style>
  <w:style w:type="table" w:customStyle="1" w:styleId="TableNormal1">
    <w:name w:val="Table Normal1"/>
    <w:uiPriority w:val="2"/>
    <w:semiHidden/>
    <w:unhideWhenUsed/>
    <w:qFormat/>
    <w:rsid w:val="00DF509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customStyle="1" w:styleId="oj-italic">
    <w:name w:val="oj-italic"/>
    <w:basedOn w:val="DefaultParagraphFont"/>
    <w:rsid w:val="004E4539"/>
  </w:style>
  <w:style w:type="character" w:customStyle="1" w:styleId="oj-bold">
    <w:name w:val="oj-bold"/>
    <w:basedOn w:val="DefaultParagraphFont"/>
    <w:rsid w:val="004E4539"/>
  </w:style>
  <w:style w:type="character" w:styleId="UnresolvedMention">
    <w:name w:val="Unresolved Mention"/>
    <w:basedOn w:val="DefaultParagraphFont"/>
    <w:uiPriority w:val="99"/>
    <w:semiHidden/>
    <w:unhideWhenUsed/>
    <w:rsid w:val="006D49D4"/>
    <w:rPr>
      <w:color w:val="605E5C"/>
      <w:shd w:val="clear" w:color="auto" w:fill="E1DFDD"/>
    </w:rPr>
  </w:style>
  <w:style w:type="character" w:styleId="FollowedHyperlink">
    <w:name w:val="FollowedHyperlink"/>
    <w:basedOn w:val="DefaultParagraphFont"/>
    <w:uiPriority w:val="99"/>
    <w:semiHidden/>
    <w:unhideWhenUsed/>
    <w:rsid w:val="00726A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6</Pages>
  <Words>2131</Words>
  <Characters>12150</Characters>
  <Application>Microsoft Office Word</Application>
  <DocSecurity>0</DocSecurity>
  <Lines>101</Lines>
  <Paragraphs>28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Sineac Nina</dc:creator>
  <cp:lastModifiedBy>Pislaru Victor</cp:lastModifiedBy>
  <cp:revision>52</cp:revision>
  <cp:lastPrinted>2025-03-03T07:13:00Z</cp:lastPrinted>
  <dcterms:created xsi:type="dcterms:W3CDTF">2025-07-22T11:01:00Z</dcterms:created>
  <dcterms:modified xsi:type="dcterms:W3CDTF">2026-03-25T14:10:00Z</dcterms:modified>
</cp:coreProperties>
</file>