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F534" w14:textId="77777777" w:rsidR="006436F1" w:rsidRPr="00211ED8" w:rsidRDefault="006436F1" w:rsidP="006436F1">
      <w:pPr>
        <w:spacing w:after="0"/>
        <w:jc w:val="center"/>
        <w:rPr>
          <w:b/>
          <w:szCs w:val="28"/>
        </w:rPr>
      </w:pPr>
      <w:r w:rsidRPr="00211ED8">
        <w:rPr>
          <w:b/>
          <w:szCs w:val="28"/>
        </w:rPr>
        <w:t>NOTA DE FUNDAMENTARE</w:t>
      </w:r>
    </w:p>
    <w:p w14:paraId="6A80B27B" w14:textId="3A6C03F9" w:rsidR="0012213A" w:rsidRPr="00211ED8" w:rsidRDefault="006436F1" w:rsidP="004D03C0">
      <w:pPr>
        <w:tabs>
          <w:tab w:val="left" w:pos="142"/>
          <w:tab w:val="left" w:pos="284"/>
        </w:tabs>
        <w:spacing w:after="0" w:line="240" w:lineRule="atLeast"/>
        <w:jc w:val="center"/>
        <w:rPr>
          <w:rFonts w:cs="Times New Roman"/>
          <w:b/>
          <w:color w:val="000000" w:themeColor="text1"/>
          <w:szCs w:val="28"/>
        </w:rPr>
      </w:pPr>
      <w:r w:rsidRPr="00211ED8">
        <w:rPr>
          <w:b/>
          <w:szCs w:val="28"/>
        </w:rPr>
        <w:t xml:space="preserve">la proiectul hotărârii Guvernului </w:t>
      </w:r>
      <w:r w:rsidR="00211ED8" w:rsidRPr="00211ED8">
        <w:rPr>
          <w:rFonts w:cs="Times New Roman"/>
          <w:b/>
          <w:color w:val="000000" w:themeColor="text1"/>
          <w:szCs w:val="28"/>
        </w:rPr>
        <w:t>cu privire la modificarea</w:t>
      </w:r>
      <w:r w:rsidR="00974905">
        <w:rPr>
          <w:rFonts w:cs="Times New Roman"/>
          <w:b/>
          <w:color w:val="000000" w:themeColor="text1"/>
          <w:szCs w:val="28"/>
        </w:rPr>
        <w:t xml:space="preserve"> pct. 19 din</w:t>
      </w:r>
      <w:r w:rsidR="00211ED8" w:rsidRPr="00211ED8">
        <w:rPr>
          <w:rFonts w:cs="Times New Roman"/>
          <w:b/>
          <w:color w:val="000000" w:themeColor="text1"/>
          <w:szCs w:val="28"/>
        </w:rPr>
        <w:t xml:space="preserve"> Hotărâr</w:t>
      </w:r>
      <w:r w:rsidR="00974905">
        <w:rPr>
          <w:rFonts w:cs="Times New Roman"/>
          <w:b/>
          <w:color w:val="000000" w:themeColor="text1"/>
          <w:szCs w:val="28"/>
        </w:rPr>
        <w:t>ea</w:t>
      </w:r>
      <w:r w:rsidR="00211ED8" w:rsidRPr="00211ED8">
        <w:rPr>
          <w:rFonts w:cs="Times New Roman"/>
          <w:b/>
          <w:color w:val="000000" w:themeColor="text1"/>
          <w:szCs w:val="28"/>
        </w:rPr>
        <w:t xml:space="preserve"> Guvernului nr. 633/2007</w:t>
      </w:r>
      <w:r w:rsidR="00211ED8">
        <w:rPr>
          <w:rFonts w:cs="Times New Roman"/>
          <w:b/>
          <w:color w:val="000000" w:themeColor="text1"/>
          <w:szCs w:val="28"/>
        </w:rPr>
        <w:t xml:space="preserve"> </w:t>
      </w:r>
      <w:r w:rsidR="00211ED8" w:rsidRPr="00211ED8">
        <w:rPr>
          <w:rFonts w:cs="Times New Roman"/>
          <w:b/>
          <w:color w:val="000000" w:themeColor="text1"/>
          <w:szCs w:val="28"/>
        </w:rPr>
        <w:t>„Cu privire la aprobarea Concepției Sistemului informațional automatizat</w:t>
      </w:r>
      <w:r w:rsidR="00211ED8">
        <w:rPr>
          <w:rFonts w:cs="Times New Roman"/>
          <w:b/>
          <w:color w:val="000000" w:themeColor="text1"/>
          <w:szCs w:val="28"/>
        </w:rPr>
        <w:t xml:space="preserve"> „</w:t>
      </w:r>
      <w:r w:rsidR="00211ED8" w:rsidRPr="00211ED8">
        <w:rPr>
          <w:rFonts w:cs="Times New Roman"/>
          <w:b/>
          <w:color w:val="000000" w:themeColor="text1"/>
          <w:szCs w:val="28"/>
        </w:rPr>
        <w:t>Registrul informației criminalistice și criminologice”</w:t>
      </w:r>
      <w:r w:rsidR="004D03C0">
        <w:rPr>
          <w:rFonts w:cs="Times New Roman"/>
          <w:b/>
          <w:color w:val="000000" w:themeColor="text1"/>
          <w:szCs w:val="28"/>
        </w:rPr>
        <w:t>”</w:t>
      </w:r>
      <w:r w:rsidR="00211ED8" w:rsidRPr="00211ED8">
        <w:rPr>
          <w:rFonts w:cs="Times New Roman"/>
          <w:b/>
          <w:color w:val="000000" w:themeColor="text1"/>
          <w:szCs w:val="28"/>
        </w:rPr>
        <w:cr/>
      </w: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6436F1" w:rsidRPr="00211ED8" w14:paraId="5AC2AFB7" w14:textId="77777777" w:rsidTr="00A66983">
        <w:tc>
          <w:tcPr>
            <w:tcW w:w="5000" w:type="pct"/>
            <w:shd w:val="clear" w:color="auto" w:fill="BFBFBF" w:themeFill="background1" w:themeFillShade="BF"/>
          </w:tcPr>
          <w:p w14:paraId="510C2A61"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1. Denumirea sau numele autorului și, după caz, a/al participanților la elaborarea proiectului actului normativ</w:t>
            </w:r>
          </w:p>
        </w:tc>
      </w:tr>
      <w:tr w:rsidR="006436F1" w:rsidRPr="00211ED8" w14:paraId="0582AA0E" w14:textId="77777777" w:rsidTr="00A66983">
        <w:tc>
          <w:tcPr>
            <w:tcW w:w="5000" w:type="pct"/>
            <w:tcBorders>
              <w:bottom w:val="single" w:sz="4" w:space="0" w:color="auto"/>
            </w:tcBorders>
          </w:tcPr>
          <w:p w14:paraId="63D626E8" w14:textId="77777777" w:rsidR="00502461" w:rsidRPr="00211ED8" w:rsidRDefault="00502461" w:rsidP="00502461">
            <w:pPr>
              <w:spacing w:after="0"/>
              <w:ind w:firstLine="697"/>
              <w:jc w:val="both"/>
              <w:rPr>
                <w:rFonts w:eastAsia="Times New Roman" w:cs="Times New Roman"/>
                <w:szCs w:val="28"/>
                <w:lang w:eastAsia="ru-RU"/>
              </w:rPr>
            </w:pPr>
            <w:r w:rsidRPr="00211ED8">
              <w:rPr>
                <w:rFonts w:eastAsia="Times New Roman" w:cs="Times New Roman"/>
                <w:i/>
                <w:iCs/>
                <w:szCs w:val="28"/>
                <w:lang w:eastAsia="ru-RU"/>
              </w:rPr>
              <w:t>Autor:</w:t>
            </w:r>
            <w:r w:rsidRPr="00211ED8">
              <w:rPr>
                <w:rFonts w:eastAsia="Times New Roman" w:cs="Times New Roman"/>
                <w:szCs w:val="28"/>
                <w:lang w:eastAsia="ru-RU"/>
              </w:rPr>
              <w:t xml:space="preserve"> Ministerul Afacerilor Interne.</w:t>
            </w:r>
          </w:p>
          <w:p w14:paraId="79DBEF92" w14:textId="6695E20B" w:rsidR="006436F1" w:rsidRPr="00211ED8" w:rsidRDefault="00502461" w:rsidP="002E1281">
            <w:pPr>
              <w:spacing w:after="0"/>
              <w:ind w:firstLine="697"/>
              <w:jc w:val="both"/>
              <w:rPr>
                <w:rFonts w:eastAsia="Times New Roman" w:cs="Times New Roman"/>
                <w:szCs w:val="28"/>
                <w:lang w:eastAsia="ru-RU"/>
              </w:rPr>
            </w:pPr>
            <w:r w:rsidRPr="00211ED8">
              <w:rPr>
                <w:rFonts w:eastAsia="Times New Roman" w:cs="Times New Roman"/>
                <w:i/>
                <w:iCs/>
                <w:szCs w:val="28"/>
                <w:lang w:eastAsia="ru-RU"/>
              </w:rPr>
              <w:t>Alte autorități publice participante:</w:t>
            </w:r>
            <w:r w:rsidRPr="00211ED8">
              <w:rPr>
                <w:rFonts w:eastAsia="Times New Roman" w:cs="Times New Roman"/>
                <w:szCs w:val="28"/>
                <w:lang w:eastAsia="ru-RU"/>
              </w:rPr>
              <w:t xml:space="preserve"> </w:t>
            </w:r>
            <w:r w:rsidR="00211ED8" w:rsidRPr="00211ED8">
              <w:rPr>
                <w:rFonts w:eastAsia="Times New Roman" w:cs="Times New Roman"/>
                <w:szCs w:val="28"/>
                <w:lang w:eastAsia="ru-RU"/>
              </w:rPr>
              <w:t>Serviciul Tehnologii Informaționale</w:t>
            </w:r>
            <w:r w:rsidRPr="00211ED8">
              <w:rPr>
                <w:rFonts w:eastAsia="Times New Roman" w:cs="Times New Roman"/>
                <w:szCs w:val="28"/>
                <w:lang w:eastAsia="ru-RU"/>
              </w:rPr>
              <w:t>;</w:t>
            </w:r>
          </w:p>
        </w:tc>
      </w:tr>
      <w:tr w:rsidR="006436F1" w:rsidRPr="00211ED8" w14:paraId="4362764B" w14:textId="77777777" w:rsidTr="00A66983">
        <w:tc>
          <w:tcPr>
            <w:tcW w:w="5000" w:type="pct"/>
            <w:tcBorders>
              <w:bottom w:val="single" w:sz="4" w:space="0" w:color="auto"/>
            </w:tcBorders>
            <w:shd w:val="clear" w:color="auto" w:fill="BFBFBF" w:themeFill="background1" w:themeFillShade="BF"/>
          </w:tcPr>
          <w:p w14:paraId="00C291DD"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2. Condițiile ce au impus elaborarea proiectului actului normativ</w:t>
            </w:r>
          </w:p>
        </w:tc>
      </w:tr>
      <w:tr w:rsidR="006436F1" w:rsidRPr="00211ED8" w14:paraId="2B2858CD" w14:textId="77777777" w:rsidTr="00A66983">
        <w:tc>
          <w:tcPr>
            <w:tcW w:w="5000" w:type="pct"/>
            <w:tcBorders>
              <w:bottom w:val="single" w:sz="4" w:space="0" w:color="auto"/>
            </w:tcBorders>
            <w:shd w:val="clear" w:color="auto" w:fill="F2F2F2" w:themeFill="background1" w:themeFillShade="F2"/>
          </w:tcPr>
          <w:p w14:paraId="3360FF21"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2.1 Temeiul legal sau, după caz, sursa proiectului actului normativ</w:t>
            </w:r>
          </w:p>
        </w:tc>
      </w:tr>
      <w:tr w:rsidR="006436F1" w:rsidRPr="00211ED8" w14:paraId="41B47979" w14:textId="77777777" w:rsidTr="00A66983">
        <w:tc>
          <w:tcPr>
            <w:tcW w:w="5000" w:type="pct"/>
            <w:tcBorders>
              <w:bottom w:val="single" w:sz="4" w:space="0" w:color="auto"/>
            </w:tcBorders>
            <w:shd w:val="clear" w:color="auto" w:fill="FFFFFF" w:themeFill="background1"/>
          </w:tcPr>
          <w:p w14:paraId="45E372B6" w14:textId="28F03939" w:rsidR="006436F1" w:rsidRPr="007A5AFB" w:rsidRDefault="00211ED8" w:rsidP="007A5AFB">
            <w:pPr>
              <w:spacing w:after="0"/>
              <w:ind w:firstLine="697"/>
              <w:jc w:val="both"/>
              <w:rPr>
                <w:rFonts w:eastAsia="Calibri" w:cs="Times New Roman"/>
                <w:szCs w:val="28"/>
              </w:rPr>
            </w:pPr>
            <w:r w:rsidRPr="00211ED8">
              <w:rPr>
                <w:rFonts w:eastAsia="Calibri" w:cs="Times New Roman"/>
                <w:szCs w:val="28"/>
              </w:rPr>
              <w:t>În procesul modernizării și eficientizării Sistemelor informaționale aflate în gestiune, Ministerul Afacerilor Interne a inițiat dezvoltările necesare în vederea automatizării schimbului de date între Registrul informației criminalistice și criminologice al Republicii Moldova și Sistemul informațional automatizat al Serviciului național unic pentru apelurile de urgență 112. Implementarea dezvoltării respective va contribui semnificativ atât la calitatea evidențelor deținute în cadrul MAI, cât și la capacitățile de reacție ale subdiviziunilor de ocrotire a normelor de drept.</w:t>
            </w:r>
          </w:p>
        </w:tc>
      </w:tr>
      <w:tr w:rsidR="006436F1" w:rsidRPr="00211ED8" w14:paraId="28B6BF4B" w14:textId="77777777" w:rsidTr="00A66983">
        <w:tc>
          <w:tcPr>
            <w:tcW w:w="5000" w:type="pct"/>
            <w:tcBorders>
              <w:bottom w:val="single" w:sz="4" w:space="0" w:color="auto"/>
            </w:tcBorders>
            <w:shd w:val="clear" w:color="auto" w:fill="F2F2F2" w:themeFill="background1" w:themeFillShade="F2"/>
          </w:tcPr>
          <w:p w14:paraId="43A4EA21"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2.2. Descrierea situației actuale și a problemelor care impun intervenția, inclusiv a cadrului normativ aplicabil și a deficiențelor/lacunelor normative</w:t>
            </w:r>
          </w:p>
        </w:tc>
      </w:tr>
      <w:tr w:rsidR="006436F1" w:rsidRPr="00211ED8" w14:paraId="68FF6F30" w14:textId="77777777" w:rsidTr="00A66983">
        <w:tc>
          <w:tcPr>
            <w:tcW w:w="5000" w:type="pct"/>
            <w:tcBorders>
              <w:bottom w:val="single" w:sz="4" w:space="0" w:color="auto"/>
            </w:tcBorders>
            <w:shd w:val="clear" w:color="auto" w:fill="FFFFFF" w:themeFill="background1"/>
          </w:tcPr>
          <w:p w14:paraId="08741968" w14:textId="7840CF6C" w:rsidR="00BB63CE" w:rsidRPr="00211ED8" w:rsidRDefault="007A5AFB" w:rsidP="00857DDD">
            <w:pPr>
              <w:tabs>
                <w:tab w:val="left" w:pos="9498"/>
                <w:tab w:val="left" w:pos="9639"/>
              </w:tabs>
              <w:spacing w:after="0"/>
              <w:ind w:firstLine="601"/>
              <w:jc w:val="both"/>
              <w:rPr>
                <w:rFonts w:eastAsia="Times New Roman" w:cs="Times New Roman"/>
                <w:szCs w:val="28"/>
                <w:lang w:eastAsia="ru-RU"/>
              </w:rPr>
            </w:pPr>
            <w:r w:rsidRPr="00211ED8">
              <w:rPr>
                <w:rFonts w:eastAsia="Calibri" w:cs="Times New Roman"/>
                <w:szCs w:val="28"/>
              </w:rPr>
              <w:t xml:space="preserve">În vederea armonizării cadrului normativ la tendințele de informatizare ale activităților Ministerului Afacerilor Interne în domeniul enunțat, a fost identificată necesitatea aprobării a unei modificări de ordin tehnic în cadrul Concepției Sistemului informațional automatizat </w:t>
            </w:r>
            <w:r>
              <w:rPr>
                <w:rFonts w:eastAsia="Calibri" w:cs="Times New Roman"/>
                <w:szCs w:val="28"/>
              </w:rPr>
              <w:t>„</w:t>
            </w:r>
            <w:r w:rsidRPr="00211ED8">
              <w:rPr>
                <w:rFonts w:eastAsia="Calibri" w:cs="Times New Roman"/>
                <w:szCs w:val="28"/>
              </w:rPr>
              <w:t>Registrul informației criminalistice și criminologice”.</w:t>
            </w:r>
          </w:p>
        </w:tc>
      </w:tr>
      <w:tr w:rsidR="006436F1" w:rsidRPr="00211ED8" w14:paraId="4653C3FC" w14:textId="77777777" w:rsidTr="00A66983">
        <w:tc>
          <w:tcPr>
            <w:tcW w:w="5000" w:type="pct"/>
            <w:tcBorders>
              <w:bottom w:val="single" w:sz="4" w:space="0" w:color="auto"/>
            </w:tcBorders>
            <w:shd w:val="clear" w:color="auto" w:fill="BFBFBF" w:themeFill="background1" w:themeFillShade="BF"/>
          </w:tcPr>
          <w:p w14:paraId="2A597E6C"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3. Obiectivele urmărite și soluțiile propuse</w:t>
            </w:r>
          </w:p>
        </w:tc>
      </w:tr>
      <w:tr w:rsidR="006436F1" w:rsidRPr="00211ED8" w14:paraId="0AFAF1FA" w14:textId="77777777" w:rsidTr="00A66983">
        <w:tc>
          <w:tcPr>
            <w:tcW w:w="5000" w:type="pct"/>
            <w:shd w:val="clear" w:color="auto" w:fill="F2F2F2" w:themeFill="background1" w:themeFillShade="F2"/>
          </w:tcPr>
          <w:p w14:paraId="169270B8"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3.1. Principalele prevederi ale proiectului și evidențierea elementelor noi</w:t>
            </w:r>
          </w:p>
        </w:tc>
      </w:tr>
      <w:tr w:rsidR="006436F1" w:rsidRPr="00211ED8" w14:paraId="7BFC8297" w14:textId="77777777" w:rsidTr="00A66983">
        <w:tc>
          <w:tcPr>
            <w:tcW w:w="5000" w:type="pct"/>
            <w:tcBorders>
              <w:bottom w:val="single" w:sz="4" w:space="0" w:color="auto"/>
            </w:tcBorders>
          </w:tcPr>
          <w:p w14:paraId="2EAE4517" w14:textId="5E8E6668" w:rsidR="002E1281" w:rsidRPr="00211ED8" w:rsidRDefault="002E1281" w:rsidP="00DD2E53">
            <w:pPr>
              <w:spacing w:after="0"/>
              <w:ind w:firstLine="601"/>
              <w:jc w:val="both"/>
              <w:rPr>
                <w:rFonts w:eastAsia="Times New Roman" w:cs="Times New Roman"/>
                <w:b/>
                <w:bCs/>
                <w:szCs w:val="28"/>
                <w:lang w:eastAsia="ru-RU"/>
              </w:rPr>
            </w:pPr>
            <w:r w:rsidRPr="00211ED8">
              <w:rPr>
                <w:rFonts w:eastAsia="Times New Roman" w:cs="Times New Roman"/>
                <w:b/>
                <w:bCs/>
                <w:szCs w:val="28"/>
                <w:lang w:eastAsia="ru-RU"/>
              </w:rPr>
              <w:t>Scopul și obiectivele</w:t>
            </w:r>
            <w:r w:rsidR="0076286D" w:rsidRPr="00211ED8">
              <w:rPr>
                <w:rFonts w:eastAsia="Times New Roman" w:cs="Times New Roman"/>
                <w:b/>
                <w:bCs/>
                <w:szCs w:val="28"/>
                <w:lang w:eastAsia="ru-RU"/>
              </w:rPr>
              <w:t xml:space="preserve"> propuse</w:t>
            </w:r>
          </w:p>
          <w:p w14:paraId="7E02670B" w14:textId="7CB3F913" w:rsidR="00857DDD" w:rsidRPr="00211ED8" w:rsidRDefault="00B41FF7" w:rsidP="00DD2E53">
            <w:pPr>
              <w:spacing w:after="0"/>
              <w:ind w:firstLine="601"/>
              <w:jc w:val="both"/>
              <w:rPr>
                <w:rFonts w:eastAsia="Times New Roman" w:cs="Times New Roman"/>
                <w:szCs w:val="28"/>
                <w:lang w:eastAsia="ru-RU"/>
              </w:rPr>
            </w:pPr>
            <w:r w:rsidRPr="00B41FF7">
              <w:rPr>
                <w:rFonts w:eastAsia="Times New Roman" w:cs="Times New Roman"/>
                <w:szCs w:val="28"/>
                <w:lang w:eastAsia="ru-RU"/>
              </w:rPr>
              <w:t>Obiectivul urmărit constă în completarea bazei normative a Registrului informației criminalistice și criminologice cu prevederile ce țin de existența a schimbului de date cu Sistemul informațional automatizat al Serviciului național unic pentru apelurile de urgență 112.</w:t>
            </w:r>
          </w:p>
          <w:p w14:paraId="3120FA46" w14:textId="4FFED371" w:rsidR="00503A83" w:rsidRPr="00211ED8" w:rsidRDefault="00857DDD" w:rsidP="00DD2E53">
            <w:pPr>
              <w:spacing w:after="0"/>
              <w:ind w:firstLine="601"/>
              <w:jc w:val="both"/>
              <w:rPr>
                <w:rFonts w:eastAsia="Times New Roman" w:cs="Times New Roman"/>
                <w:b/>
                <w:bCs/>
                <w:szCs w:val="28"/>
                <w:lang w:eastAsia="ru-RU"/>
              </w:rPr>
            </w:pPr>
            <w:r w:rsidRPr="00211ED8">
              <w:rPr>
                <w:rFonts w:eastAsia="Times New Roman" w:cs="Times New Roman"/>
                <w:b/>
                <w:bCs/>
                <w:szCs w:val="28"/>
                <w:lang w:eastAsia="ru-RU"/>
              </w:rPr>
              <w:t>Principalele prevederi ale proiectului și elementele noi care se conțin în cuprinsul acestuia:</w:t>
            </w:r>
          </w:p>
          <w:p w14:paraId="5B68EAE5" w14:textId="7B9E8CE8" w:rsidR="002F31B7" w:rsidRPr="002F31B7" w:rsidRDefault="002F31B7" w:rsidP="002F31B7">
            <w:pPr>
              <w:spacing w:after="0"/>
              <w:ind w:firstLine="601"/>
              <w:jc w:val="both"/>
              <w:rPr>
                <w:rFonts w:eastAsia="Times New Roman" w:cs="Times New Roman"/>
                <w:i/>
                <w:iCs/>
                <w:szCs w:val="28"/>
                <w:lang w:eastAsia="ru-RU"/>
              </w:rPr>
            </w:pPr>
            <w:r w:rsidRPr="002F31B7">
              <w:rPr>
                <w:rFonts w:eastAsia="Times New Roman" w:cs="Times New Roman"/>
                <w:i/>
                <w:iCs/>
                <w:szCs w:val="28"/>
                <w:lang w:eastAsia="ru-RU"/>
              </w:rPr>
              <w:t xml:space="preserve">Concepția Sistemului informațional automatizat “Registrul informației criminalistice și criminologice”, aprobată prin Hotărârea Guvernului nr. 633/2007, punctul 19 se completează cu </w:t>
            </w:r>
            <w:r w:rsidR="00974905">
              <w:rPr>
                <w:rFonts w:eastAsia="Times New Roman" w:cs="Times New Roman"/>
                <w:i/>
                <w:iCs/>
                <w:szCs w:val="28"/>
                <w:lang w:eastAsia="ru-RU"/>
              </w:rPr>
              <w:t>li</w:t>
            </w:r>
            <w:r w:rsidRPr="002F31B7">
              <w:rPr>
                <w:rFonts w:eastAsia="Times New Roman" w:cs="Times New Roman"/>
                <w:i/>
                <w:iCs/>
                <w:szCs w:val="28"/>
                <w:lang w:eastAsia="ru-RU"/>
              </w:rPr>
              <w:t>t</w:t>
            </w:r>
            <w:r w:rsidR="00974905">
              <w:rPr>
                <w:rFonts w:eastAsia="Times New Roman" w:cs="Times New Roman"/>
                <w:i/>
                <w:iCs/>
                <w:szCs w:val="28"/>
                <w:lang w:eastAsia="ru-RU"/>
              </w:rPr>
              <w:t>era</w:t>
            </w:r>
            <w:r w:rsidRPr="002F31B7">
              <w:rPr>
                <w:rFonts w:eastAsia="Times New Roman" w:cs="Times New Roman"/>
                <w:i/>
                <w:iCs/>
                <w:szCs w:val="28"/>
                <w:lang w:eastAsia="ru-RU"/>
              </w:rPr>
              <w:t xml:space="preserve"> </w:t>
            </w:r>
            <w:r w:rsidR="00974905">
              <w:rPr>
                <w:rFonts w:eastAsia="Times New Roman" w:cs="Times New Roman"/>
                <w:i/>
                <w:iCs/>
                <w:szCs w:val="28"/>
                <w:lang w:eastAsia="ru-RU"/>
              </w:rPr>
              <w:t>r)</w:t>
            </w:r>
            <w:r w:rsidRPr="002F31B7">
              <w:rPr>
                <w:rFonts w:eastAsia="Times New Roman" w:cs="Times New Roman"/>
                <w:i/>
                <w:iCs/>
                <w:szCs w:val="28"/>
                <w:lang w:eastAsia="ru-RU"/>
              </w:rPr>
              <w:t>, cu următorul cuprins:</w:t>
            </w:r>
          </w:p>
          <w:p w14:paraId="0E8B8DCE" w14:textId="77777777" w:rsidR="002F31B7" w:rsidRPr="00FA6B5E" w:rsidRDefault="002F31B7" w:rsidP="002F31B7">
            <w:pPr>
              <w:spacing w:after="0"/>
              <w:ind w:firstLine="601"/>
              <w:jc w:val="both"/>
              <w:rPr>
                <w:rFonts w:eastAsia="Times New Roman" w:cs="Times New Roman"/>
                <w:i/>
                <w:iCs/>
                <w:szCs w:val="28"/>
                <w:lang w:eastAsia="ru-RU"/>
              </w:rPr>
            </w:pPr>
            <w:r w:rsidRPr="002F31B7">
              <w:rPr>
                <w:rFonts w:eastAsia="Times New Roman" w:cs="Times New Roman"/>
                <w:i/>
                <w:iCs/>
                <w:szCs w:val="28"/>
                <w:lang w:eastAsia="ru-RU"/>
              </w:rPr>
              <w:tab/>
              <w:t xml:space="preserve">„r) </w:t>
            </w:r>
            <w:r w:rsidRPr="00FA6B5E">
              <w:rPr>
                <w:rFonts w:eastAsia="Times New Roman" w:cs="Times New Roman"/>
                <w:i/>
                <w:iCs/>
                <w:szCs w:val="28"/>
                <w:lang w:eastAsia="ru-RU"/>
              </w:rPr>
              <w:t>Sistemul informațional automatizat al Serviciului național unic pentru apelurile de urgență 112.”.</w:t>
            </w:r>
          </w:p>
          <w:p w14:paraId="52503A8B" w14:textId="77777777" w:rsidR="00B3659E" w:rsidRDefault="00C35412" w:rsidP="002F31B7">
            <w:pPr>
              <w:spacing w:after="0"/>
              <w:ind w:firstLine="601"/>
              <w:jc w:val="both"/>
              <w:rPr>
                <w:rFonts w:eastAsia="Times New Roman" w:cs="Times New Roman"/>
                <w:szCs w:val="28"/>
                <w:lang w:eastAsia="ru-RU"/>
              </w:rPr>
            </w:pPr>
            <w:r w:rsidRPr="00FA6B5E">
              <w:rPr>
                <w:rFonts w:eastAsia="Times New Roman" w:cs="Times New Roman"/>
                <w:szCs w:val="28"/>
                <w:lang w:eastAsia="ru-RU"/>
              </w:rPr>
              <w:t xml:space="preserve">Prin completarea punctului </w:t>
            </w:r>
            <w:r w:rsidR="002F31B7" w:rsidRPr="00FA6B5E">
              <w:rPr>
                <w:rFonts w:eastAsia="Times New Roman" w:cs="Times New Roman"/>
                <w:szCs w:val="28"/>
                <w:lang w:eastAsia="ru-RU"/>
              </w:rPr>
              <w:t>19</w:t>
            </w:r>
            <w:r w:rsidR="005B1DBA" w:rsidRPr="00FA6B5E">
              <w:rPr>
                <w:rFonts w:eastAsia="Times New Roman" w:cs="Times New Roman"/>
                <w:szCs w:val="28"/>
                <w:lang w:eastAsia="ru-RU"/>
              </w:rPr>
              <w:t xml:space="preserve"> din </w:t>
            </w:r>
            <w:r w:rsidR="00A53346" w:rsidRPr="00FA6B5E">
              <w:rPr>
                <w:rFonts w:eastAsia="Times New Roman" w:cs="Times New Roman"/>
                <w:szCs w:val="28"/>
                <w:lang w:eastAsia="ru-RU"/>
              </w:rPr>
              <w:t>Concepție</w:t>
            </w:r>
            <w:r w:rsidRPr="00FA6B5E">
              <w:rPr>
                <w:rFonts w:eastAsia="Times New Roman" w:cs="Times New Roman"/>
                <w:szCs w:val="28"/>
                <w:lang w:eastAsia="ru-RU"/>
              </w:rPr>
              <w:t xml:space="preserve">, </w:t>
            </w:r>
            <w:r w:rsidR="00A53346" w:rsidRPr="00FA6B5E">
              <w:rPr>
                <w:rFonts w:eastAsia="Times New Roman" w:cs="Times New Roman"/>
                <w:szCs w:val="28"/>
                <w:lang w:eastAsia="ru-RU"/>
              </w:rPr>
              <w:t xml:space="preserve">și anume cu completarea </w:t>
            </w:r>
            <w:r w:rsidR="00FA6B5E" w:rsidRPr="00FA6B5E">
              <w:rPr>
                <w:rFonts w:eastAsia="Times New Roman" w:cs="Times New Roman"/>
                <w:szCs w:val="28"/>
                <w:lang w:eastAsia="ru-RU"/>
              </w:rPr>
              <w:t>listei sistemelor informaționale cu care interacționează Registrul informației criminalistice și criminologice</w:t>
            </w:r>
            <w:r w:rsidR="00FA6B5E">
              <w:rPr>
                <w:rFonts w:eastAsia="Times New Roman" w:cs="Times New Roman"/>
                <w:szCs w:val="28"/>
                <w:lang w:eastAsia="ru-RU"/>
              </w:rPr>
              <w:t xml:space="preserve">, </w:t>
            </w:r>
            <w:r w:rsidR="00FA6B5E" w:rsidRPr="00FA6B5E">
              <w:rPr>
                <w:rFonts w:eastAsia="Times New Roman" w:cs="Times New Roman"/>
                <w:szCs w:val="28"/>
                <w:lang w:eastAsia="ru-RU"/>
              </w:rPr>
              <w:t>se urmărește</w:t>
            </w:r>
            <w:r w:rsidR="00B3659E">
              <w:rPr>
                <w:rFonts w:eastAsia="Times New Roman" w:cs="Times New Roman"/>
                <w:szCs w:val="28"/>
                <w:lang w:eastAsia="ru-RU"/>
              </w:rPr>
              <w:t>:</w:t>
            </w:r>
          </w:p>
          <w:p w14:paraId="5E563471" w14:textId="77777777" w:rsidR="00B3659E" w:rsidRDefault="00FA6B5E" w:rsidP="00B3659E">
            <w:pPr>
              <w:pStyle w:val="Listparagraf"/>
              <w:numPr>
                <w:ilvl w:val="0"/>
                <w:numId w:val="3"/>
              </w:numPr>
              <w:spacing w:after="0"/>
              <w:jc w:val="both"/>
              <w:rPr>
                <w:rFonts w:eastAsia="Times New Roman" w:cs="Times New Roman"/>
                <w:szCs w:val="28"/>
                <w:lang w:eastAsia="ru-RU"/>
              </w:rPr>
            </w:pPr>
            <w:r w:rsidRPr="00B3659E">
              <w:rPr>
                <w:rFonts w:eastAsia="Times New Roman" w:cs="Times New Roman"/>
                <w:szCs w:val="28"/>
                <w:lang w:eastAsia="ru-RU"/>
              </w:rPr>
              <w:lastRenderedPageBreak/>
              <w:t>sporirea eficienței operaționale a organelor cu atribuții de menținere a ordinii publice și intervenție în situații de urgență, ce va permite reacționarea mai eficientă și rapidă la solicitările de urgență a cetățenilor</w:t>
            </w:r>
            <w:r w:rsidR="00B3659E">
              <w:rPr>
                <w:rFonts w:eastAsia="Times New Roman" w:cs="Times New Roman"/>
                <w:szCs w:val="28"/>
                <w:lang w:eastAsia="ru-RU"/>
              </w:rPr>
              <w:t>;</w:t>
            </w:r>
          </w:p>
          <w:p w14:paraId="67262293" w14:textId="77777777" w:rsidR="00B3659E" w:rsidRDefault="00B3659E" w:rsidP="00B3659E">
            <w:pPr>
              <w:pStyle w:val="Listparagraf"/>
              <w:numPr>
                <w:ilvl w:val="0"/>
                <w:numId w:val="3"/>
              </w:numPr>
              <w:spacing w:after="0"/>
              <w:jc w:val="both"/>
              <w:rPr>
                <w:rFonts w:eastAsia="Times New Roman" w:cs="Times New Roman"/>
                <w:szCs w:val="28"/>
                <w:lang w:eastAsia="ru-RU"/>
              </w:rPr>
            </w:pPr>
            <w:r>
              <w:rPr>
                <w:rFonts w:eastAsia="Times New Roman" w:cs="Times New Roman"/>
                <w:szCs w:val="28"/>
                <w:lang w:eastAsia="ru-RU"/>
              </w:rPr>
              <w:t xml:space="preserve">reglementarea și fluidizarea fluxurilor informaționale între aceste două sisteme, ce va permite excluderea posibilelor erori umane în procesul de punere la evidență a informației în </w:t>
            </w:r>
            <w:r w:rsidRPr="00B41FF7">
              <w:rPr>
                <w:rFonts w:eastAsia="Times New Roman" w:cs="Times New Roman"/>
                <w:szCs w:val="28"/>
                <w:lang w:eastAsia="ru-RU"/>
              </w:rPr>
              <w:t>Registrul informației criminalistice și criminologice</w:t>
            </w:r>
            <w:r>
              <w:rPr>
                <w:rFonts w:eastAsia="Times New Roman" w:cs="Times New Roman"/>
                <w:szCs w:val="28"/>
                <w:lang w:eastAsia="ru-RU"/>
              </w:rPr>
              <w:t>;</w:t>
            </w:r>
          </w:p>
          <w:p w14:paraId="145E2D4C" w14:textId="4A844B76" w:rsidR="00B3659E" w:rsidRPr="00974905" w:rsidRDefault="00B3659E" w:rsidP="00974905">
            <w:pPr>
              <w:pStyle w:val="Listparagraf"/>
              <w:numPr>
                <w:ilvl w:val="0"/>
                <w:numId w:val="3"/>
              </w:numPr>
              <w:spacing w:after="0"/>
              <w:jc w:val="both"/>
              <w:rPr>
                <w:rFonts w:eastAsia="Times New Roman" w:cs="Times New Roman"/>
                <w:szCs w:val="28"/>
                <w:lang w:eastAsia="ru-RU"/>
              </w:rPr>
            </w:pPr>
            <w:r>
              <w:rPr>
                <w:rFonts w:eastAsia="Times New Roman" w:cs="Times New Roman"/>
                <w:szCs w:val="28"/>
                <w:lang w:eastAsia="ru-RU"/>
              </w:rPr>
              <w:t xml:space="preserve">reducerea timpului de prelucrare a informațiilor parvenite din partea </w:t>
            </w:r>
            <w:r w:rsidRPr="00FA6B5E">
              <w:rPr>
                <w:rFonts w:eastAsia="Times New Roman" w:cs="Times New Roman"/>
                <w:szCs w:val="28"/>
                <w:lang w:eastAsia="ru-RU"/>
              </w:rPr>
              <w:t>Serviciului național unic pentru apelurile de urgență 112</w:t>
            </w:r>
            <w:r w:rsidR="00FA6B5E" w:rsidRPr="00B3659E">
              <w:rPr>
                <w:rFonts w:eastAsia="Times New Roman" w:cs="Times New Roman"/>
                <w:szCs w:val="28"/>
                <w:lang w:eastAsia="ru-RU"/>
              </w:rPr>
              <w:t>.</w:t>
            </w:r>
          </w:p>
        </w:tc>
      </w:tr>
      <w:tr w:rsidR="006436F1" w:rsidRPr="00211ED8" w14:paraId="0222F738" w14:textId="77777777" w:rsidTr="00A66983">
        <w:tc>
          <w:tcPr>
            <w:tcW w:w="5000" w:type="pct"/>
            <w:tcBorders>
              <w:bottom w:val="single" w:sz="4" w:space="0" w:color="auto"/>
            </w:tcBorders>
            <w:shd w:val="clear" w:color="auto" w:fill="F2F2F2" w:themeFill="background1" w:themeFillShade="F2"/>
          </w:tcPr>
          <w:p w14:paraId="212ACDB9"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lastRenderedPageBreak/>
              <w:t>3.2. Opțiunile alternative analizate și motivele pentru care acestea nu au fost luate în considerare</w:t>
            </w:r>
          </w:p>
        </w:tc>
      </w:tr>
      <w:tr w:rsidR="006436F1" w:rsidRPr="00211ED8" w14:paraId="5BBAE0B1" w14:textId="77777777" w:rsidTr="00A66983">
        <w:tc>
          <w:tcPr>
            <w:tcW w:w="5000" w:type="pct"/>
            <w:tcBorders>
              <w:bottom w:val="single" w:sz="4" w:space="0" w:color="auto"/>
            </w:tcBorders>
            <w:shd w:val="clear" w:color="auto" w:fill="FFFFFF" w:themeFill="background1"/>
          </w:tcPr>
          <w:p w14:paraId="1272DDFD" w14:textId="7F3732F9" w:rsidR="006436F1" w:rsidRPr="00211ED8" w:rsidRDefault="006436F1" w:rsidP="000146B7">
            <w:pPr>
              <w:spacing w:after="0"/>
              <w:ind w:firstLine="697"/>
              <w:jc w:val="both"/>
              <w:rPr>
                <w:rFonts w:cs="Times New Roman"/>
                <w:szCs w:val="28"/>
              </w:rPr>
            </w:pPr>
            <w:r w:rsidRPr="00211ED8">
              <w:rPr>
                <w:rFonts w:cs="Times New Roman"/>
                <w:szCs w:val="28"/>
              </w:rPr>
              <w:t>Nu este aplicabil</w:t>
            </w:r>
            <w:r w:rsidR="000E43A2" w:rsidRPr="00211ED8">
              <w:rPr>
                <w:rFonts w:cs="Times New Roman"/>
                <w:szCs w:val="28"/>
              </w:rPr>
              <w:t>.</w:t>
            </w:r>
          </w:p>
        </w:tc>
      </w:tr>
      <w:tr w:rsidR="006436F1" w:rsidRPr="00211ED8" w14:paraId="71129035" w14:textId="77777777" w:rsidTr="00A66983">
        <w:tc>
          <w:tcPr>
            <w:tcW w:w="5000" w:type="pct"/>
            <w:tcBorders>
              <w:bottom w:val="single" w:sz="4" w:space="0" w:color="auto"/>
            </w:tcBorders>
            <w:shd w:val="clear" w:color="auto" w:fill="BFBFBF" w:themeFill="background1" w:themeFillShade="BF"/>
          </w:tcPr>
          <w:p w14:paraId="2B4AD678"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4. Analiza impactului de reglementare</w:t>
            </w:r>
          </w:p>
        </w:tc>
      </w:tr>
      <w:tr w:rsidR="006436F1" w:rsidRPr="00211ED8" w14:paraId="794078CD" w14:textId="77777777" w:rsidTr="00A66983">
        <w:tc>
          <w:tcPr>
            <w:tcW w:w="5000" w:type="pct"/>
            <w:tcBorders>
              <w:bottom w:val="single" w:sz="4" w:space="0" w:color="auto"/>
            </w:tcBorders>
            <w:shd w:val="clear" w:color="auto" w:fill="F2F2F2" w:themeFill="background1" w:themeFillShade="F2"/>
          </w:tcPr>
          <w:p w14:paraId="7033408E"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4.1. Impactul asupra sectorului public</w:t>
            </w:r>
          </w:p>
        </w:tc>
      </w:tr>
      <w:tr w:rsidR="006436F1" w:rsidRPr="00211ED8" w14:paraId="4875724A" w14:textId="77777777" w:rsidTr="00A66983">
        <w:tc>
          <w:tcPr>
            <w:tcW w:w="5000" w:type="pct"/>
            <w:tcBorders>
              <w:bottom w:val="single" w:sz="4" w:space="0" w:color="auto"/>
            </w:tcBorders>
            <w:shd w:val="clear" w:color="auto" w:fill="FFFFFF" w:themeFill="background1"/>
          </w:tcPr>
          <w:p w14:paraId="39673BFF" w14:textId="40413CA5" w:rsidR="006436F1" w:rsidRPr="00B41FF7" w:rsidRDefault="00B41FF7" w:rsidP="00B41FF7">
            <w:pPr>
              <w:tabs>
                <w:tab w:val="left" w:pos="602"/>
                <w:tab w:val="left" w:pos="884"/>
                <w:tab w:val="left" w:pos="1196"/>
              </w:tabs>
              <w:spacing w:after="0"/>
              <w:ind w:firstLine="738"/>
              <w:jc w:val="both"/>
              <w:rPr>
                <w:rFonts w:eastAsia="Times New Roman" w:cs="Times New Roman"/>
                <w:szCs w:val="28"/>
                <w:highlight w:val="yellow"/>
                <w:lang w:eastAsia="ru-RU"/>
              </w:rPr>
            </w:pPr>
            <w:r w:rsidRPr="00B41FF7">
              <w:rPr>
                <w:rFonts w:eastAsia="Times New Roman" w:cs="Times New Roman"/>
                <w:szCs w:val="28"/>
                <w:lang w:eastAsia="ru-RU"/>
              </w:rPr>
              <w:t>Aprobarea prevederilor în proiect va oferi temeiul legal necesar pentru</w:t>
            </w:r>
            <w:r>
              <w:rPr>
                <w:rFonts w:eastAsia="Times New Roman" w:cs="Times New Roman"/>
                <w:szCs w:val="28"/>
                <w:lang w:eastAsia="ru-RU"/>
              </w:rPr>
              <w:t xml:space="preserve"> </w:t>
            </w:r>
            <w:r w:rsidRPr="00B41FF7">
              <w:rPr>
                <w:rFonts w:eastAsia="Times New Roman" w:cs="Times New Roman"/>
                <w:szCs w:val="28"/>
                <w:lang w:eastAsia="ru-RU"/>
              </w:rPr>
              <w:t>implementarea schimbului de date între Sistemele vizate, la nivelul Ministerului Afacerilor</w:t>
            </w:r>
            <w:r>
              <w:rPr>
                <w:rFonts w:eastAsia="Times New Roman" w:cs="Times New Roman"/>
                <w:szCs w:val="28"/>
                <w:lang w:eastAsia="ru-RU"/>
              </w:rPr>
              <w:t xml:space="preserve"> </w:t>
            </w:r>
            <w:r w:rsidRPr="00B41FF7">
              <w:rPr>
                <w:rFonts w:eastAsia="Times New Roman" w:cs="Times New Roman"/>
                <w:szCs w:val="28"/>
                <w:lang w:eastAsia="ru-RU"/>
              </w:rPr>
              <w:t>Interne.</w:t>
            </w:r>
          </w:p>
        </w:tc>
      </w:tr>
      <w:tr w:rsidR="006436F1" w:rsidRPr="00211ED8" w14:paraId="26CFE8E8" w14:textId="77777777" w:rsidTr="00A66983">
        <w:tc>
          <w:tcPr>
            <w:tcW w:w="5000" w:type="pct"/>
            <w:shd w:val="clear" w:color="auto" w:fill="F2F2F2" w:themeFill="background1" w:themeFillShade="F2"/>
          </w:tcPr>
          <w:p w14:paraId="5CAE53C1"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4.2 Impactul financiar și argumentarea costurilor estimative</w:t>
            </w:r>
          </w:p>
        </w:tc>
      </w:tr>
      <w:tr w:rsidR="006436F1" w:rsidRPr="00211ED8" w14:paraId="1C37665C" w14:textId="77777777" w:rsidTr="00A66983">
        <w:tc>
          <w:tcPr>
            <w:tcW w:w="5000" w:type="pct"/>
            <w:tcBorders>
              <w:bottom w:val="single" w:sz="4" w:space="0" w:color="auto"/>
            </w:tcBorders>
            <w:shd w:val="clear" w:color="auto" w:fill="FFFFFF" w:themeFill="background1"/>
          </w:tcPr>
          <w:p w14:paraId="1126E54D" w14:textId="586063A8" w:rsidR="006436F1" w:rsidRPr="00211ED8" w:rsidRDefault="00B41FF7" w:rsidP="00DD0E28">
            <w:pPr>
              <w:spacing w:after="0"/>
              <w:ind w:firstLine="697"/>
              <w:jc w:val="both"/>
              <w:rPr>
                <w:rFonts w:cs="Times New Roman"/>
                <w:szCs w:val="28"/>
              </w:rPr>
            </w:pPr>
            <w:r w:rsidRPr="00B41FF7">
              <w:rPr>
                <w:rFonts w:eastAsia="Times New Roman" w:cs="Times New Roman"/>
                <w:szCs w:val="28"/>
                <w:lang w:eastAsia="ru-RU"/>
              </w:rPr>
              <w:t>Implementarea proiectului nu necesită alocarea mijloacelor financiare suplimentare, iar realizarea din punctul de vedere tehnic a schimbului de date menționat este acoperită din contul și în limita alocațiilor aprobate anual în bugetul de stat al Ministerului Afacerilor Interne.</w:t>
            </w:r>
          </w:p>
        </w:tc>
      </w:tr>
      <w:tr w:rsidR="006436F1" w:rsidRPr="00211ED8" w14:paraId="0AFD7FFB" w14:textId="77777777" w:rsidTr="00A66983">
        <w:tc>
          <w:tcPr>
            <w:tcW w:w="5000" w:type="pct"/>
            <w:shd w:val="clear" w:color="auto" w:fill="F2F2F2" w:themeFill="background1" w:themeFillShade="F2"/>
          </w:tcPr>
          <w:p w14:paraId="145E916B"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4.3 Impactul asupra sectorului privat</w:t>
            </w:r>
          </w:p>
        </w:tc>
      </w:tr>
      <w:tr w:rsidR="006436F1" w:rsidRPr="00211ED8" w14:paraId="7B0AE3BB" w14:textId="77777777" w:rsidTr="00A66983">
        <w:tc>
          <w:tcPr>
            <w:tcW w:w="5000" w:type="pct"/>
            <w:tcBorders>
              <w:bottom w:val="single" w:sz="4" w:space="0" w:color="auto"/>
            </w:tcBorders>
            <w:shd w:val="clear" w:color="auto" w:fill="FFFFFF" w:themeFill="background1"/>
          </w:tcPr>
          <w:p w14:paraId="3A2365F3" w14:textId="06085814" w:rsidR="006436F1" w:rsidRPr="00211ED8" w:rsidRDefault="00B41FF7" w:rsidP="00941567">
            <w:pPr>
              <w:tabs>
                <w:tab w:val="left" w:pos="602"/>
                <w:tab w:val="left" w:pos="884"/>
                <w:tab w:val="left" w:pos="1196"/>
              </w:tabs>
              <w:spacing w:after="0"/>
              <w:ind w:firstLine="738"/>
              <w:jc w:val="both"/>
              <w:rPr>
                <w:rFonts w:eastAsia="Times New Roman" w:cs="Times New Roman"/>
                <w:szCs w:val="28"/>
                <w:lang w:eastAsia="ru-RU"/>
              </w:rPr>
            </w:pPr>
            <w:r w:rsidRPr="00211ED8">
              <w:rPr>
                <w:rFonts w:cs="Times New Roman"/>
                <w:szCs w:val="28"/>
              </w:rPr>
              <w:t>Nu este aplicabil.</w:t>
            </w:r>
          </w:p>
        </w:tc>
      </w:tr>
      <w:tr w:rsidR="006436F1" w:rsidRPr="00211ED8" w14:paraId="0FF830F3" w14:textId="77777777" w:rsidTr="00A66983">
        <w:tc>
          <w:tcPr>
            <w:tcW w:w="5000" w:type="pct"/>
            <w:shd w:val="clear" w:color="auto" w:fill="F2F2F2" w:themeFill="background1" w:themeFillShade="F2"/>
          </w:tcPr>
          <w:p w14:paraId="6BCF6F92"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4.4 Impactul social</w:t>
            </w:r>
          </w:p>
        </w:tc>
      </w:tr>
      <w:tr w:rsidR="006436F1" w:rsidRPr="00211ED8" w14:paraId="631951C7" w14:textId="77777777" w:rsidTr="00A66983">
        <w:tc>
          <w:tcPr>
            <w:tcW w:w="5000" w:type="pct"/>
            <w:tcBorders>
              <w:bottom w:val="single" w:sz="4" w:space="0" w:color="auto"/>
            </w:tcBorders>
            <w:shd w:val="clear" w:color="auto" w:fill="FFFFFF" w:themeFill="background1"/>
          </w:tcPr>
          <w:p w14:paraId="5A72043C" w14:textId="53C23631" w:rsidR="006436F1" w:rsidRPr="00211ED8" w:rsidRDefault="00B41FF7" w:rsidP="000146B7">
            <w:pPr>
              <w:spacing w:after="0"/>
              <w:ind w:firstLine="697"/>
              <w:jc w:val="both"/>
              <w:rPr>
                <w:rFonts w:cs="Times New Roman"/>
                <w:szCs w:val="28"/>
              </w:rPr>
            </w:pPr>
            <w:r w:rsidRPr="00211ED8">
              <w:rPr>
                <w:rFonts w:cs="Times New Roman"/>
                <w:szCs w:val="28"/>
              </w:rPr>
              <w:t>Nu este aplicabil.</w:t>
            </w:r>
          </w:p>
        </w:tc>
      </w:tr>
      <w:tr w:rsidR="006436F1" w:rsidRPr="00211ED8" w14:paraId="41B331E4" w14:textId="77777777" w:rsidTr="00A66983">
        <w:tc>
          <w:tcPr>
            <w:tcW w:w="5000" w:type="pct"/>
            <w:shd w:val="clear" w:color="auto" w:fill="F2F2F2" w:themeFill="background1" w:themeFillShade="F2"/>
          </w:tcPr>
          <w:p w14:paraId="5D633348"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4.4.1 Impactul asupra datelor cu caracter personal</w:t>
            </w:r>
          </w:p>
        </w:tc>
      </w:tr>
      <w:tr w:rsidR="006436F1" w:rsidRPr="00211ED8" w14:paraId="62CEA007" w14:textId="77777777" w:rsidTr="00A66983">
        <w:tc>
          <w:tcPr>
            <w:tcW w:w="5000" w:type="pct"/>
            <w:tcBorders>
              <w:bottom w:val="single" w:sz="4" w:space="0" w:color="auto"/>
            </w:tcBorders>
            <w:shd w:val="clear" w:color="auto" w:fill="FFFFFF" w:themeFill="background1"/>
          </w:tcPr>
          <w:p w14:paraId="128DBE6A" w14:textId="61D08497" w:rsidR="006436F1" w:rsidRPr="00211ED8" w:rsidRDefault="00B41FF7" w:rsidP="00FE1012">
            <w:pPr>
              <w:tabs>
                <w:tab w:val="left" w:pos="629"/>
                <w:tab w:val="left" w:pos="884"/>
                <w:tab w:val="left" w:pos="1196"/>
              </w:tabs>
              <w:spacing w:after="0"/>
              <w:ind w:firstLine="738"/>
              <w:jc w:val="both"/>
              <w:rPr>
                <w:rFonts w:eastAsia="Times New Roman" w:cs="Times New Roman"/>
                <w:szCs w:val="28"/>
                <w:highlight w:val="red"/>
                <w:lang w:eastAsia="ru-RU"/>
              </w:rPr>
            </w:pPr>
            <w:r w:rsidRPr="00211ED8">
              <w:rPr>
                <w:rFonts w:cs="Times New Roman"/>
                <w:szCs w:val="28"/>
              </w:rPr>
              <w:t>Nu este aplicabil.</w:t>
            </w:r>
          </w:p>
        </w:tc>
      </w:tr>
      <w:tr w:rsidR="006436F1" w:rsidRPr="00211ED8" w14:paraId="031467D5" w14:textId="77777777" w:rsidTr="00A66983">
        <w:tc>
          <w:tcPr>
            <w:tcW w:w="5000" w:type="pct"/>
            <w:shd w:val="clear" w:color="auto" w:fill="F2F2F2" w:themeFill="background1" w:themeFillShade="F2"/>
          </w:tcPr>
          <w:p w14:paraId="2BDE1D3D"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4.4.2 Impactul asupra echității și egalității de gen</w:t>
            </w:r>
          </w:p>
        </w:tc>
      </w:tr>
      <w:tr w:rsidR="006436F1" w:rsidRPr="00211ED8" w14:paraId="6F31795C" w14:textId="77777777" w:rsidTr="00A66983">
        <w:tc>
          <w:tcPr>
            <w:tcW w:w="5000" w:type="pct"/>
            <w:tcBorders>
              <w:bottom w:val="single" w:sz="4" w:space="0" w:color="auto"/>
            </w:tcBorders>
            <w:shd w:val="clear" w:color="auto" w:fill="FFFFFF" w:themeFill="background1"/>
          </w:tcPr>
          <w:p w14:paraId="40E01279" w14:textId="791E089F" w:rsidR="006436F1" w:rsidRPr="00211ED8" w:rsidRDefault="00B41FF7" w:rsidP="00684C65">
            <w:pPr>
              <w:spacing w:after="0"/>
              <w:ind w:firstLine="697"/>
              <w:jc w:val="both"/>
              <w:rPr>
                <w:rFonts w:cs="Times New Roman"/>
                <w:szCs w:val="28"/>
              </w:rPr>
            </w:pPr>
            <w:r w:rsidRPr="00211ED8">
              <w:rPr>
                <w:rFonts w:cs="Times New Roman"/>
                <w:szCs w:val="28"/>
              </w:rPr>
              <w:t>Nu este aplicabil.</w:t>
            </w:r>
          </w:p>
        </w:tc>
      </w:tr>
      <w:tr w:rsidR="006436F1" w:rsidRPr="00211ED8" w14:paraId="047C0492" w14:textId="77777777" w:rsidTr="00A66983">
        <w:tc>
          <w:tcPr>
            <w:tcW w:w="5000" w:type="pct"/>
            <w:shd w:val="clear" w:color="auto" w:fill="F2F2F2" w:themeFill="background1" w:themeFillShade="F2"/>
          </w:tcPr>
          <w:p w14:paraId="5809A140"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4.5 Impactul asupra mediului</w:t>
            </w:r>
          </w:p>
        </w:tc>
      </w:tr>
      <w:tr w:rsidR="006436F1" w:rsidRPr="00211ED8" w14:paraId="2A968F22" w14:textId="77777777" w:rsidTr="00A66983">
        <w:tc>
          <w:tcPr>
            <w:tcW w:w="5000" w:type="pct"/>
            <w:tcBorders>
              <w:bottom w:val="single" w:sz="4" w:space="0" w:color="auto"/>
            </w:tcBorders>
            <w:shd w:val="clear" w:color="auto" w:fill="FFFFFF" w:themeFill="background1"/>
          </w:tcPr>
          <w:p w14:paraId="24C8133B" w14:textId="026A6570" w:rsidR="006436F1" w:rsidRPr="00211ED8" w:rsidRDefault="00B41FF7" w:rsidP="00684C65">
            <w:pPr>
              <w:spacing w:after="0"/>
              <w:ind w:firstLine="697"/>
              <w:jc w:val="both"/>
              <w:rPr>
                <w:rFonts w:cs="Times New Roman"/>
                <w:szCs w:val="28"/>
              </w:rPr>
            </w:pPr>
            <w:r>
              <w:rPr>
                <w:rFonts w:eastAsia="Times New Roman" w:cs="Times New Roman"/>
                <w:szCs w:val="28"/>
                <w:lang w:eastAsia="ru-RU"/>
              </w:rPr>
              <w:t>Nu este aplicabil</w:t>
            </w:r>
            <w:r w:rsidR="00684C65" w:rsidRPr="00211ED8">
              <w:rPr>
                <w:rFonts w:eastAsia="Times New Roman" w:cs="Times New Roman"/>
                <w:szCs w:val="28"/>
                <w:lang w:eastAsia="ru-RU"/>
              </w:rPr>
              <w:t>.</w:t>
            </w:r>
          </w:p>
        </w:tc>
      </w:tr>
      <w:tr w:rsidR="006436F1" w:rsidRPr="00211ED8" w14:paraId="6129532C" w14:textId="77777777" w:rsidTr="00A66983">
        <w:tc>
          <w:tcPr>
            <w:tcW w:w="5000" w:type="pct"/>
            <w:shd w:val="clear" w:color="auto" w:fill="F2F2F2" w:themeFill="background1" w:themeFillShade="F2"/>
          </w:tcPr>
          <w:p w14:paraId="6CFDD6E0"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4.6 Alte impacturi și informații relevante</w:t>
            </w:r>
          </w:p>
        </w:tc>
      </w:tr>
      <w:tr w:rsidR="006436F1" w:rsidRPr="00211ED8" w14:paraId="0FA706B4" w14:textId="77777777" w:rsidTr="00A66983">
        <w:tc>
          <w:tcPr>
            <w:tcW w:w="5000" w:type="pct"/>
            <w:tcBorders>
              <w:bottom w:val="single" w:sz="4" w:space="0" w:color="auto"/>
            </w:tcBorders>
            <w:shd w:val="clear" w:color="auto" w:fill="FFFFFF" w:themeFill="background1"/>
          </w:tcPr>
          <w:p w14:paraId="0968AC4F" w14:textId="77777777" w:rsidR="006436F1" w:rsidRPr="00211ED8" w:rsidRDefault="006436F1" w:rsidP="000146B7">
            <w:pPr>
              <w:spacing w:after="0"/>
              <w:ind w:firstLine="697"/>
              <w:jc w:val="both"/>
              <w:rPr>
                <w:rFonts w:cs="Times New Roman"/>
                <w:szCs w:val="28"/>
              </w:rPr>
            </w:pPr>
            <w:r w:rsidRPr="00211ED8">
              <w:rPr>
                <w:rFonts w:cs="Times New Roman"/>
                <w:szCs w:val="28"/>
              </w:rPr>
              <w:t>Nu este aplicabil.</w:t>
            </w:r>
          </w:p>
        </w:tc>
      </w:tr>
      <w:tr w:rsidR="006436F1" w:rsidRPr="00211ED8" w14:paraId="70078470" w14:textId="77777777" w:rsidTr="00A66983">
        <w:tc>
          <w:tcPr>
            <w:tcW w:w="5000" w:type="pct"/>
            <w:tcBorders>
              <w:bottom w:val="single" w:sz="4" w:space="0" w:color="auto"/>
            </w:tcBorders>
            <w:shd w:val="clear" w:color="auto" w:fill="BFBFBF" w:themeFill="background1" w:themeFillShade="BF"/>
          </w:tcPr>
          <w:p w14:paraId="15B8DD1E"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5. Compatibilitatea proiectului actului normativ cu legislația UE</w:t>
            </w:r>
          </w:p>
        </w:tc>
      </w:tr>
      <w:tr w:rsidR="006436F1" w:rsidRPr="00211ED8" w14:paraId="5DB25818" w14:textId="77777777" w:rsidTr="00A66983">
        <w:tc>
          <w:tcPr>
            <w:tcW w:w="5000" w:type="pct"/>
            <w:tcBorders>
              <w:bottom w:val="single" w:sz="4" w:space="0" w:color="auto"/>
            </w:tcBorders>
            <w:shd w:val="clear" w:color="auto" w:fill="F2F2F2" w:themeFill="background1" w:themeFillShade="F2"/>
          </w:tcPr>
          <w:p w14:paraId="6B70B3E5"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5.1. Măsuri normative necesare pentru transpunerea actelor juridice ale UE în legislația națională</w:t>
            </w:r>
          </w:p>
        </w:tc>
      </w:tr>
      <w:tr w:rsidR="006436F1" w:rsidRPr="00211ED8" w14:paraId="4562BD7C" w14:textId="77777777" w:rsidTr="00A66983">
        <w:tc>
          <w:tcPr>
            <w:tcW w:w="5000" w:type="pct"/>
            <w:shd w:val="clear" w:color="auto" w:fill="FFFFFF" w:themeFill="background1"/>
          </w:tcPr>
          <w:p w14:paraId="1DEA6CF5" w14:textId="2C8A3619" w:rsidR="006436F1" w:rsidRPr="00211ED8" w:rsidRDefault="00B41FF7" w:rsidP="000146B7">
            <w:pPr>
              <w:spacing w:after="0"/>
              <w:ind w:firstLine="697"/>
              <w:jc w:val="both"/>
              <w:rPr>
                <w:rFonts w:cs="Times New Roman"/>
                <w:szCs w:val="28"/>
              </w:rPr>
            </w:pPr>
            <w:r w:rsidRPr="00B41FF7">
              <w:rPr>
                <w:rFonts w:cs="Times New Roman"/>
                <w:szCs w:val="28"/>
              </w:rPr>
              <w:t>Prezentul proiect nu are drept scop armonizarea legislației naționale cu legislația Uniunii Europene.</w:t>
            </w:r>
          </w:p>
        </w:tc>
      </w:tr>
      <w:tr w:rsidR="006436F1" w:rsidRPr="00211ED8" w14:paraId="00680EE3" w14:textId="77777777" w:rsidTr="00A66983">
        <w:tc>
          <w:tcPr>
            <w:tcW w:w="5000" w:type="pct"/>
            <w:tcBorders>
              <w:bottom w:val="single" w:sz="4" w:space="0" w:color="auto"/>
            </w:tcBorders>
            <w:shd w:val="clear" w:color="auto" w:fill="F2F2F2" w:themeFill="background1" w:themeFillShade="F2"/>
          </w:tcPr>
          <w:p w14:paraId="780C06A6"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5.2. Măsuri normative care urmăresc crearea cadrului juridic intern necesar pentru implementarea legislației UE</w:t>
            </w:r>
          </w:p>
        </w:tc>
      </w:tr>
      <w:tr w:rsidR="006436F1" w:rsidRPr="00211ED8" w14:paraId="7E9BFC65" w14:textId="77777777" w:rsidTr="00A66983">
        <w:tc>
          <w:tcPr>
            <w:tcW w:w="5000" w:type="pct"/>
            <w:tcBorders>
              <w:bottom w:val="single" w:sz="4" w:space="0" w:color="auto"/>
            </w:tcBorders>
            <w:shd w:val="clear" w:color="auto" w:fill="FFFFFF" w:themeFill="background1"/>
          </w:tcPr>
          <w:p w14:paraId="330FC241" w14:textId="26DE249F" w:rsidR="006436F1" w:rsidRPr="00211ED8" w:rsidRDefault="00B41FF7" w:rsidP="000146B7">
            <w:pPr>
              <w:spacing w:after="0"/>
              <w:ind w:firstLine="697"/>
              <w:jc w:val="both"/>
              <w:rPr>
                <w:rFonts w:cs="Times New Roman"/>
                <w:szCs w:val="28"/>
              </w:rPr>
            </w:pPr>
            <w:r w:rsidRPr="00B41FF7">
              <w:rPr>
                <w:rFonts w:cs="Times New Roman"/>
                <w:szCs w:val="28"/>
              </w:rPr>
              <w:t>Prezentul proiect nu are drept scop armonizarea legislației naționale cu legislația Uniunii Europene.</w:t>
            </w:r>
          </w:p>
        </w:tc>
      </w:tr>
      <w:tr w:rsidR="006436F1" w:rsidRPr="00211ED8" w14:paraId="37AA90EC" w14:textId="77777777" w:rsidTr="00A66983">
        <w:tc>
          <w:tcPr>
            <w:tcW w:w="5000" w:type="pct"/>
            <w:shd w:val="clear" w:color="auto" w:fill="BFBFBF" w:themeFill="background1" w:themeFillShade="BF"/>
          </w:tcPr>
          <w:p w14:paraId="412EB38A"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6. Avizarea și consultarea publică a proiectului actului normativ</w:t>
            </w:r>
          </w:p>
        </w:tc>
      </w:tr>
      <w:tr w:rsidR="006436F1" w:rsidRPr="00211ED8" w14:paraId="120F1694" w14:textId="77777777" w:rsidTr="00A66983">
        <w:tc>
          <w:tcPr>
            <w:tcW w:w="5000" w:type="pct"/>
            <w:tcBorders>
              <w:bottom w:val="single" w:sz="4" w:space="0" w:color="auto"/>
            </w:tcBorders>
          </w:tcPr>
          <w:p w14:paraId="12042209" w14:textId="6B64D944" w:rsidR="009F6C9E" w:rsidRPr="00B41FF7" w:rsidRDefault="00974905" w:rsidP="00974905">
            <w:pPr>
              <w:spacing w:after="0"/>
              <w:ind w:firstLine="601"/>
              <w:jc w:val="both"/>
              <w:rPr>
                <w:rFonts w:cs="Times New Roman"/>
                <w:color w:val="000000" w:themeColor="text1"/>
                <w:szCs w:val="28"/>
                <w:highlight w:val="yellow"/>
              </w:rPr>
            </w:pPr>
            <w:r w:rsidRPr="00022189">
              <w:rPr>
                <w:rFonts w:cs="Times New Roman"/>
                <w:color w:val="000000" w:themeColor="text1"/>
                <w:szCs w:val="28"/>
              </w:rPr>
              <w:lastRenderedPageBreak/>
              <w:t xml:space="preserve">În vederea respectării prevederilor Legii nr. 100/2017 cu privire la actele normative și Legii nr. 239/2008 privind transparența în procesul decizional, Ministerul Afacerilor Interne a publicat pe pagina web: </w:t>
            </w:r>
            <w:hyperlink r:id="rId5" w:history="1">
              <w:r w:rsidRPr="00323A32">
                <w:rPr>
                  <w:rStyle w:val="Hyperlink"/>
                  <w:rFonts w:cs="Times New Roman"/>
                  <w:szCs w:val="28"/>
                </w:rPr>
                <w:t>www.particip.gov.md</w:t>
              </w:r>
            </w:hyperlink>
            <w:r w:rsidRPr="00022189">
              <w:rPr>
                <w:rFonts w:cs="Times New Roman"/>
                <w:color w:val="000000" w:themeColor="text1"/>
                <w:szCs w:val="28"/>
              </w:rPr>
              <w:t>, anunțul privind inițierea elaborării proiectului de act normativ.</w:t>
            </w:r>
          </w:p>
          <w:p w14:paraId="052FB3BD" w14:textId="23F8E4D0" w:rsidR="00984B82" w:rsidRPr="00B41FF7" w:rsidRDefault="009F6C9E" w:rsidP="0036567E">
            <w:pPr>
              <w:spacing w:after="0"/>
              <w:ind w:firstLine="601"/>
              <w:jc w:val="both"/>
              <w:rPr>
                <w:rFonts w:cs="Times New Roman"/>
                <w:color w:val="000000" w:themeColor="text1"/>
                <w:szCs w:val="28"/>
                <w:highlight w:val="yellow"/>
              </w:rPr>
            </w:pPr>
            <w:r w:rsidRPr="00B41FF7">
              <w:rPr>
                <w:rFonts w:cs="Times New Roman"/>
                <w:color w:val="000000" w:themeColor="text1"/>
                <w:szCs w:val="28"/>
              </w:rPr>
              <w:t>Anunțul privind inițierea elaborării proiectului a fost plasat pe site-ul web Particip.gov.md la adresa:</w:t>
            </w:r>
            <w:r w:rsidR="0053763C" w:rsidRPr="00B41FF7">
              <w:rPr>
                <w:rFonts w:cs="Times New Roman"/>
                <w:color w:val="000000" w:themeColor="text1"/>
                <w:szCs w:val="28"/>
              </w:rPr>
              <w:t xml:space="preserve"> </w:t>
            </w:r>
            <w:hyperlink r:id="rId6" w:history="1">
              <w:r w:rsidR="00B41FF7" w:rsidRPr="00B17AFA">
                <w:rPr>
                  <w:rStyle w:val="Hyperlink"/>
                  <w:rFonts w:cs="Times New Roman"/>
                  <w:szCs w:val="28"/>
                </w:rPr>
                <w:t>https://particip.gov.md/ro/document/stages/proiectul-hotararii-guvernului-cu-privire-la-modificarea-hotararii-guvernului-nr-6332007-cu-privire-la-aprobarea-conceptiei-sistemului-informational-automatizat-registrul-informatiei-criminalistice-si-criminologice/14787</w:t>
              </w:r>
            </w:hyperlink>
            <w:r w:rsidR="00B41FF7">
              <w:rPr>
                <w:rFonts w:cs="Times New Roman"/>
                <w:szCs w:val="28"/>
              </w:rPr>
              <w:t>.</w:t>
            </w:r>
          </w:p>
        </w:tc>
      </w:tr>
      <w:tr w:rsidR="006436F1" w:rsidRPr="00211ED8" w14:paraId="631DD293" w14:textId="77777777" w:rsidTr="00A66983">
        <w:tc>
          <w:tcPr>
            <w:tcW w:w="5000" w:type="pct"/>
            <w:shd w:val="clear" w:color="auto" w:fill="BFBFBF" w:themeFill="background1" w:themeFillShade="BF"/>
          </w:tcPr>
          <w:p w14:paraId="67E1F917" w14:textId="77777777" w:rsidR="006436F1" w:rsidRPr="00211ED8" w:rsidRDefault="006436F1" w:rsidP="000146B7">
            <w:pPr>
              <w:spacing w:after="0"/>
              <w:ind w:firstLine="697"/>
              <w:jc w:val="both"/>
              <w:rPr>
                <w:rFonts w:cs="Times New Roman"/>
                <w:b/>
                <w:bCs/>
                <w:szCs w:val="28"/>
              </w:rPr>
            </w:pPr>
            <w:r w:rsidRPr="00211ED8">
              <w:rPr>
                <w:rFonts w:cs="Times New Roman"/>
                <w:b/>
                <w:bCs/>
                <w:szCs w:val="28"/>
              </w:rPr>
              <w:t>7. Concluziile expertizelor</w:t>
            </w:r>
          </w:p>
        </w:tc>
      </w:tr>
      <w:tr w:rsidR="002977DA" w:rsidRPr="00211ED8" w14:paraId="2DF11DC4" w14:textId="77777777" w:rsidTr="00A66983">
        <w:tc>
          <w:tcPr>
            <w:tcW w:w="5000" w:type="pct"/>
            <w:tcBorders>
              <w:bottom w:val="single" w:sz="4" w:space="0" w:color="auto"/>
            </w:tcBorders>
          </w:tcPr>
          <w:p w14:paraId="0A244ED6" w14:textId="59B10E9B" w:rsidR="002977DA" w:rsidRPr="00211ED8" w:rsidRDefault="0036567E" w:rsidP="004D03C0">
            <w:pPr>
              <w:spacing w:after="0"/>
              <w:ind w:firstLine="747"/>
              <w:jc w:val="both"/>
              <w:rPr>
                <w:rFonts w:cs="Times New Roman"/>
                <w:szCs w:val="28"/>
              </w:rPr>
            </w:pPr>
            <w:r w:rsidRPr="00211ED8">
              <w:rPr>
                <w:rFonts w:cs="Times New Roman"/>
                <w:szCs w:val="28"/>
              </w:rPr>
              <w:t>Se va completa ulterior.</w:t>
            </w:r>
          </w:p>
        </w:tc>
      </w:tr>
      <w:tr w:rsidR="002977DA" w:rsidRPr="00211ED8" w14:paraId="755D541F" w14:textId="77777777" w:rsidTr="00A66983">
        <w:tc>
          <w:tcPr>
            <w:tcW w:w="5000" w:type="pct"/>
            <w:shd w:val="clear" w:color="auto" w:fill="BFBFBF" w:themeFill="background1" w:themeFillShade="BF"/>
          </w:tcPr>
          <w:p w14:paraId="160FC09F" w14:textId="77777777" w:rsidR="002977DA" w:rsidRPr="00211ED8" w:rsidRDefault="002977DA" w:rsidP="002977DA">
            <w:pPr>
              <w:spacing w:after="0"/>
              <w:ind w:firstLine="738"/>
              <w:jc w:val="both"/>
              <w:rPr>
                <w:rFonts w:cs="Times New Roman"/>
                <w:b/>
                <w:bCs/>
                <w:szCs w:val="28"/>
              </w:rPr>
            </w:pPr>
            <w:r w:rsidRPr="00211ED8">
              <w:rPr>
                <w:rFonts w:cs="Times New Roman"/>
                <w:b/>
                <w:bCs/>
                <w:szCs w:val="28"/>
              </w:rPr>
              <w:t>8. Modul de încorporare a actului în cadrul normativ existent</w:t>
            </w:r>
          </w:p>
        </w:tc>
      </w:tr>
      <w:tr w:rsidR="002977DA" w:rsidRPr="00211ED8" w14:paraId="487BAA1D" w14:textId="77777777" w:rsidTr="00A66983">
        <w:tc>
          <w:tcPr>
            <w:tcW w:w="5000" w:type="pct"/>
            <w:tcBorders>
              <w:bottom w:val="single" w:sz="4" w:space="0" w:color="auto"/>
            </w:tcBorders>
          </w:tcPr>
          <w:p w14:paraId="18712A97" w14:textId="78C3D898" w:rsidR="002977DA" w:rsidRPr="00211ED8" w:rsidRDefault="004D03C0" w:rsidP="002977DA">
            <w:pPr>
              <w:spacing w:after="0"/>
              <w:ind w:firstLine="697"/>
              <w:jc w:val="both"/>
              <w:rPr>
                <w:rFonts w:cs="Times New Roman"/>
                <w:szCs w:val="28"/>
              </w:rPr>
            </w:pPr>
            <w:r w:rsidRPr="004D03C0">
              <w:rPr>
                <w:rFonts w:eastAsia="Calibri" w:cs="Times New Roman"/>
                <w:szCs w:val="28"/>
              </w:rPr>
              <w:t>Prezentul proiect de hotărâre de Guvern nu va genera necesitatea modificării altor acte normative în vigoare și se încadrează perfect în cadrul normativ actual.</w:t>
            </w:r>
          </w:p>
        </w:tc>
      </w:tr>
      <w:tr w:rsidR="002977DA" w:rsidRPr="00211ED8" w14:paraId="07E289C0" w14:textId="77777777" w:rsidTr="00A66983">
        <w:tc>
          <w:tcPr>
            <w:tcW w:w="5000" w:type="pct"/>
            <w:shd w:val="clear" w:color="auto" w:fill="BFBFBF" w:themeFill="background1" w:themeFillShade="BF"/>
          </w:tcPr>
          <w:p w14:paraId="4B39EA69" w14:textId="77777777" w:rsidR="002977DA" w:rsidRPr="00211ED8" w:rsidRDefault="002977DA" w:rsidP="002977DA">
            <w:pPr>
              <w:spacing w:after="0"/>
              <w:ind w:firstLine="697"/>
              <w:jc w:val="both"/>
              <w:rPr>
                <w:rFonts w:cs="Times New Roman"/>
                <w:b/>
                <w:bCs/>
                <w:szCs w:val="28"/>
              </w:rPr>
            </w:pPr>
            <w:r w:rsidRPr="00211ED8">
              <w:rPr>
                <w:rFonts w:cs="Times New Roman"/>
                <w:b/>
                <w:bCs/>
                <w:szCs w:val="28"/>
              </w:rPr>
              <w:t>9. Măsurile necesare pentru implementarea prevederilor proiectului actului normativ</w:t>
            </w:r>
          </w:p>
        </w:tc>
      </w:tr>
      <w:tr w:rsidR="002977DA" w:rsidRPr="00211ED8" w14:paraId="26678D00" w14:textId="77777777" w:rsidTr="00A66983">
        <w:tc>
          <w:tcPr>
            <w:tcW w:w="5000" w:type="pct"/>
          </w:tcPr>
          <w:p w14:paraId="49B45682" w14:textId="52043F9B" w:rsidR="002977DA" w:rsidRPr="00211ED8" w:rsidRDefault="002977DA" w:rsidP="004D03C0">
            <w:pPr>
              <w:pBdr>
                <w:top w:val="none" w:sz="4" w:space="0" w:color="000000"/>
                <w:left w:val="none" w:sz="4" w:space="0" w:color="000000"/>
                <w:bottom w:val="none" w:sz="4" w:space="0" w:color="000000"/>
                <w:right w:val="none" w:sz="4" w:space="0" w:color="000000"/>
              </w:pBdr>
              <w:tabs>
                <w:tab w:val="left" w:pos="884"/>
                <w:tab w:val="left" w:pos="1196"/>
              </w:tabs>
              <w:spacing w:after="0"/>
              <w:ind w:firstLine="747"/>
              <w:jc w:val="both"/>
              <w:rPr>
                <w:rFonts w:cs="Times New Roman"/>
                <w:szCs w:val="28"/>
              </w:rPr>
            </w:pPr>
            <w:r w:rsidRPr="00211ED8">
              <w:rPr>
                <w:rFonts w:eastAsia="Times New Roman" w:cs="Times New Roman"/>
                <w:szCs w:val="28"/>
              </w:rPr>
              <w:t xml:space="preserve">Implementarea </w:t>
            </w:r>
            <w:r w:rsidR="00A66983" w:rsidRPr="00211ED8">
              <w:rPr>
                <w:rFonts w:eastAsia="Times New Roman" w:cs="Times New Roman"/>
                <w:szCs w:val="28"/>
              </w:rPr>
              <w:t xml:space="preserve">noilor prevederi va fi realizată de către </w:t>
            </w:r>
            <w:r w:rsidR="00B17D48" w:rsidRPr="00211ED8">
              <w:rPr>
                <w:rFonts w:eastAsia="Times New Roman" w:cs="Times New Roman"/>
                <w:szCs w:val="28"/>
              </w:rPr>
              <w:t>Ministerul Afacerilor Interne</w:t>
            </w:r>
            <w:r w:rsidRPr="00211ED8">
              <w:rPr>
                <w:rFonts w:eastAsia="Times New Roman" w:cs="Times New Roman"/>
                <w:szCs w:val="28"/>
              </w:rPr>
              <w:t xml:space="preserve"> corespunzător domeniului de competență.</w:t>
            </w:r>
          </w:p>
        </w:tc>
      </w:tr>
    </w:tbl>
    <w:p w14:paraId="78F60281" w14:textId="77777777" w:rsidR="006436F1" w:rsidRDefault="006436F1" w:rsidP="006436F1">
      <w:pPr>
        <w:tabs>
          <w:tab w:val="left" w:pos="6699"/>
        </w:tabs>
        <w:spacing w:after="0"/>
        <w:ind w:right="189"/>
        <w:jc w:val="both"/>
        <w:rPr>
          <w:b/>
          <w:bCs/>
        </w:rPr>
      </w:pPr>
    </w:p>
    <w:p w14:paraId="7B2F198E" w14:textId="77777777" w:rsidR="00974905" w:rsidRDefault="00974905" w:rsidP="006436F1">
      <w:pPr>
        <w:tabs>
          <w:tab w:val="left" w:pos="6699"/>
        </w:tabs>
        <w:spacing w:after="0"/>
        <w:ind w:right="189"/>
        <w:jc w:val="both"/>
        <w:rPr>
          <w:b/>
          <w:bCs/>
        </w:rPr>
      </w:pPr>
    </w:p>
    <w:p w14:paraId="2F56BD33" w14:textId="77777777" w:rsidR="00974905" w:rsidRPr="00FE1012" w:rsidRDefault="00974905" w:rsidP="006436F1">
      <w:pPr>
        <w:tabs>
          <w:tab w:val="left" w:pos="6699"/>
        </w:tabs>
        <w:spacing w:after="0"/>
        <w:ind w:right="189"/>
        <w:jc w:val="both"/>
        <w:rPr>
          <w:b/>
          <w:bCs/>
        </w:rPr>
      </w:pPr>
    </w:p>
    <w:p w14:paraId="6FC66C8C" w14:textId="12606779" w:rsidR="00DD2E53" w:rsidRPr="004D03C0" w:rsidRDefault="0071440E" w:rsidP="00974905">
      <w:pPr>
        <w:jc w:val="both"/>
        <w:rPr>
          <w:rFonts w:cs="Times New Roman"/>
          <w:b/>
          <w:szCs w:val="28"/>
        </w:rPr>
      </w:pPr>
      <w:r w:rsidRPr="00155EAA">
        <w:rPr>
          <w:rFonts w:cs="Times New Roman"/>
          <w:b/>
          <w:szCs w:val="28"/>
        </w:rPr>
        <w:t xml:space="preserve">Secretar </w:t>
      </w:r>
      <w:r w:rsidR="00974905">
        <w:rPr>
          <w:rFonts w:cs="Times New Roman"/>
          <w:b/>
          <w:szCs w:val="28"/>
        </w:rPr>
        <w:t>de</w:t>
      </w:r>
      <w:r w:rsidRPr="00155EAA">
        <w:rPr>
          <w:rFonts w:cs="Times New Roman"/>
          <w:b/>
          <w:szCs w:val="28"/>
        </w:rPr>
        <w:t xml:space="preserve"> </w:t>
      </w:r>
      <w:r w:rsidR="00974905">
        <w:rPr>
          <w:rFonts w:cs="Times New Roman"/>
          <w:b/>
          <w:szCs w:val="28"/>
        </w:rPr>
        <w:t>stat</w:t>
      </w:r>
      <w:r w:rsidR="00974905">
        <w:rPr>
          <w:rFonts w:cs="Times New Roman"/>
          <w:b/>
          <w:szCs w:val="28"/>
        </w:rPr>
        <w:tab/>
      </w:r>
      <w:r w:rsidR="00974905">
        <w:rPr>
          <w:rFonts w:cs="Times New Roman"/>
          <w:b/>
          <w:szCs w:val="28"/>
        </w:rPr>
        <w:tab/>
      </w:r>
      <w:r w:rsidR="00974905">
        <w:rPr>
          <w:rFonts w:cs="Times New Roman"/>
          <w:b/>
          <w:szCs w:val="28"/>
        </w:rPr>
        <w:tab/>
      </w:r>
      <w:r w:rsidR="00974905">
        <w:rPr>
          <w:rFonts w:cs="Times New Roman"/>
          <w:b/>
          <w:szCs w:val="28"/>
        </w:rPr>
        <w:tab/>
      </w:r>
      <w:r w:rsidR="00974905">
        <w:rPr>
          <w:rFonts w:cs="Times New Roman"/>
          <w:b/>
          <w:szCs w:val="28"/>
        </w:rPr>
        <w:tab/>
      </w:r>
      <w:r w:rsidR="00974905">
        <w:rPr>
          <w:rFonts w:cs="Times New Roman"/>
          <w:b/>
          <w:szCs w:val="28"/>
        </w:rPr>
        <w:tab/>
      </w:r>
      <w:r w:rsidR="00974905">
        <w:rPr>
          <w:rFonts w:cs="Times New Roman"/>
          <w:b/>
          <w:szCs w:val="28"/>
        </w:rPr>
        <w:tab/>
      </w:r>
      <w:r w:rsidR="00974905">
        <w:rPr>
          <w:rFonts w:cs="Times New Roman"/>
          <w:b/>
          <w:szCs w:val="28"/>
        </w:rPr>
        <w:tab/>
        <w:t>Alexandru BEJAN</w:t>
      </w:r>
    </w:p>
    <w:sectPr w:rsidR="00DD2E53" w:rsidRPr="004D03C0" w:rsidSect="00A66983">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372F1"/>
    <w:multiLevelType w:val="hybridMultilevel"/>
    <w:tmpl w:val="97B44C6E"/>
    <w:lvl w:ilvl="0" w:tplc="2460F3E8">
      <w:numFmt w:val="bullet"/>
      <w:lvlText w:val=""/>
      <w:lvlJc w:val="left"/>
      <w:pPr>
        <w:ind w:left="961" w:hanging="360"/>
      </w:pPr>
      <w:rPr>
        <w:rFonts w:ascii="Symbol" w:eastAsia="Times New Roman" w:hAnsi="Symbol" w:cs="Times New Roman" w:hint="default"/>
      </w:rPr>
    </w:lvl>
    <w:lvl w:ilvl="1" w:tplc="08180003" w:tentative="1">
      <w:start w:val="1"/>
      <w:numFmt w:val="bullet"/>
      <w:lvlText w:val="o"/>
      <w:lvlJc w:val="left"/>
      <w:pPr>
        <w:ind w:left="1681" w:hanging="360"/>
      </w:pPr>
      <w:rPr>
        <w:rFonts w:ascii="Courier New" w:hAnsi="Courier New" w:cs="Courier New" w:hint="default"/>
      </w:rPr>
    </w:lvl>
    <w:lvl w:ilvl="2" w:tplc="08180005" w:tentative="1">
      <w:start w:val="1"/>
      <w:numFmt w:val="bullet"/>
      <w:lvlText w:val=""/>
      <w:lvlJc w:val="left"/>
      <w:pPr>
        <w:ind w:left="2401" w:hanging="360"/>
      </w:pPr>
      <w:rPr>
        <w:rFonts w:ascii="Wingdings" w:hAnsi="Wingdings" w:hint="default"/>
      </w:rPr>
    </w:lvl>
    <w:lvl w:ilvl="3" w:tplc="08180001" w:tentative="1">
      <w:start w:val="1"/>
      <w:numFmt w:val="bullet"/>
      <w:lvlText w:val=""/>
      <w:lvlJc w:val="left"/>
      <w:pPr>
        <w:ind w:left="3121" w:hanging="360"/>
      </w:pPr>
      <w:rPr>
        <w:rFonts w:ascii="Symbol" w:hAnsi="Symbol" w:hint="default"/>
      </w:rPr>
    </w:lvl>
    <w:lvl w:ilvl="4" w:tplc="08180003" w:tentative="1">
      <w:start w:val="1"/>
      <w:numFmt w:val="bullet"/>
      <w:lvlText w:val="o"/>
      <w:lvlJc w:val="left"/>
      <w:pPr>
        <w:ind w:left="3841" w:hanging="360"/>
      </w:pPr>
      <w:rPr>
        <w:rFonts w:ascii="Courier New" w:hAnsi="Courier New" w:cs="Courier New" w:hint="default"/>
      </w:rPr>
    </w:lvl>
    <w:lvl w:ilvl="5" w:tplc="08180005" w:tentative="1">
      <w:start w:val="1"/>
      <w:numFmt w:val="bullet"/>
      <w:lvlText w:val=""/>
      <w:lvlJc w:val="left"/>
      <w:pPr>
        <w:ind w:left="4561" w:hanging="360"/>
      </w:pPr>
      <w:rPr>
        <w:rFonts w:ascii="Wingdings" w:hAnsi="Wingdings" w:hint="default"/>
      </w:rPr>
    </w:lvl>
    <w:lvl w:ilvl="6" w:tplc="08180001" w:tentative="1">
      <w:start w:val="1"/>
      <w:numFmt w:val="bullet"/>
      <w:lvlText w:val=""/>
      <w:lvlJc w:val="left"/>
      <w:pPr>
        <w:ind w:left="5281" w:hanging="360"/>
      </w:pPr>
      <w:rPr>
        <w:rFonts w:ascii="Symbol" w:hAnsi="Symbol" w:hint="default"/>
      </w:rPr>
    </w:lvl>
    <w:lvl w:ilvl="7" w:tplc="08180003" w:tentative="1">
      <w:start w:val="1"/>
      <w:numFmt w:val="bullet"/>
      <w:lvlText w:val="o"/>
      <w:lvlJc w:val="left"/>
      <w:pPr>
        <w:ind w:left="6001" w:hanging="360"/>
      </w:pPr>
      <w:rPr>
        <w:rFonts w:ascii="Courier New" w:hAnsi="Courier New" w:cs="Courier New" w:hint="default"/>
      </w:rPr>
    </w:lvl>
    <w:lvl w:ilvl="8" w:tplc="08180005" w:tentative="1">
      <w:start w:val="1"/>
      <w:numFmt w:val="bullet"/>
      <w:lvlText w:val=""/>
      <w:lvlJc w:val="left"/>
      <w:pPr>
        <w:ind w:left="6721" w:hanging="360"/>
      </w:pPr>
      <w:rPr>
        <w:rFonts w:ascii="Wingdings" w:hAnsi="Wingdings" w:hint="default"/>
      </w:rPr>
    </w:lvl>
  </w:abstractNum>
  <w:abstractNum w:abstractNumId="1" w15:restartNumberingAfterBreak="0">
    <w:nsid w:val="528B6A3D"/>
    <w:multiLevelType w:val="hybridMultilevel"/>
    <w:tmpl w:val="06CAE28E"/>
    <w:lvl w:ilvl="0" w:tplc="7206C8C0">
      <w:start w:val="2"/>
      <w:numFmt w:val="bullet"/>
      <w:lvlText w:val="-"/>
      <w:lvlJc w:val="left"/>
      <w:pPr>
        <w:ind w:left="961" w:hanging="360"/>
      </w:pPr>
      <w:rPr>
        <w:rFonts w:ascii="Times New Roman" w:eastAsia="Times New Roman"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2" w15:restartNumberingAfterBreak="0">
    <w:nsid w:val="6ADC401C"/>
    <w:multiLevelType w:val="multilevel"/>
    <w:tmpl w:val="635C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151736">
    <w:abstractNumId w:val="1"/>
  </w:num>
  <w:num w:numId="2" w16cid:durableId="2034921161">
    <w:abstractNumId w:val="2"/>
  </w:num>
  <w:num w:numId="3" w16cid:durableId="44820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FAA"/>
    <w:rsid w:val="000133D4"/>
    <w:rsid w:val="00013DD5"/>
    <w:rsid w:val="00015059"/>
    <w:rsid w:val="00023B9A"/>
    <w:rsid w:val="00041BAF"/>
    <w:rsid w:val="000633BA"/>
    <w:rsid w:val="00091C51"/>
    <w:rsid w:val="00097E2F"/>
    <w:rsid w:val="000A6A4F"/>
    <w:rsid w:val="000C7A52"/>
    <w:rsid w:val="000D2646"/>
    <w:rsid w:val="000E43A2"/>
    <w:rsid w:val="000E6BD4"/>
    <w:rsid w:val="00101962"/>
    <w:rsid w:val="0012213A"/>
    <w:rsid w:val="00136CB0"/>
    <w:rsid w:val="001A1C03"/>
    <w:rsid w:val="001C0C95"/>
    <w:rsid w:val="001C68DE"/>
    <w:rsid w:val="001D45FD"/>
    <w:rsid w:val="00207746"/>
    <w:rsid w:val="00211ED8"/>
    <w:rsid w:val="0023256C"/>
    <w:rsid w:val="002369CC"/>
    <w:rsid w:val="00254371"/>
    <w:rsid w:val="002830FB"/>
    <w:rsid w:val="002977DA"/>
    <w:rsid w:val="002A0344"/>
    <w:rsid w:val="002A36A3"/>
    <w:rsid w:val="002B4529"/>
    <w:rsid w:val="002B7F41"/>
    <w:rsid w:val="002C4CC3"/>
    <w:rsid w:val="002E1281"/>
    <w:rsid w:val="002F31B7"/>
    <w:rsid w:val="002F6DBF"/>
    <w:rsid w:val="00306575"/>
    <w:rsid w:val="0031075C"/>
    <w:rsid w:val="00310E04"/>
    <w:rsid w:val="00326E3B"/>
    <w:rsid w:val="00332469"/>
    <w:rsid w:val="0036567E"/>
    <w:rsid w:val="003844E8"/>
    <w:rsid w:val="003A0271"/>
    <w:rsid w:val="003A5152"/>
    <w:rsid w:val="003B7E9A"/>
    <w:rsid w:val="003C243D"/>
    <w:rsid w:val="003E0440"/>
    <w:rsid w:val="004514A3"/>
    <w:rsid w:val="00454813"/>
    <w:rsid w:val="0046797E"/>
    <w:rsid w:val="0047147B"/>
    <w:rsid w:val="004A0D55"/>
    <w:rsid w:val="004D03C0"/>
    <w:rsid w:val="004E3610"/>
    <w:rsid w:val="00502461"/>
    <w:rsid w:val="00503A83"/>
    <w:rsid w:val="0053763C"/>
    <w:rsid w:val="00554A44"/>
    <w:rsid w:val="00561EA2"/>
    <w:rsid w:val="00571490"/>
    <w:rsid w:val="005B1DBA"/>
    <w:rsid w:val="005B2EFF"/>
    <w:rsid w:val="005D2C87"/>
    <w:rsid w:val="005E268E"/>
    <w:rsid w:val="005F7001"/>
    <w:rsid w:val="0060655C"/>
    <w:rsid w:val="00615BD1"/>
    <w:rsid w:val="00623BB2"/>
    <w:rsid w:val="006403C9"/>
    <w:rsid w:val="006436F1"/>
    <w:rsid w:val="00651DDB"/>
    <w:rsid w:val="00684C65"/>
    <w:rsid w:val="006A0EFC"/>
    <w:rsid w:val="006A3D4A"/>
    <w:rsid w:val="006C33B6"/>
    <w:rsid w:val="006D2A38"/>
    <w:rsid w:val="006E0874"/>
    <w:rsid w:val="0071440E"/>
    <w:rsid w:val="00717C82"/>
    <w:rsid w:val="007231D7"/>
    <w:rsid w:val="0073549B"/>
    <w:rsid w:val="0076286D"/>
    <w:rsid w:val="007700B1"/>
    <w:rsid w:val="007A0DA4"/>
    <w:rsid w:val="007A2C54"/>
    <w:rsid w:val="007A2FE9"/>
    <w:rsid w:val="007A5AFB"/>
    <w:rsid w:val="007C0C43"/>
    <w:rsid w:val="007C1EBC"/>
    <w:rsid w:val="007E21F8"/>
    <w:rsid w:val="007E231B"/>
    <w:rsid w:val="007E553F"/>
    <w:rsid w:val="00805ECB"/>
    <w:rsid w:val="00827C22"/>
    <w:rsid w:val="00857DDD"/>
    <w:rsid w:val="0086691E"/>
    <w:rsid w:val="00874859"/>
    <w:rsid w:val="00883A04"/>
    <w:rsid w:val="00884E01"/>
    <w:rsid w:val="008D1A4E"/>
    <w:rsid w:val="008E2F20"/>
    <w:rsid w:val="008F1EA6"/>
    <w:rsid w:val="008F493F"/>
    <w:rsid w:val="0090267F"/>
    <w:rsid w:val="00905538"/>
    <w:rsid w:val="00932C5E"/>
    <w:rsid w:val="00941567"/>
    <w:rsid w:val="00945E48"/>
    <w:rsid w:val="00974905"/>
    <w:rsid w:val="00984B82"/>
    <w:rsid w:val="00992613"/>
    <w:rsid w:val="009D2EC1"/>
    <w:rsid w:val="009D322A"/>
    <w:rsid w:val="009F6C9E"/>
    <w:rsid w:val="00A04B52"/>
    <w:rsid w:val="00A20B38"/>
    <w:rsid w:val="00A53346"/>
    <w:rsid w:val="00A66983"/>
    <w:rsid w:val="00A765E4"/>
    <w:rsid w:val="00AA6D22"/>
    <w:rsid w:val="00AB0897"/>
    <w:rsid w:val="00AC5F7F"/>
    <w:rsid w:val="00AF4863"/>
    <w:rsid w:val="00B02FEF"/>
    <w:rsid w:val="00B167E3"/>
    <w:rsid w:val="00B17D48"/>
    <w:rsid w:val="00B246A3"/>
    <w:rsid w:val="00B3659E"/>
    <w:rsid w:val="00B41FF7"/>
    <w:rsid w:val="00B42E17"/>
    <w:rsid w:val="00B64030"/>
    <w:rsid w:val="00BA49A9"/>
    <w:rsid w:val="00BB63CE"/>
    <w:rsid w:val="00BB795C"/>
    <w:rsid w:val="00BD509B"/>
    <w:rsid w:val="00BE3A48"/>
    <w:rsid w:val="00BE4416"/>
    <w:rsid w:val="00C0442A"/>
    <w:rsid w:val="00C05072"/>
    <w:rsid w:val="00C15CAE"/>
    <w:rsid w:val="00C35412"/>
    <w:rsid w:val="00C501C5"/>
    <w:rsid w:val="00C75BE5"/>
    <w:rsid w:val="00C86D56"/>
    <w:rsid w:val="00C94A2E"/>
    <w:rsid w:val="00CA6FAA"/>
    <w:rsid w:val="00CC3774"/>
    <w:rsid w:val="00CD6F74"/>
    <w:rsid w:val="00D030F9"/>
    <w:rsid w:val="00D4035F"/>
    <w:rsid w:val="00D47A38"/>
    <w:rsid w:val="00DD0E28"/>
    <w:rsid w:val="00DD2E53"/>
    <w:rsid w:val="00DD418C"/>
    <w:rsid w:val="00DF68B9"/>
    <w:rsid w:val="00E078AF"/>
    <w:rsid w:val="00E11DC4"/>
    <w:rsid w:val="00E3543D"/>
    <w:rsid w:val="00E53384"/>
    <w:rsid w:val="00E7782D"/>
    <w:rsid w:val="00E97B35"/>
    <w:rsid w:val="00EB0A92"/>
    <w:rsid w:val="00EC59AE"/>
    <w:rsid w:val="00EF4A2B"/>
    <w:rsid w:val="00F209D0"/>
    <w:rsid w:val="00F2372A"/>
    <w:rsid w:val="00F31D4A"/>
    <w:rsid w:val="00F33548"/>
    <w:rsid w:val="00F55B18"/>
    <w:rsid w:val="00FA4638"/>
    <w:rsid w:val="00FA6B5E"/>
    <w:rsid w:val="00FE1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3836"/>
  <w15:docId w15:val="{CD20C0FC-9168-4A86-A5E5-DA88441E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6F1"/>
    <w:pPr>
      <w:spacing w:after="160" w:line="240" w:lineRule="auto"/>
    </w:pPr>
    <w:rPr>
      <w:rFonts w:ascii="Times New Roman" w:hAnsi="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436F1"/>
    <w:rPr>
      <w:color w:val="0000FF" w:themeColor="hyperlink"/>
      <w:u w:val="single"/>
    </w:rPr>
  </w:style>
  <w:style w:type="character" w:styleId="Referincomentariu">
    <w:name w:val="annotation reference"/>
    <w:basedOn w:val="Fontdeparagrafimplicit"/>
    <w:uiPriority w:val="99"/>
    <w:semiHidden/>
    <w:unhideWhenUsed/>
    <w:rsid w:val="00097E2F"/>
    <w:rPr>
      <w:sz w:val="16"/>
      <w:szCs w:val="16"/>
    </w:rPr>
  </w:style>
  <w:style w:type="paragraph" w:styleId="Textcomentariu">
    <w:name w:val="annotation text"/>
    <w:basedOn w:val="Normal"/>
    <w:link w:val="TextcomentariuCaracter"/>
    <w:uiPriority w:val="99"/>
    <w:semiHidden/>
    <w:unhideWhenUsed/>
    <w:rsid w:val="00097E2F"/>
    <w:rPr>
      <w:sz w:val="20"/>
      <w:szCs w:val="20"/>
    </w:rPr>
  </w:style>
  <w:style w:type="character" w:customStyle="1" w:styleId="TextcomentariuCaracter">
    <w:name w:val="Text comentariu Caracter"/>
    <w:basedOn w:val="Fontdeparagrafimplicit"/>
    <w:link w:val="Textcomentariu"/>
    <w:uiPriority w:val="99"/>
    <w:semiHidden/>
    <w:rsid w:val="00097E2F"/>
    <w:rPr>
      <w:rFonts w:ascii="Times New Roman" w:hAnsi="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097E2F"/>
    <w:rPr>
      <w:b/>
      <w:bCs/>
    </w:rPr>
  </w:style>
  <w:style w:type="character" w:customStyle="1" w:styleId="SubiectComentariuCaracter">
    <w:name w:val="Subiect Comentariu Caracter"/>
    <w:basedOn w:val="TextcomentariuCaracter"/>
    <w:link w:val="SubiectComentariu"/>
    <w:uiPriority w:val="99"/>
    <w:semiHidden/>
    <w:rsid w:val="00097E2F"/>
    <w:rPr>
      <w:rFonts w:ascii="Times New Roman" w:hAnsi="Times New Roman"/>
      <w:b/>
      <w:bCs/>
      <w:sz w:val="20"/>
      <w:szCs w:val="20"/>
      <w:lang w:val="ro-RO"/>
    </w:rPr>
  </w:style>
  <w:style w:type="paragraph" w:styleId="TextnBalon">
    <w:name w:val="Balloon Text"/>
    <w:basedOn w:val="Normal"/>
    <w:link w:val="TextnBalonCaracter"/>
    <w:uiPriority w:val="99"/>
    <w:semiHidden/>
    <w:unhideWhenUsed/>
    <w:rsid w:val="00097E2F"/>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97E2F"/>
    <w:rPr>
      <w:rFonts w:ascii="Segoe UI" w:hAnsi="Segoe UI" w:cs="Segoe UI"/>
      <w:sz w:val="18"/>
      <w:szCs w:val="18"/>
      <w:lang w:val="ro-RO"/>
    </w:rPr>
  </w:style>
  <w:style w:type="character" w:styleId="HyperlinkParcurs">
    <w:name w:val="FollowedHyperlink"/>
    <w:basedOn w:val="Fontdeparagrafimplicit"/>
    <w:uiPriority w:val="99"/>
    <w:semiHidden/>
    <w:unhideWhenUsed/>
    <w:rsid w:val="007E553F"/>
    <w:rPr>
      <w:color w:val="800080" w:themeColor="followedHyperlink"/>
      <w:u w:val="single"/>
    </w:rPr>
  </w:style>
  <w:style w:type="paragraph" w:styleId="Listparagraf">
    <w:name w:val="List Paragraph"/>
    <w:basedOn w:val="Normal"/>
    <w:uiPriority w:val="34"/>
    <w:qFormat/>
    <w:rsid w:val="00BB63CE"/>
    <w:pPr>
      <w:ind w:left="720"/>
      <w:contextualSpacing/>
    </w:pPr>
  </w:style>
  <w:style w:type="character" w:styleId="MeniuneNerezolvat">
    <w:name w:val="Unresolved Mention"/>
    <w:basedOn w:val="Fontdeparagrafimplicit"/>
    <w:uiPriority w:val="99"/>
    <w:semiHidden/>
    <w:unhideWhenUsed/>
    <w:rsid w:val="00537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3576">
      <w:bodyDiv w:val="1"/>
      <w:marLeft w:val="0"/>
      <w:marRight w:val="0"/>
      <w:marTop w:val="0"/>
      <w:marBottom w:val="0"/>
      <w:divBdr>
        <w:top w:val="none" w:sz="0" w:space="0" w:color="auto"/>
        <w:left w:val="none" w:sz="0" w:space="0" w:color="auto"/>
        <w:bottom w:val="none" w:sz="0" w:space="0" w:color="auto"/>
        <w:right w:val="none" w:sz="0" w:space="0" w:color="auto"/>
      </w:divBdr>
    </w:div>
    <w:div w:id="497968525">
      <w:bodyDiv w:val="1"/>
      <w:marLeft w:val="0"/>
      <w:marRight w:val="0"/>
      <w:marTop w:val="0"/>
      <w:marBottom w:val="0"/>
      <w:divBdr>
        <w:top w:val="none" w:sz="0" w:space="0" w:color="auto"/>
        <w:left w:val="none" w:sz="0" w:space="0" w:color="auto"/>
        <w:bottom w:val="none" w:sz="0" w:space="0" w:color="auto"/>
        <w:right w:val="none" w:sz="0" w:space="0" w:color="auto"/>
      </w:divBdr>
    </w:div>
    <w:div w:id="745683599">
      <w:bodyDiv w:val="1"/>
      <w:marLeft w:val="0"/>
      <w:marRight w:val="0"/>
      <w:marTop w:val="0"/>
      <w:marBottom w:val="0"/>
      <w:divBdr>
        <w:top w:val="none" w:sz="0" w:space="0" w:color="auto"/>
        <w:left w:val="none" w:sz="0" w:space="0" w:color="auto"/>
        <w:bottom w:val="none" w:sz="0" w:space="0" w:color="auto"/>
        <w:right w:val="none" w:sz="0" w:space="0" w:color="auto"/>
      </w:divBdr>
    </w:div>
    <w:div w:id="808014483">
      <w:bodyDiv w:val="1"/>
      <w:marLeft w:val="0"/>
      <w:marRight w:val="0"/>
      <w:marTop w:val="0"/>
      <w:marBottom w:val="0"/>
      <w:divBdr>
        <w:top w:val="none" w:sz="0" w:space="0" w:color="auto"/>
        <w:left w:val="none" w:sz="0" w:space="0" w:color="auto"/>
        <w:bottom w:val="none" w:sz="0" w:space="0" w:color="auto"/>
        <w:right w:val="none" w:sz="0" w:space="0" w:color="auto"/>
      </w:divBdr>
    </w:div>
    <w:div w:id="910701576">
      <w:bodyDiv w:val="1"/>
      <w:marLeft w:val="0"/>
      <w:marRight w:val="0"/>
      <w:marTop w:val="0"/>
      <w:marBottom w:val="0"/>
      <w:divBdr>
        <w:top w:val="none" w:sz="0" w:space="0" w:color="auto"/>
        <w:left w:val="none" w:sz="0" w:space="0" w:color="auto"/>
        <w:bottom w:val="none" w:sz="0" w:space="0" w:color="auto"/>
        <w:right w:val="none" w:sz="0" w:space="0" w:color="auto"/>
      </w:divBdr>
    </w:div>
    <w:div w:id="933056910">
      <w:bodyDiv w:val="1"/>
      <w:marLeft w:val="0"/>
      <w:marRight w:val="0"/>
      <w:marTop w:val="0"/>
      <w:marBottom w:val="0"/>
      <w:divBdr>
        <w:top w:val="none" w:sz="0" w:space="0" w:color="auto"/>
        <w:left w:val="none" w:sz="0" w:space="0" w:color="auto"/>
        <w:bottom w:val="none" w:sz="0" w:space="0" w:color="auto"/>
        <w:right w:val="none" w:sz="0" w:space="0" w:color="auto"/>
      </w:divBdr>
    </w:div>
    <w:div w:id="1008143850">
      <w:bodyDiv w:val="1"/>
      <w:marLeft w:val="0"/>
      <w:marRight w:val="0"/>
      <w:marTop w:val="0"/>
      <w:marBottom w:val="0"/>
      <w:divBdr>
        <w:top w:val="none" w:sz="0" w:space="0" w:color="auto"/>
        <w:left w:val="none" w:sz="0" w:space="0" w:color="auto"/>
        <w:bottom w:val="none" w:sz="0" w:space="0" w:color="auto"/>
        <w:right w:val="none" w:sz="0" w:space="0" w:color="auto"/>
      </w:divBdr>
    </w:div>
    <w:div w:id="1480265525">
      <w:bodyDiv w:val="1"/>
      <w:marLeft w:val="0"/>
      <w:marRight w:val="0"/>
      <w:marTop w:val="0"/>
      <w:marBottom w:val="0"/>
      <w:divBdr>
        <w:top w:val="none" w:sz="0" w:space="0" w:color="auto"/>
        <w:left w:val="none" w:sz="0" w:space="0" w:color="auto"/>
        <w:bottom w:val="none" w:sz="0" w:space="0" w:color="auto"/>
        <w:right w:val="none" w:sz="0" w:space="0" w:color="auto"/>
      </w:divBdr>
    </w:div>
    <w:div w:id="1587224759">
      <w:bodyDiv w:val="1"/>
      <w:marLeft w:val="0"/>
      <w:marRight w:val="0"/>
      <w:marTop w:val="0"/>
      <w:marBottom w:val="0"/>
      <w:divBdr>
        <w:top w:val="none" w:sz="0" w:space="0" w:color="auto"/>
        <w:left w:val="none" w:sz="0" w:space="0" w:color="auto"/>
        <w:bottom w:val="none" w:sz="0" w:space="0" w:color="auto"/>
        <w:right w:val="none" w:sz="0" w:space="0" w:color="auto"/>
      </w:divBdr>
    </w:div>
    <w:div w:id="1653951635">
      <w:bodyDiv w:val="1"/>
      <w:marLeft w:val="0"/>
      <w:marRight w:val="0"/>
      <w:marTop w:val="0"/>
      <w:marBottom w:val="0"/>
      <w:divBdr>
        <w:top w:val="none" w:sz="0" w:space="0" w:color="auto"/>
        <w:left w:val="none" w:sz="0" w:space="0" w:color="auto"/>
        <w:bottom w:val="none" w:sz="0" w:space="0" w:color="auto"/>
        <w:right w:val="none" w:sz="0" w:space="0" w:color="auto"/>
      </w:divBdr>
    </w:div>
    <w:div w:id="1698239276">
      <w:bodyDiv w:val="1"/>
      <w:marLeft w:val="0"/>
      <w:marRight w:val="0"/>
      <w:marTop w:val="0"/>
      <w:marBottom w:val="0"/>
      <w:divBdr>
        <w:top w:val="none" w:sz="0" w:space="0" w:color="auto"/>
        <w:left w:val="none" w:sz="0" w:space="0" w:color="auto"/>
        <w:bottom w:val="none" w:sz="0" w:space="0" w:color="auto"/>
        <w:right w:val="none" w:sz="0" w:space="0" w:color="auto"/>
      </w:divBdr>
    </w:div>
    <w:div w:id="1864901608">
      <w:bodyDiv w:val="1"/>
      <w:marLeft w:val="0"/>
      <w:marRight w:val="0"/>
      <w:marTop w:val="0"/>
      <w:marBottom w:val="0"/>
      <w:divBdr>
        <w:top w:val="none" w:sz="0" w:space="0" w:color="auto"/>
        <w:left w:val="none" w:sz="0" w:space="0" w:color="auto"/>
        <w:bottom w:val="none" w:sz="0" w:space="0" w:color="auto"/>
        <w:right w:val="none" w:sz="0" w:space="0" w:color="auto"/>
      </w:divBdr>
    </w:div>
    <w:div w:id="1940138306">
      <w:bodyDiv w:val="1"/>
      <w:marLeft w:val="0"/>
      <w:marRight w:val="0"/>
      <w:marTop w:val="0"/>
      <w:marBottom w:val="0"/>
      <w:divBdr>
        <w:top w:val="none" w:sz="0" w:space="0" w:color="auto"/>
        <w:left w:val="none" w:sz="0" w:space="0" w:color="auto"/>
        <w:bottom w:val="none" w:sz="0" w:space="0" w:color="auto"/>
        <w:right w:val="none" w:sz="0" w:space="0" w:color="auto"/>
      </w:divBdr>
    </w:div>
    <w:div w:id="197336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proiectul-hotararii-guvernului-cu-privire-la-modificarea-hotararii-guvernului-nr-6332007-cu-privire-la-aprobarea-conceptiei-sistemului-informational-automatizat-registrul-informatiei-criminalistice-si-criminologice/14787" TargetMode="Externa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951</Words>
  <Characters>5516</Characters>
  <Application>Microsoft Office Word</Application>
  <DocSecurity>0</DocSecurity>
  <Lines>45</Lines>
  <Paragraphs>12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Ivan Ivan</dc:creator>
  <cp:keywords/>
  <dc:description/>
  <cp:lastModifiedBy>DPDOSP</cp:lastModifiedBy>
  <cp:revision>4</cp:revision>
  <dcterms:created xsi:type="dcterms:W3CDTF">2025-07-07T17:58:00Z</dcterms:created>
  <dcterms:modified xsi:type="dcterms:W3CDTF">2025-07-08T13:39:00Z</dcterms:modified>
</cp:coreProperties>
</file>