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CA695A" w:rsidRPr="00CA695A" w:rsidRDefault="00CA695A" w:rsidP="00CA695A">
      <w:pPr>
        <w:jc w:val="center"/>
        <w:rPr>
          <w:rStyle w:val="FontStyle11"/>
          <w:noProof/>
          <w:sz w:val="22"/>
          <w:szCs w:val="22"/>
          <w:lang w:val="ro-RO" w:eastAsia="ro-RO"/>
        </w:rPr>
      </w:pPr>
      <w:r w:rsidRPr="00CA695A">
        <w:rPr>
          <w:rStyle w:val="FontStyle11"/>
          <w:noProof/>
          <w:sz w:val="22"/>
          <w:szCs w:val="22"/>
          <w:lang w:val="ro-RO" w:eastAsia="ro-RO"/>
        </w:rPr>
        <w:t xml:space="preserve">pentru aprobarea Recomandării privind monitorizarea prezenței nichelului </w:t>
      </w:r>
    </w:p>
    <w:p w:rsidR="00B72946" w:rsidRPr="00D87163" w:rsidRDefault="00CA695A" w:rsidP="00CA695A">
      <w:pPr>
        <w:jc w:val="center"/>
        <w:rPr>
          <w:b/>
          <w:bCs/>
          <w:noProof/>
          <w:spacing w:val="10"/>
          <w:sz w:val="22"/>
          <w:szCs w:val="22"/>
          <w:lang w:val="ro-RO" w:eastAsia="ro-RO"/>
        </w:rPr>
      </w:pPr>
      <w:r w:rsidRPr="00CA695A">
        <w:rPr>
          <w:rStyle w:val="FontStyle11"/>
          <w:noProof/>
          <w:sz w:val="22"/>
          <w:szCs w:val="22"/>
          <w:lang w:val="ro-RO" w:eastAsia="ro-RO"/>
        </w:rPr>
        <w:t>și a arsenului anorganic în hrana pentru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F52317" w:rsidP="000C0365">
            <w:pPr>
              <w:spacing w:line="256" w:lineRule="auto"/>
              <w:ind w:firstLine="0"/>
              <w:rPr>
                <w:b/>
                <w:lang w:val="ro-MD"/>
              </w:rPr>
            </w:pPr>
            <w:r w:rsidRPr="00F52317">
              <w:rPr>
                <w:b/>
                <w:bCs/>
                <w:shd w:val="clear" w:color="auto" w:fill="FFFFFF"/>
                <w:lang w:val="ro-MD"/>
              </w:rPr>
              <w:t>Recomandarea (UE) 2016/1110 a Comisiei din 28 iunie 2016 privind monitorizarea prezenței nichelului în hrana pentru animale, CELEX: 32016H1110, publicată în Jurnalul Oficial al Uniunii Europene L 183/68, din 8 iulie 2016</w:t>
            </w:r>
            <w:bookmarkStart w:id="0" w:name="_GoBack"/>
            <w:bookmarkEnd w:id="0"/>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CA695A" w:rsidP="00AC1BAE">
            <w:pPr>
              <w:shd w:val="clear" w:color="auto" w:fill="FFFFFF"/>
              <w:spacing w:line="256" w:lineRule="auto"/>
              <w:ind w:firstLine="0"/>
              <w:rPr>
                <w:b/>
                <w:lang w:val="ro-MD"/>
              </w:rPr>
            </w:pPr>
            <w:r w:rsidRPr="00CA695A">
              <w:rPr>
                <w:b/>
                <w:lang w:val="ro-MD"/>
              </w:rPr>
              <w:t>Recomandare privind monitorizarea prezenței nichelului și a arsenului anorganic în hrana pentru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D4E4F">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00CA695A">
              <w:rPr>
                <w:b/>
                <w:lang w:val="ro-MD"/>
              </w:rPr>
              <w:t xml:space="preserve">parțial </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D82554">
        <w:trPr>
          <w:trHeight w:val="4961"/>
          <w:jc w:val="center"/>
        </w:trPr>
        <w:tc>
          <w:tcPr>
            <w:tcW w:w="5240" w:type="dxa"/>
            <w:tcBorders>
              <w:top w:val="single" w:sz="4" w:space="0" w:color="auto"/>
              <w:left w:val="single" w:sz="4" w:space="0" w:color="auto"/>
              <w:bottom w:val="single" w:sz="4" w:space="0" w:color="auto"/>
              <w:right w:val="single" w:sz="4" w:space="0" w:color="auto"/>
            </w:tcBorders>
            <w:hideMark/>
          </w:tcPr>
          <w:p w:rsidR="006E574E" w:rsidRPr="006E574E" w:rsidRDefault="009D40F6" w:rsidP="006E574E">
            <w:pPr>
              <w:shd w:val="clear" w:color="auto" w:fill="FFFFFF"/>
              <w:ind w:firstLine="0"/>
              <w:rPr>
                <w:bCs/>
                <w:shd w:val="clear" w:color="auto" w:fill="FFFFFF"/>
                <w:lang w:val="ro-RO" w:eastAsia="ro-RO"/>
              </w:rPr>
            </w:pPr>
            <w:r w:rsidRPr="0006201F">
              <w:rPr>
                <w:bCs/>
                <w:shd w:val="clear" w:color="auto" w:fill="FFFFFF"/>
                <w:lang w:val="ro-RO" w:eastAsia="ro-RO"/>
              </w:rPr>
              <w:t xml:space="preserve"> </w:t>
            </w:r>
            <w:r w:rsidR="006E574E" w:rsidRPr="006E574E">
              <w:rPr>
                <w:bCs/>
                <w:shd w:val="clear" w:color="auto" w:fill="FFFFFF"/>
                <w:lang w:val="ro-RO" w:eastAsia="ro-RO"/>
              </w:rPr>
              <w:t>COMISIA EUROPEANĂ,</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având în vedere Tratatul privind funcționarea Uniunii Europene, în special articolul 292,</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întrucât:</w:t>
            </w: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(1)</w:t>
            </w:r>
            <w:r w:rsidR="006E574E" w:rsidRPr="006E574E">
              <w:rPr>
                <w:bCs/>
                <w:shd w:val="clear" w:color="auto" w:fill="FFFFFF"/>
                <w:lang w:val="ro-RO" w:eastAsia="ro-RO"/>
              </w:rPr>
              <w:t>Prezența nichelului (Ni) în hrana pentru animale poate apărea atât din surse naturale, cât și antropice. În plus, anumite materii prime destinate hranei pentru animale conțin nichel metalic, deoarece acesta este utilizat drept catalizator în procesul de producție.</w:t>
            </w: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Pr="006E574E" w:rsidRDefault="00F41EF5" w:rsidP="006E574E">
            <w:pPr>
              <w:shd w:val="clear" w:color="auto" w:fill="FFFFFF"/>
              <w:ind w:firstLine="0"/>
              <w:rPr>
                <w:bCs/>
                <w:shd w:val="clear" w:color="auto" w:fill="FFFFFF"/>
                <w:lang w:val="ro-RO" w:eastAsia="ro-RO"/>
              </w:rPr>
            </w:pP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(2)</w:t>
            </w:r>
            <w:r w:rsidR="006E574E" w:rsidRPr="006E574E">
              <w:rPr>
                <w:bCs/>
                <w:shd w:val="clear" w:color="auto" w:fill="FFFFFF"/>
                <w:lang w:val="ro-RO" w:eastAsia="ro-RO"/>
              </w:rPr>
              <w:t>Grupul științific pentru contaminanții din lanțul alimentar (CONTAM) din cadrul Autorității Europene pentru Siguranța Alimentară (EFSA) a adoptat un aviz științific privind riscurile pe care le implică prezența Ni în hrana pentru animale pentru sănătatea animală și pentru cea publică, precum și pentru mediu (1).</w:t>
            </w:r>
          </w:p>
          <w:p w:rsidR="00AE7D18" w:rsidRDefault="00AE7D18" w:rsidP="006E574E">
            <w:pPr>
              <w:shd w:val="clear" w:color="auto" w:fill="FFFFFF"/>
              <w:ind w:firstLine="0"/>
              <w:rPr>
                <w:bCs/>
                <w:shd w:val="clear" w:color="auto" w:fill="FFFFFF"/>
                <w:lang w:val="ro-RO" w:eastAsia="ro-RO"/>
              </w:rPr>
            </w:pPr>
          </w:p>
          <w:p w:rsidR="00AE7D18" w:rsidRPr="006E574E" w:rsidRDefault="00AE7D18" w:rsidP="006E574E">
            <w:pPr>
              <w:shd w:val="clear" w:color="auto" w:fill="FFFFFF"/>
              <w:ind w:firstLine="0"/>
              <w:rPr>
                <w:bCs/>
                <w:shd w:val="clear" w:color="auto" w:fill="FFFFFF"/>
                <w:lang w:val="ro-RO" w:eastAsia="ro-RO"/>
              </w:rPr>
            </w:pPr>
          </w:p>
          <w:p w:rsidR="006E574E" w:rsidRP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lastRenderedPageBreak/>
              <w:t>(3)</w:t>
            </w:r>
            <w:r w:rsidR="006E574E" w:rsidRPr="006E574E">
              <w:rPr>
                <w:bCs/>
                <w:shd w:val="clear" w:color="auto" w:fill="FFFFFF"/>
                <w:lang w:val="ro-RO" w:eastAsia="ro-RO"/>
              </w:rPr>
              <w:t>Grupul CONTAM a concluzionat că este puțin probabil ca Ni din hrana pentru bovine, porcine, iepuri, rațe, pește, câini, pui, cai, ovine, caprine și pisici să aibă un impact negativ. În ceea ce privește evaluarea riscurilor pentru sănătatea umană cauzate de prezența Ni în alimente de origine animală, Grupul CONTAM a concluzionat că, pentru populația medie, nivelurile actuale de expunere cronică la Ni, luând în considerare numai produsele alimentare de origine animală, ar putea fi periculoase în rândul populației tinere. În ceea ce privește expunerea acută prin alimentație, grupul CONTAM a concluzionat că persoanele sensibile la nichel sunt, de asemenea, expuse riscului de a dezvolta reacții cutanate sub formă de erupții eczematoase prin consumul de alimente de origine animală. Prin urmare, contribuția alimentelor de origine animală la expunerea oamenilor la Ni prin alimentație nu ar trebui să fie subestimată, în special în ceea ce privește clasele de vârstă cu un grad ridicat de expunere la Ni prin alimentație. Cu toate acestea, conform datelor disponibile nu s-au putut stabili ratele de transfer din hrana pentru animale la produsele alimentare de origine animală.</w:t>
            </w: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(4)</w:t>
            </w:r>
            <w:r w:rsidR="006E574E" w:rsidRPr="006E574E">
              <w:rPr>
                <w:bCs/>
                <w:shd w:val="clear" w:color="auto" w:fill="FFFFFF"/>
                <w:lang w:val="ro-RO" w:eastAsia="ro-RO"/>
              </w:rPr>
              <w:t>S-a constatat că datele privind prezența Ni în hrana pentru animale care au fost utilizate în avizul științific al EFSA provin, în principal, dintr-un stat membru și, prin urmare, nu sunt neapărat reprezentative pentru prezența Ni în hrana pentru animale în UE.</w:t>
            </w:r>
          </w:p>
          <w:p w:rsidR="00AE7D18" w:rsidRDefault="00AE7D18" w:rsidP="006E574E">
            <w:pPr>
              <w:shd w:val="clear" w:color="auto" w:fill="FFFFFF"/>
              <w:ind w:firstLine="0"/>
              <w:rPr>
                <w:bCs/>
                <w:shd w:val="clear" w:color="auto" w:fill="FFFFFF"/>
                <w:lang w:val="ro-RO" w:eastAsia="ro-RO"/>
              </w:rPr>
            </w:pPr>
          </w:p>
          <w:p w:rsidR="00EA3B7A" w:rsidRDefault="00EA3B7A" w:rsidP="006E574E">
            <w:pPr>
              <w:shd w:val="clear" w:color="auto" w:fill="FFFFFF"/>
              <w:ind w:firstLine="0"/>
              <w:rPr>
                <w:bCs/>
                <w:shd w:val="clear" w:color="auto" w:fill="FFFFFF"/>
                <w:lang w:val="ro-RO" w:eastAsia="ro-RO"/>
              </w:rPr>
            </w:pP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(5)</w:t>
            </w:r>
            <w:r w:rsidR="006E574E" w:rsidRPr="006E574E">
              <w:rPr>
                <w:bCs/>
                <w:shd w:val="clear" w:color="auto" w:fill="FFFFFF"/>
                <w:lang w:val="ro-RO" w:eastAsia="ro-RO"/>
              </w:rPr>
              <w:t>Prin urmare, este necesar să se monitorizeze prezența Ni în hrana pentru animale la nivelul întregii UE înainte de a se lua în considerare stabilirea unor niveluri maxime de Ni în hrana pentru animale sau orice alte măsuri de gestionare a riscurilor necesare pentru a asigura un nivel ridicat de protecție a sănătății umane și animale,</w:t>
            </w:r>
          </w:p>
          <w:p w:rsidR="00D86780" w:rsidRDefault="00D86780" w:rsidP="006E574E">
            <w:pPr>
              <w:shd w:val="clear" w:color="auto" w:fill="FFFFFF"/>
              <w:ind w:firstLine="0"/>
              <w:rPr>
                <w:bCs/>
                <w:shd w:val="clear" w:color="auto" w:fill="FFFFFF"/>
                <w:lang w:val="ro-RO" w:eastAsia="ro-RO"/>
              </w:rPr>
            </w:pPr>
          </w:p>
          <w:p w:rsidR="00D86780" w:rsidRPr="006E574E" w:rsidRDefault="00D86780" w:rsidP="006E574E">
            <w:pPr>
              <w:shd w:val="clear" w:color="auto" w:fill="FFFFFF"/>
              <w:ind w:firstLine="0"/>
              <w:rPr>
                <w:bCs/>
                <w:shd w:val="clear" w:color="auto" w:fill="FFFFFF"/>
                <w:lang w:val="ro-RO" w:eastAsia="ro-RO"/>
              </w:rPr>
            </w:pP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ADOPTĂ PREZENTA RECOMANDARE:</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1.Ar trebui ca statele membre, cu implicarea activă a operatorilor din sectorul hranei pentru animale, să monitorizeze prezența Ni în hrana pentru animale.</w:t>
            </w: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lastRenderedPageBreak/>
              <w:t>2.</w:t>
            </w:r>
            <w:r w:rsidR="006E574E" w:rsidRPr="006E574E">
              <w:rPr>
                <w:bCs/>
                <w:shd w:val="clear" w:color="auto" w:fill="FFFFFF"/>
                <w:lang w:val="ro-RO" w:eastAsia="ro-RO"/>
              </w:rPr>
              <w:t>Pentru a se asigura faptul că probele sunt reprezentative pentru lotul care face obiectul prelevării, statele membre ar trebui să urmeze procedura de prelevare de probe prevăzută în Regulamentul (CE) nr. 152/2009 al Comisiei (2).</w:t>
            </w: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31206E" w:rsidRDefault="0031206E" w:rsidP="006E574E">
            <w:pPr>
              <w:shd w:val="clear" w:color="auto" w:fill="FFFFFF"/>
              <w:ind w:firstLine="0"/>
              <w:rPr>
                <w:bCs/>
                <w:shd w:val="clear" w:color="auto" w:fill="FFFFFF"/>
                <w:lang w:val="ro-RO" w:eastAsia="ro-RO"/>
              </w:rPr>
            </w:pPr>
          </w:p>
          <w:p w:rsidR="00EA3B7A" w:rsidRPr="006E574E" w:rsidRDefault="00EA3B7A" w:rsidP="006E574E">
            <w:pPr>
              <w:shd w:val="clear" w:color="auto" w:fill="FFFFFF"/>
              <w:ind w:firstLine="0"/>
              <w:rPr>
                <w:bCs/>
                <w:shd w:val="clear" w:color="auto" w:fill="FFFFFF"/>
                <w:lang w:val="ro-RO" w:eastAsia="ro-RO"/>
              </w:rPr>
            </w:pP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 xml:space="preserve">3.Statele membre ar trebui să se asigure că rezultatele analizelor sunt comunicate cu regularitate către EFSA și cel târziu până la 31 octombrie 2017, în formatul EFSA de transmitere a datelor, în conformitate cu cerințele orientărilor EFSA privind descrierea standard a probelor (Standard </w:t>
            </w:r>
            <w:proofErr w:type="spellStart"/>
            <w:r w:rsidRPr="006E574E">
              <w:rPr>
                <w:bCs/>
                <w:shd w:val="clear" w:color="auto" w:fill="FFFFFF"/>
                <w:lang w:val="ro-RO" w:eastAsia="ro-RO"/>
              </w:rPr>
              <w:t>Sample</w:t>
            </w:r>
            <w:proofErr w:type="spellEnd"/>
            <w:r w:rsidRPr="006E574E">
              <w:rPr>
                <w:bCs/>
                <w:shd w:val="clear" w:color="auto" w:fill="FFFFFF"/>
                <w:lang w:val="ro-RO" w:eastAsia="ro-RO"/>
              </w:rPr>
              <w:t xml:space="preserve"> </w:t>
            </w:r>
            <w:proofErr w:type="spellStart"/>
            <w:r w:rsidRPr="006E574E">
              <w:rPr>
                <w:bCs/>
                <w:shd w:val="clear" w:color="auto" w:fill="FFFFFF"/>
                <w:lang w:val="ro-RO" w:eastAsia="ro-RO"/>
              </w:rPr>
              <w:t>Description</w:t>
            </w:r>
            <w:proofErr w:type="spellEnd"/>
            <w:r w:rsidRPr="006E574E">
              <w:rPr>
                <w:bCs/>
                <w:shd w:val="clear" w:color="auto" w:fill="FFFFFF"/>
                <w:lang w:val="ro-RO" w:eastAsia="ro-RO"/>
              </w:rPr>
              <w:t xml:space="preserve"> – SSD) pentru alimente și furaje (3) și cu cerințele specifice suplimentare de raportare ale EFSA.</w:t>
            </w:r>
          </w:p>
          <w:p w:rsidR="00B72946" w:rsidRPr="003D55E2"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Adoptată la Bruxelles, 28 iunie 2016.</w:t>
            </w:r>
          </w:p>
        </w:tc>
        <w:tc>
          <w:tcPr>
            <w:tcW w:w="5670" w:type="dxa"/>
            <w:tcBorders>
              <w:top w:val="single" w:sz="4" w:space="0" w:color="auto"/>
              <w:left w:val="single" w:sz="4" w:space="0" w:color="auto"/>
              <w:bottom w:val="single" w:sz="4" w:space="0" w:color="auto"/>
              <w:right w:val="single" w:sz="4" w:space="0" w:color="auto"/>
            </w:tcBorders>
          </w:tcPr>
          <w:p w:rsidR="00D87163" w:rsidRDefault="00D87163"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363368" w:rsidRDefault="00363368"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Default="0031206E" w:rsidP="00EB6180">
            <w:pPr>
              <w:ind w:firstLine="0"/>
              <w:rPr>
                <w:b/>
                <w:lang w:val="ro-RO"/>
              </w:rPr>
            </w:pPr>
            <w:r w:rsidRPr="00D86780">
              <w:rPr>
                <w:b/>
                <w:lang w:val="ro-RO"/>
              </w:rPr>
              <w:t>3.</w:t>
            </w:r>
            <w:r w:rsidRPr="00D86780">
              <w:rPr>
                <w:lang w:val="ro-RO"/>
              </w:rPr>
              <w:t xml:space="preserve"> Monitorizarea prezenței nichelului în hrana pentru animale este necesară pentru evaluarea expunerii înainte de a analiza oportunitatea stabilirii unor niveluri maxime sau a altor măsuri de gestionare a riscurilor, în scopul asigurării unui nivel ridicat de protecție a sănătății umane și animale.</w:t>
            </w:r>
          </w:p>
          <w:p w:rsidR="00D86780" w:rsidRDefault="00D86780" w:rsidP="00EB6180">
            <w:pPr>
              <w:ind w:firstLine="0"/>
              <w:rPr>
                <w:b/>
                <w:lang w:val="ro-RO"/>
              </w:rPr>
            </w:pPr>
          </w:p>
          <w:p w:rsidR="00D86780" w:rsidRDefault="00D86780" w:rsidP="00EB6180">
            <w:pPr>
              <w:ind w:firstLine="0"/>
              <w:rPr>
                <w:b/>
                <w:lang w:val="ro-RO"/>
              </w:rPr>
            </w:pPr>
          </w:p>
          <w:p w:rsidR="00D86780" w:rsidRDefault="00D86780" w:rsidP="00EB6180">
            <w:pPr>
              <w:ind w:firstLine="0"/>
              <w:rPr>
                <w:b/>
                <w:lang w:val="ro-RO"/>
              </w:rPr>
            </w:pPr>
          </w:p>
          <w:p w:rsidR="00D86780" w:rsidRPr="00D86780" w:rsidRDefault="00D86780" w:rsidP="00D86780">
            <w:pPr>
              <w:ind w:firstLine="0"/>
              <w:jc w:val="center"/>
              <w:rPr>
                <w:b/>
                <w:lang w:val="ro-RO"/>
              </w:rPr>
            </w:pPr>
            <w:r w:rsidRPr="00D86780">
              <w:rPr>
                <w:b/>
                <w:lang w:val="ro-RO"/>
              </w:rPr>
              <w:t>Capitolul I</w:t>
            </w:r>
          </w:p>
          <w:p w:rsidR="00D86780" w:rsidRPr="00D86780" w:rsidRDefault="00D86780" w:rsidP="00D86780">
            <w:pPr>
              <w:ind w:firstLine="0"/>
              <w:jc w:val="center"/>
              <w:rPr>
                <w:b/>
                <w:lang w:val="ro-RO"/>
              </w:rPr>
            </w:pPr>
            <w:r w:rsidRPr="00D86780">
              <w:rPr>
                <w:b/>
                <w:lang w:val="ro-RO"/>
              </w:rPr>
              <w:t>Dispoziții generale și monitorizarea nichelului (Ni)</w:t>
            </w:r>
          </w:p>
          <w:p w:rsidR="00D86780" w:rsidRPr="00D86780" w:rsidRDefault="00D86780" w:rsidP="00D86780">
            <w:pPr>
              <w:ind w:firstLine="0"/>
              <w:rPr>
                <w:lang w:val="ro-RO"/>
              </w:rPr>
            </w:pPr>
            <w:r w:rsidRPr="00D86780">
              <w:rPr>
                <w:b/>
                <w:lang w:val="ro-RO"/>
              </w:rPr>
              <w:lastRenderedPageBreak/>
              <w:t xml:space="preserve">1. </w:t>
            </w:r>
            <w:r w:rsidRPr="00D86780">
              <w:rPr>
                <w:lang w:val="ro-RO"/>
              </w:rPr>
              <w:t>Autoritatea competentă, cu implicarea activă a operatorilor din domeniul hranei pentru animale, monitorizează prezența nichelului (Ni) în hrana pentru animale.</w:t>
            </w:r>
          </w:p>
          <w:p w:rsidR="00D86780" w:rsidRPr="00D86780" w:rsidRDefault="00D86780" w:rsidP="00D86780">
            <w:pPr>
              <w:ind w:firstLine="0"/>
              <w:rPr>
                <w:lang w:val="ro-RO"/>
              </w:rPr>
            </w:pPr>
            <w:r w:rsidRPr="00D86780">
              <w:rPr>
                <w:b/>
                <w:lang w:val="ro-RO"/>
              </w:rPr>
              <w:t>2.</w:t>
            </w:r>
            <w:r w:rsidRPr="00D86780">
              <w:rPr>
                <w:lang w:val="ro-RO"/>
              </w:rPr>
              <w:t xml:space="preserve"> Pentru a asigura reprezentativitatea probelor pentru lotul supus controlului, autoritatea competentă aplică procedura de prelevare prevăzută în Hotărârea Guvernului nr. 686/2012 cu privire la aprobarea unor metode de analiză pentru controlul nutrețurilor.</w:t>
            </w:r>
          </w:p>
          <w:p w:rsidR="00D86780" w:rsidRPr="006A0462" w:rsidRDefault="00D86780" w:rsidP="00D86780">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36115E" w:rsidRPr="0036115E" w:rsidRDefault="0036115E" w:rsidP="0036115E">
            <w:pPr>
              <w:ind w:firstLine="0"/>
              <w:jc w:val="center"/>
              <w:rPr>
                <w:b/>
                <w:color w:val="000000" w:themeColor="text1"/>
                <w:lang w:val="ro-MD"/>
              </w:rPr>
            </w:pPr>
            <w:r w:rsidRPr="0036115E">
              <w:rPr>
                <w:b/>
                <w:color w:val="000000" w:themeColor="text1"/>
                <w:lang w:val="ro-MD"/>
              </w:rPr>
              <w:lastRenderedPageBreak/>
              <w:t xml:space="preserve">Prevederi UE netranspuse </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A676D9">
            <w:pPr>
              <w:ind w:firstLine="0"/>
              <w:rPr>
                <w:b/>
                <w:lang w:val="ro-MD"/>
              </w:rPr>
            </w:pPr>
          </w:p>
          <w:p w:rsidR="007D31E8" w:rsidRDefault="007D31E8" w:rsidP="009511B0">
            <w:pPr>
              <w:ind w:firstLine="0"/>
              <w:jc w:val="center"/>
              <w:rPr>
                <w:b/>
                <w:lang w:val="ro-MD"/>
              </w:rPr>
            </w:pPr>
          </w:p>
          <w:p w:rsidR="00864F39" w:rsidRPr="0036115E" w:rsidRDefault="00864F39" w:rsidP="00864F39">
            <w:pPr>
              <w:ind w:firstLine="0"/>
              <w:jc w:val="center"/>
              <w:rPr>
                <w:b/>
                <w:color w:val="000000" w:themeColor="text1"/>
                <w:lang w:val="ro-MD"/>
              </w:rPr>
            </w:pPr>
            <w:r w:rsidRPr="0036115E">
              <w:rPr>
                <w:b/>
                <w:color w:val="000000" w:themeColor="text1"/>
                <w:lang w:val="ro-MD"/>
              </w:rPr>
              <w:t xml:space="preserve">Prevederi UE netranspuse </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A676D9">
            <w:pPr>
              <w:ind w:firstLine="0"/>
              <w:rPr>
                <w:b/>
                <w:lang w:val="ro-MD"/>
              </w:rPr>
            </w:pPr>
          </w:p>
          <w:p w:rsidR="00864F39" w:rsidRPr="0036115E" w:rsidRDefault="00864F39" w:rsidP="00864F39">
            <w:pPr>
              <w:ind w:firstLine="0"/>
              <w:jc w:val="center"/>
              <w:rPr>
                <w:b/>
                <w:color w:val="000000" w:themeColor="text1"/>
                <w:lang w:val="ro-MD"/>
              </w:rPr>
            </w:pPr>
            <w:r w:rsidRPr="0036115E">
              <w:rPr>
                <w:b/>
                <w:color w:val="000000" w:themeColor="text1"/>
                <w:lang w:val="ro-MD"/>
              </w:rPr>
              <w:lastRenderedPageBreak/>
              <w:t xml:space="preserve">Prevederi UE netranspuse </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A676D9">
            <w:pPr>
              <w:ind w:firstLine="0"/>
              <w:rPr>
                <w:b/>
                <w:lang w:val="ro-MD"/>
              </w:rPr>
            </w:pPr>
          </w:p>
          <w:p w:rsidR="00864F39" w:rsidRPr="0036115E" w:rsidRDefault="00864F39" w:rsidP="00864F39">
            <w:pPr>
              <w:ind w:firstLine="0"/>
              <w:jc w:val="center"/>
              <w:rPr>
                <w:b/>
                <w:color w:val="000000" w:themeColor="text1"/>
                <w:lang w:val="ro-MD"/>
              </w:rPr>
            </w:pPr>
            <w:r w:rsidRPr="0036115E">
              <w:rPr>
                <w:b/>
                <w:color w:val="000000" w:themeColor="text1"/>
                <w:lang w:val="ro-MD"/>
              </w:rPr>
              <w:t xml:space="preserve">Prevederi UE netranspuse </w:t>
            </w:r>
          </w:p>
          <w:p w:rsidR="007D31E8" w:rsidRDefault="007D31E8" w:rsidP="009511B0">
            <w:pPr>
              <w:ind w:firstLine="0"/>
              <w:jc w:val="center"/>
              <w:rPr>
                <w:b/>
                <w:lang w:val="ro-MD"/>
              </w:rPr>
            </w:pPr>
          </w:p>
          <w:p w:rsidR="007D31E8" w:rsidRDefault="007D31E8" w:rsidP="009511B0">
            <w:pPr>
              <w:ind w:firstLine="0"/>
              <w:jc w:val="center"/>
              <w:rPr>
                <w:b/>
                <w:lang w:val="ro-MD"/>
              </w:rPr>
            </w:pPr>
          </w:p>
          <w:p w:rsidR="00A676D9" w:rsidRDefault="00A676D9" w:rsidP="00D86780">
            <w:pPr>
              <w:ind w:firstLine="0"/>
              <w:rPr>
                <w:b/>
                <w:lang w:val="ro-MD"/>
              </w:rPr>
            </w:pPr>
          </w:p>
          <w:p w:rsidR="00A676D9" w:rsidRDefault="00A676D9" w:rsidP="009511B0">
            <w:pPr>
              <w:ind w:firstLine="0"/>
              <w:jc w:val="center"/>
              <w:rPr>
                <w:b/>
                <w:lang w:val="ro-MD"/>
              </w:rPr>
            </w:pPr>
          </w:p>
          <w:p w:rsidR="0031206E" w:rsidRDefault="0031206E" w:rsidP="0031206E">
            <w:pPr>
              <w:ind w:firstLine="0"/>
              <w:jc w:val="center"/>
              <w:rPr>
                <w:b/>
                <w:lang w:val="ro-MD"/>
              </w:rPr>
            </w:pPr>
            <w:r>
              <w:rPr>
                <w:b/>
                <w:lang w:val="ro-MD"/>
              </w:rPr>
              <w:t>Compatibil</w:t>
            </w:r>
          </w:p>
          <w:p w:rsidR="007D31E8" w:rsidRDefault="007D31E8" w:rsidP="009511B0">
            <w:pPr>
              <w:ind w:firstLine="0"/>
              <w:jc w:val="center"/>
              <w:rPr>
                <w:b/>
                <w:lang w:val="ro-MD"/>
              </w:rPr>
            </w:pPr>
          </w:p>
          <w:p w:rsidR="00864F39" w:rsidRPr="0036115E" w:rsidRDefault="00864F39" w:rsidP="00864F39">
            <w:pPr>
              <w:ind w:firstLine="0"/>
              <w:jc w:val="center"/>
              <w:rPr>
                <w:b/>
                <w:color w:val="000000" w:themeColor="text1"/>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D82554" w:rsidRDefault="00D82554" w:rsidP="00D82554">
            <w:pPr>
              <w:ind w:firstLine="0"/>
              <w:rPr>
                <w:b/>
                <w:lang w:val="ro-MD"/>
              </w:rPr>
            </w:pPr>
          </w:p>
          <w:p w:rsidR="00D82554" w:rsidRDefault="00D82554" w:rsidP="00D82554">
            <w:pPr>
              <w:ind w:firstLine="0"/>
              <w:rPr>
                <w:b/>
                <w:lang w:val="ro-MD"/>
              </w:rPr>
            </w:pPr>
          </w:p>
          <w:p w:rsidR="007D31E8" w:rsidRDefault="007D31E8" w:rsidP="009511B0">
            <w:pPr>
              <w:ind w:firstLine="0"/>
              <w:jc w:val="center"/>
              <w:rPr>
                <w:b/>
                <w:lang w:val="ro-MD"/>
              </w:rPr>
            </w:pPr>
            <w:r>
              <w:rPr>
                <w:b/>
                <w:lang w:val="ro-MD"/>
              </w:rPr>
              <w:t>Compatibil</w:t>
            </w:r>
          </w:p>
          <w:p w:rsidR="007D31E8" w:rsidRDefault="007D31E8" w:rsidP="007D31E8">
            <w:pPr>
              <w:ind w:firstLine="0"/>
              <w:rPr>
                <w:b/>
                <w:lang w:val="ro-MD"/>
              </w:rPr>
            </w:pPr>
          </w:p>
          <w:p w:rsidR="007D31E8" w:rsidRDefault="007D31E8" w:rsidP="009511B0">
            <w:pPr>
              <w:ind w:firstLine="0"/>
              <w:jc w:val="center"/>
              <w:rPr>
                <w:b/>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EB6180">
            <w:pPr>
              <w:ind w:firstLine="0"/>
              <w:jc w:val="center"/>
              <w:rPr>
                <w:b/>
                <w:color w:val="000000" w:themeColor="text1"/>
                <w:lang w:val="ro-MD"/>
              </w:rPr>
            </w:pPr>
          </w:p>
          <w:p w:rsidR="00D86780" w:rsidRDefault="00D86780" w:rsidP="00D82554">
            <w:pPr>
              <w:ind w:firstLine="0"/>
              <w:rPr>
                <w:b/>
                <w:color w:val="000000" w:themeColor="text1"/>
                <w:lang w:val="ro-MD"/>
              </w:rPr>
            </w:pPr>
          </w:p>
          <w:p w:rsidR="00D82554" w:rsidRDefault="00D82554" w:rsidP="00D82554">
            <w:pPr>
              <w:ind w:firstLine="0"/>
              <w:rPr>
                <w:b/>
                <w:color w:val="000000" w:themeColor="text1"/>
                <w:lang w:val="ro-MD"/>
              </w:rPr>
            </w:pPr>
          </w:p>
          <w:p w:rsidR="00D82554" w:rsidRDefault="00D82554" w:rsidP="00D82554">
            <w:pPr>
              <w:ind w:firstLine="0"/>
              <w:rPr>
                <w:b/>
                <w:color w:val="000000" w:themeColor="text1"/>
                <w:lang w:val="ro-MD"/>
              </w:rPr>
            </w:pPr>
          </w:p>
          <w:p w:rsidR="00D82554" w:rsidRDefault="00D82554" w:rsidP="00D82554">
            <w:pPr>
              <w:ind w:firstLine="0"/>
              <w:rPr>
                <w:b/>
                <w:color w:val="000000" w:themeColor="text1"/>
                <w:lang w:val="ro-MD"/>
              </w:rPr>
            </w:pPr>
          </w:p>
          <w:p w:rsidR="00EB6180" w:rsidRPr="0036115E" w:rsidRDefault="00EB6180" w:rsidP="00EB6180">
            <w:pPr>
              <w:ind w:firstLine="0"/>
              <w:jc w:val="center"/>
              <w:rPr>
                <w:b/>
                <w:color w:val="000000" w:themeColor="text1"/>
                <w:lang w:val="ro-MD"/>
              </w:rPr>
            </w:pPr>
            <w:r w:rsidRPr="0036115E">
              <w:rPr>
                <w:b/>
                <w:color w:val="000000" w:themeColor="text1"/>
                <w:lang w:val="ro-MD"/>
              </w:rPr>
              <w:t xml:space="preserve">Prevederi UE netranspuse </w:t>
            </w:r>
          </w:p>
          <w:p w:rsidR="007D31E8" w:rsidRPr="00D538C1" w:rsidRDefault="007D31E8"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36115E" w:rsidRPr="0036115E" w:rsidRDefault="0036115E" w:rsidP="0036115E">
            <w:pPr>
              <w:ind w:firstLine="0"/>
              <w:jc w:val="center"/>
              <w:rPr>
                <w:b/>
                <w:lang w:val="ro-MD"/>
              </w:rPr>
            </w:pPr>
            <w:r w:rsidRPr="0036115E">
              <w:rPr>
                <w:b/>
                <w:lang w:val="ro-MD"/>
              </w:rPr>
              <w:lastRenderedPageBreak/>
              <w:t>Nu necesită transpunere. Aplicabile direct din data aderării la UE</w:t>
            </w:r>
          </w:p>
          <w:p w:rsidR="00B72946" w:rsidRDefault="00B72946"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A676D9">
            <w:pPr>
              <w:ind w:firstLine="0"/>
              <w:rPr>
                <w:b/>
                <w:lang w:val="ro-MD"/>
              </w:rPr>
            </w:pPr>
          </w:p>
          <w:p w:rsidR="00902611" w:rsidRDefault="00902611" w:rsidP="00113981">
            <w:pPr>
              <w:ind w:firstLine="0"/>
              <w:jc w:val="center"/>
              <w:rPr>
                <w:b/>
                <w:lang w:val="ro-MD"/>
              </w:rPr>
            </w:pPr>
          </w:p>
          <w:p w:rsidR="00864F39" w:rsidRPr="0036115E" w:rsidRDefault="00864F39" w:rsidP="00864F39">
            <w:pPr>
              <w:ind w:firstLine="0"/>
              <w:jc w:val="center"/>
              <w:rPr>
                <w:b/>
                <w:lang w:val="ro-MD"/>
              </w:rPr>
            </w:pPr>
            <w:r w:rsidRPr="0036115E">
              <w:rPr>
                <w:b/>
                <w:lang w:val="ro-MD"/>
              </w:rPr>
              <w:t>Nu necesită transpunere. Aplicabile direct din data aderării la UE</w:t>
            </w:r>
          </w:p>
          <w:p w:rsidR="00902611" w:rsidRDefault="00902611"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Pr="0036115E" w:rsidRDefault="00864F39" w:rsidP="00864F39">
            <w:pPr>
              <w:ind w:firstLine="0"/>
              <w:jc w:val="center"/>
              <w:rPr>
                <w:b/>
                <w:lang w:val="ro-MD"/>
              </w:rPr>
            </w:pPr>
            <w:r w:rsidRPr="0036115E">
              <w:rPr>
                <w:b/>
                <w:lang w:val="ro-MD"/>
              </w:rPr>
              <w:lastRenderedPageBreak/>
              <w:t>Nu necesită transpunere. Aplicabile direct din data aderării la UE</w:t>
            </w: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Pr="0036115E" w:rsidRDefault="00864F39" w:rsidP="00864F39">
            <w:pPr>
              <w:ind w:firstLine="0"/>
              <w:jc w:val="center"/>
              <w:rPr>
                <w:b/>
                <w:lang w:val="ro-MD"/>
              </w:rPr>
            </w:pPr>
            <w:r w:rsidRPr="0036115E">
              <w:rPr>
                <w:b/>
                <w:lang w:val="ro-MD"/>
              </w:rPr>
              <w:t>Nu necesită transpunere. Aplicabile direct din data aderării la UE</w:t>
            </w:r>
          </w:p>
          <w:p w:rsidR="00A676D9" w:rsidRDefault="00A676D9" w:rsidP="00D86780">
            <w:pPr>
              <w:ind w:firstLine="0"/>
              <w:rPr>
                <w:b/>
                <w:lang w:val="ro-MD"/>
              </w:rPr>
            </w:pPr>
          </w:p>
          <w:p w:rsidR="00A676D9" w:rsidRDefault="00A676D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D86780" w:rsidRDefault="00D86780" w:rsidP="00864F39">
            <w:pPr>
              <w:ind w:firstLine="0"/>
              <w:jc w:val="center"/>
              <w:rPr>
                <w:b/>
                <w:lang w:val="ro-MD"/>
              </w:rPr>
            </w:pPr>
          </w:p>
          <w:p w:rsidR="00D86780" w:rsidRDefault="00D86780" w:rsidP="00864F39">
            <w:pPr>
              <w:ind w:firstLine="0"/>
              <w:jc w:val="center"/>
              <w:rPr>
                <w:b/>
                <w:lang w:val="ro-MD"/>
              </w:rPr>
            </w:pPr>
          </w:p>
          <w:p w:rsidR="00D86780" w:rsidRDefault="00D86780" w:rsidP="00864F39">
            <w:pPr>
              <w:ind w:firstLine="0"/>
              <w:jc w:val="center"/>
              <w:rPr>
                <w:b/>
                <w:lang w:val="ro-MD"/>
              </w:rPr>
            </w:pPr>
          </w:p>
          <w:p w:rsidR="00D86780" w:rsidRDefault="00D86780" w:rsidP="00864F39">
            <w:pPr>
              <w:ind w:firstLine="0"/>
              <w:jc w:val="center"/>
              <w:rPr>
                <w:b/>
                <w:lang w:val="ro-MD"/>
              </w:rPr>
            </w:pPr>
          </w:p>
          <w:p w:rsidR="00D86780" w:rsidRDefault="00D86780" w:rsidP="00864F39">
            <w:pPr>
              <w:ind w:firstLine="0"/>
              <w:jc w:val="center"/>
              <w:rPr>
                <w:b/>
                <w:lang w:val="ro-MD"/>
              </w:rPr>
            </w:pPr>
          </w:p>
          <w:p w:rsidR="00D86780" w:rsidRDefault="00D86780" w:rsidP="00864F39">
            <w:pPr>
              <w:ind w:firstLine="0"/>
              <w:jc w:val="center"/>
              <w:rPr>
                <w:b/>
                <w:lang w:val="ro-MD"/>
              </w:rPr>
            </w:pPr>
          </w:p>
          <w:p w:rsidR="0031206E" w:rsidRDefault="0031206E" w:rsidP="00864F39">
            <w:pPr>
              <w:ind w:firstLine="0"/>
              <w:jc w:val="center"/>
              <w:rPr>
                <w:b/>
                <w:lang w:val="ro-MD"/>
              </w:rPr>
            </w:pPr>
          </w:p>
          <w:p w:rsidR="0031206E" w:rsidRDefault="0031206E" w:rsidP="00864F39">
            <w:pPr>
              <w:ind w:firstLine="0"/>
              <w:jc w:val="center"/>
              <w:rPr>
                <w:b/>
                <w:lang w:val="ro-MD"/>
              </w:rPr>
            </w:pPr>
          </w:p>
          <w:p w:rsidR="0031206E" w:rsidRDefault="0031206E" w:rsidP="00864F39">
            <w:pPr>
              <w:ind w:firstLine="0"/>
              <w:jc w:val="center"/>
              <w:rPr>
                <w:b/>
                <w:lang w:val="ro-MD"/>
              </w:rPr>
            </w:pPr>
          </w:p>
          <w:p w:rsidR="00D86780" w:rsidRDefault="00D86780" w:rsidP="00864F39">
            <w:pPr>
              <w:ind w:firstLine="0"/>
              <w:jc w:val="center"/>
              <w:rPr>
                <w:b/>
                <w:lang w:val="ro-MD"/>
              </w:rPr>
            </w:pPr>
          </w:p>
          <w:p w:rsidR="00D82554" w:rsidRDefault="00D82554" w:rsidP="00864F39">
            <w:pPr>
              <w:ind w:firstLine="0"/>
              <w:jc w:val="center"/>
              <w:rPr>
                <w:b/>
                <w:lang w:val="ro-MD"/>
              </w:rPr>
            </w:pPr>
          </w:p>
          <w:p w:rsidR="00D82554" w:rsidRDefault="00D82554" w:rsidP="00864F39">
            <w:pPr>
              <w:ind w:firstLine="0"/>
              <w:jc w:val="center"/>
              <w:rPr>
                <w:b/>
                <w:lang w:val="ro-MD"/>
              </w:rPr>
            </w:pPr>
          </w:p>
          <w:p w:rsidR="00D82554" w:rsidRDefault="00D82554" w:rsidP="00864F39">
            <w:pPr>
              <w:ind w:firstLine="0"/>
              <w:jc w:val="center"/>
              <w:rPr>
                <w:b/>
                <w:lang w:val="ro-MD"/>
              </w:rPr>
            </w:pPr>
          </w:p>
          <w:p w:rsidR="00D82554" w:rsidRDefault="00D82554" w:rsidP="00864F39">
            <w:pPr>
              <w:ind w:firstLine="0"/>
              <w:jc w:val="center"/>
              <w:rPr>
                <w:b/>
                <w:lang w:val="ro-MD"/>
              </w:rPr>
            </w:pPr>
          </w:p>
          <w:p w:rsidR="00D82554" w:rsidRDefault="00D82554" w:rsidP="00864F39">
            <w:pPr>
              <w:ind w:firstLine="0"/>
              <w:jc w:val="center"/>
              <w:rPr>
                <w:b/>
                <w:lang w:val="ro-MD"/>
              </w:rPr>
            </w:pPr>
          </w:p>
          <w:p w:rsidR="00864F39" w:rsidRPr="0036115E" w:rsidRDefault="00864F39" w:rsidP="00864F39">
            <w:pPr>
              <w:ind w:firstLine="0"/>
              <w:jc w:val="center"/>
              <w:rPr>
                <w:b/>
                <w:lang w:val="ro-MD"/>
              </w:rPr>
            </w:pPr>
            <w:r w:rsidRPr="0036115E">
              <w:rPr>
                <w:b/>
                <w:lang w:val="ro-MD"/>
              </w:rPr>
              <w:t>Nu necesită transpunere. Aplicabile direct din data aderării la UE</w:t>
            </w: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864F39" w:rsidRDefault="00864F39" w:rsidP="00113981">
            <w:pPr>
              <w:ind w:firstLine="0"/>
              <w:jc w:val="center"/>
              <w:rPr>
                <w:b/>
                <w:lang w:val="ro-MD"/>
              </w:rPr>
            </w:pPr>
          </w:p>
          <w:p w:rsidR="00902611" w:rsidRPr="00CA6B9D" w:rsidRDefault="00902611"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3D55E2" w:rsidRDefault="00E500C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90150" w:rsidRPr="000C1D10" w:rsidRDefault="00690150" w:rsidP="005138FC">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DF4FF0" w:rsidRPr="00AF7166" w:rsidRDefault="00DF4FF0"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71149D" w:rsidRPr="000E5CD8" w:rsidRDefault="0071149D" w:rsidP="00A9680C">
            <w:pPr>
              <w:ind w:firstLine="0"/>
              <w:rPr>
                <w:b/>
                <w:lang w:val="ro-MD"/>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B2634D" w:rsidRDefault="00E500CE"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C71B21" w:rsidRPr="00580AD5" w:rsidRDefault="00C71B21" w:rsidP="00C63855">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B476D">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6E69F1"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53D1F" w:rsidRPr="007C5632" w:rsidRDefault="00153D1F"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E69F1" w:rsidRPr="006E69F1" w:rsidRDefault="006E69F1" w:rsidP="00F829CF">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722F49" w:rsidRDefault="00E500CE" w:rsidP="00232145">
            <w:pPr>
              <w:shd w:val="clear" w:color="auto" w:fill="FFFFFF"/>
              <w:ind w:firstLine="0"/>
              <w:jc w:val="left"/>
              <w:rPr>
                <w:rFonts w:ascii="inherit" w:hAnsi="inherit"/>
                <w:color w:val="000000"/>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500CE" w:rsidRPr="00367582" w:rsidRDefault="00E500CE" w:rsidP="0019749D">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53D1F"/>
    <w:rsid w:val="00154209"/>
    <w:rsid w:val="0017279B"/>
    <w:rsid w:val="00172C90"/>
    <w:rsid w:val="0019749D"/>
    <w:rsid w:val="001A1670"/>
    <w:rsid w:val="001A3836"/>
    <w:rsid w:val="001A3B2F"/>
    <w:rsid w:val="001A776B"/>
    <w:rsid w:val="001B0E69"/>
    <w:rsid w:val="001B476D"/>
    <w:rsid w:val="001B5F07"/>
    <w:rsid w:val="001E0119"/>
    <w:rsid w:val="001E7BC1"/>
    <w:rsid w:val="001F11A9"/>
    <w:rsid w:val="001F1E9F"/>
    <w:rsid w:val="00210F3C"/>
    <w:rsid w:val="00221F64"/>
    <w:rsid w:val="00222052"/>
    <w:rsid w:val="00225C82"/>
    <w:rsid w:val="00226021"/>
    <w:rsid w:val="00232145"/>
    <w:rsid w:val="00252732"/>
    <w:rsid w:val="00252B00"/>
    <w:rsid w:val="0025724E"/>
    <w:rsid w:val="002725E1"/>
    <w:rsid w:val="002A4643"/>
    <w:rsid w:val="002A7688"/>
    <w:rsid w:val="002A7CC1"/>
    <w:rsid w:val="002D4E4F"/>
    <w:rsid w:val="002E2DB7"/>
    <w:rsid w:val="002E6E75"/>
    <w:rsid w:val="0031206E"/>
    <w:rsid w:val="00322A49"/>
    <w:rsid w:val="00323D88"/>
    <w:rsid w:val="0034523A"/>
    <w:rsid w:val="0036115E"/>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B5BF6"/>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0CEE"/>
    <w:rsid w:val="005B3B2F"/>
    <w:rsid w:val="005B4081"/>
    <w:rsid w:val="005B57F6"/>
    <w:rsid w:val="005E02B2"/>
    <w:rsid w:val="005E3AF0"/>
    <w:rsid w:val="00600DED"/>
    <w:rsid w:val="006028DF"/>
    <w:rsid w:val="006140AC"/>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574E"/>
    <w:rsid w:val="006E69F1"/>
    <w:rsid w:val="006F3186"/>
    <w:rsid w:val="0071149D"/>
    <w:rsid w:val="00716A1C"/>
    <w:rsid w:val="00722F49"/>
    <w:rsid w:val="00754730"/>
    <w:rsid w:val="00754F35"/>
    <w:rsid w:val="00754FA2"/>
    <w:rsid w:val="0076444A"/>
    <w:rsid w:val="007671BE"/>
    <w:rsid w:val="00771E09"/>
    <w:rsid w:val="007942DA"/>
    <w:rsid w:val="007B2017"/>
    <w:rsid w:val="007B2741"/>
    <w:rsid w:val="007C5632"/>
    <w:rsid w:val="007D31E8"/>
    <w:rsid w:val="007D4CF1"/>
    <w:rsid w:val="007F134E"/>
    <w:rsid w:val="007F1D23"/>
    <w:rsid w:val="007F668F"/>
    <w:rsid w:val="00801FEF"/>
    <w:rsid w:val="0082118A"/>
    <w:rsid w:val="00842AC9"/>
    <w:rsid w:val="00853202"/>
    <w:rsid w:val="008622F5"/>
    <w:rsid w:val="008631B8"/>
    <w:rsid w:val="00864E6A"/>
    <w:rsid w:val="00864F39"/>
    <w:rsid w:val="00866621"/>
    <w:rsid w:val="0087183F"/>
    <w:rsid w:val="008817EE"/>
    <w:rsid w:val="008C374E"/>
    <w:rsid w:val="008D254A"/>
    <w:rsid w:val="008D2E0E"/>
    <w:rsid w:val="008E2934"/>
    <w:rsid w:val="008E2D20"/>
    <w:rsid w:val="00901604"/>
    <w:rsid w:val="00901A93"/>
    <w:rsid w:val="00902611"/>
    <w:rsid w:val="009155C3"/>
    <w:rsid w:val="00916294"/>
    <w:rsid w:val="009511B0"/>
    <w:rsid w:val="00981349"/>
    <w:rsid w:val="0099073C"/>
    <w:rsid w:val="009A1DC8"/>
    <w:rsid w:val="009A2FEF"/>
    <w:rsid w:val="009C0987"/>
    <w:rsid w:val="009C43E5"/>
    <w:rsid w:val="009D1778"/>
    <w:rsid w:val="009D40F6"/>
    <w:rsid w:val="009D68F9"/>
    <w:rsid w:val="00A0205A"/>
    <w:rsid w:val="00A12CFA"/>
    <w:rsid w:val="00A37AE1"/>
    <w:rsid w:val="00A41279"/>
    <w:rsid w:val="00A50F6E"/>
    <w:rsid w:val="00A50FFA"/>
    <w:rsid w:val="00A67302"/>
    <w:rsid w:val="00A676D9"/>
    <w:rsid w:val="00A77426"/>
    <w:rsid w:val="00A7797D"/>
    <w:rsid w:val="00A86E69"/>
    <w:rsid w:val="00A9680C"/>
    <w:rsid w:val="00A976D7"/>
    <w:rsid w:val="00AB5C6A"/>
    <w:rsid w:val="00AC1BAE"/>
    <w:rsid w:val="00AC3BB9"/>
    <w:rsid w:val="00AD1272"/>
    <w:rsid w:val="00AE1371"/>
    <w:rsid w:val="00AE423F"/>
    <w:rsid w:val="00AE7D18"/>
    <w:rsid w:val="00AF7166"/>
    <w:rsid w:val="00B057F4"/>
    <w:rsid w:val="00B2634D"/>
    <w:rsid w:val="00B6064E"/>
    <w:rsid w:val="00B6103E"/>
    <w:rsid w:val="00B72946"/>
    <w:rsid w:val="00B92D55"/>
    <w:rsid w:val="00B95F01"/>
    <w:rsid w:val="00BA10D1"/>
    <w:rsid w:val="00BA1134"/>
    <w:rsid w:val="00BA6757"/>
    <w:rsid w:val="00C253F0"/>
    <w:rsid w:val="00C478E5"/>
    <w:rsid w:val="00C505ED"/>
    <w:rsid w:val="00C63855"/>
    <w:rsid w:val="00C66EA0"/>
    <w:rsid w:val="00C71B21"/>
    <w:rsid w:val="00C722DB"/>
    <w:rsid w:val="00C95735"/>
    <w:rsid w:val="00CA695A"/>
    <w:rsid w:val="00CA6B9D"/>
    <w:rsid w:val="00CB61CB"/>
    <w:rsid w:val="00CB7DC6"/>
    <w:rsid w:val="00CC6A96"/>
    <w:rsid w:val="00CC7F87"/>
    <w:rsid w:val="00CD12BF"/>
    <w:rsid w:val="00CD5BD7"/>
    <w:rsid w:val="00CD6789"/>
    <w:rsid w:val="00CF033C"/>
    <w:rsid w:val="00CF0929"/>
    <w:rsid w:val="00CF496D"/>
    <w:rsid w:val="00D06E7B"/>
    <w:rsid w:val="00D07D9D"/>
    <w:rsid w:val="00D21650"/>
    <w:rsid w:val="00D22FFC"/>
    <w:rsid w:val="00D379BB"/>
    <w:rsid w:val="00D5286E"/>
    <w:rsid w:val="00D538C1"/>
    <w:rsid w:val="00D54386"/>
    <w:rsid w:val="00D61AF0"/>
    <w:rsid w:val="00D728FF"/>
    <w:rsid w:val="00D82554"/>
    <w:rsid w:val="00D86780"/>
    <w:rsid w:val="00D87163"/>
    <w:rsid w:val="00D926DC"/>
    <w:rsid w:val="00D93AA9"/>
    <w:rsid w:val="00D94F9E"/>
    <w:rsid w:val="00DB1101"/>
    <w:rsid w:val="00DC35BF"/>
    <w:rsid w:val="00DD7715"/>
    <w:rsid w:val="00DE04AF"/>
    <w:rsid w:val="00DE2476"/>
    <w:rsid w:val="00DE3D94"/>
    <w:rsid w:val="00DF4FF0"/>
    <w:rsid w:val="00DF7750"/>
    <w:rsid w:val="00E12E97"/>
    <w:rsid w:val="00E1356D"/>
    <w:rsid w:val="00E246F1"/>
    <w:rsid w:val="00E412AE"/>
    <w:rsid w:val="00E500CE"/>
    <w:rsid w:val="00E53561"/>
    <w:rsid w:val="00E81E4F"/>
    <w:rsid w:val="00E91EEE"/>
    <w:rsid w:val="00EA3B7A"/>
    <w:rsid w:val="00EB0C1A"/>
    <w:rsid w:val="00EB5146"/>
    <w:rsid w:val="00EB6180"/>
    <w:rsid w:val="00EC1D97"/>
    <w:rsid w:val="00ED0C14"/>
    <w:rsid w:val="00EE40C2"/>
    <w:rsid w:val="00EE5E41"/>
    <w:rsid w:val="00EF171D"/>
    <w:rsid w:val="00F22859"/>
    <w:rsid w:val="00F344D7"/>
    <w:rsid w:val="00F34AEF"/>
    <w:rsid w:val="00F4086D"/>
    <w:rsid w:val="00F41EF5"/>
    <w:rsid w:val="00F45774"/>
    <w:rsid w:val="00F52317"/>
    <w:rsid w:val="00F53DBF"/>
    <w:rsid w:val="00F63B26"/>
    <w:rsid w:val="00F829CF"/>
    <w:rsid w:val="00F9614E"/>
    <w:rsid w:val="00FA1222"/>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362633964">
      <w:bodyDiv w:val="1"/>
      <w:marLeft w:val="0"/>
      <w:marRight w:val="0"/>
      <w:marTop w:val="0"/>
      <w:marBottom w:val="0"/>
      <w:divBdr>
        <w:top w:val="none" w:sz="0" w:space="0" w:color="auto"/>
        <w:left w:val="none" w:sz="0" w:space="0" w:color="auto"/>
        <w:bottom w:val="none" w:sz="0" w:space="0" w:color="auto"/>
        <w:right w:val="none" w:sz="0" w:space="0" w:color="auto"/>
      </w:divBdr>
      <w:divsChild>
        <w:div w:id="1105611160">
          <w:marLeft w:val="0"/>
          <w:marRight w:val="0"/>
          <w:marTop w:val="0"/>
          <w:marBottom w:val="0"/>
          <w:divBdr>
            <w:top w:val="none" w:sz="0" w:space="0" w:color="auto"/>
            <w:left w:val="none" w:sz="0" w:space="0" w:color="auto"/>
            <w:bottom w:val="none" w:sz="0" w:space="0" w:color="auto"/>
            <w:right w:val="none" w:sz="0" w:space="0" w:color="auto"/>
          </w:divBdr>
          <w:divsChild>
            <w:div w:id="1324580545">
              <w:marLeft w:val="0"/>
              <w:marRight w:val="0"/>
              <w:marTop w:val="0"/>
              <w:marBottom w:val="0"/>
              <w:divBdr>
                <w:top w:val="none" w:sz="0" w:space="0" w:color="auto"/>
                <w:left w:val="none" w:sz="0" w:space="0" w:color="auto"/>
                <w:bottom w:val="none" w:sz="0" w:space="0" w:color="auto"/>
                <w:right w:val="none" w:sz="0" w:space="0" w:color="auto"/>
              </w:divBdr>
            </w:div>
            <w:div w:id="166486415">
              <w:marLeft w:val="0"/>
              <w:marRight w:val="0"/>
              <w:marTop w:val="0"/>
              <w:marBottom w:val="0"/>
              <w:divBdr>
                <w:top w:val="none" w:sz="0" w:space="0" w:color="auto"/>
                <w:left w:val="none" w:sz="0" w:space="0" w:color="auto"/>
                <w:bottom w:val="none" w:sz="0" w:space="0" w:color="auto"/>
                <w:right w:val="none" w:sz="0" w:space="0" w:color="auto"/>
              </w:divBdr>
            </w:div>
            <w:div w:id="309021639">
              <w:marLeft w:val="0"/>
              <w:marRight w:val="0"/>
              <w:marTop w:val="0"/>
              <w:marBottom w:val="0"/>
              <w:divBdr>
                <w:top w:val="none" w:sz="0" w:space="0" w:color="auto"/>
                <w:left w:val="none" w:sz="0" w:space="0" w:color="auto"/>
                <w:bottom w:val="none" w:sz="0" w:space="0" w:color="auto"/>
                <w:right w:val="none" w:sz="0" w:space="0" w:color="auto"/>
              </w:divBdr>
            </w:div>
            <w:div w:id="1466853402">
              <w:marLeft w:val="0"/>
              <w:marRight w:val="0"/>
              <w:marTop w:val="0"/>
              <w:marBottom w:val="0"/>
              <w:divBdr>
                <w:top w:val="none" w:sz="0" w:space="0" w:color="auto"/>
                <w:left w:val="none" w:sz="0" w:space="0" w:color="auto"/>
                <w:bottom w:val="none" w:sz="0" w:space="0" w:color="auto"/>
                <w:right w:val="none" w:sz="0" w:space="0" w:color="auto"/>
              </w:divBdr>
            </w:div>
          </w:divsChild>
        </w:div>
        <w:div w:id="404425345">
          <w:marLeft w:val="0"/>
          <w:marRight w:val="0"/>
          <w:marTop w:val="0"/>
          <w:marBottom w:val="0"/>
          <w:divBdr>
            <w:top w:val="none" w:sz="0" w:space="0" w:color="auto"/>
            <w:left w:val="none" w:sz="0" w:space="0" w:color="auto"/>
            <w:bottom w:val="none" w:sz="0" w:space="0" w:color="auto"/>
            <w:right w:val="none" w:sz="0" w:space="0" w:color="auto"/>
          </w:divBdr>
        </w:div>
        <w:div w:id="1278442537">
          <w:marLeft w:val="0"/>
          <w:marRight w:val="0"/>
          <w:marTop w:val="0"/>
          <w:marBottom w:val="0"/>
          <w:divBdr>
            <w:top w:val="none" w:sz="0" w:space="0" w:color="auto"/>
            <w:left w:val="none" w:sz="0" w:space="0" w:color="auto"/>
            <w:bottom w:val="none" w:sz="0" w:space="0" w:color="auto"/>
            <w:right w:val="none" w:sz="0" w:space="0" w:color="auto"/>
          </w:divBdr>
          <w:divsChild>
            <w:div w:id="2011129598">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823</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79</cp:revision>
  <dcterms:created xsi:type="dcterms:W3CDTF">2025-09-01T12:24:00Z</dcterms:created>
  <dcterms:modified xsi:type="dcterms:W3CDTF">2026-03-11T13:56:00Z</dcterms:modified>
</cp:coreProperties>
</file>