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2946" w:rsidRDefault="00B72946" w:rsidP="00B72946">
      <w:pPr>
        <w:jc w:val="center"/>
        <w:rPr>
          <w:rFonts w:asciiTheme="majorBidi" w:hAnsiTheme="majorBidi" w:cstheme="majorBidi"/>
          <w:b/>
          <w:noProof/>
          <w:sz w:val="22"/>
          <w:szCs w:val="22"/>
          <w:lang w:val="ro-MD"/>
        </w:rPr>
      </w:pPr>
      <w:r>
        <w:rPr>
          <w:rFonts w:asciiTheme="majorBidi" w:hAnsiTheme="majorBidi" w:cstheme="majorBidi"/>
          <w:b/>
          <w:noProof/>
          <w:sz w:val="22"/>
          <w:szCs w:val="22"/>
          <w:lang w:val="ro-MD"/>
        </w:rPr>
        <w:t>TABEL DE CONCORDANȚĂ</w:t>
      </w:r>
    </w:p>
    <w:p w:rsidR="00B72946" w:rsidRDefault="00B72946" w:rsidP="00B72946">
      <w:pPr>
        <w:jc w:val="center"/>
        <w:rPr>
          <w:rFonts w:asciiTheme="majorBidi" w:hAnsiTheme="majorBidi" w:cstheme="majorBidi"/>
          <w:b/>
          <w:noProof/>
          <w:sz w:val="22"/>
          <w:szCs w:val="22"/>
          <w:lang w:val="ro-MD"/>
        </w:rPr>
      </w:pPr>
    </w:p>
    <w:p w:rsidR="00DE543C" w:rsidRPr="00DE543C" w:rsidRDefault="008D2E0E" w:rsidP="00DE543C">
      <w:pPr>
        <w:jc w:val="center"/>
        <w:rPr>
          <w:b/>
          <w:bCs/>
          <w:noProof/>
          <w:spacing w:val="10"/>
          <w:sz w:val="22"/>
          <w:szCs w:val="22"/>
          <w:lang w:val="ro-MD" w:eastAsia="ro-RO"/>
        </w:rPr>
      </w:pPr>
      <w:r w:rsidRPr="008D2E0E">
        <w:rPr>
          <w:rStyle w:val="FontStyle11"/>
          <w:noProof/>
          <w:sz w:val="22"/>
          <w:szCs w:val="22"/>
          <w:lang w:val="ro-RO" w:eastAsia="ro-RO"/>
        </w:rPr>
        <w:t xml:space="preserve">pentru aprobarea </w:t>
      </w:r>
      <w:r w:rsidR="00DE543C" w:rsidRPr="00DE543C">
        <w:rPr>
          <w:b/>
          <w:bCs/>
          <w:noProof/>
          <w:spacing w:val="10"/>
          <w:sz w:val="22"/>
          <w:szCs w:val="22"/>
          <w:lang w:val="ro-RO" w:eastAsia="ro-RO"/>
        </w:rPr>
        <w:t>Recomandării</w:t>
      </w:r>
      <w:r w:rsidR="00DE543C">
        <w:rPr>
          <w:b/>
          <w:bCs/>
          <w:noProof/>
          <w:spacing w:val="10"/>
          <w:sz w:val="22"/>
          <w:szCs w:val="22"/>
          <w:lang w:val="ro-MD" w:eastAsia="ro-RO"/>
        </w:rPr>
        <w:t xml:space="preserve"> </w:t>
      </w:r>
      <w:r w:rsidR="00DE543C" w:rsidRPr="00DE543C">
        <w:rPr>
          <w:b/>
          <w:bCs/>
          <w:noProof/>
          <w:spacing w:val="10"/>
          <w:sz w:val="22"/>
          <w:szCs w:val="22"/>
          <w:lang w:val="ro-MD" w:eastAsia="ro-RO"/>
        </w:rPr>
        <w:t>privind monitorizarea și reducerea prezenței contaminanților (micotoxine, metale grele și</w:t>
      </w:r>
    </w:p>
    <w:p w:rsidR="00DE543C" w:rsidRPr="00DE543C" w:rsidRDefault="00DE543C" w:rsidP="00DE543C">
      <w:pPr>
        <w:jc w:val="center"/>
        <w:rPr>
          <w:b/>
          <w:bCs/>
          <w:noProof/>
          <w:spacing w:val="10"/>
          <w:sz w:val="22"/>
          <w:szCs w:val="22"/>
          <w:lang w:val="ro-MD" w:eastAsia="ro-RO"/>
        </w:rPr>
      </w:pPr>
      <w:r w:rsidRPr="00DE543C">
        <w:rPr>
          <w:b/>
          <w:bCs/>
          <w:noProof/>
          <w:spacing w:val="10"/>
          <w:sz w:val="22"/>
          <w:szCs w:val="22"/>
          <w:lang w:val="ro-MD" w:eastAsia="ro-RO"/>
        </w:rPr>
        <w:t>poluanți organici persistenți) în produsele</w:t>
      </w:r>
      <w:r>
        <w:rPr>
          <w:b/>
          <w:bCs/>
          <w:noProof/>
          <w:spacing w:val="10"/>
          <w:sz w:val="22"/>
          <w:szCs w:val="22"/>
          <w:lang w:val="ro-MD" w:eastAsia="ro-RO"/>
        </w:rPr>
        <w:t xml:space="preserve"> </w:t>
      </w:r>
      <w:r w:rsidRPr="00DE543C">
        <w:rPr>
          <w:b/>
          <w:bCs/>
          <w:noProof/>
          <w:spacing w:val="10"/>
          <w:sz w:val="22"/>
          <w:szCs w:val="22"/>
          <w:lang w:val="ro-MD" w:eastAsia="ro-RO"/>
        </w:rPr>
        <w:t>destinate hranei animalelor</w:t>
      </w:r>
    </w:p>
    <w:tbl>
      <w:tblPr>
        <w:tblW w:w="140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3604"/>
      </w:tblGrid>
      <w:tr w:rsidR="00B72946" w:rsidTr="00113981">
        <w:trPr>
          <w:jc w:val="center"/>
        </w:trPr>
        <w:tc>
          <w:tcPr>
            <w:tcW w:w="150" w:type="pct"/>
            <w:tcBorders>
              <w:top w:val="single" w:sz="4" w:space="0" w:color="auto"/>
              <w:left w:val="single" w:sz="4" w:space="0" w:color="auto"/>
              <w:bottom w:val="single" w:sz="4" w:space="0" w:color="auto"/>
              <w:right w:val="single" w:sz="4" w:space="0" w:color="auto"/>
            </w:tcBorders>
            <w:hideMark/>
          </w:tcPr>
          <w:p w:rsidR="00B72946" w:rsidRDefault="00B72946" w:rsidP="00113981">
            <w:pPr>
              <w:spacing w:line="256" w:lineRule="auto"/>
              <w:ind w:firstLine="0"/>
              <w:jc w:val="left"/>
              <w:rPr>
                <w:b/>
                <w:lang w:val="ro-MD"/>
              </w:rPr>
            </w:pPr>
            <w:r>
              <w:rPr>
                <w:b/>
                <w:lang w:val="ro-MD"/>
              </w:rPr>
              <w:t>1</w:t>
            </w:r>
          </w:p>
        </w:tc>
        <w:tc>
          <w:tcPr>
            <w:tcW w:w="4850" w:type="pct"/>
            <w:tcBorders>
              <w:top w:val="single" w:sz="4" w:space="0" w:color="auto"/>
              <w:left w:val="single" w:sz="4" w:space="0" w:color="auto"/>
              <w:bottom w:val="single" w:sz="4" w:space="0" w:color="auto"/>
              <w:right w:val="single" w:sz="4" w:space="0" w:color="auto"/>
            </w:tcBorders>
            <w:hideMark/>
          </w:tcPr>
          <w:p w:rsidR="00B72946" w:rsidRPr="004763AA" w:rsidRDefault="00DF02AC" w:rsidP="000C0365">
            <w:pPr>
              <w:spacing w:line="256" w:lineRule="auto"/>
              <w:ind w:firstLine="0"/>
              <w:rPr>
                <w:b/>
                <w:lang w:val="ro-MD"/>
              </w:rPr>
            </w:pPr>
            <w:r w:rsidRPr="00DF02AC">
              <w:rPr>
                <w:b/>
                <w:bCs/>
                <w:shd w:val="clear" w:color="auto" w:fill="FFFFFF"/>
                <w:lang w:val="ro-MD"/>
              </w:rPr>
              <w:t>Recomandarea Comisiei din 20 mai 2022 privind monitorizarea prezenței arsenicului anorganic în furajele, CELEX: 32022H0523(01), publicat în Jurnalul Oficial al Uniunii Europene C206/1, din 23 mai 2022</w:t>
            </w:r>
          </w:p>
        </w:tc>
      </w:tr>
      <w:tr w:rsidR="00B72946" w:rsidTr="00113981">
        <w:trPr>
          <w:jc w:val="center"/>
        </w:trPr>
        <w:tc>
          <w:tcPr>
            <w:tcW w:w="150" w:type="pct"/>
            <w:tcBorders>
              <w:top w:val="single" w:sz="4" w:space="0" w:color="auto"/>
              <w:left w:val="single" w:sz="4" w:space="0" w:color="auto"/>
              <w:bottom w:val="single" w:sz="4" w:space="0" w:color="auto"/>
              <w:right w:val="single" w:sz="4" w:space="0" w:color="auto"/>
            </w:tcBorders>
            <w:hideMark/>
          </w:tcPr>
          <w:p w:rsidR="00B72946" w:rsidRDefault="00B72946" w:rsidP="00113981">
            <w:pPr>
              <w:spacing w:line="256" w:lineRule="auto"/>
              <w:ind w:firstLine="0"/>
              <w:rPr>
                <w:b/>
                <w:lang w:val="ro-MD"/>
              </w:rPr>
            </w:pPr>
            <w:r>
              <w:rPr>
                <w:b/>
                <w:lang w:val="ro-MD"/>
              </w:rPr>
              <w:t>2</w:t>
            </w:r>
          </w:p>
        </w:tc>
        <w:tc>
          <w:tcPr>
            <w:tcW w:w="4850" w:type="pct"/>
            <w:tcBorders>
              <w:top w:val="single" w:sz="4" w:space="0" w:color="auto"/>
              <w:left w:val="single" w:sz="4" w:space="0" w:color="auto"/>
              <w:bottom w:val="single" w:sz="4" w:space="0" w:color="auto"/>
              <w:right w:val="single" w:sz="4" w:space="0" w:color="auto"/>
            </w:tcBorders>
            <w:hideMark/>
          </w:tcPr>
          <w:p w:rsidR="00B72946" w:rsidRPr="00AC1BAE" w:rsidRDefault="00DE543C" w:rsidP="00AC1BAE">
            <w:pPr>
              <w:shd w:val="clear" w:color="auto" w:fill="FFFFFF"/>
              <w:spacing w:line="256" w:lineRule="auto"/>
              <w:ind w:firstLine="0"/>
              <w:rPr>
                <w:b/>
                <w:lang w:val="ro-MD"/>
              </w:rPr>
            </w:pPr>
            <w:r w:rsidRPr="00DE543C">
              <w:rPr>
                <w:b/>
                <w:lang w:val="ro-MD"/>
              </w:rPr>
              <w:t>Recomandare privind monitorizarea prezenței arsenului anorganic în hrana pentru animale</w:t>
            </w:r>
          </w:p>
        </w:tc>
      </w:tr>
      <w:tr w:rsidR="00B72946" w:rsidRPr="006A0462" w:rsidTr="00113981">
        <w:trPr>
          <w:jc w:val="center"/>
        </w:trPr>
        <w:tc>
          <w:tcPr>
            <w:tcW w:w="150" w:type="pct"/>
            <w:tcBorders>
              <w:top w:val="single" w:sz="4" w:space="0" w:color="auto"/>
              <w:left w:val="single" w:sz="4" w:space="0" w:color="auto"/>
              <w:bottom w:val="single" w:sz="4" w:space="0" w:color="auto"/>
              <w:right w:val="single" w:sz="4" w:space="0" w:color="auto"/>
            </w:tcBorders>
            <w:hideMark/>
          </w:tcPr>
          <w:p w:rsidR="00B72946" w:rsidRPr="006A0462" w:rsidRDefault="00B72946" w:rsidP="00113981">
            <w:pPr>
              <w:spacing w:line="256" w:lineRule="auto"/>
              <w:ind w:firstLine="0"/>
              <w:rPr>
                <w:b/>
                <w:lang w:val="ro-MD"/>
              </w:rPr>
            </w:pPr>
            <w:r w:rsidRPr="006A0462">
              <w:rPr>
                <w:b/>
                <w:lang w:val="ro-MD"/>
              </w:rPr>
              <w:t>3</w:t>
            </w:r>
          </w:p>
        </w:tc>
        <w:tc>
          <w:tcPr>
            <w:tcW w:w="4850" w:type="pct"/>
            <w:tcBorders>
              <w:top w:val="single" w:sz="4" w:space="0" w:color="auto"/>
              <w:left w:val="single" w:sz="4" w:space="0" w:color="auto"/>
              <w:bottom w:val="single" w:sz="4" w:space="0" w:color="auto"/>
              <w:right w:val="single" w:sz="4" w:space="0" w:color="auto"/>
            </w:tcBorders>
            <w:hideMark/>
          </w:tcPr>
          <w:p w:rsidR="00B72946" w:rsidRPr="006A0462" w:rsidRDefault="00B72946" w:rsidP="002D4E4F">
            <w:pPr>
              <w:spacing w:line="256" w:lineRule="auto"/>
              <w:ind w:firstLine="0"/>
              <w:rPr>
                <w:b/>
                <w:lang w:val="ro-MD"/>
              </w:rPr>
            </w:pPr>
            <w:r w:rsidRPr="006A0462">
              <w:rPr>
                <w:b/>
                <w:lang w:val="ro-MD"/>
              </w:rPr>
              <w:t xml:space="preserve">Gradul general de </w:t>
            </w:r>
            <w:r w:rsidRPr="00D07D9D">
              <w:rPr>
                <w:b/>
                <w:lang w:val="ro-MD"/>
              </w:rPr>
              <w:t xml:space="preserve">compatibilitate </w:t>
            </w:r>
            <w:r w:rsidR="00BA1134" w:rsidRPr="00D07D9D">
              <w:rPr>
                <w:b/>
                <w:lang w:val="ro-MD"/>
              </w:rPr>
              <w:t>–</w:t>
            </w:r>
            <w:r w:rsidRPr="00D07D9D">
              <w:rPr>
                <w:b/>
                <w:lang w:val="ro-MD"/>
              </w:rPr>
              <w:t>compatibil</w:t>
            </w:r>
            <w:r w:rsidR="00BA1134" w:rsidRPr="00D07D9D">
              <w:rPr>
                <w:b/>
                <w:lang w:val="ro-MD"/>
              </w:rPr>
              <w:t xml:space="preserve"> </w:t>
            </w:r>
          </w:p>
        </w:tc>
      </w:tr>
      <w:tr w:rsidR="00B72946" w:rsidRPr="006A0462" w:rsidTr="00113981">
        <w:trPr>
          <w:jc w:val="center"/>
        </w:trPr>
        <w:tc>
          <w:tcPr>
            <w:tcW w:w="150" w:type="pct"/>
            <w:tcBorders>
              <w:top w:val="single" w:sz="4" w:space="0" w:color="auto"/>
              <w:left w:val="single" w:sz="4" w:space="0" w:color="auto"/>
              <w:bottom w:val="single" w:sz="4" w:space="0" w:color="auto"/>
              <w:right w:val="single" w:sz="4" w:space="0" w:color="auto"/>
            </w:tcBorders>
            <w:hideMark/>
          </w:tcPr>
          <w:p w:rsidR="00B72946" w:rsidRPr="006A0462" w:rsidRDefault="00B72946" w:rsidP="00113981">
            <w:pPr>
              <w:spacing w:line="256" w:lineRule="auto"/>
              <w:ind w:firstLine="0"/>
              <w:rPr>
                <w:b/>
                <w:lang w:val="ro-MD"/>
              </w:rPr>
            </w:pPr>
            <w:r w:rsidRPr="006A0462">
              <w:rPr>
                <w:b/>
                <w:lang w:val="ro-MD"/>
              </w:rPr>
              <w:t>4</w:t>
            </w:r>
          </w:p>
        </w:tc>
        <w:tc>
          <w:tcPr>
            <w:tcW w:w="4850" w:type="pct"/>
            <w:tcBorders>
              <w:top w:val="single" w:sz="4" w:space="0" w:color="auto"/>
              <w:left w:val="single" w:sz="4" w:space="0" w:color="auto"/>
              <w:bottom w:val="single" w:sz="4" w:space="0" w:color="auto"/>
              <w:right w:val="single" w:sz="4" w:space="0" w:color="auto"/>
            </w:tcBorders>
            <w:hideMark/>
          </w:tcPr>
          <w:p w:rsidR="00B72946" w:rsidRPr="006A0462" w:rsidRDefault="00B72946" w:rsidP="00113981">
            <w:pPr>
              <w:spacing w:line="256" w:lineRule="auto"/>
              <w:ind w:firstLine="0"/>
              <w:rPr>
                <w:b/>
                <w:lang w:val="ro-RO"/>
              </w:rPr>
            </w:pPr>
            <w:r w:rsidRPr="006A0462">
              <w:rPr>
                <w:b/>
                <w:lang w:val="ro-MD"/>
              </w:rPr>
              <w:t xml:space="preserve">Autoritatea/persoana responsabilă MAIA / </w:t>
            </w:r>
            <w:proofErr w:type="spellStart"/>
            <w:r w:rsidRPr="006A0462">
              <w:rPr>
                <w:b/>
                <w:lang w:val="ro-MD"/>
              </w:rPr>
              <w:t>Antohiev</w:t>
            </w:r>
            <w:proofErr w:type="spellEnd"/>
            <w:r w:rsidRPr="006A0462">
              <w:rPr>
                <w:b/>
                <w:lang w:val="ro-MD"/>
              </w:rPr>
              <w:t xml:space="preserve"> Tatiana</w:t>
            </w:r>
          </w:p>
        </w:tc>
      </w:tr>
      <w:tr w:rsidR="00B72946" w:rsidRPr="006A0462" w:rsidTr="00113981">
        <w:trPr>
          <w:jc w:val="center"/>
        </w:trPr>
        <w:tc>
          <w:tcPr>
            <w:tcW w:w="150" w:type="pct"/>
            <w:tcBorders>
              <w:top w:val="single" w:sz="4" w:space="0" w:color="auto"/>
              <w:left w:val="single" w:sz="4" w:space="0" w:color="auto"/>
              <w:bottom w:val="single" w:sz="4" w:space="0" w:color="auto"/>
              <w:right w:val="single" w:sz="4" w:space="0" w:color="auto"/>
            </w:tcBorders>
            <w:hideMark/>
          </w:tcPr>
          <w:p w:rsidR="00B72946" w:rsidRPr="006A0462" w:rsidRDefault="00B72946" w:rsidP="00113981">
            <w:pPr>
              <w:spacing w:line="256" w:lineRule="auto"/>
              <w:ind w:firstLine="0"/>
              <w:rPr>
                <w:b/>
                <w:lang w:val="ro-MD"/>
              </w:rPr>
            </w:pPr>
            <w:r w:rsidRPr="006A0462">
              <w:rPr>
                <w:b/>
                <w:lang w:val="ro-MD"/>
              </w:rPr>
              <w:t>5</w:t>
            </w:r>
          </w:p>
        </w:tc>
        <w:tc>
          <w:tcPr>
            <w:tcW w:w="4850" w:type="pct"/>
            <w:tcBorders>
              <w:top w:val="single" w:sz="4" w:space="0" w:color="auto"/>
              <w:left w:val="single" w:sz="4" w:space="0" w:color="auto"/>
              <w:bottom w:val="single" w:sz="4" w:space="0" w:color="auto"/>
              <w:right w:val="single" w:sz="4" w:space="0" w:color="auto"/>
            </w:tcBorders>
            <w:hideMark/>
          </w:tcPr>
          <w:p w:rsidR="00B72946" w:rsidRPr="006A0462" w:rsidRDefault="00B72946" w:rsidP="00113981">
            <w:pPr>
              <w:spacing w:line="256" w:lineRule="auto"/>
              <w:ind w:firstLine="0"/>
              <w:rPr>
                <w:b/>
                <w:lang w:val="ro-MD"/>
              </w:rPr>
            </w:pPr>
            <w:r w:rsidRPr="006A0462">
              <w:rPr>
                <w:b/>
                <w:lang w:val="ro-MD"/>
              </w:rPr>
              <w:t>Da</w:t>
            </w:r>
            <w:r w:rsidR="004B3A63">
              <w:rPr>
                <w:b/>
                <w:lang w:val="ro-MD"/>
              </w:rPr>
              <w:t>ta întocmirii/actualizării -2025</w:t>
            </w:r>
          </w:p>
        </w:tc>
      </w:tr>
    </w:tbl>
    <w:tbl>
      <w:tblPr>
        <w:tblStyle w:val="TableGrid1"/>
        <w:tblW w:w="14025" w:type="dxa"/>
        <w:jc w:val="center"/>
        <w:tblLayout w:type="fixed"/>
        <w:tblLook w:val="04A0" w:firstRow="1" w:lastRow="0" w:firstColumn="1" w:lastColumn="0" w:noHBand="0" w:noVBand="1"/>
      </w:tblPr>
      <w:tblGrid>
        <w:gridCol w:w="5240"/>
        <w:gridCol w:w="5670"/>
        <w:gridCol w:w="1559"/>
        <w:gridCol w:w="1556"/>
      </w:tblGrid>
      <w:tr w:rsidR="00B72946" w:rsidRPr="006A0462" w:rsidTr="00EC1D97">
        <w:trPr>
          <w:trHeight w:val="698"/>
          <w:jc w:val="center"/>
        </w:trPr>
        <w:tc>
          <w:tcPr>
            <w:tcW w:w="5240" w:type="dxa"/>
            <w:tcBorders>
              <w:top w:val="single" w:sz="4" w:space="0" w:color="auto"/>
              <w:left w:val="single" w:sz="4" w:space="0" w:color="auto"/>
              <w:bottom w:val="single" w:sz="4" w:space="0" w:color="auto"/>
              <w:right w:val="single" w:sz="4" w:space="0" w:color="auto"/>
            </w:tcBorders>
            <w:hideMark/>
          </w:tcPr>
          <w:p w:rsidR="00B72946" w:rsidRPr="006A0462" w:rsidRDefault="00B72946" w:rsidP="00113981">
            <w:pPr>
              <w:ind w:firstLine="0"/>
              <w:jc w:val="center"/>
              <w:rPr>
                <w:b/>
                <w:lang w:val="ro-MD"/>
              </w:rPr>
            </w:pPr>
            <w:r w:rsidRPr="006A0462">
              <w:rPr>
                <w:b/>
                <w:lang w:val="ro-MD"/>
              </w:rPr>
              <w:t>Actul Uniunii Europene</w:t>
            </w:r>
          </w:p>
        </w:tc>
        <w:tc>
          <w:tcPr>
            <w:tcW w:w="5670" w:type="dxa"/>
            <w:tcBorders>
              <w:top w:val="single" w:sz="4" w:space="0" w:color="auto"/>
              <w:left w:val="single" w:sz="4" w:space="0" w:color="auto"/>
              <w:bottom w:val="single" w:sz="4" w:space="0" w:color="auto"/>
              <w:right w:val="single" w:sz="4" w:space="0" w:color="auto"/>
            </w:tcBorders>
            <w:hideMark/>
          </w:tcPr>
          <w:p w:rsidR="00B72946" w:rsidRPr="006A0462" w:rsidRDefault="00B72946" w:rsidP="00113981">
            <w:pPr>
              <w:ind w:firstLine="0"/>
              <w:jc w:val="center"/>
              <w:rPr>
                <w:b/>
                <w:lang w:val="ro-MD"/>
              </w:rPr>
            </w:pPr>
            <w:r w:rsidRPr="006A0462">
              <w:rPr>
                <w:b/>
                <w:lang w:val="ro-MD"/>
              </w:rPr>
              <w:t>Proiectul de act normativ național</w:t>
            </w:r>
          </w:p>
        </w:tc>
        <w:tc>
          <w:tcPr>
            <w:tcW w:w="1559" w:type="dxa"/>
            <w:tcBorders>
              <w:top w:val="single" w:sz="4" w:space="0" w:color="auto"/>
              <w:left w:val="single" w:sz="4" w:space="0" w:color="auto"/>
              <w:bottom w:val="single" w:sz="4" w:space="0" w:color="auto"/>
              <w:right w:val="single" w:sz="4" w:space="0" w:color="auto"/>
            </w:tcBorders>
            <w:hideMark/>
          </w:tcPr>
          <w:p w:rsidR="00B72946" w:rsidRPr="006A0462" w:rsidRDefault="00B72946" w:rsidP="00113981">
            <w:pPr>
              <w:ind w:firstLine="0"/>
              <w:jc w:val="center"/>
              <w:rPr>
                <w:b/>
                <w:lang w:val="ro-MD"/>
              </w:rPr>
            </w:pPr>
            <w:r w:rsidRPr="006A0462">
              <w:rPr>
                <w:b/>
                <w:lang w:val="ro-MD"/>
              </w:rPr>
              <w:t>Gradul de compatibilitate</w:t>
            </w:r>
          </w:p>
        </w:tc>
        <w:tc>
          <w:tcPr>
            <w:tcW w:w="1556" w:type="dxa"/>
            <w:tcBorders>
              <w:top w:val="single" w:sz="4" w:space="0" w:color="auto"/>
              <w:left w:val="single" w:sz="4" w:space="0" w:color="auto"/>
              <w:bottom w:val="single" w:sz="4" w:space="0" w:color="auto"/>
              <w:right w:val="single" w:sz="4" w:space="0" w:color="auto"/>
            </w:tcBorders>
            <w:hideMark/>
          </w:tcPr>
          <w:p w:rsidR="00B72946" w:rsidRPr="006A0462" w:rsidRDefault="00B72946" w:rsidP="00113981">
            <w:pPr>
              <w:ind w:firstLine="0"/>
              <w:jc w:val="center"/>
              <w:rPr>
                <w:b/>
                <w:lang w:val="ro-MD"/>
              </w:rPr>
            </w:pPr>
            <w:r w:rsidRPr="006A0462">
              <w:rPr>
                <w:b/>
                <w:lang w:val="ro-MD"/>
              </w:rPr>
              <w:t>Observații</w:t>
            </w:r>
          </w:p>
        </w:tc>
      </w:tr>
      <w:tr w:rsidR="00B72946" w:rsidRPr="006A0462" w:rsidTr="00EC1D97">
        <w:trPr>
          <w:trHeight w:val="218"/>
          <w:jc w:val="center"/>
        </w:trPr>
        <w:tc>
          <w:tcPr>
            <w:tcW w:w="5240" w:type="dxa"/>
            <w:tcBorders>
              <w:top w:val="single" w:sz="4" w:space="0" w:color="auto"/>
              <w:left w:val="single" w:sz="4" w:space="0" w:color="auto"/>
              <w:bottom w:val="single" w:sz="4" w:space="0" w:color="auto"/>
              <w:right w:val="single" w:sz="4" w:space="0" w:color="auto"/>
            </w:tcBorders>
            <w:hideMark/>
          </w:tcPr>
          <w:p w:rsidR="00B72946" w:rsidRPr="006A0462" w:rsidRDefault="00B72946" w:rsidP="00113981">
            <w:pPr>
              <w:ind w:firstLine="0"/>
              <w:jc w:val="left"/>
              <w:rPr>
                <w:b/>
                <w:lang w:val="ro-MD"/>
              </w:rPr>
            </w:pPr>
            <w:r w:rsidRPr="006A0462">
              <w:rPr>
                <w:b/>
                <w:lang w:val="ro-MD"/>
              </w:rPr>
              <w:t>6</w:t>
            </w:r>
          </w:p>
        </w:tc>
        <w:tc>
          <w:tcPr>
            <w:tcW w:w="5670" w:type="dxa"/>
            <w:tcBorders>
              <w:top w:val="single" w:sz="4" w:space="0" w:color="auto"/>
              <w:left w:val="single" w:sz="4" w:space="0" w:color="auto"/>
              <w:bottom w:val="single" w:sz="4" w:space="0" w:color="auto"/>
              <w:right w:val="single" w:sz="4" w:space="0" w:color="auto"/>
            </w:tcBorders>
            <w:hideMark/>
          </w:tcPr>
          <w:p w:rsidR="00B72946" w:rsidRPr="006A0462" w:rsidRDefault="00B72946" w:rsidP="00113981">
            <w:pPr>
              <w:ind w:firstLine="0"/>
              <w:jc w:val="left"/>
              <w:rPr>
                <w:b/>
                <w:lang w:val="ro-MD"/>
              </w:rPr>
            </w:pPr>
            <w:r w:rsidRPr="006A0462">
              <w:rPr>
                <w:b/>
                <w:lang w:val="ro-MD"/>
              </w:rPr>
              <w:t>7</w:t>
            </w:r>
          </w:p>
        </w:tc>
        <w:tc>
          <w:tcPr>
            <w:tcW w:w="1559" w:type="dxa"/>
            <w:tcBorders>
              <w:top w:val="single" w:sz="4" w:space="0" w:color="auto"/>
              <w:left w:val="single" w:sz="4" w:space="0" w:color="auto"/>
              <w:bottom w:val="single" w:sz="4" w:space="0" w:color="auto"/>
              <w:right w:val="single" w:sz="4" w:space="0" w:color="auto"/>
            </w:tcBorders>
            <w:hideMark/>
          </w:tcPr>
          <w:p w:rsidR="00B72946" w:rsidRPr="006A0462" w:rsidRDefault="00B72946" w:rsidP="00113981">
            <w:pPr>
              <w:ind w:firstLine="0"/>
              <w:jc w:val="left"/>
              <w:rPr>
                <w:b/>
                <w:lang w:val="ro-MD"/>
              </w:rPr>
            </w:pPr>
            <w:r w:rsidRPr="006A0462">
              <w:rPr>
                <w:b/>
                <w:lang w:val="ro-MD"/>
              </w:rPr>
              <w:t>8</w:t>
            </w:r>
          </w:p>
        </w:tc>
        <w:tc>
          <w:tcPr>
            <w:tcW w:w="1556" w:type="dxa"/>
            <w:tcBorders>
              <w:top w:val="single" w:sz="4" w:space="0" w:color="auto"/>
              <w:left w:val="single" w:sz="4" w:space="0" w:color="auto"/>
              <w:bottom w:val="single" w:sz="4" w:space="0" w:color="auto"/>
              <w:right w:val="single" w:sz="4" w:space="0" w:color="auto"/>
            </w:tcBorders>
            <w:hideMark/>
          </w:tcPr>
          <w:p w:rsidR="00B72946" w:rsidRPr="006A0462" w:rsidRDefault="00B72946" w:rsidP="00113981">
            <w:pPr>
              <w:ind w:firstLine="0"/>
              <w:jc w:val="left"/>
              <w:rPr>
                <w:b/>
                <w:lang w:val="ro-MD"/>
              </w:rPr>
            </w:pPr>
            <w:r w:rsidRPr="006A0462">
              <w:rPr>
                <w:b/>
                <w:lang w:val="ro-MD"/>
              </w:rPr>
              <w:t>9</w:t>
            </w:r>
          </w:p>
        </w:tc>
      </w:tr>
      <w:tr w:rsidR="00B72946" w:rsidRPr="006A0462" w:rsidTr="002725E1">
        <w:trPr>
          <w:trHeight w:val="223"/>
          <w:jc w:val="center"/>
        </w:trPr>
        <w:tc>
          <w:tcPr>
            <w:tcW w:w="5240" w:type="dxa"/>
            <w:tcBorders>
              <w:top w:val="single" w:sz="4" w:space="0" w:color="auto"/>
              <w:left w:val="single" w:sz="4" w:space="0" w:color="auto"/>
              <w:bottom w:val="single" w:sz="4" w:space="0" w:color="auto"/>
              <w:right w:val="single" w:sz="4" w:space="0" w:color="auto"/>
            </w:tcBorders>
            <w:hideMark/>
          </w:tcPr>
          <w:p w:rsidR="008C7724" w:rsidRPr="008C7724" w:rsidRDefault="009D40F6" w:rsidP="008C7724">
            <w:pPr>
              <w:shd w:val="clear" w:color="auto" w:fill="FFFFFF"/>
              <w:ind w:firstLine="0"/>
              <w:rPr>
                <w:bCs/>
                <w:shd w:val="clear" w:color="auto" w:fill="FFFFFF"/>
                <w:lang w:val="ro-RO" w:eastAsia="ro-RO"/>
              </w:rPr>
            </w:pPr>
            <w:r w:rsidRPr="0006201F">
              <w:rPr>
                <w:bCs/>
                <w:shd w:val="clear" w:color="auto" w:fill="FFFFFF"/>
                <w:lang w:val="ro-RO" w:eastAsia="ro-RO"/>
              </w:rPr>
              <w:t xml:space="preserve"> </w:t>
            </w:r>
            <w:r w:rsidR="008C7724">
              <w:rPr>
                <w:bCs/>
                <w:shd w:val="clear" w:color="auto" w:fill="FFFFFF"/>
                <w:lang w:val="ro-RO" w:eastAsia="ro-RO"/>
              </w:rPr>
              <w:t>COMISIA EUROPEANĂ,</w:t>
            </w:r>
          </w:p>
          <w:p w:rsidR="008C7724" w:rsidRPr="008C7724" w:rsidRDefault="008C7724" w:rsidP="008C7724">
            <w:pPr>
              <w:shd w:val="clear" w:color="auto" w:fill="FFFFFF"/>
              <w:ind w:firstLine="0"/>
              <w:rPr>
                <w:bCs/>
                <w:shd w:val="clear" w:color="auto" w:fill="FFFFFF"/>
                <w:lang w:val="ro-RO" w:eastAsia="ro-RO"/>
              </w:rPr>
            </w:pPr>
            <w:r w:rsidRPr="008C7724">
              <w:rPr>
                <w:bCs/>
                <w:shd w:val="clear" w:color="auto" w:fill="FFFFFF"/>
                <w:lang w:val="ro-RO" w:eastAsia="ro-RO"/>
              </w:rPr>
              <w:t>având în vedere Tratatul privind funcționarea Uniunii Europene, în special arti</w:t>
            </w:r>
            <w:r>
              <w:rPr>
                <w:bCs/>
                <w:shd w:val="clear" w:color="auto" w:fill="FFFFFF"/>
                <w:lang w:val="ro-RO" w:eastAsia="ro-RO"/>
              </w:rPr>
              <w:t>colul 292,</w:t>
            </w:r>
          </w:p>
          <w:p w:rsidR="008C7724" w:rsidRPr="008C7724" w:rsidRDefault="008C7724" w:rsidP="008C7724">
            <w:pPr>
              <w:shd w:val="clear" w:color="auto" w:fill="FFFFFF"/>
              <w:ind w:firstLine="0"/>
              <w:rPr>
                <w:bCs/>
                <w:shd w:val="clear" w:color="auto" w:fill="FFFFFF"/>
                <w:lang w:val="ro-RO" w:eastAsia="ro-RO"/>
              </w:rPr>
            </w:pPr>
            <w:r>
              <w:rPr>
                <w:bCs/>
                <w:shd w:val="clear" w:color="auto" w:fill="FFFFFF"/>
                <w:lang w:val="ro-RO" w:eastAsia="ro-RO"/>
              </w:rPr>
              <w:t>Întrucât:</w:t>
            </w:r>
          </w:p>
          <w:p w:rsidR="008C7724" w:rsidRPr="008C7724" w:rsidRDefault="008C7724" w:rsidP="008C7724">
            <w:pPr>
              <w:shd w:val="clear" w:color="auto" w:fill="FFFFFF"/>
              <w:ind w:firstLine="0"/>
              <w:rPr>
                <w:bCs/>
                <w:shd w:val="clear" w:color="auto" w:fill="FFFFFF"/>
                <w:lang w:val="ro-RO" w:eastAsia="ro-RO"/>
              </w:rPr>
            </w:pPr>
            <w:r>
              <w:rPr>
                <w:bCs/>
                <w:shd w:val="clear" w:color="auto" w:fill="FFFFFF"/>
                <w:lang w:val="ro-RO" w:eastAsia="ro-RO"/>
              </w:rPr>
              <w:t xml:space="preserve">(1) </w:t>
            </w:r>
            <w:r w:rsidRPr="008C7724">
              <w:rPr>
                <w:bCs/>
                <w:shd w:val="clear" w:color="auto" w:fill="FFFFFF"/>
                <w:lang w:val="ro-RO" w:eastAsia="ro-RO"/>
              </w:rPr>
              <w:t>Formele anorganice și organice de arsen diferă semnificativ în ceea ce privește toxicitatea lor, compușii organici ai arsenului prezentând un potențial toxic foarte scăzut. Prin urmare, potențialele efecte adverse ale arsenului asupra sănătății animalelor (și umane) sunt determinate de fracția anorganică dintr-un anumit produs alimentar (furaje). În materiile prime pentru furaje, cum ar fi peștele, alte animale acvatice și produsele derivate din acestea, precum și algele și produsele derivate din acestea, arsenul este prezent predominant în forme organice. Datele care raportează doar arsenul total în astfel de materii prime pentru furaje sunt dificil de interpretat în ceea ce privește potenția</w:t>
            </w:r>
            <w:r>
              <w:rPr>
                <w:bCs/>
                <w:shd w:val="clear" w:color="auto" w:fill="FFFFFF"/>
                <w:lang w:val="ro-RO" w:eastAsia="ro-RO"/>
              </w:rPr>
              <w:t>lul de a induce efecte adverse.</w:t>
            </w:r>
          </w:p>
          <w:p w:rsidR="008C7724" w:rsidRPr="008C7724" w:rsidRDefault="008C7724" w:rsidP="008C7724">
            <w:pPr>
              <w:shd w:val="clear" w:color="auto" w:fill="FFFFFF"/>
              <w:ind w:firstLine="0"/>
              <w:rPr>
                <w:bCs/>
                <w:shd w:val="clear" w:color="auto" w:fill="FFFFFF"/>
                <w:lang w:val="ro-RO" w:eastAsia="ro-RO"/>
              </w:rPr>
            </w:pPr>
            <w:r w:rsidRPr="008C7724">
              <w:rPr>
                <w:bCs/>
                <w:shd w:val="clear" w:color="auto" w:fill="FFFFFF"/>
                <w:lang w:val="ro-RO" w:eastAsia="ro-RO"/>
              </w:rPr>
              <w:t>(2)</w:t>
            </w:r>
            <w:r>
              <w:rPr>
                <w:bCs/>
                <w:shd w:val="clear" w:color="auto" w:fill="FFFFFF"/>
                <w:lang w:val="ro-RO" w:eastAsia="ro-RO"/>
              </w:rPr>
              <w:t xml:space="preserve"> </w:t>
            </w:r>
            <w:r w:rsidRPr="008C7724">
              <w:rPr>
                <w:bCs/>
                <w:shd w:val="clear" w:color="auto" w:fill="FFFFFF"/>
                <w:lang w:val="ro-RO" w:eastAsia="ro-RO"/>
              </w:rPr>
              <w:t xml:space="preserve">Directiva 2002/32/CE a Parlamentului European și a Consiliului  ( 1 ) stabilește niveluri maxime de arsen într-o gamă largă de produse destinate hranei animalelor. Nivelurile maxime se referă la arsenul total, deoarece, la stabilirea nivelurilor maxime de arsen din hrana animalelor, nu a fost disponibilă nicio metodă de analiză de rutină pentru analiza </w:t>
            </w:r>
            <w:r w:rsidRPr="008C7724">
              <w:rPr>
                <w:bCs/>
                <w:shd w:val="clear" w:color="auto" w:fill="FFFFFF"/>
                <w:lang w:val="ro-RO" w:eastAsia="ro-RO"/>
              </w:rPr>
              <w:lastRenderedPageBreak/>
              <w:t>separată a arsenului anorganic, putând fi analizat în mod cure</w:t>
            </w:r>
            <w:r>
              <w:rPr>
                <w:bCs/>
                <w:shd w:val="clear" w:color="auto" w:fill="FFFFFF"/>
                <w:lang w:val="ro-RO" w:eastAsia="ro-RO"/>
              </w:rPr>
              <w:t>nt doar nivelul de arsen total.</w:t>
            </w:r>
          </w:p>
          <w:p w:rsidR="008C7724" w:rsidRPr="008C7724" w:rsidRDefault="008C7724" w:rsidP="008C7724">
            <w:pPr>
              <w:shd w:val="clear" w:color="auto" w:fill="FFFFFF"/>
              <w:ind w:firstLine="0"/>
              <w:rPr>
                <w:bCs/>
                <w:shd w:val="clear" w:color="auto" w:fill="FFFFFF"/>
                <w:lang w:val="ro-RO" w:eastAsia="ro-RO"/>
              </w:rPr>
            </w:pPr>
            <w:r>
              <w:rPr>
                <w:bCs/>
                <w:shd w:val="clear" w:color="auto" w:fill="FFFFFF"/>
                <w:lang w:val="ro-RO" w:eastAsia="ro-RO"/>
              </w:rPr>
              <w:t xml:space="preserve">(3) </w:t>
            </w:r>
            <w:r w:rsidRPr="008C7724">
              <w:rPr>
                <w:bCs/>
                <w:shd w:val="clear" w:color="auto" w:fill="FFFFFF"/>
                <w:lang w:val="ro-RO" w:eastAsia="ro-RO"/>
              </w:rPr>
              <w:t>Laboratorul de referință al Uniunii Europene pentru metale și compuși azotați a confirmat că sunt disponibile metode de analiză de rutină pentru analiza arsenicului anorganic în furajele de origine marină, animală și vegetală, dar nu și în matricele minerale pentru furaje. Cu toate acestea, în furajele minerale, arsenicul va fi prezent sub formă anorganică și, prin urmare, o determinare totală a arsenicului este în astfel de matrice pentru furaje o bună estimare a conc</w:t>
            </w:r>
            <w:r>
              <w:rPr>
                <w:bCs/>
                <w:shd w:val="clear" w:color="auto" w:fill="FFFFFF"/>
                <w:lang w:val="ro-RO" w:eastAsia="ro-RO"/>
              </w:rPr>
              <w:t>entrației de arsenic anorganic.</w:t>
            </w:r>
          </w:p>
          <w:p w:rsidR="008C7724" w:rsidRPr="008C7724" w:rsidRDefault="008C7724" w:rsidP="008C7724">
            <w:pPr>
              <w:shd w:val="clear" w:color="auto" w:fill="FFFFFF"/>
              <w:ind w:firstLine="0"/>
              <w:rPr>
                <w:bCs/>
                <w:shd w:val="clear" w:color="auto" w:fill="FFFFFF"/>
                <w:lang w:val="ro-RO" w:eastAsia="ro-RO"/>
              </w:rPr>
            </w:pPr>
            <w:r>
              <w:rPr>
                <w:bCs/>
                <w:shd w:val="clear" w:color="auto" w:fill="FFFFFF"/>
                <w:lang w:val="ro-RO" w:eastAsia="ro-RO"/>
              </w:rPr>
              <w:t xml:space="preserve">(4) </w:t>
            </w:r>
            <w:r w:rsidRPr="008C7724">
              <w:rPr>
                <w:bCs/>
                <w:shd w:val="clear" w:color="auto" w:fill="FFFFFF"/>
                <w:lang w:val="ro-RO" w:eastAsia="ro-RO"/>
              </w:rPr>
              <w:t>În baza de date a Autorității Europene pentru Siguranța Alimentară (EFSA) sunt disponibile doar date limitate privind prezența arsenicului anorganic în furaje.</w:t>
            </w:r>
          </w:p>
          <w:p w:rsidR="008C7724" w:rsidRPr="008C7724" w:rsidRDefault="008C7724" w:rsidP="008C7724">
            <w:pPr>
              <w:shd w:val="clear" w:color="auto" w:fill="FFFFFF"/>
              <w:ind w:firstLine="0"/>
              <w:rPr>
                <w:bCs/>
                <w:shd w:val="clear" w:color="auto" w:fill="FFFFFF"/>
                <w:lang w:val="ro-RO" w:eastAsia="ro-RO"/>
              </w:rPr>
            </w:pPr>
          </w:p>
          <w:p w:rsidR="008C7724" w:rsidRDefault="008C7724" w:rsidP="008C7724">
            <w:pPr>
              <w:shd w:val="clear" w:color="auto" w:fill="FFFFFF"/>
              <w:ind w:firstLine="0"/>
              <w:rPr>
                <w:bCs/>
                <w:shd w:val="clear" w:color="auto" w:fill="FFFFFF"/>
                <w:lang w:val="ro-RO" w:eastAsia="ro-RO"/>
              </w:rPr>
            </w:pPr>
            <w:r>
              <w:rPr>
                <w:bCs/>
                <w:shd w:val="clear" w:color="auto" w:fill="FFFFFF"/>
                <w:lang w:val="ro-RO" w:eastAsia="ro-RO"/>
              </w:rPr>
              <w:t xml:space="preserve">(5) </w:t>
            </w:r>
            <w:r w:rsidRPr="008C7724">
              <w:rPr>
                <w:bCs/>
                <w:shd w:val="clear" w:color="auto" w:fill="FFFFFF"/>
                <w:lang w:val="ro-RO" w:eastAsia="ro-RO"/>
              </w:rPr>
              <w:t>Prin urmare, este oportun să se monitorizeze prezența arsenicului anorganic în furajele din întreaga Uniune înainte de a lua în considerare stabilirea unor niveluri maxime de arsenic anorganic în anumite furaje sau orice alte măsuri de gestionare a riscurilor necesare pentru a asigura un nivel ridicat de protecție a</w:t>
            </w:r>
            <w:r>
              <w:rPr>
                <w:bCs/>
                <w:shd w:val="clear" w:color="auto" w:fill="FFFFFF"/>
                <w:lang w:val="ro-RO" w:eastAsia="ro-RO"/>
              </w:rPr>
              <w:t xml:space="preserve"> sănătății animalelor și umane,</w:t>
            </w:r>
          </w:p>
          <w:p w:rsidR="00D82155" w:rsidRPr="008C7724" w:rsidRDefault="00D82155" w:rsidP="008C7724">
            <w:pPr>
              <w:shd w:val="clear" w:color="auto" w:fill="FFFFFF"/>
              <w:ind w:firstLine="0"/>
              <w:rPr>
                <w:bCs/>
                <w:shd w:val="clear" w:color="auto" w:fill="FFFFFF"/>
                <w:lang w:val="ro-RO" w:eastAsia="ro-RO"/>
              </w:rPr>
            </w:pPr>
          </w:p>
          <w:p w:rsidR="008C7724" w:rsidRPr="008C7724" w:rsidRDefault="008C7724" w:rsidP="008C7724">
            <w:pPr>
              <w:shd w:val="clear" w:color="auto" w:fill="FFFFFF"/>
              <w:ind w:firstLine="0"/>
              <w:rPr>
                <w:bCs/>
                <w:shd w:val="clear" w:color="auto" w:fill="FFFFFF"/>
                <w:lang w:val="ro-RO" w:eastAsia="ro-RO"/>
              </w:rPr>
            </w:pPr>
            <w:r>
              <w:rPr>
                <w:bCs/>
                <w:shd w:val="clear" w:color="auto" w:fill="FFFFFF"/>
                <w:lang w:val="ro-RO" w:eastAsia="ro-RO"/>
              </w:rPr>
              <w:t>A ADOPTAT PREZENTA RECOMANDARE:</w:t>
            </w:r>
          </w:p>
          <w:p w:rsidR="008C7724" w:rsidRPr="008C7724" w:rsidRDefault="008C7724" w:rsidP="008C7724">
            <w:pPr>
              <w:shd w:val="clear" w:color="auto" w:fill="FFFFFF"/>
              <w:ind w:firstLine="0"/>
              <w:rPr>
                <w:bCs/>
                <w:shd w:val="clear" w:color="auto" w:fill="FFFFFF"/>
                <w:lang w:val="ro-RO" w:eastAsia="ro-RO"/>
              </w:rPr>
            </w:pPr>
            <w:r>
              <w:rPr>
                <w:bCs/>
                <w:shd w:val="clear" w:color="auto" w:fill="FFFFFF"/>
                <w:lang w:val="ro-RO" w:eastAsia="ro-RO"/>
              </w:rPr>
              <w:t xml:space="preserve">1. </w:t>
            </w:r>
            <w:r w:rsidRPr="008C7724">
              <w:rPr>
                <w:bCs/>
                <w:shd w:val="clear" w:color="auto" w:fill="FFFFFF"/>
                <w:lang w:val="ro-RO" w:eastAsia="ro-RO"/>
              </w:rPr>
              <w:t>Statele membre ar trebui, cu implicarea activă a operatorilor din sectorul hranei pentru animale, să efectueze monitorizarea prezenței arsenicului anorganic în hrana pentru animale. Se recomandă determinarea, în aceleași probe, a conținutului total de arsenic în vederea determinării raportului dintre prezența arsenicului anorganic și arsenicul total.</w:t>
            </w:r>
          </w:p>
          <w:p w:rsidR="008C7724" w:rsidRPr="008C7724" w:rsidRDefault="008C7724" w:rsidP="008C7724">
            <w:pPr>
              <w:shd w:val="clear" w:color="auto" w:fill="FFFFFF"/>
              <w:ind w:firstLine="0"/>
              <w:rPr>
                <w:bCs/>
                <w:shd w:val="clear" w:color="auto" w:fill="FFFFFF"/>
                <w:lang w:val="ro-RO" w:eastAsia="ro-RO"/>
              </w:rPr>
            </w:pPr>
            <w:r>
              <w:rPr>
                <w:bCs/>
                <w:shd w:val="clear" w:color="auto" w:fill="FFFFFF"/>
                <w:lang w:val="ro-RO" w:eastAsia="ro-RO"/>
              </w:rPr>
              <w:t xml:space="preserve">2. </w:t>
            </w:r>
            <w:r w:rsidRPr="008C7724">
              <w:rPr>
                <w:bCs/>
                <w:shd w:val="clear" w:color="auto" w:fill="FFFFFF"/>
                <w:lang w:val="ro-RO" w:eastAsia="ro-RO"/>
              </w:rPr>
              <w:t>În special, ar trebui prelevate probe din următoarele materii prime pentru furaje și furaje combinate:</w:t>
            </w:r>
          </w:p>
          <w:p w:rsidR="008C7724" w:rsidRPr="008C7724" w:rsidRDefault="008C7724" w:rsidP="008C7724">
            <w:pPr>
              <w:shd w:val="clear" w:color="auto" w:fill="FFFFFF"/>
              <w:ind w:firstLine="0"/>
              <w:rPr>
                <w:bCs/>
                <w:shd w:val="clear" w:color="auto" w:fill="FFFFFF"/>
                <w:lang w:val="ro-RO" w:eastAsia="ro-RO"/>
              </w:rPr>
            </w:pPr>
            <w:r>
              <w:rPr>
                <w:bCs/>
                <w:shd w:val="clear" w:color="auto" w:fill="FFFFFF"/>
                <w:lang w:val="ro-RO" w:eastAsia="ro-RO"/>
              </w:rPr>
              <w:t xml:space="preserve">(o) </w:t>
            </w:r>
            <w:r w:rsidRPr="008C7724">
              <w:rPr>
                <w:bCs/>
                <w:shd w:val="clear" w:color="auto" w:fill="FFFFFF"/>
                <w:lang w:val="ro-RO" w:eastAsia="ro-RO"/>
              </w:rPr>
              <w:t>făină făcută din iarbă, din lucernă uscată și d</w:t>
            </w:r>
            <w:r>
              <w:rPr>
                <w:bCs/>
                <w:shd w:val="clear" w:color="auto" w:fill="FFFFFF"/>
                <w:lang w:val="ro-RO" w:eastAsia="ro-RO"/>
              </w:rPr>
              <w:t>in trifoi uscat;</w:t>
            </w:r>
          </w:p>
          <w:p w:rsidR="008C7724" w:rsidRPr="008C7724" w:rsidRDefault="008C7724" w:rsidP="008C7724">
            <w:pPr>
              <w:shd w:val="clear" w:color="auto" w:fill="FFFFFF"/>
              <w:ind w:firstLine="0"/>
              <w:rPr>
                <w:bCs/>
                <w:shd w:val="clear" w:color="auto" w:fill="FFFFFF"/>
                <w:lang w:val="ro-RO" w:eastAsia="ro-RO"/>
              </w:rPr>
            </w:pPr>
            <w:r>
              <w:rPr>
                <w:bCs/>
                <w:shd w:val="clear" w:color="auto" w:fill="FFFFFF"/>
                <w:lang w:val="ro-RO" w:eastAsia="ro-RO"/>
              </w:rPr>
              <w:t xml:space="preserve">(b) </w:t>
            </w:r>
            <w:r w:rsidRPr="008C7724">
              <w:rPr>
                <w:bCs/>
                <w:shd w:val="clear" w:color="auto" w:fill="FFFFFF"/>
                <w:lang w:val="ro-RO" w:eastAsia="ro-RO"/>
              </w:rPr>
              <w:t>pulpă de sfeclă de zahăr uscată și pulpă de s</w:t>
            </w:r>
            <w:r>
              <w:rPr>
                <w:bCs/>
                <w:shd w:val="clear" w:color="auto" w:fill="FFFFFF"/>
                <w:lang w:val="ro-RO" w:eastAsia="ro-RO"/>
              </w:rPr>
              <w:t>feclă de zahăr uscată (melasă);</w:t>
            </w:r>
          </w:p>
          <w:p w:rsidR="008C7724" w:rsidRPr="008C7724" w:rsidRDefault="008C7724" w:rsidP="008C7724">
            <w:pPr>
              <w:shd w:val="clear" w:color="auto" w:fill="FFFFFF"/>
              <w:ind w:firstLine="0"/>
              <w:rPr>
                <w:bCs/>
                <w:shd w:val="clear" w:color="auto" w:fill="FFFFFF"/>
                <w:lang w:val="ro-RO" w:eastAsia="ro-RO"/>
              </w:rPr>
            </w:pPr>
            <w:r>
              <w:rPr>
                <w:bCs/>
                <w:shd w:val="clear" w:color="auto" w:fill="FFFFFF"/>
                <w:lang w:val="ro-RO" w:eastAsia="ro-RO"/>
              </w:rPr>
              <w:t>(c) expulzator de miez de palmier;</w:t>
            </w:r>
          </w:p>
          <w:p w:rsidR="008C7724" w:rsidRPr="008C7724" w:rsidRDefault="008C7724" w:rsidP="008C7724">
            <w:pPr>
              <w:shd w:val="clear" w:color="auto" w:fill="FFFFFF"/>
              <w:ind w:firstLine="0"/>
              <w:rPr>
                <w:bCs/>
                <w:shd w:val="clear" w:color="auto" w:fill="FFFFFF"/>
                <w:lang w:val="ro-RO" w:eastAsia="ro-RO"/>
              </w:rPr>
            </w:pPr>
            <w:r>
              <w:rPr>
                <w:bCs/>
                <w:shd w:val="clear" w:color="auto" w:fill="FFFFFF"/>
                <w:lang w:val="ro-RO" w:eastAsia="ro-RO"/>
              </w:rPr>
              <w:t xml:space="preserve">(d) </w:t>
            </w:r>
            <w:r w:rsidRPr="008C7724">
              <w:rPr>
                <w:bCs/>
                <w:shd w:val="clear" w:color="auto" w:fill="FFFFFF"/>
                <w:lang w:val="ro-RO" w:eastAsia="ro-RO"/>
              </w:rPr>
              <w:t>pește, alte animale acvatice ș</w:t>
            </w:r>
            <w:r>
              <w:rPr>
                <w:bCs/>
                <w:shd w:val="clear" w:color="auto" w:fill="FFFFFF"/>
                <w:lang w:val="ro-RO" w:eastAsia="ro-RO"/>
              </w:rPr>
              <w:t>i produse derivate din acestea;</w:t>
            </w:r>
          </w:p>
          <w:p w:rsidR="008C7724" w:rsidRPr="008C7724" w:rsidRDefault="008C7724" w:rsidP="008C7724">
            <w:pPr>
              <w:shd w:val="clear" w:color="auto" w:fill="FFFFFF"/>
              <w:ind w:firstLine="0"/>
              <w:rPr>
                <w:bCs/>
                <w:shd w:val="clear" w:color="auto" w:fill="FFFFFF"/>
                <w:lang w:val="ro-RO" w:eastAsia="ro-RO"/>
              </w:rPr>
            </w:pPr>
            <w:r>
              <w:rPr>
                <w:bCs/>
                <w:shd w:val="clear" w:color="auto" w:fill="FFFFFF"/>
                <w:lang w:val="ro-RO" w:eastAsia="ro-RO"/>
              </w:rPr>
              <w:t>(</w:t>
            </w:r>
            <w:proofErr w:type="spellStart"/>
            <w:r>
              <w:rPr>
                <w:bCs/>
                <w:shd w:val="clear" w:color="auto" w:fill="FFFFFF"/>
                <w:lang w:val="ro-RO" w:eastAsia="ro-RO"/>
              </w:rPr>
              <w:t>şi</w:t>
            </w:r>
            <w:proofErr w:type="spellEnd"/>
            <w:r>
              <w:rPr>
                <w:bCs/>
                <w:shd w:val="clear" w:color="auto" w:fill="FFFFFF"/>
                <w:lang w:val="ro-RO" w:eastAsia="ro-RO"/>
              </w:rPr>
              <w:t xml:space="preserve">) </w:t>
            </w:r>
            <w:r w:rsidRPr="008C7724">
              <w:rPr>
                <w:bCs/>
                <w:shd w:val="clear" w:color="auto" w:fill="FFFFFF"/>
                <w:lang w:val="ro-RO" w:eastAsia="ro-RO"/>
              </w:rPr>
              <w:t>făină de alge marine și materii prime pentru f</w:t>
            </w:r>
            <w:r>
              <w:rPr>
                <w:bCs/>
                <w:shd w:val="clear" w:color="auto" w:fill="FFFFFF"/>
                <w:lang w:val="ro-RO" w:eastAsia="ro-RO"/>
              </w:rPr>
              <w:t>uraje derivate din alge marine;</w:t>
            </w:r>
          </w:p>
          <w:p w:rsidR="008C7724" w:rsidRPr="008C7724" w:rsidRDefault="008C7724" w:rsidP="008C7724">
            <w:pPr>
              <w:shd w:val="clear" w:color="auto" w:fill="FFFFFF"/>
              <w:ind w:firstLine="0"/>
              <w:rPr>
                <w:bCs/>
                <w:shd w:val="clear" w:color="auto" w:fill="FFFFFF"/>
                <w:lang w:val="ro-RO" w:eastAsia="ro-RO"/>
              </w:rPr>
            </w:pPr>
            <w:r>
              <w:rPr>
                <w:bCs/>
                <w:shd w:val="clear" w:color="auto" w:fill="FFFFFF"/>
                <w:lang w:val="ro-RO" w:eastAsia="ro-RO"/>
              </w:rPr>
              <w:lastRenderedPageBreak/>
              <w:t xml:space="preserve">(f) </w:t>
            </w:r>
            <w:r w:rsidRPr="008C7724">
              <w:rPr>
                <w:bCs/>
                <w:shd w:val="clear" w:color="auto" w:fill="FFFFFF"/>
                <w:lang w:val="ro-RO" w:eastAsia="ro-RO"/>
              </w:rPr>
              <w:t>hrană combinată pentru animale care conține pește, alte animale acvatice și produse derivate din acestea și/sau făină de alge marine și materii prime pentru hrana anima</w:t>
            </w:r>
            <w:r>
              <w:rPr>
                <w:bCs/>
                <w:shd w:val="clear" w:color="auto" w:fill="FFFFFF"/>
                <w:lang w:val="ro-RO" w:eastAsia="ro-RO"/>
              </w:rPr>
              <w:t>lelor derivate din alge marine.</w:t>
            </w:r>
          </w:p>
          <w:p w:rsidR="008C7724" w:rsidRPr="008C7724" w:rsidRDefault="008C7724" w:rsidP="008C7724">
            <w:pPr>
              <w:shd w:val="clear" w:color="auto" w:fill="FFFFFF"/>
              <w:ind w:firstLine="0"/>
              <w:rPr>
                <w:bCs/>
                <w:shd w:val="clear" w:color="auto" w:fill="FFFFFF"/>
                <w:lang w:val="ro-RO" w:eastAsia="ro-RO"/>
              </w:rPr>
            </w:pPr>
            <w:r>
              <w:rPr>
                <w:bCs/>
                <w:shd w:val="clear" w:color="auto" w:fill="FFFFFF"/>
                <w:lang w:val="ro-RO" w:eastAsia="ro-RO"/>
              </w:rPr>
              <w:t xml:space="preserve">3. </w:t>
            </w:r>
            <w:r w:rsidRPr="008C7724">
              <w:rPr>
                <w:bCs/>
                <w:shd w:val="clear" w:color="auto" w:fill="FFFFFF"/>
                <w:lang w:val="ro-RO" w:eastAsia="ro-RO"/>
              </w:rPr>
              <w:t>Pentru a se asigura că eșantioanele sunt reprezentative pentru lotul eșantionat, statele membre ar trebui să urmeze procedura de eșantionare prevăzută în Regulamentul (CE) nr. 152/2009 al Comisiei  ( 2 ) .</w:t>
            </w:r>
          </w:p>
          <w:p w:rsidR="008C7724" w:rsidRPr="008C7724" w:rsidRDefault="008C7724" w:rsidP="008C7724">
            <w:pPr>
              <w:shd w:val="clear" w:color="auto" w:fill="FFFFFF"/>
              <w:ind w:firstLine="0"/>
              <w:rPr>
                <w:bCs/>
                <w:shd w:val="clear" w:color="auto" w:fill="FFFFFF"/>
                <w:lang w:val="ro-RO" w:eastAsia="ro-RO"/>
              </w:rPr>
            </w:pPr>
            <w:r>
              <w:rPr>
                <w:bCs/>
                <w:shd w:val="clear" w:color="auto" w:fill="FFFFFF"/>
                <w:lang w:val="ro-RO" w:eastAsia="ro-RO"/>
              </w:rPr>
              <w:t xml:space="preserve">4. </w:t>
            </w:r>
            <w:r w:rsidRPr="008C7724">
              <w:rPr>
                <w:bCs/>
                <w:shd w:val="clear" w:color="auto" w:fill="FFFFFF"/>
                <w:lang w:val="ro-RO" w:eastAsia="ro-RO"/>
              </w:rPr>
              <w:t>Statele membre ar trebui să se asigure că rezultatele analitice sunt furnizate EFSA în mod regulat și cel târziu până la 30 iunie 2023 în formatul de transmitere a datelor EFSA, în conformitate cu cerințele din Ghidul EFSA privind descrierea standard a probelor (SSD2) pentru alimente și hrană pentru animale  ( 3 ) și cu cerințele specifice suplimentare de raportare ale EFSA.</w:t>
            </w:r>
          </w:p>
          <w:p w:rsidR="00B72946" w:rsidRPr="003D55E2" w:rsidRDefault="008C7724" w:rsidP="008C7724">
            <w:pPr>
              <w:shd w:val="clear" w:color="auto" w:fill="FFFFFF"/>
              <w:ind w:firstLine="0"/>
              <w:rPr>
                <w:bCs/>
                <w:shd w:val="clear" w:color="auto" w:fill="FFFFFF"/>
                <w:lang w:val="ro-RO" w:eastAsia="ro-RO"/>
              </w:rPr>
            </w:pPr>
            <w:r w:rsidRPr="008C7724">
              <w:rPr>
                <w:bCs/>
                <w:shd w:val="clear" w:color="auto" w:fill="FFFFFF"/>
                <w:lang w:val="ro-RO" w:eastAsia="ro-RO"/>
              </w:rPr>
              <w:t>Întocmit la Bruxelles, 20 mai 2022.</w:t>
            </w:r>
          </w:p>
        </w:tc>
        <w:tc>
          <w:tcPr>
            <w:tcW w:w="5670" w:type="dxa"/>
            <w:tcBorders>
              <w:top w:val="single" w:sz="4" w:space="0" w:color="auto"/>
              <w:left w:val="single" w:sz="4" w:space="0" w:color="auto"/>
              <w:bottom w:val="single" w:sz="4" w:space="0" w:color="auto"/>
              <w:right w:val="single" w:sz="4" w:space="0" w:color="auto"/>
            </w:tcBorders>
          </w:tcPr>
          <w:p w:rsidR="00DE543C" w:rsidRPr="00DE543C" w:rsidRDefault="00DE543C" w:rsidP="00DE543C">
            <w:pPr>
              <w:ind w:firstLine="0"/>
              <w:rPr>
                <w:lang w:val="ro-RO"/>
              </w:rPr>
            </w:pPr>
            <w:r w:rsidRPr="00DE543C">
              <w:rPr>
                <w:b/>
                <w:lang w:val="ro-RO"/>
              </w:rPr>
              <w:lastRenderedPageBreak/>
              <w:t>1.</w:t>
            </w:r>
            <w:r w:rsidRPr="00DE543C">
              <w:rPr>
                <w:lang w:val="ro-RO"/>
              </w:rPr>
              <w:t xml:space="preserve"> Având în vedere prevederile Legii nr. 221/2007 privind activitatea sanitar-veterinară și Cerințele sanitare veterinare față de hrana pentru animale, aprobate prin Hotărârea Guvernului nr. 910/2020, întrucât:</w:t>
            </w:r>
          </w:p>
          <w:p w:rsidR="00D82155" w:rsidRDefault="00D82155" w:rsidP="00DE543C">
            <w:pPr>
              <w:ind w:firstLine="0"/>
              <w:rPr>
                <w:lang w:val="ro-RO"/>
              </w:rPr>
            </w:pPr>
          </w:p>
          <w:p w:rsidR="00DE543C" w:rsidRPr="00DE543C" w:rsidRDefault="00DE543C" w:rsidP="00DE543C">
            <w:pPr>
              <w:ind w:firstLine="0"/>
              <w:rPr>
                <w:lang w:val="ro-RO"/>
              </w:rPr>
            </w:pPr>
            <w:r w:rsidRPr="00DE543C">
              <w:rPr>
                <w:lang w:val="ro-RO"/>
              </w:rPr>
              <w:t>1.1. formele anorganice și organice ale arsenului diferă în mod semnificativ în ceea ce privește toxicitatea lor, compușii organici ai arsenului prezentând un potențial toxic foarte scăzut. Prin urmare, efectele adverse posibile ale arsenului asupra sănătății animale (și umane) sunt determinate de fracțiunea anorganică dintr-un anumit produs de hrană pentru animale (sau alimentar). În materiile prime destinate hranei animalelor cum ar fi peștii, alte animale acvatice și produsele derivate din acestea, precum și algele și produsele derivate din acestea, arsenul este prezent predominant în forme organice. Datele care raportează numai arsenul total din astfel de materii prime destinate hranei animalelor sunt dificil de interpretat în ceea ce privește potențialul de a provoca efecte adverse.</w:t>
            </w:r>
          </w:p>
          <w:p w:rsidR="00D82155" w:rsidRDefault="00D82155" w:rsidP="00DE543C">
            <w:pPr>
              <w:ind w:firstLine="0"/>
              <w:rPr>
                <w:lang w:val="ro-RO"/>
              </w:rPr>
            </w:pPr>
          </w:p>
          <w:p w:rsidR="00DE543C" w:rsidRPr="00DE543C" w:rsidRDefault="00DE543C" w:rsidP="00DE543C">
            <w:pPr>
              <w:ind w:firstLine="0"/>
              <w:rPr>
                <w:lang w:val="ro-RO"/>
              </w:rPr>
            </w:pPr>
            <w:r w:rsidRPr="00DE543C">
              <w:rPr>
                <w:lang w:val="ro-RO"/>
              </w:rPr>
              <w:t xml:space="preserve">1.2. anexa nr. 7 la Cerințele sanitar-veterinare față de hrana pentru animale, aprobate prin Hotărârea Guvernului 910/2020 stabilește niveluri maxime pentru arsen într-o gamă largă de produse destinate hranei animalelor. Nivelurile maxime se referă la arsenul total, deoarece, la stabilirea nivelurilor maxime de arsen din hrana pentru animale, nu a fost disponibilă nicio metodă de analiză de rutină </w:t>
            </w:r>
            <w:r w:rsidRPr="00DE543C">
              <w:rPr>
                <w:lang w:val="ro-RO"/>
              </w:rPr>
              <w:lastRenderedPageBreak/>
              <w:t>pentru analizarea separată a arsenului anorganic și numai nivelul arsenului total a putut fi analizat în mod regulat.</w:t>
            </w:r>
          </w:p>
          <w:p w:rsidR="00DE543C" w:rsidRPr="00DE543C" w:rsidRDefault="00DE543C" w:rsidP="00DE543C">
            <w:pPr>
              <w:ind w:firstLine="0"/>
              <w:rPr>
                <w:lang w:val="ro-RO"/>
              </w:rPr>
            </w:pPr>
            <w:r w:rsidRPr="00DE543C">
              <w:rPr>
                <w:lang w:val="ro-RO"/>
              </w:rPr>
              <w:t>1.3. laboratorul de referință pentru metale și compuși azotați a confirmat că sunt disponibile metode de analiză de rutină pentru arsenul anorganic din hrana pentru animale de origine marină, animală și vegetală, dar nu și din matricele de furaje minerale. Cu toate acestea, în furajele minerale, arsenul va fi prezent în formă anorganică și, prin urmare, determinarea arsenului total din aceste matrice de furaje este o bună estimare a concentrației de arsen anorganic;</w:t>
            </w:r>
          </w:p>
          <w:p w:rsidR="00D82155" w:rsidRDefault="00D82155" w:rsidP="00DE543C">
            <w:pPr>
              <w:ind w:firstLine="0"/>
              <w:rPr>
                <w:lang w:val="ro-RO"/>
              </w:rPr>
            </w:pPr>
          </w:p>
          <w:p w:rsidR="00DE543C" w:rsidRPr="00DE543C" w:rsidRDefault="00DE543C" w:rsidP="00DE543C">
            <w:pPr>
              <w:ind w:firstLine="0"/>
              <w:rPr>
                <w:lang w:val="ro-RO"/>
              </w:rPr>
            </w:pPr>
            <w:r w:rsidRPr="00DE543C">
              <w:rPr>
                <w:lang w:val="ro-RO"/>
              </w:rPr>
              <w:t>1.4. în baza de date a autorității competente sunt disponibile doar date limitate privind prezența arsenului anorganic în hrana pentru animale;</w:t>
            </w:r>
          </w:p>
          <w:p w:rsidR="00D82155" w:rsidRDefault="00D82155" w:rsidP="00DE543C">
            <w:pPr>
              <w:ind w:firstLine="0"/>
              <w:rPr>
                <w:lang w:val="ro-RO"/>
              </w:rPr>
            </w:pPr>
          </w:p>
          <w:p w:rsidR="00DE543C" w:rsidRPr="00DE543C" w:rsidRDefault="00DE543C" w:rsidP="00DE543C">
            <w:pPr>
              <w:ind w:firstLine="0"/>
              <w:rPr>
                <w:lang w:val="ro-RO"/>
              </w:rPr>
            </w:pPr>
            <w:r w:rsidRPr="00DE543C">
              <w:rPr>
                <w:lang w:val="ro-RO"/>
              </w:rPr>
              <w:t>1.5. prin urmare, este oportună să se monitorizeze prezența arsenului anorganic în hrana pentru animale pe întreg teritoriul Republicii Moldova înainte de a lua în considerare stabilirea nivelurilor maxime de arsen anorganic din anumite produse de hrană pentru animale sau a oricăror alte măsuri de gestionare a riscurilor necesare pentru a asigura un nivel ridicat de protecție a sănătății animale și umane.</w:t>
            </w:r>
          </w:p>
          <w:p w:rsidR="00D82155" w:rsidRDefault="00D82155" w:rsidP="00DE543C">
            <w:pPr>
              <w:ind w:firstLine="0"/>
              <w:rPr>
                <w:b/>
                <w:lang w:val="ro-RO"/>
              </w:rPr>
            </w:pPr>
          </w:p>
          <w:p w:rsidR="00DE543C" w:rsidRPr="00DE543C" w:rsidRDefault="00DE543C" w:rsidP="00DE543C">
            <w:pPr>
              <w:ind w:firstLine="0"/>
              <w:rPr>
                <w:lang w:val="ro-RO"/>
              </w:rPr>
            </w:pPr>
            <w:bookmarkStart w:id="0" w:name="_GoBack"/>
            <w:bookmarkEnd w:id="0"/>
            <w:r w:rsidRPr="00DE543C">
              <w:rPr>
                <w:b/>
                <w:lang w:val="ro-RO"/>
              </w:rPr>
              <w:t>2.</w:t>
            </w:r>
            <w:r w:rsidRPr="00DE543C">
              <w:rPr>
                <w:lang w:val="ro-RO"/>
              </w:rPr>
              <w:t xml:space="preserve"> Recomandă următoarele:</w:t>
            </w:r>
          </w:p>
          <w:p w:rsidR="00DE543C" w:rsidRPr="00DE543C" w:rsidRDefault="00DE543C" w:rsidP="00DE543C">
            <w:pPr>
              <w:ind w:firstLine="0"/>
              <w:rPr>
                <w:lang w:val="ro-RO"/>
              </w:rPr>
            </w:pPr>
            <w:r w:rsidRPr="00DE543C">
              <w:rPr>
                <w:lang w:val="ro-RO"/>
              </w:rPr>
              <w:t>2.1. autoritatea competentă, cu implicarea activă a operatorilor din domeniul hranei pentru animale, trebuie să monitorizeze prezența arsenului anorganic în hrana pentru animale. Se recomandă determinarea, în cadrul acelorași probe, a conținutului total de arsen în vederea determinării raportului dintre prezența arsenului anorganic și a arsenului total;</w:t>
            </w:r>
          </w:p>
          <w:p w:rsidR="00DE543C" w:rsidRPr="00DE543C" w:rsidRDefault="00DE543C" w:rsidP="00DE543C">
            <w:pPr>
              <w:ind w:firstLine="0"/>
              <w:rPr>
                <w:lang w:val="ro-RO"/>
              </w:rPr>
            </w:pPr>
            <w:r w:rsidRPr="00DE543C">
              <w:rPr>
                <w:lang w:val="ro-RO"/>
              </w:rPr>
              <w:t>2.2. în special, trebuie prelevate probe din următoarele materii prime destinate hranei animalelor și furaje combinate:</w:t>
            </w:r>
          </w:p>
          <w:p w:rsidR="00DE543C" w:rsidRPr="00DE543C" w:rsidRDefault="00DE543C" w:rsidP="00DE543C">
            <w:pPr>
              <w:ind w:firstLine="0"/>
              <w:rPr>
                <w:lang w:val="ro-RO"/>
              </w:rPr>
            </w:pPr>
            <w:r w:rsidRPr="00DE543C">
              <w:rPr>
                <w:lang w:val="ro-RO"/>
              </w:rPr>
              <w:t>2.2.1. făină din iarbă, lucernă uscată și trifoi uscat;</w:t>
            </w:r>
          </w:p>
          <w:p w:rsidR="00DE543C" w:rsidRPr="00DE543C" w:rsidRDefault="00DE543C" w:rsidP="00DE543C">
            <w:pPr>
              <w:ind w:firstLine="0"/>
              <w:rPr>
                <w:lang w:val="ro-RO"/>
              </w:rPr>
            </w:pPr>
            <w:r w:rsidRPr="00DE543C">
              <w:rPr>
                <w:lang w:val="ro-RO"/>
              </w:rPr>
              <w:t>2.2.2. pulpă de sfeclă (de zahăr) uscată și pulpă de sfeclă (de zahăr) uscată (melasată);</w:t>
            </w:r>
          </w:p>
          <w:p w:rsidR="00DE543C" w:rsidRPr="00DE543C" w:rsidRDefault="00DE543C" w:rsidP="00DE543C">
            <w:pPr>
              <w:ind w:firstLine="0"/>
              <w:rPr>
                <w:lang w:val="ro-RO"/>
              </w:rPr>
            </w:pPr>
            <w:r w:rsidRPr="00DE543C">
              <w:rPr>
                <w:lang w:val="ro-RO"/>
              </w:rPr>
              <w:t>2.2.3. turtă din miez de palmier;</w:t>
            </w:r>
          </w:p>
          <w:p w:rsidR="00DE543C" w:rsidRPr="00DE543C" w:rsidRDefault="00DE543C" w:rsidP="00DE543C">
            <w:pPr>
              <w:ind w:firstLine="0"/>
              <w:rPr>
                <w:lang w:val="ro-RO"/>
              </w:rPr>
            </w:pPr>
            <w:r w:rsidRPr="00DE543C">
              <w:rPr>
                <w:lang w:val="ro-RO"/>
              </w:rPr>
              <w:t>2.2.4. pește, alte animale acvatice și produse derivate din acestea;</w:t>
            </w:r>
          </w:p>
          <w:p w:rsidR="00DE543C" w:rsidRPr="00DE543C" w:rsidRDefault="00DE543C" w:rsidP="00DE543C">
            <w:pPr>
              <w:ind w:firstLine="0"/>
              <w:rPr>
                <w:lang w:val="ro-RO"/>
              </w:rPr>
            </w:pPr>
            <w:r w:rsidRPr="00DE543C">
              <w:rPr>
                <w:lang w:val="ro-RO"/>
              </w:rPr>
              <w:t>2.2.5. făină de alge și materii prime destinate hranei animalelor derivate din alge;</w:t>
            </w:r>
          </w:p>
          <w:p w:rsidR="00DE543C" w:rsidRPr="00DE543C" w:rsidRDefault="00DE543C" w:rsidP="00DE543C">
            <w:pPr>
              <w:ind w:firstLine="0"/>
              <w:rPr>
                <w:lang w:val="ro-RO"/>
              </w:rPr>
            </w:pPr>
            <w:r w:rsidRPr="00DE543C">
              <w:rPr>
                <w:lang w:val="ro-RO"/>
              </w:rPr>
              <w:lastRenderedPageBreak/>
              <w:t>2.2.6. furaje combinate care conțin pește, alte animale acvatice și produse derivate din acestea și/sau făină de alge și materii prime destinate hranei animalelor derivate din alge;</w:t>
            </w:r>
          </w:p>
          <w:p w:rsidR="00DE543C" w:rsidRPr="00DE543C" w:rsidRDefault="00DE543C" w:rsidP="00DE543C">
            <w:pPr>
              <w:ind w:firstLine="0"/>
              <w:rPr>
                <w:lang w:val="ro-RO"/>
              </w:rPr>
            </w:pPr>
            <w:r w:rsidRPr="00DE543C">
              <w:rPr>
                <w:lang w:val="ro-RO"/>
              </w:rPr>
              <w:t>2.3. pentru a se asigura faptul că probele sunt reprezentative pentru lotul care face obiectul prelevării, autoritatea competentă trebuie să urmeze procedura de prelevare de probe prevăzută metode de analiză pentru controlul nutrețurilor, aprobate prin Hotărârea Guvernului nr. 686/2012;</w:t>
            </w:r>
          </w:p>
          <w:p w:rsidR="00DE543C" w:rsidRPr="00DE543C" w:rsidRDefault="00DE543C" w:rsidP="00DE543C">
            <w:pPr>
              <w:ind w:firstLine="0"/>
              <w:rPr>
                <w:lang w:val="ro-RO"/>
              </w:rPr>
            </w:pPr>
            <w:r w:rsidRPr="00DE543C">
              <w:rPr>
                <w:lang w:val="ro-RO"/>
              </w:rPr>
              <w:t xml:space="preserve">2.4. autoritatea competentă trebuie să se asigure cu transmiterea periodică a rezultatelor analizelor către baza de date centralizată a Autorității Europene pentru Siguranța Alimentară (EFSA). Raportarea se va efectua anual, conform calendarului stabilit de comun acord, utilizând formatul standardizat de transmitere a datelor (Standard </w:t>
            </w:r>
            <w:proofErr w:type="spellStart"/>
            <w:r w:rsidRPr="00DE543C">
              <w:rPr>
                <w:lang w:val="ro-RO"/>
              </w:rPr>
              <w:t>Sample</w:t>
            </w:r>
            <w:proofErr w:type="spellEnd"/>
            <w:r w:rsidRPr="00DE543C">
              <w:rPr>
                <w:lang w:val="ro-RO"/>
              </w:rPr>
              <w:t xml:space="preserve"> </w:t>
            </w:r>
            <w:proofErr w:type="spellStart"/>
            <w:r w:rsidRPr="00DE543C">
              <w:rPr>
                <w:lang w:val="ro-RO"/>
              </w:rPr>
              <w:t>Description</w:t>
            </w:r>
            <w:proofErr w:type="spellEnd"/>
            <w:r w:rsidRPr="00DE543C">
              <w:rPr>
                <w:lang w:val="ro-RO"/>
              </w:rPr>
              <w:t xml:space="preserve"> – SSD2) pentru alimente și hrana pentru animale, precum și în conformitate cu cerințele tehnice specifice de raportare stabilite la nivel european.</w:t>
            </w:r>
          </w:p>
          <w:p w:rsidR="00DE543C" w:rsidRPr="00DE543C" w:rsidRDefault="00DE543C" w:rsidP="00DE543C">
            <w:pPr>
              <w:ind w:firstLine="0"/>
              <w:rPr>
                <w:lang w:val="ro-RO"/>
              </w:rPr>
            </w:pPr>
          </w:p>
          <w:p w:rsidR="00DE543C" w:rsidRPr="00DE543C" w:rsidRDefault="00DE543C" w:rsidP="00DE543C">
            <w:pPr>
              <w:ind w:firstLine="0"/>
              <w:rPr>
                <w:bCs/>
                <w:lang w:val="ro-RO"/>
              </w:rPr>
            </w:pPr>
          </w:p>
          <w:p w:rsidR="00DE543C" w:rsidRPr="00DE543C" w:rsidRDefault="00DE543C" w:rsidP="00DE543C">
            <w:pPr>
              <w:ind w:firstLine="0"/>
              <w:rPr>
                <w:bCs/>
                <w:lang w:val="ro-RO"/>
              </w:rPr>
            </w:pPr>
          </w:p>
          <w:p w:rsidR="00363368" w:rsidRPr="00DE543C" w:rsidRDefault="00363368" w:rsidP="00CD5BD7">
            <w:pPr>
              <w:ind w:firstLine="0"/>
              <w:rPr>
                <w:lang w:val="ro-RO"/>
              </w:rPr>
            </w:pPr>
          </w:p>
        </w:tc>
        <w:tc>
          <w:tcPr>
            <w:tcW w:w="1559" w:type="dxa"/>
            <w:tcBorders>
              <w:top w:val="single" w:sz="4" w:space="0" w:color="auto"/>
              <w:left w:val="single" w:sz="4" w:space="0" w:color="auto"/>
              <w:bottom w:val="single" w:sz="4" w:space="0" w:color="auto"/>
              <w:right w:val="single" w:sz="4" w:space="0" w:color="auto"/>
            </w:tcBorders>
          </w:tcPr>
          <w:p w:rsidR="00B72946" w:rsidRPr="00D538C1" w:rsidRDefault="001F1E9F" w:rsidP="009511B0">
            <w:pPr>
              <w:ind w:firstLine="0"/>
              <w:jc w:val="center"/>
              <w:rPr>
                <w:b/>
                <w:lang w:val="ro-MD"/>
              </w:rPr>
            </w:pPr>
            <w:r w:rsidRPr="00DE543C">
              <w:rPr>
                <w:b/>
                <w:lang w:val="ro-MD"/>
              </w:rPr>
              <w:lastRenderedPageBreak/>
              <w:t>compatibil</w:t>
            </w:r>
          </w:p>
        </w:tc>
        <w:tc>
          <w:tcPr>
            <w:tcW w:w="1556" w:type="dxa"/>
            <w:tcBorders>
              <w:top w:val="single" w:sz="4" w:space="0" w:color="auto"/>
              <w:left w:val="single" w:sz="4" w:space="0" w:color="auto"/>
              <w:bottom w:val="single" w:sz="4" w:space="0" w:color="auto"/>
              <w:right w:val="single" w:sz="4" w:space="0" w:color="auto"/>
            </w:tcBorders>
          </w:tcPr>
          <w:p w:rsidR="00B72946" w:rsidRPr="00D538C1" w:rsidRDefault="00B72946" w:rsidP="00113981">
            <w:pPr>
              <w:ind w:firstLine="0"/>
              <w:jc w:val="center"/>
              <w:rPr>
                <w:b/>
                <w:lang w:val="ro-MD"/>
              </w:rPr>
            </w:pPr>
          </w:p>
        </w:tc>
      </w:tr>
      <w:tr w:rsidR="00E500CE" w:rsidRPr="006A0462" w:rsidTr="00EC1D97">
        <w:trPr>
          <w:trHeight w:val="218"/>
          <w:jc w:val="center"/>
        </w:trPr>
        <w:tc>
          <w:tcPr>
            <w:tcW w:w="5240" w:type="dxa"/>
            <w:tcBorders>
              <w:top w:val="single" w:sz="4" w:space="0" w:color="auto"/>
              <w:left w:val="single" w:sz="4" w:space="0" w:color="auto"/>
              <w:bottom w:val="single" w:sz="4" w:space="0" w:color="auto"/>
              <w:right w:val="single" w:sz="4" w:space="0" w:color="auto"/>
            </w:tcBorders>
          </w:tcPr>
          <w:p w:rsidR="00E500CE" w:rsidRPr="003D55E2" w:rsidRDefault="00E500CE" w:rsidP="0006201F">
            <w:pPr>
              <w:shd w:val="clear" w:color="auto" w:fill="FFFFFF"/>
              <w:ind w:firstLine="0"/>
              <w:rPr>
                <w:bCs/>
                <w:shd w:val="clear" w:color="auto" w:fill="FFFFFF"/>
                <w:lang w:val="ro-RO" w:eastAsia="ro-RO"/>
              </w:rPr>
            </w:pPr>
          </w:p>
        </w:tc>
        <w:tc>
          <w:tcPr>
            <w:tcW w:w="5670" w:type="dxa"/>
            <w:tcBorders>
              <w:top w:val="single" w:sz="4" w:space="0" w:color="auto"/>
              <w:left w:val="single" w:sz="4" w:space="0" w:color="auto"/>
              <w:bottom w:val="single" w:sz="4" w:space="0" w:color="auto"/>
              <w:right w:val="single" w:sz="4" w:space="0" w:color="auto"/>
            </w:tcBorders>
          </w:tcPr>
          <w:p w:rsidR="00690150" w:rsidRPr="000C1D10" w:rsidRDefault="00690150" w:rsidP="005138FC">
            <w:pPr>
              <w:ind w:firstLine="0"/>
              <w:rPr>
                <w:lang w:val="ro-RO"/>
              </w:rPr>
            </w:pPr>
          </w:p>
        </w:tc>
        <w:tc>
          <w:tcPr>
            <w:tcW w:w="1559" w:type="dxa"/>
            <w:tcBorders>
              <w:top w:val="single" w:sz="4" w:space="0" w:color="auto"/>
              <w:left w:val="single" w:sz="4" w:space="0" w:color="auto"/>
              <w:bottom w:val="single" w:sz="4" w:space="0" w:color="auto"/>
              <w:right w:val="single" w:sz="4" w:space="0" w:color="auto"/>
            </w:tcBorders>
          </w:tcPr>
          <w:p w:rsidR="00E500CE" w:rsidRPr="00D538C1" w:rsidRDefault="00E500CE" w:rsidP="009511B0">
            <w:pPr>
              <w:ind w:firstLine="0"/>
              <w:jc w:val="center"/>
              <w:rPr>
                <w:b/>
                <w:lang w:val="ro-MD"/>
              </w:rPr>
            </w:pPr>
          </w:p>
        </w:tc>
        <w:tc>
          <w:tcPr>
            <w:tcW w:w="1556" w:type="dxa"/>
            <w:tcBorders>
              <w:top w:val="single" w:sz="4" w:space="0" w:color="auto"/>
              <w:left w:val="single" w:sz="4" w:space="0" w:color="auto"/>
              <w:bottom w:val="single" w:sz="4" w:space="0" w:color="auto"/>
              <w:right w:val="single" w:sz="4" w:space="0" w:color="auto"/>
            </w:tcBorders>
          </w:tcPr>
          <w:p w:rsidR="00E500CE" w:rsidRPr="00D538C1" w:rsidRDefault="00E500CE" w:rsidP="00113981">
            <w:pPr>
              <w:ind w:firstLine="0"/>
              <w:jc w:val="center"/>
              <w:rPr>
                <w:b/>
                <w:lang w:val="ro-MD"/>
              </w:rPr>
            </w:pPr>
          </w:p>
        </w:tc>
      </w:tr>
      <w:tr w:rsidR="00E500CE" w:rsidRPr="006A0462" w:rsidTr="00EC1D97">
        <w:trPr>
          <w:trHeight w:val="218"/>
          <w:jc w:val="center"/>
        </w:trPr>
        <w:tc>
          <w:tcPr>
            <w:tcW w:w="5240" w:type="dxa"/>
            <w:tcBorders>
              <w:top w:val="single" w:sz="4" w:space="0" w:color="auto"/>
              <w:left w:val="single" w:sz="4" w:space="0" w:color="auto"/>
              <w:bottom w:val="single" w:sz="4" w:space="0" w:color="auto"/>
              <w:right w:val="single" w:sz="4" w:space="0" w:color="auto"/>
            </w:tcBorders>
          </w:tcPr>
          <w:p w:rsidR="00DF4FF0" w:rsidRPr="00AF7166" w:rsidRDefault="00DF4FF0" w:rsidP="00232145">
            <w:pPr>
              <w:shd w:val="clear" w:color="auto" w:fill="FFFFFF"/>
              <w:ind w:firstLine="0"/>
              <w:rPr>
                <w:bCs/>
                <w:shd w:val="clear" w:color="auto" w:fill="FFFFFF"/>
                <w:lang w:val="ro-RO" w:eastAsia="ro-RO"/>
              </w:rPr>
            </w:pPr>
          </w:p>
        </w:tc>
        <w:tc>
          <w:tcPr>
            <w:tcW w:w="5670" w:type="dxa"/>
            <w:tcBorders>
              <w:top w:val="single" w:sz="4" w:space="0" w:color="auto"/>
              <w:left w:val="single" w:sz="4" w:space="0" w:color="auto"/>
              <w:bottom w:val="single" w:sz="4" w:space="0" w:color="auto"/>
              <w:right w:val="single" w:sz="4" w:space="0" w:color="auto"/>
            </w:tcBorders>
          </w:tcPr>
          <w:p w:rsidR="0071149D" w:rsidRPr="000E5CD8" w:rsidRDefault="0071149D" w:rsidP="00A9680C">
            <w:pPr>
              <w:ind w:firstLine="0"/>
              <w:rPr>
                <w:b/>
                <w:lang w:val="ro-MD"/>
              </w:rPr>
            </w:pPr>
          </w:p>
        </w:tc>
        <w:tc>
          <w:tcPr>
            <w:tcW w:w="1559" w:type="dxa"/>
            <w:tcBorders>
              <w:top w:val="single" w:sz="4" w:space="0" w:color="auto"/>
              <w:left w:val="single" w:sz="4" w:space="0" w:color="auto"/>
              <w:bottom w:val="single" w:sz="4" w:space="0" w:color="auto"/>
              <w:right w:val="single" w:sz="4" w:space="0" w:color="auto"/>
            </w:tcBorders>
          </w:tcPr>
          <w:p w:rsidR="00E500CE" w:rsidRPr="00D538C1" w:rsidRDefault="00E500CE" w:rsidP="00113981">
            <w:pPr>
              <w:ind w:firstLine="0"/>
              <w:jc w:val="center"/>
              <w:rPr>
                <w:b/>
                <w:lang w:val="ro-MD"/>
              </w:rPr>
            </w:pPr>
          </w:p>
        </w:tc>
        <w:tc>
          <w:tcPr>
            <w:tcW w:w="1556" w:type="dxa"/>
            <w:tcBorders>
              <w:top w:val="single" w:sz="4" w:space="0" w:color="auto"/>
              <w:left w:val="single" w:sz="4" w:space="0" w:color="auto"/>
              <w:bottom w:val="single" w:sz="4" w:space="0" w:color="auto"/>
              <w:right w:val="single" w:sz="4" w:space="0" w:color="auto"/>
            </w:tcBorders>
          </w:tcPr>
          <w:p w:rsidR="00E500CE" w:rsidRPr="00D538C1" w:rsidRDefault="00E500CE" w:rsidP="00113981">
            <w:pPr>
              <w:ind w:firstLine="0"/>
              <w:jc w:val="center"/>
              <w:rPr>
                <w:b/>
                <w:lang w:val="ro-MD"/>
              </w:rPr>
            </w:pPr>
          </w:p>
        </w:tc>
      </w:tr>
      <w:tr w:rsidR="00E500CE" w:rsidRPr="006A0462" w:rsidTr="00EC1D97">
        <w:trPr>
          <w:trHeight w:val="218"/>
          <w:jc w:val="center"/>
        </w:trPr>
        <w:tc>
          <w:tcPr>
            <w:tcW w:w="5240" w:type="dxa"/>
            <w:tcBorders>
              <w:top w:val="single" w:sz="4" w:space="0" w:color="auto"/>
              <w:left w:val="single" w:sz="4" w:space="0" w:color="auto"/>
              <w:bottom w:val="single" w:sz="4" w:space="0" w:color="auto"/>
              <w:right w:val="single" w:sz="4" w:space="0" w:color="auto"/>
            </w:tcBorders>
          </w:tcPr>
          <w:p w:rsidR="00E500CE" w:rsidRPr="00B2634D" w:rsidRDefault="00E500CE" w:rsidP="00232145">
            <w:pPr>
              <w:shd w:val="clear" w:color="auto" w:fill="FFFFFF"/>
              <w:ind w:firstLine="0"/>
              <w:rPr>
                <w:bCs/>
                <w:shd w:val="clear" w:color="auto" w:fill="FFFFFF"/>
                <w:lang w:val="ro-RO" w:eastAsia="ro-RO"/>
              </w:rPr>
            </w:pPr>
          </w:p>
        </w:tc>
        <w:tc>
          <w:tcPr>
            <w:tcW w:w="5670" w:type="dxa"/>
            <w:tcBorders>
              <w:top w:val="single" w:sz="4" w:space="0" w:color="auto"/>
              <w:left w:val="single" w:sz="4" w:space="0" w:color="auto"/>
              <w:bottom w:val="single" w:sz="4" w:space="0" w:color="auto"/>
              <w:right w:val="single" w:sz="4" w:space="0" w:color="auto"/>
            </w:tcBorders>
          </w:tcPr>
          <w:p w:rsidR="00C71B21" w:rsidRPr="00580AD5" w:rsidRDefault="00C71B21" w:rsidP="00C63855">
            <w:pPr>
              <w:ind w:firstLine="0"/>
              <w:rPr>
                <w:b/>
                <w:lang w:val="ro-RO"/>
              </w:rPr>
            </w:pPr>
          </w:p>
        </w:tc>
        <w:tc>
          <w:tcPr>
            <w:tcW w:w="1559" w:type="dxa"/>
            <w:tcBorders>
              <w:top w:val="single" w:sz="4" w:space="0" w:color="auto"/>
              <w:left w:val="single" w:sz="4" w:space="0" w:color="auto"/>
              <w:bottom w:val="single" w:sz="4" w:space="0" w:color="auto"/>
              <w:right w:val="single" w:sz="4" w:space="0" w:color="auto"/>
            </w:tcBorders>
          </w:tcPr>
          <w:p w:rsidR="00E500CE" w:rsidRPr="006A0462" w:rsidRDefault="00E500CE" w:rsidP="001B476D">
            <w:pPr>
              <w:ind w:firstLine="0"/>
              <w:jc w:val="center"/>
              <w:rPr>
                <w:b/>
                <w:lang w:val="ro-MD"/>
              </w:rPr>
            </w:pPr>
          </w:p>
        </w:tc>
        <w:tc>
          <w:tcPr>
            <w:tcW w:w="1556" w:type="dxa"/>
            <w:tcBorders>
              <w:top w:val="single" w:sz="4" w:space="0" w:color="auto"/>
              <w:left w:val="single" w:sz="4" w:space="0" w:color="auto"/>
              <w:bottom w:val="single" w:sz="4" w:space="0" w:color="auto"/>
              <w:right w:val="single" w:sz="4" w:space="0" w:color="auto"/>
            </w:tcBorders>
          </w:tcPr>
          <w:p w:rsidR="00E500CE" w:rsidRPr="006A0462" w:rsidRDefault="00E500CE" w:rsidP="00113981">
            <w:pPr>
              <w:ind w:firstLine="0"/>
              <w:jc w:val="center"/>
              <w:rPr>
                <w:b/>
                <w:lang w:val="ro-MD"/>
              </w:rPr>
            </w:pPr>
          </w:p>
        </w:tc>
      </w:tr>
      <w:tr w:rsidR="006E69F1" w:rsidRPr="006A0462" w:rsidTr="00EC1D97">
        <w:trPr>
          <w:trHeight w:val="218"/>
          <w:jc w:val="center"/>
        </w:trPr>
        <w:tc>
          <w:tcPr>
            <w:tcW w:w="5240" w:type="dxa"/>
            <w:tcBorders>
              <w:top w:val="single" w:sz="4" w:space="0" w:color="auto"/>
              <w:left w:val="single" w:sz="4" w:space="0" w:color="auto"/>
              <w:bottom w:val="single" w:sz="4" w:space="0" w:color="auto"/>
              <w:right w:val="single" w:sz="4" w:space="0" w:color="auto"/>
            </w:tcBorders>
          </w:tcPr>
          <w:p w:rsidR="00153D1F" w:rsidRPr="007C5632" w:rsidRDefault="00153D1F" w:rsidP="00232145">
            <w:pPr>
              <w:shd w:val="clear" w:color="auto" w:fill="FFFFFF"/>
              <w:ind w:firstLine="0"/>
              <w:rPr>
                <w:bCs/>
                <w:shd w:val="clear" w:color="auto" w:fill="FFFFFF"/>
                <w:lang w:val="ro-RO" w:eastAsia="ro-RO"/>
              </w:rPr>
            </w:pPr>
          </w:p>
        </w:tc>
        <w:tc>
          <w:tcPr>
            <w:tcW w:w="5670" w:type="dxa"/>
            <w:tcBorders>
              <w:top w:val="single" w:sz="4" w:space="0" w:color="auto"/>
              <w:left w:val="single" w:sz="4" w:space="0" w:color="auto"/>
              <w:bottom w:val="single" w:sz="4" w:space="0" w:color="auto"/>
              <w:right w:val="single" w:sz="4" w:space="0" w:color="auto"/>
            </w:tcBorders>
          </w:tcPr>
          <w:p w:rsidR="006E69F1" w:rsidRPr="006E69F1" w:rsidRDefault="006E69F1" w:rsidP="00F829CF">
            <w:pPr>
              <w:ind w:firstLine="0"/>
              <w:rPr>
                <w:lang w:val="ro-RO"/>
              </w:rPr>
            </w:pPr>
          </w:p>
        </w:tc>
        <w:tc>
          <w:tcPr>
            <w:tcW w:w="1559" w:type="dxa"/>
            <w:tcBorders>
              <w:top w:val="single" w:sz="4" w:space="0" w:color="auto"/>
              <w:left w:val="single" w:sz="4" w:space="0" w:color="auto"/>
              <w:bottom w:val="single" w:sz="4" w:space="0" w:color="auto"/>
              <w:right w:val="single" w:sz="4" w:space="0" w:color="auto"/>
            </w:tcBorders>
          </w:tcPr>
          <w:p w:rsidR="006E69F1" w:rsidRPr="006A0462" w:rsidRDefault="006E69F1" w:rsidP="00113981">
            <w:pPr>
              <w:ind w:firstLine="0"/>
              <w:jc w:val="center"/>
              <w:rPr>
                <w:b/>
                <w:lang w:val="ro-MD"/>
              </w:rPr>
            </w:pPr>
          </w:p>
        </w:tc>
        <w:tc>
          <w:tcPr>
            <w:tcW w:w="1556" w:type="dxa"/>
            <w:tcBorders>
              <w:top w:val="single" w:sz="4" w:space="0" w:color="auto"/>
              <w:left w:val="single" w:sz="4" w:space="0" w:color="auto"/>
              <w:bottom w:val="single" w:sz="4" w:space="0" w:color="auto"/>
              <w:right w:val="single" w:sz="4" w:space="0" w:color="auto"/>
            </w:tcBorders>
          </w:tcPr>
          <w:p w:rsidR="006E69F1" w:rsidRPr="006A0462" w:rsidRDefault="006E69F1" w:rsidP="00113981">
            <w:pPr>
              <w:ind w:firstLine="0"/>
              <w:jc w:val="center"/>
              <w:rPr>
                <w:b/>
                <w:lang w:val="ro-MD"/>
              </w:rPr>
            </w:pPr>
          </w:p>
        </w:tc>
      </w:tr>
      <w:tr w:rsidR="00E500CE" w:rsidRPr="006A0462" w:rsidTr="00EC1D97">
        <w:trPr>
          <w:trHeight w:val="218"/>
          <w:jc w:val="center"/>
        </w:trPr>
        <w:tc>
          <w:tcPr>
            <w:tcW w:w="5240" w:type="dxa"/>
            <w:tcBorders>
              <w:top w:val="single" w:sz="4" w:space="0" w:color="auto"/>
              <w:left w:val="single" w:sz="4" w:space="0" w:color="auto"/>
              <w:bottom w:val="single" w:sz="4" w:space="0" w:color="auto"/>
              <w:right w:val="single" w:sz="4" w:space="0" w:color="auto"/>
            </w:tcBorders>
          </w:tcPr>
          <w:p w:rsidR="00E500CE" w:rsidRPr="00722F49" w:rsidRDefault="00E500CE" w:rsidP="00232145">
            <w:pPr>
              <w:shd w:val="clear" w:color="auto" w:fill="FFFFFF"/>
              <w:ind w:firstLine="0"/>
              <w:jc w:val="left"/>
              <w:rPr>
                <w:rFonts w:ascii="inherit" w:hAnsi="inherit"/>
                <w:color w:val="000000"/>
                <w:lang w:val="ro-RO" w:eastAsia="ro-RO"/>
              </w:rPr>
            </w:pPr>
          </w:p>
        </w:tc>
        <w:tc>
          <w:tcPr>
            <w:tcW w:w="5670" w:type="dxa"/>
            <w:tcBorders>
              <w:top w:val="single" w:sz="4" w:space="0" w:color="auto"/>
              <w:left w:val="single" w:sz="4" w:space="0" w:color="auto"/>
              <w:bottom w:val="single" w:sz="4" w:space="0" w:color="auto"/>
              <w:right w:val="single" w:sz="4" w:space="0" w:color="auto"/>
            </w:tcBorders>
          </w:tcPr>
          <w:p w:rsidR="00E500CE" w:rsidRPr="00367582" w:rsidRDefault="00E500CE" w:rsidP="0019749D">
            <w:pPr>
              <w:ind w:firstLine="0"/>
              <w:rPr>
                <w:lang w:val="ro-RO"/>
              </w:rPr>
            </w:pPr>
          </w:p>
        </w:tc>
        <w:tc>
          <w:tcPr>
            <w:tcW w:w="1559" w:type="dxa"/>
            <w:tcBorders>
              <w:top w:val="single" w:sz="4" w:space="0" w:color="auto"/>
              <w:left w:val="single" w:sz="4" w:space="0" w:color="auto"/>
              <w:bottom w:val="single" w:sz="4" w:space="0" w:color="auto"/>
              <w:right w:val="single" w:sz="4" w:space="0" w:color="auto"/>
            </w:tcBorders>
          </w:tcPr>
          <w:p w:rsidR="00E500CE" w:rsidRPr="006A0462" w:rsidRDefault="00E500CE" w:rsidP="00113981">
            <w:pPr>
              <w:ind w:firstLine="0"/>
              <w:jc w:val="center"/>
              <w:rPr>
                <w:b/>
                <w:lang w:val="ro-MD"/>
              </w:rPr>
            </w:pPr>
          </w:p>
        </w:tc>
        <w:tc>
          <w:tcPr>
            <w:tcW w:w="1556" w:type="dxa"/>
            <w:tcBorders>
              <w:top w:val="single" w:sz="4" w:space="0" w:color="auto"/>
              <w:left w:val="single" w:sz="4" w:space="0" w:color="auto"/>
              <w:bottom w:val="single" w:sz="4" w:space="0" w:color="auto"/>
              <w:right w:val="single" w:sz="4" w:space="0" w:color="auto"/>
            </w:tcBorders>
          </w:tcPr>
          <w:p w:rsidR="00E500CE" w:rsidRPr="006A0462" w:rsidRDefault="00E500CE" w:rsidP="00113981">
            <w:pPr>
              <w:ind w:firstLine="0"/>
              <w:jc w:val="center"/>
              <w:rPr>
                <w:b/>
                <w:lang w:val="ro-MD"/>
              </w:rPr>
            </w:pPr>
          </w:p>
        </w:tc>
      </w:tr>
    </w:tbl>
    <w:p w:rsidR="007F668F" w:rsidRDefault="007F668F" w:rsidP="00EF171D">
      <w:pPr>
        <w:ind w:firstLine="0"/>
      </w:pPr>
    </w:p>
    <w:sectPr w:rsidR="007F668F" w:rsidSect="00B72946">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inherit">
    <w:altName w:val="Times New Roman"/>
    <w:charset w:val="00"/>
    <w:family w:val="roman"/>
    <w:pitch w:val="default"/>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C6E"/>
    <w:rsid w:val="00001062"/>
    <w:rsid w:val="00016331"/>
    <w:rsid w:val="00033AE8"/>
    <w:rsid w:val="00035457"/>
    <w:rsid w:val="0004233C"/>
    <w:rsid w:val="000520B2"/>
    <w:rsid w:val="000555FC"/>
    <w:rsid w:val="0006201F"/>
    <w:rsid w:val="00063577"/>
    <w:rsid w:val="0006581F"/>
    <w:rsid w:val="000807E3"/>
    <w:rsid w:val="000860A4"/>
    <w:rsid w:val="0009460F"/>
    <w:rsid w:val="0009792B"/>
    <w:rsid w:val="000A0711"/>
    <w:rsid w:val="000A4273"/>
    <w:rsid w:val="000B4471"/>
    <w:rsid w:val="000C0267"/>
    <w:rsid w:val="000C0365"/>
    <w:rsid w:val="000C1D10"/>
    <w:rsid w:val="000D2E18"/>
    <w:rsid w:val="000E228E"/>
    <w:rsid w:val="000E5CD8"/>
    <w:rsid w:val="0010739F"/>
    <w:rsid w:val="00113981"/>
    <w:rsid w:val="0012730A"/>
    <w:rsid w:val="00143929"/>
    <w:rsid w:val="00153D1F"/>
    <w:rsid w:val="00154209"/>
    <w:rsid w:val="0017279B"/>
    <w:rsid w:val="00172C90"/>
    <w:rsid w:val="0019749D"/>
    <w:rsid w:val="001A1670"/>
    <w:rsid w:val="001A3836"/>
    <w:rsid w:val="001A3B2F"/>
    <w:rsid w:val="001A776B"/>
    <w:rsid w:val="001B0E69"/>
    <w:rsid w:val="001B476D"/>
    <w:rsid w:val="001B5F07"/>
    <w:rsid w:val="001E0119"/>
    <w:rsid w:val="001E7BC1"/>
    <w:rsid w:val="001F11A9"/>
    <w:rsid w:val="001F1E9F"/>
    <w:rsid w:val="00210F3C"/>
    <w:rsid w:val="00221F64"/>
    <w:rsid w:val="00222052"/>
    <w:rsid w:val="00225C82"/>
    <w:rsid w:val="00226021"/>
    <w:rsid w:val="00232145"/>
    <w:rsid w:val="00252732"/>
    <w:rsid w:val="00252B00"/>
    <w:rsid w:val="0025724E"/>
    <w:rsid w:val="002725E1"/>
    <w:rsid w:val="002A4643"/>
    <w:rsid w:val="002A7688"/>
    <w:rsid w:val="002A7CC1"/>
    <w:rsid w:val="002D4E4F"/>
    <w:rsid w:val="002E2DB7"/>
    <w:rsid w:val="002E6E75"/>
    <w:rsid w:val="00322A49"/>
    <w:rsid w:val="00323D88"/>
    <w:rsid w:val="0034523A"/>
    <w:rsid w:val="0036214A"/>
    <w:rsid w:val="00363368"/>
    <w:rsid w:val="00367582"/>
    <w:rsid w:val="00372319"/>
    <w:rsid w:val="0037580A"/>
    <w:rsid w:val="0038220D"/>
    <w:rsid w:val="00383F4E"/>
    <w:rsid w:val="00387055"/>
    <w:rsid w:val="003A23F5"/>
    <w:rsid w:val="003A3B3F"/>
    <w:rsid w:val="003B5E25"/>
    <w:rsid w:val="003D3ABE"/>
    <w:rsid w:val="003D55E2"/>
    <w:rsid w:val="003D6AE3"/>
    <w:rsid w:val="003E2FE1"/>
    <w:rsid w:val="00405094"/>
    <w:rsid w:val="00421B50"/>
    <w:rsid w:val="0042215E"/>
    <w:rsid w:val="004317F6"/>
    <w:rsid w:val="00444FE3"/>
    <w:rsid w:val="004617E6"/>
    <w:rsid w:val="00472E24"/>
    <w:rsid w:val="004763AA"/>
    <w:rsid w:val="00476A47"/>
    <w:rsid w:val="004847DB"/>
    <w:rsid w:val="004A42E3"/>
    <w:rsid w:val="004A62D9"/>
    <w:rsid w:val="004B1C3D"/>
    <w:rsid w:val="004B3A63"/>
    <w:rsid w:val="004C6C6E"/>
    <w:rsid w:val="004C6EA9"/>
    <w:rsid w:val="004D49A3"/>
    <w:rsid w:val="004E542F"/>
    <w:rsid w:val="00512BA1"/>
    <w:rsid w:val="005138FC"/>
    <w:rsid w:val="0052130C"/>
    <w:rsid w:val="00522EC8"/>
    <w:rsid w:val="00524ACE"/>
    <w:rsid w:val="00527DAF"/>
    <w:rsid w:val="00532998"/>
    <w:rsid w:val="00537DD2"/>
    <w:rsid w:val="00570659"/>
    <w:rsid w:val="00580AD5"/>
    <w:rsid w:val="005856C7"/>
    <w:rsid w:val="005962DC"/>
    <w:rsid w:val="005A77E9"/>
    <w:rsid w:val="005B0CEE"/>
    <w:rsid w:val="005B3B2F"/>
    <w:rsid w:val="005B4081"/>
    <w:rsid w:val="005B57F6"/>
    <w:rsid w:val="005E02B2"/>
    <w:rsid w:val="005E3AF0"/>
    <w:rsid w:val="00600DED"/>
    <w:rsid w:val="006028DF"/>
    <w:rsid w:val="006140AC"/>
    <w:rsid w:val="00631D1B"/>
    <w:rsid w:val="006417EA"/>
    <w:rsid w:val="00641FD3"/>
    <w:rsid w:val="006424E4"/>
    <w:rsid w:val="00674323"/>
    <w:rsid w:val="00676A9E"/>
    <w:rsid w:val="0068354E"/>
    <w:rsid w:val="00690150"/>
    <w:rsid w:val="006B4551"/>
    <w:rsid w:val="006C3CB9"/>
    <w:rsid w:val="006D1C7A"/>
    <w:rsid w:val="006D70B5"/>
    <w:rsid w:val="006D7956"/>
    <w:rsid w:val="006E084C"/>
    <w:rsid w:val="006E69F1"/>
    <w:rsid w:val="006F262C"/>
    <w:rsid w:val="006F3186"/>
    <w:rsid w:val="0071149D"/>
    <w:rsid w:val="00716A1C"/>
    <w:rsid w:val="00722F49"/>
    <w:rsid w:val="00754730"/>
    <w:rsid w:val="00754F35"/>
    <w:rsid w:val="00754FA2"/>
    <w:rsid w:val="0076444A"/>
    <w:rsid w:val="007671BE"/>
    <w:rsid w:val="00771E09"/>
    <w:rsid w:val="007942DA"/>
    <w:rsid w:val="007B2017"/>
    <w:rsid w:val="007B2741"/>
    <w:rsid w:val="007C5632"/>
    <w:rsid w:val="007D4CF1"/>
    <w:rsid w:val="007F1D23"/>
    <w:rsid w:val="007F668F"/>
    <w:rsid w:val="00801FEF"/>
    <w:rsid w:val="0082118A"/>
    <w:rsid w:val="00842AC9"/>
    <w:rsid w:val="00853202"/>
    <w:rsid w:val="008622F5"/>
    <w:rsid w:val="008631B8"/>
    <w:rsid w:val="00864E6A"/>
    <w:rsid w:val="00866621"/>
    <w:rsid w:val="0087183F"/>
    <w:rsid w:val="008817EE"/>
    <w:rsid w:val="008C374E"/>
    <w:rsid w:val="008C7724"/>
    <w:rsid w:val="008D2E0E"/>
    <w:rsid w:val="008E2934"/>
    <w:rsid w:val="008E2D20"/>
    <w:rsid w:val="00901604"/>
    <w:rsid w:val="00901A93"/>
    <w:rsid w:val="009155C3"/>
    <w:rsid w:val="00916294"/>
    <w:rsid w:val="009511B0"/>
    <w:rsid w:val="00981349"/>
    <w:rsid w:val="0099073C"/>
    <w:rsid w:val="009A1DC8"/>
    <w:rsid w:val="009A2FEF"/>
    <w:rsid w:val="009C0987"/>
    <w:rsid w:val="009C43E5"/>
    <w:rsid w:val="009D1778"/>
    <w:rsid w:val="009D40F6"/>
    <w:rsid w:val="009D68F9"/>
    <w:rsid w:val="00A0205A"/>
    <w:rsid w:val="00A37AE1"/>
    <w:rsid w:val="00A41279"/>
    <w:rsid w:val="00A50F6E"/>
    <w:rsid w:val="00A50FFA"/>
    <w:rsid w:val="00A67302"/>
    <w:rsid w:val="00A77426"/>
    <w:rsid w:val="00A7797D"/>
    <w:rsid w:val="00A86E69"/>
    <w:rsid w:val="00A9680C"/>
    <w:rsid w:val="00A976D7"/>
    <w:rsid w:val="00AB5C6A"/>
    <w:rsid w:val="00AC1BAE"/>
    <w:rsid w:val="00AC3BB9"/>
    <w:rsid w:val="00AD1272"/>
    <w:rsid w:val="00AE1371"/>
    <w:rsid w:val="00AE423F"/>
    <w:rsid w:val="00AF7166"/>
    <w:rsid w:val="00B057F4"/>
    <w:rsid w:val="00B2634D"/>
    <w:rsid w:val="00B6064E"/>
    <w:rsid w:val="00B6103E"/>
    <w:rsid w:val="00B72946"/>
    <w:rsid w:val="00B92D55"/>
    <w:rsid w:val="00B95F01"/>
    <w:rsid w:val="00BA10D1"/>
    <w:rsid w:val="00BA1134"/>
    <w:rsid w:val="00BA6757"/>
    <w:rsid w:val="00C478E5"/>
    <w:rsid w:val="00C505ED"/>
    <w:rsid w:val="00C63855"/>
    <w:rsid w:val="00C66EA0"/>
    <w:rsid w:val="00C71B21"/>
    <w:rsid w:val="00C722DB"/>
    <w:rsid w:val="00C95735"/>
    <w:rsid w:val="00CB61CB"/>
    <w:rsid w:val="00CB7DC6"/>
    <w:rsid w:val="00CC6A96"/>
    <w:rsid w:val="00CC7F87"/>
    <w:rsid w:val="00CD12BF"/>
    <w:rsid w:val="00CD5BD7"/>
    <w:rsid w:val="00CD6789"/>
    <w:rsid w:val="00CF033C"/>
    <w:rsid w:val="00CF0929"/>
    <w:rsid w:val="00CF496D"/>
    <w:rsid w:val="00D06E7B"/>
    <w:rsid w:val="00D07D9D"/>
    <w:rsid w:val="00D21650"/>
    <w:rsid w:val="00D22FFC"/>
    <w:rsid w:val="00D379BB"/>
    <w:rsid w:val="00D5286E"/>
    <w:rsid w:val="00D538C1"/>
    <w:rsid w:val="00D54386"/>
    <w:rsid w:val="00D61AF0"/>
    <w:rsid w:val="00D728FF"/>
    <w:rsid w:val="00D82155"/>
    <w:rsid w:val="00D926DC"/>
    <w:rsid w:val="00D93AA9"/>
    <w:rsid w:val="00D94F9E"/>
    <w:rsid w:val="00DB1101"/>
    <w:rsid w:val="00DC35BF"/>
    <w:rsid w:val="00DD7715"/>
    <w:rsid w:val="00DE04AF"/>
    <w:rsid w:val="00DE2476"/>
    <w:rsid w:val="00DE3D94"/>
    <w:rsid w:val="00DE543C"/>
    <w:rsid w:val="00DF02AC"/>
    <w:rsid w:val="00DF4FF0"/>
    <w:rsid w:val="00DF7750"/>
    <w:rsid w:val="00E12E97"/>
    <w:rsid w:val="00E1356D"/>
    <w:rsid w:val="00E246F1"/>
    <w:rsid w:val="00E412AE"/>
    <w:rsid w:val="00E500CE"/>
    <w:rsid w:val="00E53561"/>
    <w:rsid w:val="00E91EEE"/>
    <w:rsid w:val="00EB0C1A"/>
    <w:rsid w:val="00EB5146"/>
    <w:rsid w:val="00EC1D97"/>
    <w:rsid w:val="00ED0C14"/>
    <w:rsid w:val="00EE40C2"/>
    <w:rsid w:val="00EE5E41"/>
    <w:rsid w:val="00EF171D"/>
    <w:rsid w:val="00F22859"/>
    <w:rsid w:val="00F344D7"/>
    <w:rsid w:val="00F34AEF"/>
    <w:rsid w:val="00F4086D"/>
    <w:rsid w:val="00F45774"/>
    <w:rsid w:val="00F53DBF"/>
    <w:rsid w:val="00F63B26"/>
    <w:rsid w:val="00F829CF"/>
    <w:rsid w:val="00F9614E"/>
    <w:rsid w:val="00FA23E3"/>
    <w:rsid w:val="00FC6EE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869F04-185E-42EA-BE06-7041767CE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580A"/>
    <w:pPr>
      <w:spacing w:after="0" w:line="240" w:lineRule="auto"/>
      <w:ind w:firstLine="720"/>
      <w:jc w:val="both"/>
    </w:pPr>
    <w:rPr>
      <w:rFonts w:ascii="Times New Roman" w:eastAsia="Times New Roman" w:hAnsi="Times New Roman" w:cs="Times New Roman"/>
      <w:sz w:val="20"/>
      <w:szCs w:val="2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11">
    <w:name w:val="Font Style11"/>
    <w:basedOn w:val="DefaultParagraphFont"/>
    <w:uiPriority w:val="99"/>
    <w:rsid w:val="00B72946"/>
    <w:rPr>
      <w:rFonts w:ascii="Times New Roman" w:hAnsi="Times New Roman" w:cs="Times New Roman" w:hint="default"/>
      <w:b/>
      <w:bCs/>
      <w:spacing w:val="10"/>
      <w:sz w:val="24"/>
      <w:szCs w:val="24"/>
    </w:rPr>
  </w:style>
  <w:style w:type="table" w:customStyle="1" w:styleId="TableGrid1">
    <w:name w:val="Table Grid1"/>
    <w:basedOn w:val="TableNormal"/>
    <w:rsid w:val="00B72946"/>
    <w:pPr>
      <w:spacing w:after="0" w:line="240" w:lineRule="auto"/>
    </w:pPr>
    <w:rPr>
      <w:rFonts w:ascii="Calibri" w:eastAsia="Calibri"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D12BF"/>
    <w:rPr>
      <w:color w:val="0563C1" w:themeColor="hyperlink"/>
      <w:u w:val="single"/>
    </w:rPr>
  </w:style>
  <w:style w:type="paragraph" w:customStyle="1" w:styleId="title-article-norm">
    <w:name w:val="title-article-norm"/>
    <w:basedOn w:val="Normal"/>
    <w:rsid w:val="00722F49"/>
    <w:pPr>
      <w:spacing w:before="100" w:beforeAutospacing="1" w:after="100" w:afterAutospacing="1"/>
      <w:ind w:firstLine="0"/>
      <w:jc w:val="left"/>
    </w:pPr>
    <w:rPr>
      <w:sz w:val="24"/>
      <w:szCs w:val="24"/>
      <w:lang w:val="ro-RO" w:eastAsia="ro-RO"/>
    </w:rPr>
  </w:style>
  <w:style w:type="paragraph" w:customStyle="1" w:styleId="stitle-article-norm">
    <w:name w:val="stitle-article-norm"/>
    <w:basedOn w:val="Normal"/>
    <w:rsid w:val="00722F49"/>
    <w:pPr>
      <w:spacing w:before="100" w:beforeAutospacing="1" w:after="100" w:afterAutospacing="1"/>
      <w:ind w:firstLine="0"/>
      <w:jc w:val="left"/>
    </w:pPr>
    <w:rPr>
      <w:sz w:val="24"/>
      <w:szCs w:val="24"/>
      <w:lang w:val="ro-RO" w:eastAsia="ro-RO"/>
    </w:rPr>
  </w:style>
  <w:style w:type="paragraph" w:customStyle="1" w:styleId="norm">
    <w:name w:val="norm"/>
    <w:basedOn w:val="Normal"/>
    <w:rsid w:val="00722F49"/>
    <w:pPr>
      <w:spacing w:before="100" w:beforeAutospacing="1" w:after="100" w:afterAutospacing="1"/>
      <w:ind w:firstLine="0"/>
      <w:jc w:val="left"/>
    </w:pPr>
    <w:rPr>
      <w:sz w:val="24"/>
      <w:szCs w:val="24"/>
      <w:lang w:val="ro-RO" w:eastAsia="ro-RO"/>
    </w:rPr>
  </w:style>
  <w:style w:type="character" w:customStyle="1" w:styleId="italics">
    <w:name w:val="italics"/>
    <w:basedOn w:val="DefaultParagraphFont"/>
    <w:rsid w:val="003D6AE3"/>
  </w:style>
  <w:style w:type="paragraph" w:styleId="ListParagraph">
    <w:name w:val="List Paragraph"/>
    <w:basedOn w:val="Normal"/>
    <w:uiPriority w:val="34"/>
    <w:qFormat/>
    <w:rsid w:val="00222052"/>
    <w:pPr>
      <w:spacing w:after="160" w:line="259" w:lineRule="auto"/>
      <w:ind w:left="720" w:firstLine="0"/>
      <w:contextualSpacing/>
      <w:jc w:val="left"/>
    </w:pPr>
    <w:rPr>
      <w:rFonts w:ascii="Calibri" w:eastAsia="Calibri" w:hAnsi="Calibri" w:cs="Calibri"/>
      <w:sz w:val="22"/>
      <w:szCs w:val="22"/>
      <w:lang w:val="ro-RO" w:eastAsia="ro-RO"/>
    </w:rPr>
  </w:style>
  <w:style w:type="paragraph" w:customStyle="1" w:styleId="oj-tbl-hdr">
    <w:name w:val="oj-tbl-hdr"/>
    <w:basedOn w:val="Normal"/>
    <w:rsid w:val="00DE04AF"/>
    <w:pPr>
      <w:spacing w:before="100" w:beforeAutospacing="1" w:after="100" w:afterAutospacing="1"/>
      <w:ind w:firstLine="0"/>
      <w:jc w:val="left"/>
    </w:pPr>
    <w:rPr>
      <w:sz w:val="24"/>
      <w:szCs w:val="24"/>
      <w:lang w:val="ro-RO" w:eastAsia="ro-RO"/>
    </w:rPr>
  </w:style>
  <w:style w:type="paragraph" w:customStyle="1" w:styleId="oj-tbl-txt">
    <w:name w:val="oj-tbl-txt"/>
    <w:basedOn w:val="Normal"/>
    <w:rsid w:val="00DE04AF"/>
    <w:pPr>
      <w:spacing w:before="100" w:beforeAutospacing="1" w:after="100" w:afterAutospacing="1"/>
      <w:ind w:firstLine="0"/>
      <w:jc w:val="left"/>
    </w:pPr>
    <w:rPr>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825430">
      <w:bodyDiv w:val="1"/>
      <w:marLeft w:val="0"/>
      <w:marRight w:val="0"/>
      <w:marTop w:val="0"/>
      <w:marBottom w:val="0"/>
      <w:divBdr>
        <w:top w:val="none" w:sz="0" w:space="0" w:color="auto"/>
        <w:left w:val="none" w:sz="0" w:space="0" w:color="auto"/>
        <w:bottom w:val="none" w:sz="0" w:space="0" w:color="auto"/>
        <w:right w:val="none" w:sz="0" w:space="0" w:color="auto"/>
      </w:divBdr>
      <w:divsChild>
        <w:div w:id="1875465076">
          <w:marLeft w:val="0"/>
          <w:marRight w:val="0"/>
          <w:marTop w:val="0"/>
          <w:marBottom w:val="0"/>
          <w:divBdr>
            <w:top w:val="none" w:sz="0" w:space="0" w:color="auto"/>
            <w:left w:val="none" w:sz="0" w:space="0" w:color="auto"/>
            <w:bottom w:val="none" w:sz="0" w:space="0" w:color="auto"/>
            <w:right w:val="none" w:sz="0" w:space="0" w:color="auto"/>
          </w:divBdr>
        </w:div>
        <w:div w:id="344405605">
          <w:marLeft w:val="0"/>
          <w:marRight w:val="0"/>
          <w:marTop w:val="0"/>
          <w:marBottom w:val="0"/>
          <w:divBdr>
            <w:top w:val="none" w:sz="0" w:space="0" w:color="auto"/>
            <w:left w:val="none" w:sz="0" w:space="0" w:color="auto"/>
            <w:bottom w:val="none" w:sz="0" w:space="0" w:color="auto"/>
            <w:right w:val="none" w:sz="0" w:space="0" w:color="auto"/>
          </w:divBdr>
        </w:div>
        <w:div w:id="870921550">
          <w:marLeft w:val="0"/>
          <w:marRight w:val="0"/>
          <w:marTop w:val="0"/>
          <w:marBottom w:val="0"/>
          <w:divBdr>
            <w:top w:val="none" w:sz="0" w:space="0" w:color="auto"/>
            <w:left w:val="none" w:sz="0" w:space="0" w:color="auto"/>
            <w:bottom w:val="none" w:sz="0" w:space="0" w:color="auto"/>
            <w:right w:val="none" w:sz="0" w:space="0" w:color="auto"/>
          </w:divBdr>
        </w:div>
      </w:divsChild>
    </w:div>
    <w:div w:id="98380779">
      <w:bodyDiv w:val="1"/>
      <w:marLeft w:val="0"/>
      <w:marRight w:val="0"/>
      <w:marTop w:val="0"/>
      <w:marBottom w:val="0"/>
      <w:divBdr>
        <w:top w:val="none" w:sz="0" w:space="0" w:color="auto"/>
        <w:left w:val="none" w:sz="0" w:space="0" w:color="auto"/>
        <w:bottom w:val="none" w:sz="0" w:space="0" w:color="auto"/>
        <w:right w:val="none" w:sz="0" w:space="0" w:color="auto"/>
      </w:divBdr>
      <w:divsChild>
        <w:div w:id="783693967">
          <w:marLeft w:val="0"/>
          <w:marRight w:val="0"/>
          <w:marTop w:val="0"/>
          <w:marBottom w:val="0"/>
          <w:divBdr>
            <w:top w:val="none" w:sz="0" w:space="0" w:color="auto"/>
            <w:left w:val="none" w:sz="0" w:space="0" w:color="auto"/>
            <w:bottom w:val="none" w:sz="0" w:space="0" w:color="auto"/>
            <w:right w:val="none" w:sz="0" w:space="0" w:color="auto"/>
          </w:divBdr>
          <w:divsChild>
            <w:div w:id="140194424">
              <w:marLeft w:val="0"/>
              <w:marRight w:val="0"/>
              <w:marTop w:val="0"/>
              <w:marBottom w:val="0"/>
              <w:divBdr>
                <w:top w:val="none" w:sz="0" w:space="0" w:color="auto"/>
                <w:left w:val="none" w:sz="0" w:space="0" w:color="auto"/>
                <w:bottom w:val="none" w:sz="0" w:space="0" w:color="auto"/>
                <w:right w:val="none" w:sz="0" w:space="0" w:color="auto"/>
              </w:divBdr>
            </w:div>
          </w:divsChild>
        </w:div>
        <w:div w:id="1620606658">
          <w:marLeft w:val="0"/>
          <w:marRight w:val="0"/>
          <w:marTop w:val="0"/>
          <w:marBottom w:val="0"/>
          <w:divBdr>
            <w:top w:val="none" w:sz="0" w:space="0" w:color="auto"/>
            <w:left w:val="none" w:sz="0" w:space="0" w:color="auto"/>
            <w:bottom w:val="none" w:sz="0" w:space="0" w:color="auto"/>
            <w:right w:val="none" w:sz="0" w:space="0" w:color="auto"/>
          </w:divBdr>
          <w:divsChild>
            <w:div w:id="180755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37102">
      <w:bodyDiv w:val="1"/>
      <w:marLeft w:val="0"/>
      <w:marRight w:val="0"/>
      <w:marTop w:val="0"/>
      <w:marBottom w:val="0"/>
      <w:divBdr>
        <w:top w:val="none" w:sz="0" w:space="0" w:color="auto"/>
        <w:left w:val="none" w:sz="0" w:space="0" w:color="auto"/>
        <w:bottom w:val="none" w:sz="0" w:space="0" w:color="auto"/>
        <w:right w:val="none" w:sz="0" w:space="0" w:color="auto"/>
      </w:divBdr>
    </w:div>
    <w:div w:id="521480349">
      <w:bodyDiv w:val="1"/>
      <w:marLeft w:val="0"/>
      <w:marRight w:val="0"/>
      <w:marTop w:val="0"/>
      <w:marBottom w:val="0"/>
      <w:divBdr>
        <w:top w:val="none" w:sz="0" w:space="0" w:color="auto"/>
        <w:left w:val="none" w:sz="0" w:space="0" w:color="auto"/>
        <w:bottom w:val="none" w:sz="0" w:space="0" w:color="auto"/>
        <w:right w:val="none" w:sz="0" w:space="0" w:color="auto"/>
      </w:divBdr>
    </w:div>
    <w:div w:id="613905189">
      <w:bodyDiv w:val="1"/>
      <w:marLeft w:val="0"/>
      <w:marRight w:val="0"/>
      <w:marTop w:val="0"/>
      <w:marBottom w:val="0"/>
      <w:divBdr>
        <w:top w:val="none" w:sz="0" w:space="0" w:color="auto"/>
        <w:left w:val="none" w:sz="0" w:space="0" w:color="auto"/>
        <w:bottom w:val="none" w:sz="0" w:space="0" w:color="auto"/>
        <w:right w:val="none" w:sz="0" w:space="0" w:color="auto"/>
      </w:divBdr>
    </w:div>
    <w:div w:id="631520186">
      <w:bodyDiv w:val="1"/>
      <w:marLeft w:val="0"/>
      <w:marRight w:val="0"/>
      <w:marTop w:val="0"/>
      <w:marBottom w:val="0"/>
      <w:divBdr>
        <w:top w:val="none" w:sz="0" w:space="0" w:color="auto"/>
        <w:left w:val="none" w:sz="0" w:space="0" w:color="auto"/>
        <w:bottom w:val="none" w:sz="0" w:space="0" w:color="auto"/>
        <w:right w:val="none" w:sz="0" w:space="0" w:color="auto"/>
      </w:divBdr>
    </w:div>
    <w:div w:id="687409691">
      <w:bodyDiv w:val="1"/>
      <w:marLeft w:val="0"/>
      <w:marRight w:val="0"/>
      <w:marTop w:val="0"/>
      <w:marBottom w:val="0"/>
      <w:divBdr>
        <w:top w:val="none" w:sz="0" w:space="0" w:color="auto"/>
        <w:left w:val="none" w:sz="0" w:space="0" w:color="auto"/>
        <w:bottom w:val="none" w:sz="0" w:space="0" w:color="auto"/>
        <w:right w:val="none" w:sz="0" w:space="0" w:color="auto"/>
      </w:divBdr>
      <w:divsChild>
        <w:div w:id="428433778">
          <w:marLeft w:val="0"/>
          <w:marRight w:val="0"/>
          <w:marTop w:val="0"/>
          <w:marBottom w:val="0"/>
          <w:divBdr>
            <w:top w:val="none" w:sz="0" w:space="0" w:color="auto"/>
            <w:left w:val="none" w:sz="0" w:space="0" w:color="auto"/>
            <w:bottom w:val="none" w:sz="0" w:space="0" w:color="auto"/>
            <w:right w:val="none" w:sz="0" w:space="0" w:color="auto"/>
          </w:divBdr>
        </w:div>
      </w:divsChild>
    </w:div>
    <w:div w:id="742919074">
      <w:bodyDiv w:val="1"/>
      <w:marLeft w:val="0"/>
      <w:marRight w:val="0"/>
      <w:marTop w:val="0"/>
      <w:marBottom w:val="0"/>
      <w:divBdr>
        <w:top w:val="none" w:sz="0" w:space="0" w:color="auto"/>
        <w:left w:val="none" w:sz="0" w:space="0" w:color="auto"/>
        <w:bottom w:val="none" w:sz="0" w:space="0" w:color="auto"/>
        <w:right w:val="none" w:sz="0" w:space="0" w:color="auto"/>
      </w:divBdr>
      <w:divsChild>
        <w:div w:id="628434264">
          <w:marLeft w:val="0"/>
          <w:marRight w:val="0"/>
          <w:marTop w:val="0"/>
          <w:marBottom w:val="0"/>
          <w:divBdr>
            <w:top w:val="none" w:sz="0" w:space="0" w:color="auto"/>
            <w:left w:val="none" w:sz="0" w:space="0" w:color="auto"/>
            <w:bottom w:val="none" w:sz="0" w:space="0" w:color="auto"/>
            <w:right w:val="none" w:sz="0" w:space="0" w:color="auto"/>
          </w:divBdr>
          <w:divsChild>
            <w:div w:id="826172023">
              <w:marLeft w:val="0"/>
              <w:marRight w:val="0"/>
              <w:marTop w:val="0"/>
              <w:marBottom w:val="0"/>
              <w:divBdr>
                <w:top w:val="none" w:sz="0" w:space="0" w:color="auto"/>
                <w:left w:val="none" w:sz="0" w:space="0" w:color="auto"/>
                <w:bottom w:val="none" w:sz="0" w:space="0" w:color="auto"/>
                <w:right w:val="none" w:sz="0" w:space="0" w:color="auto"/>
              </w:divBdr>
            </w:div>
          </w:divsChild>
        </w:div>
        <w:div w:id="1929727980">
          <w:marLeft w:val="0"/>
          <w:marRight w:val="0"/>
          <w:marTop w:val="0"/>
          <w:marBottom w:val="0"/>
          <w:divBdr>
            <w:top w:val="none" w:sz="0" w:space="0" w:color="auto"/>
            <w:left w:val="none" w:sz="0" w:space="0" w:color="auto"/>
            <w:bottom w:val="none" w:sz="0" w:space="0" w:color="auto"/>
            <w:right w:val="none" w:sz="0" w:space="0" w:color="auto"/>
          </w:divBdr>
          <w:divsChild>
            <w:div w:id="67430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856962">
      <w:bodyDiv w:val="1"/>
      <w:marLeft w:val="0"/>
      <w:marRight w:val="0"/>
      <w:marTop w:val="0"/>
      <w:marBottom w:val="0"/>
      <w:divBdr>
        <w:top w:val="none" w:sz="0" w:space="0" w:color="auto"/>
        <w:left w:val="none" w:sz="0" w:space="0" w:color="auto"/>
        <w:bottom w:val="none" w:sz="0" w:space="0" w:color="auto"/>
        <w:right w:val="none" w:sz="0" w:space="0" w:color="auto"/>
      </w:divBdr>
      <w:divsChild>
        <w:div w:id="1516723038">
          <w:marLeft w:val="0"/>
          <w:marRight w:val="0"/>
          <w:marTop w:val="0"/>
          <w:marBottom w:val="0"/>
          <w:divBdr>
            <w:top w:val="none" w:sz="0" w:space="0" w:color="auto"/>
            <w:left w:val="none" w:sz="0" w:space="0" w:color="auto"/>
            <w:bottom w:val="none" w:sz="0" w:space="0" w:color="auto"/>
            <w:right w:val="none" w:sz="0" w:space="0" w:color="auto"/>
          </w:divBdr>
          <w:divsChild>
            <w:div w:id="246428004">
              <w:marLeft w:val="0"/>
              <w:marRight w:val="0"/>
              <w:marTop w:val="0"/>
              <w:marBottom w:val="0"/>
              <w:divBdr>
                <w:top w:val="none" w:sz="0" w:space="0" w:color="auto"/>
                <w:left w:val="none" w:sz="0" w:space="0" w:color="auto"/>
                <w:bottom w:val="none" w:sz="0" w:space="0" w:color="auto"/>
                <w:right w:val="none" w:sz="0" w:space="0" w:color="auto"/>
              </w:divBdr>
            </w:div>
          </w:divsChild>
        </w:div>
        <w:div w:id="36126686">
          <w:marLeft w:val="0"/>
          <w:marRight w:val="0"/>
          <w:marTop w:val="0"/>
          <w:marBottom w:val="0"/>
          <w:divBdr>
            <w:top w:val="none" w:sz="0" w:space="0" w:color="auto"/>
            <w:left w:val="none" w:sz="0" w:space="0" w:color="auto"/>
            <w:bottom w:val="none" w:sz="0" w:space="0" w:color="auto"/>
            <w:right w:val="none" w:sz="0" w:space="0" w:color="auto"/>
          </w:divBdr>
          <w:divsChild>
            <w:div w:id="134396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222410">
      <w:bodyDiv w:val="1"/>
      <w:marLeft w:val="0"/>
      <w:marRight w:val="0"/>
      <w:marTop w:val="0"/>
      <w:marBottom w:val="0"/>
      <w:divBdr>
        <w:top w:val="none" w:sz="0" w:space="0" w:color="auto"/>
        <w:left w:val="none" w:sz="0" w:space="0" w:color="auto"/>
        <w:bottom w:val="none" w:sz="0" w:space="0" w:color="auto"/>
        <w:right w:val="none" w:sz="0" w:space="0" w:color="auto"/>
      </w:divBdr>
      <w:divsChild>
        <w:div w:id="1038434166">
          <w:marLeft w:val="0"/>
          <w:marRight w:val="0"/>
          <w:marTop w:val="0"/>
          <w:marBottom w:val="0"/>
          <w:divBdr>
            <w:top w:val="none" w:sz="0" w:space="0" w:color="auto"/>
            <w:left w:val="none" w:sz="0" w:space="0" w:color="auto"/>
            <w:bottom w:val="none" w:sz="0" w:space="0" w:color="auto"/>
            <w:right w:val="none" w:sz="0" w:space="0" w:color="auto"/>
          </w:divBdr>
        </w:div>
      </w:divsChild>
    </w:div>
    <w:div w:id="1067679733">
      <w:bodyDiv w:val="1"/>
      <w:marLeft w:val="0"/>
      <w:marRight w:val="0"/>
      <w:marTop w:val="0"/>
      <w:marBottom w:val="0"/>
      <w:divBdr>
        <w:top w:val="none" w:sz="0" w:space="0" w:color="auto"/>
        <w:left w:val="none" w:sz="0" w:space="0" w:color="auto"/>
        <w:bottom w:val="none" w:sz="0" w:space="0" w:color="auto"/>
        <w:right w:val="none" w:sz="0" w:space="0" w:color="auto"/>
      </w:divBdr>
    </w:div>
    <w:div w:id="1095202400">
      <w:bodyDiv w:val="1"/>
      <w:marLeft w:val="0"/>
      <w:marRight w:val="0"/>
      <w:marTop w:val="0"/>
      <w:marBottom w:val="0"/>
      <w:divBdr>
        <w:top w:val="none" w:sz="0" w:space="0" w:color="auto"/>
        <w:left w:val="none" w:sz="0" w:space="0" w:color="auto"/>
        <w:bottom w:val="none" w:sz="0" w:space="0" w:color="auto"/>
        <w:right w:val="none" w:sz="0" w:space="0" w:color="auto"/>
      </w:divBdr>
      <w:divsChild>
        <w:div w:id="1523395527">
          <w:marLeft w:val="0"/>
          <w:marRight w:val="0"/>
          <w:marTop w:val="0"/>
          <w:marBottom w:val="0"/>
          <w:divBdr>
            <w:top w:val="none" w:sz="0" w:space="0" w:color="auto"/>
            <w:left w:val="none" w:sz="0" w:space="0" w:color="auto"/>
            <w:bottom w:val="none" w:sz="0" w:space="0" w:color="auto"/>
            <w:right w:val="none" w:sz="0" w:space="0" w:color="auto"/>
          </w:divBdr>
          <w:divsChild>
            <w:div w:id="492180157">
              <w:marLeft w:val="0"/>
              <w:marRight w:val="0"/>
              <w:marTop w:val="0"/>
              <w:marBottom w:val="0"/>
              <w:divBdr>
                <w:top w:val="none" w:sz="0" w:space="0" w:color="auto"/>
                <w:left w:val="none" w:sz="0" w:space="0" w:color="auto"/>
                <w:bottom w:val="none" w:sz="0" w:space="0" w:color="auto"/>
                <w:right w:val="none" w:sz="0" w:space="0" w:color="auto"/>
              </w:divBdr>
            </w:div>
          </w:divsChild>
        </w:div>
        <w:div w:id="1708408641">
          <w:marLeft w:val="0"/>
          <w:marRight w:val="0"/>
          <w:marTop w:val="0"/>
          <w:marBottom w:val="0"/>
          <w:divBdr>
            <w:top w:val="none" w:sz="0" w:space="0" w:color="auto"/>
            <w:left w:val="none" w:sz="0" w:space="0" w:color="auto"/>
            <w:bottom w:val="none" w:sz="0" w:space="0" w:color="auto"/>
            <w:right w:val="none" w:sz="0" w:space="0" w:color="auto"/>
          </w:divBdr>
          <w:divsChild>
            <w:div w:id="11583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913691">
      <w:bodyDiv w:val="1"/>
      <w:marLeft w:val="0"/>
      <w:marRight w:val="0"/>
      <w:marTop w:val="0"/>
      <w:marBottom w:val="0"/>
      <w:divBdr>
        <w:top w:val="none" w:sz="0" w:space="0" w:color="auto"/>
        <w:left w:val="none" w:sz="0" w:space="0" w:color="auto"/>
        <w:bottom w:val="none" w:sz="0" w:space="0" w:color="auto"/>
        <w:right w:val="none" w:sz="0" w:space="0" w:color="auto"/>
      </w:divBdr>
    </w:div>
    <w:div w:id="1103720223">
      <w:bodyDiv w:val="1"/>
      <w:marLeft w:val="0"/>
      <w:marRight w:val="0"/>
      <w:marTop w:val="0"/>
      <w:marBottom w:val="0"/>
      <w:divBdr>
        <w:top w:val="none" w:sz="0" w:space="0" w:color="auto"/>
        <w:left w:val="none" w:sz="0" w:space="0" w:color="auto"/>
        <w:bottom w:val="none" w:sz="0" w:space="0" w:color="auto"/>
        <w:right w:val="none" w:sz="0" w:space="0" w:color="auto"/>
      </w:divBdr>
    </w:div>
    <w:div w:id="1150943985">
      <w:bodyDiv w:val="1"/>
      <w:marLeft w:val="0"/>
      <w:marRight w:val="0"/>
      <w:marTop w:val="0"/>
      <w:marBottom w:val="0"/>
      <w:divBdr>
        <w:top w:val="none" w:sz="0" w:space="0" w:color="auto"/>
        <w:left w:val="none" w:sz="0" w:space="0" w:color="auto"/>
        <w:bottom w:val="none" w:sz="0" w:space="0" w:color="auto"/>
        <w:right w:val="none" w:sz="0" w:space="0" w:color="auto"/>
      </w:divBdr>
    </w:div>
    <w:div w:id="1312370540">
      <w:bodyDiv w:val="1"/>
      <w:marLeft w:val="0"/>
      <w:marRight w:val="0"/>
      <w:marTop w:val="0"/>
      <w:marBottom w:val="0"/>
      <w:divBdr>
        <w:top w:val="none" w:sz="0" w:space="0" w:color="auto"/>
        <w:left w:val="none" w:sz="0" w:space="0" w:color="auto"/>
        <w:bottom w:val="none" w:sz="0" w:space="0" w:color="auto"/>
        <w:right w:val="none" w:sz="0" w:space="0" w:color="auto"/>
      </w:divBdr>
    </w:div>
    <w:div w:id="1317879456">
      <w:bodyDiv w:val="1"/>
      <w:marLeft w:val="0"/>
      <w:marRight w:val="0"/>
      <w:marTop w:val="0"/>
      <w:marBottom w:val="0"/>
      <w:divBdr>
        <w:top w:val="none" w:sz="0" w:space="0" w:color="auto"/>
        <w:left w:val="none" w:sz="0" w:space="0" w:color="auto"/>
        <w:bottom w:val="none" w:sz="0" w:space="0" w:color="auto"/>
        <w:right w:val="none" w:sz="0" w:space="0" w:color="auto"/>
      </w:divBdr>
    </w:div>
    <w:div w:id="1457022172">
      <w:bodyDiv w:val="1"/>
      <w:marLeft w:val="0"/>
      <w:marRight w:val="0"/>
      <w:marTop w:val="0"/>
      <w:marBottom w:val="0"/>
      <w:divBdr>
        <w:top w:val="none" w:sz="0" w:space="0" w:color="auto"/>
        <w:left w:val="none" w:sz="0" w:space="0" w:color="auto"/>
        <w:bottom w:val="none" w:sz="0" w:space="0" w:color="auto"/>
        <w:right w:val="none" w:sz="0" w:space="0" w:color="auto"/>
      </w:divBdr>
    </w:div>
    <w:div w:id="1652439580">
      <w:bodyDiv w:val="1"/>
      <w:marLeft w:val="0"/>
      <w:marRight w:val="0"/>
      <w:marTop w:val="0"/>
      <w:marBottom w:val="0"/>
      <w:divBdr>
        <w:top w:val="none" w:sz="0" w:space="0" w:color="auto"/>
        <w:left w:val="none" w:sz="0" w:space="0" w:color="auto"/>
        <w:bottom w:val="none" w:sz="0" w:space="0" w:color="auto"/>
        <w:right w:val="none" w:sz="0" w:space="0" w:color="auto"/>
      </w:divBdr>
    </w:div>
    <w:div w:id="1810709262">
      <w:bodyDiv w:val="1"/>
      <w:marLeft w:val="0"/>
      <w:marRight w:val="0"/>
      <w:marTop w:val="0"/>
      <w:marBottom w:val="0"/>
      <w:divBdr>
        <w:top w:val="none" w:sz="0" w:space="0" w:color="auto"/>
        <w:left w:val="none" w:sz="0" w:space="0" w:color="auto"/>
        <w:bottom w:val="none" w:sz="0" w:space="0" w:color="auto"/>
        <w:right w:val="none" w:sz="0" w:space="0" w:color="auto"/>
      </w:divBdr>
      <w:divsChild>
        <w:div w:id="1697460602">
          <w:marLeft w:val="0"/>
          <w:marRight w:val="0"/>
          <w:marTop w:val="0"/>
          <w:marBottom w:val="0"/>
          <w:divBdr>
            <w:top w:val="none" w:sz="0" w:space="0" w:color="auto"/>
            <w:left w:val="none" w:sz="0" w:space="0" w:color="auto"/>
            <w:bottom w:val="none" w:sz="0" w:space="0" w:color="auto"/>
            <w:right w:val="none" w:sz="0" w:space="0" w:color="auto"/>
          </w:divBdr>
          <w:divsChild>
            <w:div w:id="950741981">
              <w:marLeft w:val="0"/>
              <w:marRight w:val="0"/>
              <w:marTop w:val="0"/>
              <w:marBottom w:val="0"/>
              <w:divBdr>
                <w:top w:val="none" w:sz="0" w:space="0" w:color="auto"/>
                <w:left w:val="none" w:sz="0" w:space="0" w:color="auto"/>
                <w:bottom w:val="none" w:sz="0" w:space="0" w:color="auto"/>
                <w:right w:val="none" w:sz="0" w:space="0" w:color="auto"/>
              </w:divBdr>
            </w:div>
          </w:divsChild>
        </w:div>
        <w:div w:id="1273321577">
          <w:marLeft w:val="0"/>
          <w:marRight w:val="0"/>
          <w:marTop w:val="0"/>
          <w:marBottom w:val="0"/>
          <w:divBdr>
            <w:top w:val="none" w:sz="0" w:space="0" w:color="auto"/>
            <w:left w:val="none" w:sz="0" w:space="0" w:color="auto"/>
            <w:bottom w:val="none" w:sz="0" w:space="0" w:color="auto"/>
            <w:right w:val="none" w:sz="0" w:space="0" w:color="auto"/>
          </w:divBdr>
          <w:divsChild>
            <w:div w:id="1216431291">
              <w:marLeft w:val="0"/>
              <w:marRight w:val="0"/>
              <w:marTop w:val="0"/>
              <w:marBottom w:val="0"/>
              <w:divBdr>
                <w:top w:val="none" w:sz="0" w:space="0" w:color="auto"/>
                <w:left w:val="none" w:sz="0" w:space="0" w:color="auto"/>
                <w:bottom w:val="none" w:sz="0" w:space="0" w:color="auto"/>
                <w:right w:val="none" w:sz="0" w:space="0" w:color="auto"/>
              </w:divBdr>
              <w:divsChild>
                <w:div w:id="997612087">
                  <w:marLeft w:val="0"/>
                  <w:marRight w:val="0"/>
                  <w:marTop w:val="0"/>
                  <w:marBottom w:val="0"/>
                  <w:divBdr>
                    <w:top w:val="none" w:sz="0" w:space="0" w:color="auto"/>
                    <w:left w:val="none" w:sz="0" w:space="0" w:color="auto"/>
                    <w:bottom w:val="none" w:sz="0" w:space="0" w:color="auto"/>
                    <w:right w:val="none" w:sz="0" w:space="0" w:color="auto"/>
                  </w:divBdr>
                  <w:divsChild>
                    <w:div w:id="897134326">
                      <w:marLeft w:val="0"/>
                      <w:marRight w:val="0"/>
                      <w:marTop w:val="120"/>
                      <w:marBottom w:val="0"/>
                      <w:divBdr>
                        <w:top w:val="none" w:sz="0" w:space="0" w:color="auto"/>
                        <w:left w:val="none" w:sz="0" w:space="0" w:color="auto"/>
                        <w:bottom w:val="none" w:sz="0" w:space="0" w:color="auto"/>
                        <w:right w:val="none" w:sz="0" w:space="0" w:color="auto"/>
                      </w:divBdr>
                    </w:div>
                    <w:div w:id="780338338">
                      <w:marLeft w:val="0"/>
                      <w:marRight w:val="0"/>
                      <w:marTop w:val="0"/>
                      <w:marBottom w:val="0"/>
                      <w:divBdr>
                        <w:top w:val="none" w:sz="0" w:space="0" w:color="auto"/>
                        <w:left w:val="none" w:sz="0" w:space="0" w:color="auto"/>
                        <w:bottom w:val="none" w:sz="0" w:space="0" w:color="auto"/>
                        <w:right w:val="none" w:sz="0" w:space="0" w:color="auto"/>
                      </w:divBdr>
                      <w:divsChild>
                        <w:div w:id="54421748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627539426">
                  <w:marLeft w:val="0"/>
                  <w:marRight w:val="0"/>
                  <w:marTop w:val="0"/>
                  <w:marBottom w:val="0"/>
                  <w:divBdr>
                    <w:top w:val="none" w:sz="0" w:space="0" w:color="auto"/>
                    <w:left w:val="none" w:sz="0" w:space="0" w:color="auto"/>
                    <w:bottom w:val="none" w:sz="0" w:space="0" w:color="auto"/>
                    <w:right w:val="none" w:sz="0" w:space="0" w:color="auto"/>
                  </w:divBdr>
                  <w:divsChild>
                    <w:div w:id="186413473">
                      <w:marLeft w:val="0"/>
                      <w:marRight w:val="0"/>
                      <w:marTop w:val="120"/>
                      <w:marBottom w:val="0"/>
                      <w:divBdr>
                        <w:top w:val="none" w:sz="0" w:space="0" w:color="auto"/>
                        <w:left w:val="none" w:sz="0" w:space="0" w:color="auto"/>
                        <w:bottom w:val="none" w:sz="0" w:space="0" w:color="auto"/>
                        <w:right w:val="none" w:sz="0" w:space="0" w:color="auto"/>
                      </w:divBdr>
                    </w:div>
                    <w:div w:id="1209344358">
                      <w:marLeft w:val="0"/>
                      <w:marRight w:val="0"/>
                      <w:marTop w:val="0"/>
                      <w:marBottom w:val="0"/>
                      <w:divBdr>
                        <w:top w:val="none" w:sz="0" w:space="0" w:color="auto"/>
                        <w:left w:val="none" w:sz="0" w:space="0" w:color="auto"/>
                        <w:bottom w:val="none" w:sz="0" w:space="0" w:color="auto"/>
                        <w:right w:val="none" w:sz="0" w:space="0" w:color="auto"/>
                      </w:divBdr>
                      <w:divsChild>
                        <w:div w:id="172209802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946087559">
                  <w:marLeft w:val="0"/>
                  <w:marRight w:val="0"/>
                  <w:marTop w:val="0"/>
                  <w:marBottom w:val="0"/>
                  <w:divBdr>
                    <w:top w:val="none" w:sz="0" w:space="0" w:color="auto"/>
                    <w:left w:val="none" w:sz="0" w:space="0" w:color="auto"/>
                    <w:bottom w:val="none" w:sz="0" w:space="0" w:color="auto"/>
                    <w:right w:val="none" w:sz="0" w:space="0" w:color="auto"/>
                  </w:divBdr>
                  <w:divsChild>
                    <w:div w:id="1502626528">
                      <w:marLeft w:val="0"/>
                      <w:marRight w:val="0"/>
                      <w:marTop w:val="120"/>
                      <w:marBottom w:val="0"/>
                      <w:divBdr>
                        <w:top w:val="none" w:sz="0" w:space="0" w:color="auto"/>
                        <w:left w:val="none" w:sz="0" w:space="0" w:color="auto"/>
                        <w:bottom w:val="none" w:sz="0" w:space="0" w:color="auto"/>
                        <w:right w:val="none" w:sz="0" w:space="0" w:color="auto"/>
                      </w:divBdr>
                    </w:div>
                    <w:div w:id="1398748248">
                      <w:marLeft w:val="0"/>
                      <w:marRight w:val="0"/>
                      <w:marTop w:val="0"/>
                      <w:marBottom w:val="0"/>
                      <w:divBdr>
                        <w:top w:val="none" w:sz="0" w:space="0" w:color="auto"/>
                        <w:left w:val="none" w:sz="0" w:space="0" w:color="auto"/>
                        <w:bottom w:val="none" w:sz="0" w:space="0" w:color="auto"/>
                        <w:right w:val="none" w:sz="0" w:space="0" w:color="auto"/>
                      </w:divBdr>
                      <w:divsChild>
                        <w:div w:id="48058752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112846989">
                  <w:marLeft w:val="0"/>
                  <w:marRight w:val="0"/>
                  <w:marTop w:val="0"/>
                  <w:marBottom w:val="0"/>
                  <w:divBdr>
                    <w:top w:val="none" w:sz="0" w:space="0" w:color="auto"/>
                    <w:left w:val="none" w:sz="0" w:space="0" w:color="auto"/>
                    <w:bottom w:val="none" w:sz="0" w:space="0" w:color="auto"/>
                    <w:right w:val="none" w:sz="0" w:space="0" w:color="auto"/>
                  </w:divBdr>
                  <w:divsChild>
                    <w:div w:id="505096908">
                      <w:marLeft w:val="0"/>
                      <w:marRight w:val="0"/>
                      <w:marTop w:val="120"/>
                      <w:marBottom w:val="0"/>
                      <w:divBdr>
                        <w:top w:val="none" w:sz="0" w:space="0" w:color="auto"/>
                        <w:left w:val="none" w:sz="0" w:space="0" w:color="auto"/>
                        <w:bottom w:val="none" w:sz="0" w:space="0" w:color="auto"/>
                        <w:right w:val="none" w:sz="0" w:space="0" w:color="auto"/>
                      </w:divBdr>
                    </w:div>
                    <w:div w:id="1565335624">
                      <w:marLeft w:val="0"/>
                      <w:marRight w:val="0"/>
                      <w:marTop w:val="0"/>
                      <w:marBottom w:val="0"/>
                      <w:divBdr>
                        <w:top w:val="none" w:sz="0" w:space="0" w:color="auto"/>
                        <w:left w:val="none" w:sz="0" w:space="0" w:color="auto"/>
                        <w:bottom w:val="none" w:sz="0" w:space="0" w:color="auto"/>
                        <w:right w:val="none" w:sz="0" w:space="0" w:color="auto"/>
                      </w:divBdr>
                      <w:divsChild>
                        <w:div w:id="144133630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46828752">
          <w:marLeft w:val="0"/>
          <w:marRight w:val="0"/>
          <w:marTop w:val="0"/>
          <w:marBottom w:val="0"/>
          <w:divBdr>
            <w:top w:val="none" w:sz="0" w:space="0" w:color="auto"/>
            <w:left w:val="none" w:sz="0" w:space="0" w:color="auto"/>
            <w:bottom w:val="none" w:sz="0" w:space="0" w:color="auto"/>
            <w:right w:val="none" w:sz="0" w:space="0" w:color="auto"/>
          </w:divBdr>
          <w:divsChild>
            <w:div w:id="1230307512">
              <w:marLeft w:val="0"/>
              <w:marRight w:val="0"/>
              <w:marTop w:val="0"/>
              <w:marBottom w:val="0"/>
              <w:divBdr>
                <w:top w:val="none" w:sz="0" w:space="0" w:color="auto"/>
                <w:left w:val="none" w:sz="0" w:space="0" w:color="auto"/>
                <w:bottom w:val="none" w:sz="0" w:space="0" w:color="auto"/>
                <w:right w:val="none" w:sz="0" w:space="0" w:color="auto"/>
              </w:divBdr>
              <w:divsChild>
                <w:div w:id="1920288199">
                  <w:marLeft w:val="0"/>
                  <w:marRight w:val="0"/>
                  <w:marTop w:val="0"/>
                  <w:marBottom w:val="0"/>
                  <w:divBdr>
                    <w:top w:val="none" w:sz="0" w:space="0" w:color="auto"/>
                    <w:left w:val="none" w:sz="0" w:space="0" w:color="auto"/>
                    <w:bottom w:val="none" w:sz="0" w:space="0" w:color="auto"/>
                    <w:right w:val="none" w:sz="0" w:space="0" w:color="auto"/>
                  </w:divBdr>
                  <w:divsChild>
                    <w:div w:id="1390956583">
                      <w:marLeft w:val="0"/>
                      <w:marRight w:val="0"/>
                      <w:marTop w:val="120"/>
                      <w:marBottom w:val="0"/>
                      <w:divBdr>
                        <w:top w:val="none" w:sz="0" w:space="0" w:color="auto"/>
                        <w:left w:val="none" w:sz="0" w:space="0" w:color="auto"/>
                        <w:bottom w:val="none" w:sz="0" w:space="0" w:color="auto"/>
                        <w:right w:val="none" w:sz="0" w:space="0" w:color="auto"/>
                      </w:divBdr>
                    </w:div>
                    <w:div w:id="3166310">
                      <w:marLeft w:val="0"/>
                      <w:marRight w:val="0"/>
                      <w:marTop w:val="0"/>
                      <w:marBottom w:val="0"/>
                      <w:divBdr>
                        <w:top w:val="none" w:sz="0" w:space="0" w:color="auto"/>
                        <w:left w:val="none" w:sz="0" w:space="0" w:color="auto"/>
                        <w:bottom w:val="none" w:sz="0" w:space="0" w:color="auto"/>
                        <w:right w:val="none" w:sz="0" w:space="0" w:color="auto"/>
                      </w:divBdr>
                      <w:divsChild>
                        <w:div w:id="8345759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520045511">
                  <w:marLeft w:val="0"/>
                  <w:marRight w:val="0"/>
                  <w:marTop w:val="0"/>
                  <w:marBottom w:val="0"/>
                  <w:divBdr>
                    <w:top w:val="none" w:sz="0" w:space="0" w:color="auto"/>
                    <w:left w:val="none" w:sz="0" w:space="0" w:color="auto"/>
                    <w:bottom w:val="none" w:sz="0" w:space="0" w:color="auto"/>
                    <w:right w:val="none" w:sz="0" w:space="0" w:color="auto"/>
                  </w:divBdr>
                  <w:divsChild>
                    <w:div w:id="1884515044">
                      <w:marLeft w:val="0"/>
                      <w:marRight w:val="0"/>
                      <w:marTop w:val="120"/>
                      <w:marBottom w:val="0"/>
                      <w:divBdr>
                        <w:top w:val="none" w:sz="0" w:space="0" w:color="auto"/>
                        <w:left w:val="none" w:sz="0" w:space="0" w:color="auto"/>
                        <w:bottom w:val="none" w:sz="0" w:space="0" w:color="auto"/>
                        <w:right w:val="none" w:sz="0" w:space="0" w:color="auto"/>
                      </w:divBdr>
                    </w:div>
                    <w:div w:id="1730229186">
                      <w:marLeft w:val="0"/>
                      <w:marRight w:val="0"/>
                      <w:marTop w:val="0"/>
                      <w:marBottom w:val="0"/>
                      <w:divBdr>
                        <w:top w:val="none" w:sz="0" w:space="0" w:color="auto"/>
                        <w:left w:val="none" w:sz="0" w:space="0" w:color="auto"/>
                        <w:bottom w:val="none" w:sz="0" w:space="0" w:color="auto"/>
                        <w:right w:val="none" w:sz="0" w:space="0" w:color="auto"/>
                      </w:divBdr>
                      <w:divsChild>
                        <w:div w:id="173003661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974796611">
          <w:marLeft w:val="0"/>
          <w:marRight w:val="0"/>
          <w:marTop w:val="0"/>
          <w:marBottom w:val="0"/>
          <w:divBdr>
            <w:top w:val="none" w:sz="0" w:space="0" w:color="auto"/>
            <w:left w:val="none" w:sz="0" w:space="0" w:color="auto"/>
            <w:bottom w:val="none" w:sz="0" w:space="0" w:color="auto"/>
            <w:right w:val="none" w:sz="0" w:space="0" w:color="auto"/>
          </w:divBdr>
          <w:divsChild>
            <w:div w:id="1804927122">
              <w:marLeft w:val="0"/>
              <w:marRight w:val="0"/>
              <w:marTop w:val="0"/>
              <w:marBottom w:val="0"/>
              <w:divBdr>
                <w:top w:val="none" w:sz="0" w:space="0" w:color="auto"/>
                <w:left w:val="none" w:sz="0" w:space="0" w:color="auto"/>
                <w:bottom w:val="none" w:sz="0" w:space="0" w:color="auto"/>
                <w:right w:val="none" w:sz="0" w:space="0" w:color="auto"/>
              </w:divBdr>
            </w:div>
          </w:divsChild>
        </w:div>
        <w:div w:id="574978860">
          <w:marLeft w:val="0"/>
          <w:marRight w:val="0"/>
          <w:marTop w:val="0"/>
          <w:marBottom w:val="0"/>
          <w:divBdr>
            <w:top w:val="none" w:sz="0" w:space="0" w:color="auto"/>
            <w:left w:val="none" w:sz="0" w:space="0" w:color="auto"/>
            <w:bottom w:val="none" w:sz="0" w:space="0" w:color="auto"/>
            <w:right w:val="none" w:sz="0" w:space="0" w:color="auto"/>
          </w:divBdr>
          <w:divsChild>
            <w:div w:id="1874994409">
              <w:marLeft w:val="0"/>
              <w:marRight w:val="0"/>
              <w:marTop w:val="0"/>
              <w:marBottom w:val="0"/>
              <w:divBdr>
                <w:top w:val="none" w:sz="0" w:space="0" w:color="auto"/>
                <w:left w:val="none" w:sz="0" w:space="0" w:color="auto"/>
                <w:bottom w:val="none" w:sz="0" w:space="0" w:color="auto"/>
                <w:right w:val="none" w:sz="0" w:space="0" w:color="auto"/>
              </w:divBdr>
            </w:div>
          </w:divsChild>
        </w:div>
        <w:div w:id="1135293361">
          <w:marLeft w:val="0"/>
          <w:marRight w:val="0"/>
          <w:marTop w:val="0"/>
          <w:marBottom w:val="0"/>
          <w:divBdr>
            <w:top w:val="none" w:sz="0" w:space="0" w:color="auto"/>
            <w:left w:val="none" w:sz="0" w:space="0" w:color="auto"/>
            <w:bottom w:val="none" w:sz="0" w:space="0" w:color="auto"/>
            <w:right w:val="none" w:sz="0" w:space="0" w:color="auto"/>
          </w:divBdr>
          <w:divsChild>
            <w:div w:id="959264964">
              <w:marLeft w:val="0"/>
              <w:marRight w:val="0"/>
              <w:marTop w:val="0"/>
              <w:marBottom w:val="0"/>
              <w:divBdr>
                <w:top w:val="none" w:sz="0" w:space="0" w:color="auto"/>
                <w:left w:val="none" w:sz="0" w:space="0" w:color="auto"/>
                <w:bottom w:val="none" w:sz="0" w:space="0" w:color="auto"/>
                <w:right w:val="none" w:sz="0" w:space="0" w:color="auto"/>
              </w:divBdr>
              <w:divsChild>
                <w:div w:id="1390106720">
                  <w:marLeft w:val="0"/>
                  <w:marRight w:val="0"/>
                  <w:marTop w:val="0"/>
                  <w:marBottom w:val="0"/>
                  <w:divBdr>
                    <w:top w:val="none" w:sz="0" w:space="0" w:color="auto"/>
                    <w:left w:val="none" w:sz="0" w:space="0" w:color="auto"/>
                    <w:bottom w:val="none" w:sz="0" w:space="0" w:color="auto"/>
                    <w:right w:val="none" w:sz="0" w:space="0" w:color="auto"/>
                  </w:divBdr>
                  <w:divsChild>
                    <w:div w:id="2086221198">
                      <w:marLeft w:val="0"/>
                      <w:marRight w:val="0"/>
                      <w:marTop w:val="120"/>
                      <w:marBottom w:val="0"/>
                      <w:divBdr>
                        <w:top w:val="none" w:sz="0" w:space="0" w:color="auto"/>
                        <w:left w:val="none" w:sz="0" w:space="0" w:color="auto"/>
                        <w:bottom w:val="none" w:sz="0" w:space="0" w:color="auto"/>
                        <w:right w:val="none" w:sz="0" w:space="0" w:color="auto"/>
                      </w:divBdr>
                    </w:div>
                    <w:div w:id="1991447082">
                      <w:marLeft w:val="0"/>
                      <w:marRight w:val="0"/>
                      <w:marTop w:val="0"/>
                      <w:marBottom w:val="0"/>
                      <w:divBdr>
                        <w:top w:val="none" w:sz="0" w:space="0" w:color="auto"/>
                        <w:left w:val="none" w:sz="0" w:space="0" w:color="auto"/>
                        <w:bottom w:val="none" w:sz="0" w:space="0" w:color="auto"/>
                        <w:right w:val="none" w:sz="0" w:space="0" w:color="auto"/>
                      </w:divBdr>
                      <w:divsChild>
                        <w:div w:id="77899352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61828647">
                  <w:marLeft w:val="0"/>
                  <w:marRight w:val="0"/>
                  <w:marTop w:val="0"/>
                  <w:marBottom w:val="0"/>
                  <w:divBdr>
                    <w:top w:val="none" w:sz="0" w:space="0" w:color="auto"/>
                    <w:left w:val="none" w:sz="0" w:space="0" w:color="auto"/>
                    <w:bottom w:val="none" w:sz="0" w:space="0" w:color="auto"/>
                    <w:right w:val="none" w:sz="0" w:space="0" w:color="auto"/>
                  </w:divBdr>
                  <w:divsChild>
                    <w:div w:id="55203745">
                      <w:marLeft w:val="0"/>
                      <w:marRight w:val="0"/>
                      <w:marTop w:val="120"/>
                      <w:marBottom w:val="0"/>
                      <w:divBdr>
                        <w:top w:val="none" w:sz="0" w:space="0" w:color="auto"/>
                        <w:left w:val="none" w:sz="0" w:space="0" w:color="auto"/>
                        <w:bottom w:val="none" w:sz="0" w:space="0" w:color="auto"/>
                        <w:right w:val="none" w:sz="0" w:space="0" w:color="auto"/>
                      </w:divBdr>
                    </w:div>
                    <w:div w:id="867108661">
                      <w:marLeft w:val="0"/>
                      <w:marRight w:val="0"/>
                      <w:marTop w:val="0"/>
                      <w:marBottom w:val="0"/>
                      <w:divBdr>
                        <w:top w:val="none" w:sz="0" w:space="0" w:color="auto"/>
                        <w:left w:val="none" w:sz="0" w:space="0" w:color="auto"/>
                        <w:bottom w:val="none" w:sz="0" w:space="0" w:color="auto"/>
                        <w:right w:val="none" w:sz="0" w:space="0" w:color="auto"/>
                      </w:divBdr>
                      <w:divsChild>
                        <w:div w:id="165887987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009987208">
                  <w:marLeft w:val="0"/>
                  <w:marRight w:val="0"/>
                  <w:marTop w:val="0"/>
                  <w:marBottom w:val="0"/>
                  <w:divBdr>
                    <w:top w:val="none" w:sz="0" w:space="0" w:color="auto"/>
                    <w:left w:val="none" w:sz="0" w:space="0" w:color="auto"/>
                    <w:bottom w:val="none" w:sz="0" w:space="0" w:color="auto"/>
                    <w:right w:val="none" w:sz="0" w:space="0" w:color="auto"/>
                  </w:divBdr>
                  <w:divsChild>
                    <w:div w:id="1957371302">
                      <w:marLeft w:val="0"/>
                      <w:marRight w:val="0"/>
                      <w:marTop w:val="120"/>
                      <w:marBottom w:val="0"/>
                      <w:divBdr>
                        <w:top w:val="none" w:sz="0" w:space="0" w:color="auto"/>
                        <w:left w:val="none" w:sz="0" w:space="0" w:color="auto"/>
                        <w:bottom w:val="none" w:sz="0" w:space="0" w:color="auto"/>
                        <w:right w:val="none" w:sz="0" w:space="0" w:color="auto"/>
                      </w:divBdr>
                    </w:div>
                    <w:div w:id="1471315278">
                      <w:marLeft w:val="0"/>
                      <w:marRight w:val="0"/>
                      <w:marTop w:val="0"/>
                      <w:marBottom w:val="0"/>
                      <w:divBdr>
                        <w:top w:val="none" w:sz="0" w:space="0" w:color="auto"/>
                        <w:left w:val="none" w:sz="0" w:space="0" w:color="auto"/>
                        <w:bottom w:val="none" w:sz="0" w:space="0" w:color="auto"/>
                        <w:right w:val="none" w:sz="0" w:space="0" w:color="auto"/>
                      </w:divBdr>
                      <w:divsChild>
                        <w:div w:id="208197787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17991828">
          <w:marLeft w:val="0"/>
          <w:marRight w:val="0"/>
          <w:marTop w:val="0"/>
          <w:marBottom w:val="0"/>
          <w:divBdr>
            <w:top w:val="none" w:sz="0" w:space="0" w:color="auto"/>
            <w:left w:val="none" w:sz="0" w:space="0" w:color="auto"/>
            <w:bottom w:val="none" w:sz="0" w:space="0" w:color="auto"/>
            <w:right w:val="none" w:sz="0" w:space="0" w:color="auto"/>
          </w:divBdr>
          <w:divsChild>
            <w:div w:id="899825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030949">
      <w:bodyDiv w:val="1"/>
      <w:marLeft w:val="0"/>
      <w:marRight w:val="0"/>
      <w:marTop w:val="0"/>
      <w:marBottom w:val="0"/>
      <w:divBdr>
        <w:top w:val="none" w:sz="0" w:space="0" w:color="auto"/>
        <w:left w:val="none" w:sz="0" w:space="0" w:color="auto"/>
        <w:bottom w:val="none" w:sz="0" w:space="0" w:color="auto"/>
        <w:right w:val="none" w:sz="0" w:space="0" w:color="auto"/>
      </w:divBdr>
    </w:div>
    <w:div w:id="1954746574">
      <w:bodyDiv w:val="1"/>
      <w:marLeft w:val="0"/>
      <w:marRight w:val="0"/>
      <w:marTop w:val="0"/>
      <w:marBottom w:val="0"/>
      <w:divBdr>
        <w:top w:val="none" w:sz="0" w:space="0" w:color="auto"/>
        <w:left w:val="none" w:sz="0" w:space="0" w:color="auto"/>
        <w:bottom w:val="none" w:sz="0" w:space="0" w:color="auto"/>
        <w:right w:val="none" w:sz="0" w:space="0" w:color="auto"/>
      </w:divBdr>
    </w:div>
    <w:div w:id="1955289586">
      <w:bodyDiv w:val="1"/>
      <w:marLeft w:val="0"/>
      <w:marRight w:val="0"/>
      <w:marTop w:val="0"/>
      <w:marBottom w:val="0"/>
      <w:divBdr>
        <w:top w:val="none" w:sz="0" w:space="0" w:color="auto"/>
        <w:left w:val="none" w:sz="0" w:space="0" w:color="auto"/>
        <w:bottom w:val="none" w:sz="0" w:space="0" w:color="auto"/>
        <w:right w:val="none" w:sz="0" w:space="0" w:color="auto"/>
      </w:divBdr>
      <w:divsChild>
        <w:div w:id="306709318">
          <w:marLeft w:val="0"/>
          <w:marRight w:val="0"/>
          <w:marTop w:val="0"/>
          <w:marBottom w:val="0"/>
          <w:divBdr>
            <w:top w:val="none" w:sz="0" w:space="0" w:color="auto"/>
            <w:left w:val="none" w:sz="0" w:space="0" w:color="auto"/>
            <w:bottom w:val="none" w:sz="0" w:space="0" w:color="auto"/>
            <w:right w:val="none" w:sz="0" w:space="0" w:color="auto"/>
          </w:divBdr>
          <w:divsChild>
            <w:div w:id="895359181">
              <w:marLeft w:val="0"/>
              <w:marRight w:val="0"/>
              <w:marTop w:val="0"/>
              <w:marBottom w:val="0"/>
              <w:divBdr>
                <w:top w:val="none" w:sz="0" w:space="0" w:color="auto"/>
                <w:left w:val="none" w:sz="0" w:space="0" w:color="auto"/>
                <w:bottom w:val="none" w:sz="0" w:space="0" w:color="auto"/>
                <w:right w:val="none" w:sz="0" w:space="0" w:color="auto"/>
              </w:divBdr>
            </w:div>
          </w:divsChild>
        </w:div>
        <w:div w:id="1975716457">
          <w:marLeft w:val="0"/>
          <w:marRight w:val="0"/>
          <w:marTop w:val="0"/>
          <w:marBottom w:val="0"/>
          <w:divBdr>
            <w:top w:val="none" w:sz="0" w:space="0" w:color="auto"/>
            <w:left w:val="none" w:sz="0" w:space="0" w:color="auto"/>
            <w:bottom w:val="none" w:sz="0" w:space="0" w:color="auto"/>
            <w:right w:val="none" w:sz="0" w:space="0" w:color="auto"/>
          </w:divBdr>
          <w:divsChild>
            <w:div w:id="70852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542578">
      <w:bodyDiv w:val="1"/>
      <w:marLeft w:val="0"/>
      <w:marRight w:val="0"/>
      <w:marTop w:val="0"/>
      <w:marBottom w:val="0"/>
      <w:divBdr>
        <w:top w:val="none" w:sz="0" w:space="0" w:color="auto"/>
        <w:left w:val="none" w:sz="0" w:space="0" w:color="auto"/>
        <w:bottom w:val="none" w:sz="0" w:space="0" w:color="auto"/>
        <w:right w:val="none" w:sz="0" w:space="0" w:color="auto"/>
      </w:divBdr>
      <w:divsChild>
        <w:div w:id="561451440">
          <w:marLeft w:val="0"/>
          <w:marRight w:val="0"/>
          <w:marTop w:val="0"/>
          <w:marBottom w:val="0"/>
          <w:divBdr>
            <w:top w:val="none" w:sz="0" w:space="0" w:color="auto"/>
            <w:left w:val="none" w:sz="0" w:space="0" w:color="auto"/>
            <w:bottom w:val="none" w:sz="0" w:space="0" w:color="auto"/>
            <w:right w:val="none" w:sz="0" w:space="0" w:color="auto"/>
          </w:divBdr>
          <w:divsChild>
            <w:div w:id="1295528924">
              <w:marLeft w:val="0"/>
              <w:marRight w:val="0"/>
              <w:marTop w:val="0"/>
              <w:marBottom w:val="0"/>
              <w:divBdr>
                <w:top w:val="none" w:sz="0" w:space="0" w:color="auto"/>
                <w:left w:val="none" w:sz="0" w:space="0" w:color="auto"/>
                <w:bottom w:val="none" w:sz="0" w:space="0" w:color="auto"/>
                <w:right w:val="none" w:sz="0" w:space="0" w:color="auto"/>
              </w:divBdr>
              <w:divsChild>
                <w:div w:id="160657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112327">
          <w:marLeft w:val="0"/>
          <w:marRight w:val="0"/>
          <w:marTop w:val="0"/>
          <w:marBottom w:val="0"/>
          <w:divBdr>
            <w:top w:val="none" w:sz="0" w:space="0" w:color="auto"/>
            <w:left w:val="none" w:sz="0" w:space="0" w:color="auto"/>
            <w:bottom w:val="none" w:sz="0" w:space="0" w:color="auto"/>
            <w:right w:val="none" w:sz="0" w:space="0" w:color="auto"/>
          </w:divBdr>
          <w:divsChild>
            <w:div w:id="38167850">
              <w:marLeft w:val="810"/>
              <w:marRight w:val="810"/>
              <w:marTop w:val="360"/>
              <w:marBottom w:val="0"/>
              <w:divBdr>
                <w:top w:val="none" w:sz="0" w:space="0" w:color="auto"/>
                <w:left w:val="none" w:sz="0" w:space="0" w:color="auto"/>
                <w:bottom w:val="none" w:sz="0" w:space="0" w:color="auto"/>
                <w:right w:val="none" w:sz="0" w:space="0" w:color="auto"/>
              </w:divBdr>
              <w:divsChild>
                <w:div w:id="439833329">
                  <w:marLeft w:val="4005"/>
                  <w:marRight w:val="810"/>
                  <w:marTop w:val="0"/>
                  <w:marBottom w:val="0"/>
                  <w:divBdr>
                    <w:top w:val="none" w:sz="0" w:space="0" w:color="auto"/>
                    <w:left w:val="none" w:sz="0" w:space="0" w:color="auto"/>
                    <w:bottom w:val="none" w:sz="0" w:space="0" w:color="auto"/>
                    <w:right w:val="none" w:sz="0" w:space="0" w:color="auto"/>
                  </w:divBdr>
                </w:div>
              </w:divsChild>
            </w:div>
          </w:divsChild>
        </w:div>
      </w:divsChild>
    </w:div>
    <w:div w:id="2059938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3</Pages>
  <Words>1348</Words>
  <Characters>7823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Vitalie Dragan</dc:creator>
  <cp:keywords/>
  <dc:description/>
  <cp:lastModifiedBy>Vitalie Dragan</cp:lastModifiedBy>
  <cp:revision>69</cp:revision>
  <dcterms:created xsi:type="dcterms:W3CDTF">2025-09-01T12:24:00Z</dcterms:created>
  <dcterms:modified xsi:type="dcterms:W3CDTF">2026-02-06T09:09:00Z</dcterms:modified>
</cp:coreProperties>
</file>