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AD7C" w14:textId="77777777" w:rsidR="00FC65FA" w:rsidRDefault="00FC65FA" w:rsidP="00FC65FA">
      <w:pPr>
        <w:pStyle w:val="Heading10"/>
        <w:keepNext/>
        <w:keepLines/>
        <w:shd w:val="clear" w:color="auto" w:fill="auto"/>
        <w:rPr>
          <w:sz w:val="28"/>
          <w:szCs w:val="28"/>
          <w:lang w:val="ro-MD"/>
        </w:rPr>
      </w:pPr>
      <w:bookmarkStart w:id="0" w:name="bookmark0"/>
      <w:r w:rsidRPr="00DC705F">
        <w:rPr>
          <w:sz w:val="28"/>
          <w:szCs w:val="28"/>
          <w:lang w:val="ro-MD"/>
        </w:rPr>
        <w:t>Tabel comparativ</w:t>
      </w:r>
      <w:bookmarkEnd w:id="0"/>
    </w:p>
    <w:p w14:paraId="0238E7CB" w14:textId="77777777" w:rsidR="00725161" w:rsidRPr="00725161" w:rsidRDefault="00725161" w:rsidP="00FC65FA">
      <w:pPr>
        <w:pStyle w:val="Heading10"/>
        <w:keepNext/>
        <w:keepLines/>
        <w:shd w:val="clear" w:color="auto" w:fill="auto"/>
        <w:rPr>
          <w:i/>
          <w:iCs/>
          <w:sz w:val="28"/>
          <w:szCs w:val="28"/>
          <w:lang w:val="ro-MD"/>
        </w:rPr>
      </w:pPr>
    </w:p>
    <w:p w14:paraId="5C211024" w14:textId="77777777" w:rsidR="00725161" w:rsidRPr="00725161" w:rsidRDefault="00725161" w:rsidP="00725161">
      <w:pPr>
        <w:ind w:left="-142"/>
        <w:jc w:val="center"/>
        <w:rPr>
          <w:rFonts w:ascii="Times New Roman" w:hAnsi="Times New Roman" w:cs="Times New Roman"/>
          <w:b/>
          <w:bCs/>
          <w:i/>
          <w:iCs/>
          <w:sz w:val="28"/>
          <w:szCs w:val="28"/>
        </w:rPr>
      </w:pPr>
      <w:r w:rsidRPr="00725161">
        <w:rPr>
          <w:rFonts w:ascii="Times New Roman" w:hAnsi="Times New Roman" w:cs="Times New Roman"/>
          <w:b/>
          <w:bCs/>
          <w:i/>
          <w:iCs/>
          <w:sz w:val="28"/>
          <w:szCs w:val="28"/>
        </w:rPr>
        <w:t xml:space="preserve">la proiectul de lege </w:t>
      </w:r>
      <w:r w:rsidRPr="00725161">
        <w:rPr>
          <w:rFonts w:ascii="Times New Roman" w:eastAsia="Calibri" w:hAnsi="Times New Roman" w:cs="Times New Roman"/>
          <w:b/>
          <w:bCs/>
          <w:i/>
          <w:iCs/>
          <w:sz w:val="28"/>
          <w:szCs w:val="28"/>
        </w:rPr>
        <w:t>pentru modificarea art. 85</w:t>
      </w:r>
      <w:r w:rsidRPr="00725161">
        <w:rPr>
          <w:rFonts w:ascii="Times New Roman" w:eastAsia="Calibri" w:hAnsi="Times New Roman" w:cs="Times New Roman"/>
          <w:b/>
          <w:bCs/>
          <w:i/>
          <w:iCs/>
          <w:sz w:val="28"/>
          <w:szCs w:val="28"/>
          <w:vertAlign w:val="superscript"/>
        </w:rPr>
        <w:t>1</w:t>
      </w:r>
      <w:r w:rsidRPr="00725161">
        <w:rPr>
          <w:rFonts w:ascii="Times New Roman" w:eastAsia="Calibri" w:hAnsi="Times New Roman" w:cs="Times New Roman"/>
          <w:b/>
          <w:bCs/>
          <w:i/>
          <w:iCs/>
          <w:sz w:val="28"/>
          <w:szCs w:val="28"/>
        </w:rPr>
        <w:t xml:space="preserve"> din Legea nr. 108/2016 cu privire la gazele naturale</w:t>
      </w:r>
    </w:p>
    <w:p w14:paraId="004606D7" w14:textId="77777777" w:rsidR="00FC65FA" w:rsidRPr="00DC705F" w:rsidRDefault="00FC65FA" w:rsidP="00FC65FA">
      <w:pPr>
        <w:pStyle w:val="Bodytext30"/>
        <w:shd w:val="clear" w:color="auto" w:fill="auto"/>
        <w:rPr>
          <w:sz w:val="28"/>
          <w:szCs w:val="28"/>
          <w:lang w:val="ro-MD"/>
        </w:rPr>
      </w:pPr>
    </w:p>
    <w:tbl>
      <w:tblPr>
        <w:tblStyle w:val="Tabelprimar2"/>
        <w:tblW w:w="15168" w:type="dxa"/>
        <w:tblInd w:w="-289" w:type="dxa"/>
        <w:tblLayout w:type="fixed"/>
        <w:tblLook w:val="0000" w:firstRow="0" w:lastRow="0" w:firstColumn="0" w:lastColumn="0" w:noHBand="0" w:noVBand="0"/>
      </w:tblPr>
      <w:tblGrid>
        <w:gridCol w:w="710"/>
        <w:gridCol w:w="5244"/>
        <w:gridCol w:w="3828"/>
        <w:gridCol w:w="5386"/>
      </w:tblGrid>
      <w:tr w:rsidR="00FC65FA" w:rsidRPr="00DC705F" w14:paraId="3BC623BA" w14:textId="77777777" w:rsidTr="00725161">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710" w:type="dxa"/>
            <w:shd w:val="clear" w:color="auto" w:fill="C1E4F5" w:themeFill="accent1" w:themeFillTint="33"/>
            <w:vAlign w:val="center"/>
          </w:tcPr>
          <w:p w14:paraId="3D48501D" w14:textId="72723A6C" w:rsidR="00FC65FA" w:rsidRPr="00DC705F" w:rsidRDefault="00725161" w:rsidP="00725161">
            <w:pPr>
              <w:jc w:val="center"/>
              <w:rPr>
                <w:rFonts w:ascii="Times New Roman" w:hAnsi="Times New Roman" w:cs="Times New Roman"/>
                <w:sz w:val="28"/>
                <w:szCs w:val="28"/>
                <w:lang w:val="ro-MD"/>
              </w:rPr>
            </w:pPr>
            <w:r w:rsidRPr="00DC705F">
              <w:rPr>
                <w:rStyle w:val="Bodytext2"/>
                <w:rFonts w:eastAsiaTheme="majorEastAsia"/>
                <w:b/>
                <w:bCs/>
                <w:sz w:val="28"/>
                <w:szCs w:val="28"/>
                <w:lang w:val="ro-MD"/>
              </w:rPr>
              <w:t>Nr.</w:t>
            </w:r>
          </w:p>
        </w:tc>
        <w:tc>
          <w:tcPr>
            <w:cnfStyle w:val="000001000000" w:firstRow="0" w:lastRow="0" w:firstColumn="0" w:lastColumn="0" w:oddVBand="0" w:evenVBand="1" w:oddHBand="0" w:evenHBand="0" w:firstRowFirstColumn="0" w:firstRowLastColumn="0" w:lastRowFirstColumn="0" w:lastRowLastColumn="0"/>
            <w:tcW w:w="5244" w:type="dxa"/>
            <w:shd w:val="clear" w:color="auto" w:fill="C1E4F5" w:themeFill="accent1" w:themeFillTint="33"/>
            <w:vAlign w:val="center"/>
          </w:tcPr>
          <w:p w14:paraId="2C2A8ABE" w14:textId="55D0054A" w:rsidR="00FC65FA" w:rsidRPr="00DC705F" w:rsidRDefault="00725161" w:rsidP="00725161">
            <w:pPr>
              <w:spacing w:after="120"/>
              <w:jc w:val="center"/>
              <w:rPr>
                <w:rFonts w:ascii="Times New Roman" w:eastAsia="Times New Roman" w:hAnsi="Times New Roman" w:cs="Times New Roman"/>
                <w:sz w:val="28"/>
                <w:szCs w:val="28"/>
                <w:shd w:val="clear" w:color="auto" w:fill="FFFFFF"/>
                <w:lang w:val="ro-MD"/>
              </w:rPr>
            </w:pPr>
            <w:r w:rsidRPr="00DC705F">
              <w:rPr>
                <w:rStyle w:val="Bodytext2"/>
                <w:rFonts w:eastAsiaTheme="majorEastAsia"/>
                <w:b/>
                <w:bCs/>
                <w:sz w:val="28"/>
                <w:szCs w:val="28"/>
                <w:lang w:val="ro-MD"/>
              </w:rPr>
              <w:t>Conținutul normei în vigoare</w:t>
            </w:r>
          </w:p>
        </w:tc>
        <w:tc>
          <w:tcPr>
            <w:cnfStyle w:val="000010000000" w:firstRow="0" w:lastRow="0" w:firstColumn="0" w:lastColumn="0" w:oddVBand="1" w:evenVBand="0" w:oddHBand="0" w:evenHBand="0" w:firstRowFirstColumn="0" w:firstRowLastColumn="0" w:lastRowFirstColumn="0" w:lastRowLastColumn="0"/>
            <w:tcW w:w="3828" w:type="dxa"/>
            <w:shd w:val="clear" w:color="auto" w:fill="C1E4F5" w:themeFill="accent1" w:themeFillTint="33"/>
            <w:vAlign w:val="center"/>
          </w:tcPr>
          <w:p w14:paraId="59CEB5BB" w14:textId="68903C8E" w:rsidR="00FC65FA" w:rsidRPr="00DC705F" w:rsidRDefault="00725161" w:rsidP="00725161">
            <w:pPr>
              <w:jc w:val="center"/>
              <w:rPr>
                <w:rFonts w:ascii="Times New Roman" w:hAnsi="Times New Roman" w:cs="Times New Roman"/>
                <w:sz w:val="28"/>
                <w:szCs w:val="28"/>
                <w:lang w:val="ro-MD"/>
              </w:rPr>
            </w:pPr>
            <w:r w:rsidRPr="00DC705F">
              <w:rPr>
                <w:rStyle w:val="Bodytext2"/>
                <w:rFonts w:eastAsiaTheme="majorEastAsia"/>
                <w:b/>
                <w:bCs/>
                <w:sz w:val="28"/>
                <w:szCs w:val="28"/>
                <w:lang w:val="ro-MD"/>
              </w:rPr>
              <w:t>Modificarea propusă</w:t>
            </w:r>
          </w:p>
        </w:tc>
        <w:tc>
          <w:tcPr>
            <w:cnfStyle w:val="000001000000" w:firstRow="0" w:lastRow="0" w:firstColumn="0" w:lastColumn="0" w:oddVBand="0" w:evenVBand="1" w:oddHBand="0" w:evenHBand="0" w:firstRowFirstColumn="0" w:firstRowLastColumn="0" w:lastRowFirstColumn="0" w:lastRowLastColumn="0"/>
            <w:tcW w:w="5386" w:type="dxa"/>
            <w:shd w:val="clear" w:color="auto" w:fill="C1E4F5" w:themeFill="accent1" w:themeFillTint="33"/>
            <w:vAlign w:val="center"/>
          </w:tcPr>
          <w:p w14:paraId="33B1819D" w14:textId="25A926B8" w:rsidR="00FC65FA" w:rsidRPr="00DC705F" w:rsidRDefault="00725161" w:rsidP="00725161">
            <w:pPr>
              <w:spacing w:after="120"/>
              <w:jc w:val="center"/>
              <w:rPr>
                <w:rFonts w:ascii="Times New Roman" w:eastAsia="Times New Roman" w:hAnsi="Times New Roman" w:cs="Times New Roman"/>
                <w:sz w:val="28"/>
                <w:szCs w:val="28"/>
                <w:shd w:val="clear" w:color="auto" w:fill="FFFFFF"/>
                <w:lang w:val="ro-MD"/>
              </w:rPr>
            </w:pPr>
            <w:r w:rsidRPr="00DC705F">
              <w:rPr>
                <w:rStyle w:val="Bodytext2"/>
                <w:rFonts w:eastAsiaTheme="majorEastAsia"/>
                <w:b/>
                <w:bCs/>
                <w:sz w:val="28"/>
                <w:szCs w:val="28"/>
                <w:lang w:val="ro-MD"/>
              </w:rPr>
              <w:t>Conținutul normei după modificare</w:t>
            </w:r>
          </w:p>
        </w:tc>
      </w:tr>
      <w:tr w:rsidR="00725161" w:rsidRPr="00DC705F" w14:paraId="78342474" w14:textId="77777777" w:rsidTr="00725161">
        <w:trPr>
          <w:trHeight w:val="1272"/>
        </w:trPr>
        <w:tc>
          <w:tcPr>
            <w:cnfStyle w:val="000010000000" w:firstRow="0" w:lastRow="0" w:firstColumn="0" w:lastColumn="0" w:oddVBand="1" w:evenVBand="0" w:oddHBand="0" w:evenHBand="0" w:firstRowFirstColumn="0" w:firstRowLastColumn="0" w:lastRowFirstColumn="0" w:lastRowLastColumn="0"/>
            <w:tcW w:w="710" w:type="dxa"/>
            <w:vAlign w:val="center"/>
          </w:tcPr>
          <w:p w14:paraId="2A87B5FE" w14:textId="3FF6D710" w:rsidR="00725161" w:rsidRPr="00725161" w:rsidRDefault="00725161" w:rsidP="00725161">
            <w:pPr>
              <w:rPr>
                <w:rFonts w:ascii="Times New Roman" w:hAnsi="Times New Roman" w:cs="Times New Roman"/>
                <w:lang w:val="ro-MD"/>
              </w:rPr>
            </w:pPr>
            <w:r w:rsidRPr="00725161">
              <w:rPr>
                <w:rFonts w:ascii="Times New Roman" w:hAnsi="Times New Roman" w:cs="Times New Roman"/>
                <w:lang w:val="ro-MD"/>
              </w:rPr>
              <w:t>1.</w:t>
            </w:r>
          </w:p>
        </w:tc>
        <w:tc>
          <w:tcPr>
            <w:cnfStyle w:val="000001000000" w:firstRow="0" w:lastRow="0" w:firstColumn="0" w:lastColumn="0" w:oddVBand="0" w:evenVBand="1" w:oddHBand="0" w:evenHBand="0" w:firstRowFirstColumn="0" w:firstRowLastColumn="0" w:lastRowFirstColumn="0" w:lastRowLastColumn="0"/>
            <w:tcW w:w="5244" w:type="dxa"/>
            <w:vAlign w:val="center"/>
          </w:tcPr>
          <w:p w14:paraId="201DB15E"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(1) Aprovizionarea cu gaze naturale a regiunii transnistrene în care activează operatorii de sistem nelicențiați se realizează de către entitatea desemnată de Agenție în conformitate cu art. 7 alin. (1) lit. f</w:t>
            </w:r>
            <w:r w:rsidRPr="00725161">
              <w:rPr>
                <w:color w:val="333333"/>
                <w:vertAlign w:val="superscript"/>
              </w:rPr>
              <w:t>3</w:t>
            </w:r>
            <w:r w:rsidRPr="00725161">
              <w:rPr>
                <w:color w:val="333333"/>
              </w:rPr>
              <w:t>) (în continuare – </w:t>
            </w:r>
            <w:r w:rsidRPr="00725161">
              <w:rPr>
                <w:rStyle w:val="Accentuat"/>
                <w:rFonts w:eastAsiaTheme="majorEastAsia"/>
                <w:color w:val="333333"/>
              </w:rPr>
              <w:t>entitate de aprovizionare cu gaze naturale</w:t>
            </w:r>
            <w:r w:rsidRPr="00725161">
              <w:rPr>
                <w:color w:val="333333"/>
              </w:rPr>
              <w:t>).</w:t>
            </w:r>
          </w:p>
          <w:p w14:paraId="2E2A2157"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(2) Prin derogare de la prevederile art. 39 alin. (5), operatorul sistemului de transport licențiat în Republica Moldova încheie cu entitatea de aprovizionare cu gaze naturale contractul de prestare a serviciului de transport pentru a asigura livrarea gazelor destinate regiunii transnistrene în care activează operatorii de sistem nelicențiați, în termenele stabilite în hotărârea Agenției privind desemnarea entității de aprovizionare cu gaze naturale. Entitatea de aprovizionare cu gaze naturale este obligată să achite în termen plățile aferente prestării serviciului de transport și să depună garanțiile financiare aferente.</w:t>
            </w:r>
          </w:p>
          <w:p w14:paraId="214DD74E"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(3) Prin derogare de la prevederile art. 92 alin. (3</w:t>
            </w:r>
            <w:r w:rsidRPr="00725161">
              <w:rPr>
                <w:color w:val="333333"/>
                <w:vertAlign w:val="superscript"/>
              </w:rPr>
              <w:t>1</w:t>
            </w:r>
            <w:r w:rsidRPr="00725161">
              <w:rPr>
                <w:color w:val="333333"/>
              </w:rPr>
              <w:t xml:space="preserve">), entitatea de aprovizionare cu gaze naturale este obligată să își asume responsabilitatea financiară pentru dezechilibrele create în legătură cu aprovizionarea cu gaze naturale a regiunii transnistrene în care activează operatorii de sistem nelicențiați și să încheie cu operatorul sistemului de transport contractul de echilibrare,  în termenele stabilite în hotărârea Agenției privind desemnarea entității de aprovizionare cu gaze naturale. Entitatea de aprovizionare cu gaze naturale este obligată să </w:t>
            </w:r>
            <w:r w:rsidRPr="00725161">
              <w:rPr>
                <w:color w:val="333333"/>
              </w:rPr>
              <w:lastRenderedPageBreak/>
              <w:t>achite în termen plățile pentru dezechilibrele create, precum și să depună garanțiile financiare aferente.</w:t>
            </w:r>
          </w:p>
          <w:p w14:paraId="424996DD"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(4) Prin derogare de la prevederile art. 92 alin. (2), entitatea de aprovizionare cu gaze naturale este în drept să participe pe piața gazelor naturale în vederea achiziționării de gaze naturale destinate aprovizionării cu gaze naturale a regiunii transnistrene în care activează operatorii de sistem nelicențiați, inclusiv prin intermediul unei platforme de tranzacționare. Entitatea de aprovizionare cu gaze naturale este în drept să procure gaze naturale doar în scopul aprovizionării regiunii transnistrene în care activează operatorii de sistem nelicențiați.</w:t>
            </w:r>
          </w:p>
          <w:p w14:paraId="1C2D79B9"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(5) Entitatea de aprovizionare cu gaze naturale este obligată să creeze și să mențină stocuri de gaze naturale pentru a asigura acoperirea a cel puțin 15% din consumul mediu anual de gaze naturale al consumatorilor casnici, precum și al întreprinderilor și instituțiilor care prestează servicii sociale esențiale din regiunea transnistreană în care activează operatorii de sistem nelicențiați, determinat pentru ultimii 5 ani calendaristici. Stocurile de gaze naturale se creează gradual, în conformitate cu calendarul stabilit în hotărârea Agenției privind desemnarea entității de aprovizionare cu gaze naturale.</w:t>
            </w:r>
          </w:p>
          <w:p w14:paraId="17A37518"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(6) Cantitatea anuală de gaze naturale ce urmează a fi stocată de entitatea de aprovizionare cu gaze naturale se stabilește anual de Agenție, până la data de 30 aprilie a anului curent, în baza informației prezentate de entitatea respectivă cel târziu până la data de 1 aprilie.</w:t>
            </w:r>
          </w:p>
          <w:p w14:paraId="74CFC6BF"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 xml:space="preserve">(7) În legătură cu realizarea obligației prevăzute la alin. (5), entitatea de aprovizionare cu gaze naturale urmează să delege executarea obligației de stocare către unul dintre traderi și/sau furnizorii de gaze naturale licențiați în Republica </w:t>
            </w:r>
            <w:r w:rsidRPr="00725161">
              <w:rPr>
                <w:color w:val="333333"/>
              </w:rPr>
              <w:lastRenderedPageBreak/>
              <w:t>Moldova. Delegarea obligației de stocare nu exonerează entitatea de aprovizionare cu gaze naturale de răspundere pentru neexecutarea, executarea necorespunzătoare sau executarea cu întârziere a obligației de stocare, precum și a obligațiilor aferente stabilite în prezentul articol. Crearea și menținerea stocurilor de gaze naturale se realizează cu respectarea prevederilor art. 108</w:t>
            </w:r>
            <w:r w:rsidRPr="00725161">
              <w:rPr>
                <w:color w:val="333333"/>
                <w:vertAlign w:val="superscript"/>
              </w:rPr>
              <w:t>3</w:t>
            </w:r>
            <w:r w:rsidRPr="00725161">
              <w:rPr>
                <w:color w:val="333333"/>
              </w:rPr>
              <w:t> alin. (1), (2), (4) și (6).</w:t>
            </w:r>
          </w:p>
          <w:p w14:paraId="620893F5"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(8) Agenția monitorizează activitatea entității de aprovizionare cu gaze naturale și aplică în raport cu aceasta prevederile art. 11 din Legea nr. 174/2017 cu privire la energetică. Anual, până la data de 15 noiembrie, entitatea de aprovizionare cu gaze naturale prezintă Agenției și organului central de specialitate al administrației publice în domeniul energeticii informații cu privire la cantitatea de gaze naturale stocate, statele în care sunt create și menținute stocurile de gaze naturale, dacă acestea sunt create și menținute direct sau prin intermediul altor furnizori sau traderi de gaze naturale, precum și informații referitoare la ruta pe care urmează să fie livrate gazele naturale la hotarele Republicii Moldova, cu prezentarea acordurilor încheiate în vederea rezervării capacității în rețelele relevante de transport al gazelor naturale.</w:t>
            </w:r>
          </w:p>
          <w:p w14:paraId="7E210088"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(9) Entitatea de aprovizionare cu gaze naturale este obligată să prezinte Agenției alte informații și documente solicitate de aceasta în legătură cu monitorizarea modului în care entitatea respectivă își îndeplinește obligațiile aferente creării stocurilor de gaze naturale.</w:t>
            </w:r>
          </w:p>
          <w:p w14:paraId="531E5C23"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 xml:space="preserve">(10) La constatarea de către Agenție a faptului că entitatea de aprovizionare cu gaze naturale nu a executat, a executat necorespunzător sau a executat cu întârziere obligația de stocare, inclusiv a faptului că nu au fost rezervate capacitățile </w:t>
            </w:r>
            <w:r w:rsidRPr="00725161">
              <w:rPr>
                <w:color w:val="333333"/>
              </w:rPr>
              <w:lastRenderedPageBreak/>
              <w:t>necesare în rețelele de transport al gazelor naturale pentru a asigura livrarea la hotarele Republicii Moldova a gazelor naturale stocate, precum și în cazul în care entitatea respectivă nu prezintă repetat, la solicitare, sau refuză să prezinte informațiile și documentele prevăzute la alin. (8) și (9), aceasta aplică sancțiunile financiare prevăzute la art. 113 alin. (1</w:t>
            </w:r>
            <w:r w:rsidRPr="00725161">
              <w:rPr>
                <w:color w:val="333333"/>
                <w:vertAlign w:val="superscript"/>
              </w:rPr>
              <w:t>2</w:t>
            </w:r>
            <w:r w:rsidRPr="00725161">
              <w:rPr>
                <w:color w:val="333333"/>
              </w:rPr>
              <w:t>)–(1</w:t>
            </w:r>
            <w:r w:rsidRPr="00725161">
              <w:rPr>
                <w:color w:val="333333"/>
                <w:vertAlign w:val="superscript"/>
              </w:rPr>
              <w:t>4</w:t>
            </w:r>
            <w:r w:rsidRPr="00725161">
              <w:rPr>
                <w:color w:val="333333"/>
              </w:rPr>
              <w:t>) și stabilește un termen pentru executarea obligației de stocare de către entitatea de aprovizionare cu gaze naturale.</w:t>
            </w:r>
          </w:p>
          <w:p w14:paraId="4EC198EF" w14:textId="77777777"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(11) Achitarea sancțiunii financiare aplicate de Agenție conform alin. (10) nu exonerează entitatea de aprovizionare cu gaze naturale de necesitatea realizării obligației de stocare în termenele stabilite de Agenție.</w:t>
            </w:r>
          </w:p>
          <w:p w14:paraId="335DA2B9" w14:textId="56757C40" w:rsidR="00725161" w:rsidRPr="00725161" w:rsidRDefault="00725161" w:rsidP="00725161">
            <w:pPr>
              <w:pStyle w:val="NormalWeb"/>
              <w:shd w:val="clear" w:color="auto" w:fill="FFFFFF"/>
              <w:spacing w:before="0" w:beforeAutospacing="0" w:after="0" w:afterAutospacing="0"/>
              <w:ind w:firstLine="709"/>
              <w:jc w:val="both"/>
              <w:rPr>
                <w:color w:val="333333"/>
              </w:rPr>
            </w:pPr>
            <w:r w:rsidRPr="00725161">
              <w:rPr>
                <w:color w:val="333333"/>
              </w:rPr>
              <w:t>(12) Agenția revocă statutul de entitate de aprovizionare cu gaze naturale la propunerea organului central de specialitate al administrației publice în domeniul energeticii.</w:t>
            </w:r>
          </w:p>
        </w:tc>
        <w:tc>
          <w:tcPr>
            <w:cnfStyle w:val="000010000000" w:firstRow="0" w:lastRow="0" w:firstColumn="0" w:lastColumn="0" w:oddVBand="1" w:evenVBand="0" w:oddHBand="0" w:evenHBand="0" w:firstRowFirstColumn="0" w:firstRowLastColumn="0" w:lastRowFirstColumn="0" w:lastRowLastColumn="0"/>
            <w:tcW w:w="3828" w:type="dxa"/>
            <w:vAlign w:val="center"/>
          </w:tcPr>
          <w:p w14:paraId="30A6BCFF" w14:textId="48AD96C3" w:rsidR="00725161" w:rsidRPr="00725161" w:rsidRDefault="00725161" w:rsidP="00725161">
            <w:pPr>
              <w:jc w:val="both"/>
              <w:rPr>
                <w:rFonts w:ascii="Times New Roman" w:hAnsi="Times New Roman" w:cs="Times New Roman"/>
                <w:i/>
                <w:iCs/>
                <w:lang w:val="en-US"/>
              </w:rPr>
            </w:pPr>
            <w:r w:rsidRPr="00725161">
              <w:rPr>
                <w:rFonts w:ascii="Times New Roman" w:hAnsi="Times New Roman" w:cs="Times New Roman"/>
                <w:i/>
                <w:iCs/>
                <w:lang w:val="ro-MD"/>
              </w:rPr>
              <w:lastRenderedPageBreak/>
              <w:t>Se propun următoarele modificări</w:t>
            </w:r>
            <w:r w:rsidRPr="00725161">
              <w:rPr>
                <w:rFonts w:ascii="Times New Roman" w:hAnsi="Times New Roman" w:cs="Times New Roman"/>
                <w:i/>
                <w:iCs/>
                <w:lang w:val="en-US"/>
              </w:rPr>
              <w:t xml:space="preserve">: </w:t>
            </w:r>
          </w:p>
          <w:p w14:paraId="261617FE" w14:textId="77777777" w:rsidR="00725161" w:rsidRPr="00725161" w:rsidRDefault="00725161" w:rsidP="00725161">
            <w:pPr>
              <w:jc w:val="both"/>
              <w:rPr>
                <w:rFonts w:ascii="Times New Roman" w:hAnsi="Times New Roman" w:cs="Times New Roman"/>
                <w:lang w:val="en-US"/>
              </w:rPr>
            </w:pPr>
          </w:p>
          <w:p w14:paraId="0593127B" w14:textId="1A0AE015"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b/>
                <w:bCs/>
                <w:lang w:val="ro-MD"/>
              </w:rPr>
              <w:t>1. Alineatul (5)</w:t>
            </w:r>
            <w:r w:rsidRPr="00725161">
              <w:rPr>
                <w:rFonts w:ascii="Times New Roman" w:hAnsi="Times New Roman" w:cs="Times New Roman"/>
                <w:lang w:val="ro-MD"/>
              </w:rPr>
              <w:t xml:space="preserve"> va avea următorul cuprins:</w:t>
            </w:r>
          </w:p>
          <w:p w14:paraId="7638A497" w14:textId="0BE9FDD5" w:rsidR="00725161" w:rsidRPr="00725161" w:rsidRDefault="00725161" w:rsidP="00725161">
            <w:pPr>
              <w:ind w:firstLine="567"/>
              <w:jc w:val="both"/>
              <w:rPr>
                <w:rFonts w:ascii="Times New Roman" w:hAnsi="Times New Roman" w:cs="Times New Roman"/>
                <w:lang w:val="ro-MD"/>
              </w:rPr>
            </w:pPr>
            <w:r>
              <w:rPr>
                <w:rFonts w:ascii="Times New Roman" w:hAnsi="Times New Roman" w:cs="Times New Roman"/>
                <w:lang w:val="ro-MD"/>
              </w:rPr>
              <w:t xml:space="preserve"> </w:t>
            </w:r>
            <w:r w:rsidRPr="00725161">
              <w:rPr>
                <w:rFonts w:ascii="Times New Roman" w:hAnsi="Times New Roman" w:cs="Times New Roman"/>
                <w:lang w:val="ro-MD"/>
              </w:rPr>
              <w:t>,,Entitatea de aprovizionare cu gaze naturale este obligată să creeze și să mențină stocuri de gaze naturale pentru a asigura acoperirea a cel puțin 15% din consumul mediu anual de gaze naturale al consumatorilor finali din regiunea transnistreană în care activează operatorii de sistem nelicențiați, determinat pentru ultimii 5 ani calendaristici. La determinarea consumului mediu anual de gaze naturale al consumatorilor finali, se va considera exclusiv consumul de gaze naturale înregistrat pentru acoperirea necesităților proprii ale consumatorilor din regiunea transnistreană, fără a include consumul destinat producerii energiei electrice livrate în afara regiunii.”;</w:t>
            </w:r>
          </w:p>
          <w:p w14:paraId="760F1FA0" w14:textId="77777777"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b/>
                <w:bCs/>
                <w:lang w:val="ro-MD"/>
              </w:rPr>
              <w:t>2.</w:t>
            </w:r>
            <w:r w:rsidRPr="00725161">
              <w:rPr>
                <w:rFonts w:ascii="Times New Roman" w:hAnsi="Times New Roman" w:cs="Times New Roman"/>
                <w:b/>
                <w:bCs/>
                <w:lang w:val="ro-MD"/>
              </w:rPr>
              <w:tab/>
              <w:t xml:space="preserve"> Alineatul (6)</w:t>
            </w:r>
            <w:r w:rsidRPr="00725161">
              <w:rPr>
                <w:rFonts w:ascii="Times New Roman" w:hAnsi="Times New Roman" w:cs="Times New Roman"/>
                <w:lang w:val="ro-MD"/>
              </w:rPr>
              <w:t xml:space="preserve"> se completează la sfârșit cu un enunț cu următorul cuprins:</w:t>
            </w:r>
          </w:p>
          <w:p w14:paraId="3D3D372F" w14:textId="77777777"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lang w:val="ro-MD"/>
              </w:rPr>
              <w:tab/>
              <w:t xml:space="preserve">,,Stocurile de gaze naturale se creează gradual, în conformitate cu calendarul stabilit în hotărârea Agenției menționată în prezentul </w:t>
            </w:r>
            <w:r w:rsidRPr="00725161">
              <w:rPr>
                <w:rFonts w:ascii="Times New Roman" w:hAnsi="Times New Roman" w:cs="Times New Roman"/>
                <w:lang w:val="ro-MD"/>
              </w:rPr>
              <w:lastRenderedPageBreak/>
              <w:t>aliniat.”;</w:t>
            </w:r>
          </w:p>
          <w:p w14:paraId="707ADBDD" w14:textId="061597DD"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b/>
                <w:bCs/>
                <w:lang w:val="ro-MD"/>
              </w:rPr>
              <w:t>3.</w:t>
            </w:r>
            <w:r w:rsidRPr="00725161">
              <w:rPr>
                <w:rFonts w:ascii="Times New Roman" w:hAnsi="Times New Roman" w:cs="Times New Roman"/>
                <w:b/>
                <w:bCs/>
                <w:lang w:val="ro-MD"/>
              </w:rPr>
              <w:tab/>
              <w:t xml:space="preserve"> La alineatul (7),</w:t>
            </w:r>
            <w:r w:rsidRPr="00725161">
              <w:rPr>
                <w:rFonts w:ascii="Times New Roman" w:hAnsi="Times New Roman" w:cs="Times New Roman"/>
                <w:lang w:val="ro-MD"/>
              </w:rPr>
              <w:t xml:space="preserve"> textul „art. 108</w:t>
            </w:r>
            <w:r w:rsidRPr="00725161">
              <w:rPr>
                <w:rFonts w:ascii="Times New Roman" w:hAnsi="Times New Roman" w:cs="Times New Roman"/>
                <w:vertAlign w:val="superscript"/>
                <w:lang w:val="ro-MD"/>
              </w:rPr>
              <w:t>3</w:t>
            </w:r>
            <w:r w:rsidRPr="00725161">
              <w:rPr>
                <w:rFonts w:ascii="Times New Roman" w:hAnsi="Times New Roman" w:cs="Times New Roman"/>
                <w:lang w:val="ro-MD"/>
              </w:rPr>
              <w:t xml:space="preserve"> alin. (1), (2), (4) și (6)” se substituie cu textul „art. 108</w:t>
            </w:r>
            <w:r w:rsidRPr="00725161">
              <w:rPr>
                <w:rFonts w:ascii="Times New Roman" w:hAnsi="Times New Roman" w:cs="Times New Roman"/>
                <w:vertAlign w:val="superscript"/>
                <w:lang w:val="ro-MD"/>
              </w:rPr>
              <w:t>3</w:t>
            </w:r>
            <w:r w:rsidRPr="00725161">
              <w:rPr>
                <w:rFonts w:ascii="Times New Roman" w:hAnsi="Times New Roman" w:cs="Times New Roman"/>
                <w:lang w:val="ro-MD"/>
              </w:rPr>
              <w:t xml:space="preserve"> alin. (1), (2) și (4)”; </w:t>
            </w:r>
          </w:p>
          <w:p w14:paraId="3451ACAA" w14:textId="5CF9FB90"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b/>
                <w:bCs/>
                <w:lang w:val="ro-MD"/>
              </w:rPr>
              <w:t>4.</w:t>
            </w:r>
            <w:r w:rsidRPr="00725161">
              <w:rPr>
                <w:rFonts w:ascii="Times New Roman" w:hAnsi="Times New Roman" w:cs="Times New Roman"/>
                <w:lang w:val="ro-MD"/>
              </w:rPr>
              <w:tab/>
              <w:t xml:space="preserve"> Se completează cu alineatele (7</w:t>
            </w:r>
            <w:r w:rsidRPr="00725161">
              <w:rPr>
                <w:rFonts w:ascii="Times New Roman" w:hAnsi="Times New Roman" w:cs="Times New Roman"/>
                <w:vertAlign w:val="superscript"/>
                <w:lang w:val="ro-MD"/>
              </w:rPr>
              <w:t>1</w:t>
            </w:r>
            <w:r w:rsidRPr="00725161">
              <w:rPr>
                <w:rFonts w:ascii="Times New Roman" w:hAnsi="Times New Roman" w:cs="Times New Roman"/>
                <w:lang w:val="ro-MD"/>
              </w:rPr>
              <w:t>) și (7</w:t>
            </w:r>
            <w:r w:rsidRPr="00725161">
              <w:rPr>
                <w:rFonts w:ascii="Times New Roman" w:hAnsi="Times New Roman" w:cs="Times New Roman"/>
                <w:vertAlign w:val="superscript"/>
                <w:lang w:val="ro-MD"/>
              </w:rPr>
              <w:t>2</w:t>
            </w:r>
            <w:r w:rsidRPr="00725161">
              <w:rPr>
                <w:rFonts w:ascii="Times New Roman" w:hAnsi="Times New Roman" w:cs="Times New Roman"/>
                <w:lang w:val="ro-MD"/>
              </w:rPr>
              <w:t>) cu următorul cuprins:</w:t>
            </w:r>
          </w:p>
          <w:p w14:paraId="3C59C781" w14:textId="696ED0F4"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lang w:val="ro-MD"/>
              </w:rPr>
              <w:tab/>
              <w:t>,,(7</w:t>
            </w:r>
            <w:r w:rsidRPr="00725161">
              <w:rPr>
                <w:rFonts w:ascii="Times New Roman" w:hAnsi="Times New Roman" w:cs="Times New Roman"/>
                <w:vertAlign w:val="superscript"/>
                <w:lang w:val="ro-MD"/>
              </w:rPr>
              <w:t>1</w:t>
            </w:r>
            <w:r w:rsidRPr="00725161">
              <w:rPr>
                <w:rFonts w:ascii="Times New Roman" w:hAnsi="Times New Roman" w:cs="Times New Roman"/>
                <w:lang w:val="ro-MD"/>
              </w:rPr>
              <w:t xml:space="preserve">) Gazele naturale stocate în contextul executării obligației de stocare se utilizează de către entitatea de aprovizionare cu gaze naturale începând cu 1 noiembrie, cu considerarea necesității asigurării continuității livrării gazelor naturale consumatorilor protejați pe perioada rece a anului. </w:t>
            </w:r>
          </w:p>
          <w:p w14:paraId="5B478038" w14:textId="1E39DA7D"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lang w:val="ro-MD"/>
              </w:rPr>
              <w:tab/>
              <w:t>(7</w:t>
            </w:r>
            <w:r w:rsidRPr="00725161">
              <w:rPr>
                <w:rFonts w:ascii="Times New Roman" w:hAnsi="Times New Roman" w:cs="Times New Roman"/>
                <w:vertAlign w:val="superscript"/>
                <w:lang w:val="ro-MD"/>
              </w:rPr>
              <w:t>2</w:t>
            </w:r>
            <w:r w:rsidRPr="00725161">
              <w:rPr>
                <w:rFonts w:ascii="Times New Roman" w:hAnsi="Times New Roman" w:cs="Times New Roman"/>
                <w:lang w:val="ro-MD"/>
              </w:rPr>
              <w:t xml:space="preserve">) În perioada 1 noiembrie – 31 martie, cantitatea maximă de gaze naturale ce face obiectul obligație de stocare care poate fi utilizată lunar, corespunde cu cantitatea de gaze naturale stocată în prima zi a fiecărei luni, împărțită la numărul de luni rămase până la data de 1 aprilie. Utilizarea de către entitatea de aprovizionare cu gaze naturale, în această perioadă, a unei cantități de gaze naturale ce face obiectul obligației de stocare, care depășește limita lunară stabilită prin prezentul aliniat, poate fi permisă doar în cazuri justificate ce ar preveni o situație excepțională în sectorul gazelor naturale, după aprobarea Agenției și organului central de specialitate al administrației publice în domeniul </w:t>
            </w:r>
            <w:r w:rsidRPr="00725161">
              <w:rPr>
                <w:rFonts w:ascii="Times New Roman" w:hAnsi="Times New Roman" w:cs="Times New Roman"/>
                <w:lang w:val="ro-MD"/>
              </w:rPr>
              <w:lastRenderedPageBreak/>
              <w:t>energeticii.”;</w:t>
            </w:r>
          </w:p>
          <w:p w14:paraId="610ED4CF" w14:textId="77777777" w:rsidR="00725161" w:rsidRPr="00725161" w:rsidRDefault="00725161" w:rsidP="00725161">
            <w:pPr>
              <w:ind w:firstLine="567"/>
              <w:jc w:val="both"/>
              <w:rPr>
                <w:rFonts w:ascii="Times New Roman" w:hAnsi="Times New Roman" w:cs="Times New Roman"/>
                <w:lang w:val="ro-MD"/>
              </w:rPr>
            </w:pPr>
          </w:p>
          <w:p w14:paraId="1106FBB1" w14:textId="126B7404"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b/>
                <w:bCs/>
                <w:lang w:val="ro-MD"/>
              </w:rPr>
              <w:t>5</w:t>
            </w:r>
            <w:r>
              <w:rPr>
                <w:rFonts w:ascii="Times New Roman" w:hAnsi="Times New Roman" w:cs="Times New Roman"/>
                <w:b/>
                <w:bCs/>
                <w:lang w:val="ro-MD"/>
              </w:rPr>
              <w:t xml:space="preserve">. </w:t>
            </w:r>
            <w:r w:rsidRPr="00725161">
              <w:rPr>
                <w:rFonts w:ascii="Times New Roman" w:hAnsi="Times New Roman" w:cs="Times New Roman"/>
                <w:b/>
                <w:bCs/>
                <w:lang w:val="ro-MD"/>
              </w:rPr>
              <w:t>Alineatul (8)</w:t>
            </w:r>
            <w:r w:rsidRPr="00725161">
              <w:rPr>
                <w:rFonts w:ascii="Times New Roman" w:hAnsi="Times New Roman" w:cs="Times New Roman"/>
                <w:lang w:val="ro-MD"/>
              </w:rPr>
              <w:t xml:space="preserve"> se completează la sfârșit cu un enunț cu următorul cuprins:</w:t>
            </w:r>
          </w:p>
          <w:p w14:paraId="18CF47C2" w14:textId="0DFE7D48" w:rsidR="00725161" w:rsidRPr="00725161" w:rsidRDefault="00725161" w:rsidP="00725161">
            <w:pPr>
              <w:ind w:firstLine="567"/>
              <w:jc w:val="both"/>
              <w:rPr>
                <w:rFonts w:ascii="Times New Roman" w:hAnsi="Times New Roman" w:cs="Times New Roman"/>
                <w:lang w:val="ro-MD"/>
              </w:rPr>
            </w:pPr>
            <w:r w:rsidRPr="00725161">
              <w:rPr>
                <w:rFonts w:ascii="Times New Roman" w:hAnsi="Times New Roman" w:cs="Times New Roman"/>
                <w:lang w:val="ro-MD"/>
              </w:rPr>
              <w:tab/>
              <w:t>,,În perioada decembrie – aprilie, lunar, până la data de 10 a fiecărei luni, entitatea de aprovizionare cu gaze naturale prezintă organului central de specialitate al administrației publice în domeniul energeticii și Agenției informații cu privire la cantitatea de gaze naturale stocată rămasă disponibilă la sfârșitul fiecărei luni precedente.”.</w:t>
            </w:r>
          </w:p>
          <w:p w14:paraId="2A3857B1" w14:textId="2C7FB737" w:rsidR="00725161" w:rsidRPr="00725161" w:rsidRDefault="00725161" w:rsidP="00725161">
            <w:pPr>
              <w:jc w:val="both"/>
              <w:rPr>
                <w:rFonts w:ascii="Times New Roman" w:hAnsi="Times New Roman" w:cs="Times New Roman"/>
                <w:lang w:val="ro-MD"/>
              </w:rPr>
            </w:pPr>
          </w:p>
        </w:tc>
        <w:tc>
          <w:tcPr>
            <w:cnfStyle w:val="000001000000" w:firstRow="0" w:lastRow="0" w:firstColumn="0" w:lastColumn="0" w:oddVBand="0" w:evenVBand="1" w:oddHBand="0" w:evenHBand="0" w:firstRowFirstColumn="0" w:firstRowLastColumn="0" w:lastRowFirstColumn="0" w:lastRowLastColumn="0"/>
            <w:tcW w:w="5386" w:type="dxa"/>
            <w:vAlign w:val="center"/>
          </w:tcPr>
          <w:p w14:paraId="2BB109A7" w14:textId="77777777" w:rsidR="00725161" w:rsidRPr="00725161" w:rsidRDefault="00725161" w:rsidP="00725161">
            <w:pPr>
              <w:widowControl/>
              <w:spacing w:after="160" w:line="278" w:lineRule="auto"/>
              <w:ind w:firstLine="567"/>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lastRenderedPageBreak/>
              <w:t>(1) Aprovizionarea cu gaze naturale a regiunii transnistrene în care activează operatorii de sistem nelicențiați se realizează de către entitatea desemnată de Agenție în conformitate cu art. 7 alin. (1) lit. f</w:t>
            </w:r>
            <w:r w:rsidRPr="00725161">
              <w:rPr>
                <w:rFonts w:ascii="Times New Roman" w:eastAsia="Aptos" w:hAnsi="Times New Roman" w:cs="Times New Roman"/>
                <w:color w:val="auto"/>
                <w:kern w:val="2"/>
                <w:vertAlign w:val="superscript"/>
                <w:lang w:val="ro-MD" w:eastAsia="en-US" w:bidi="ar-SA"/>
                <w14:ligatures w14:val="standardContextual"/>
              </w:rPr>
              <w:t>3</w:t>
            </w:r>
            <w:r w:rsidRPr="00725161">
              <w:rPr>
                <w:rFonts w:ascii="Times New Roman" w:eastAsia="Aptos" w:hAnsi="Times New Roman" w:cs="Times New Roman"/>
                <w:color w:val="auto"/>
                <w:kern w:val="2"/>
                <w:lang w:val="ro-MD" w:eastAsia="en-US" w:bidi="ar-SA"/>
                <w14:ligatures w14:val="standardContextual"/>
              </w:rPr>
              <w:t>) (în continuare – </w:t>
            </w:r>
            <w:r w:rsidRPr="00725161">
              <w:rPr>
                <w:rFonts w:ascii="Times New Roman" w:eastAsia="Aptos" w:hAnsi="Times New Roman" w:cs="Times New Roman"/>
                <w:i/>
                <w:iCs/>
                <w:color w:val="auto"/>
                <w:kern w:val="2"/>
                <w:lang w:val="ro-MD" w:eastAsia="en-US" w:bidi="ar-SA"/>
                <w14:ligatures w14:val="standardContextual"/>
              </w:rPr>
              <w:t>entitate de aprovizionare cu gaze naturale</w:t>
            </w:r>
            <w:r w:rsidRPr="00725161">
              <w:rPr>
                <w:rFonts w:ascii="Times New Roman" w:eastAsia="Aptos" w:hAnsi="Times New Roman" w:cs="Times New Roman"/>
                <w:color w:val="auto"/>
                <w:kern w:val="2"/>
                <w:lang w:val="ro-MD" w:eastAsia="en-US" w:bidi="ar-SA"/>
                <w14:ligatures w14:val="standardContextual"/>
              </w:rPr>
              <w:t>).</w:t>
            </w:r>
          </w:p>
          <w:p w14:paraId="41CC13AD"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(2) Prin derogare de la prevederile art. 39 alin. (5), operatorul sistemului de transport licențiat în Republica Moldova încheie cu entitatea de aprovizionare cu gaze naturale contractul de prestare a serviciului de transport pentru a asigura livrarea gazelor destinate regiunii transnistrene în care activează operatorii de sistem nelicențiați, în termenele stabilite în hotărârea Agenției privind desemnarea entității de aprovizionare cu gaze naturale. Entitatea de aprovizionare cu gaze naturale este obligată să achite în termen plățile aferente prestării serviciului de transport și să depună garanțiile financiare aferente.</w:t>
            </w:r>
          </w:p>
          <w:p w14:paraId="4D1B9CAD"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(3) Prin derogare de la prevederile art. 92 alin. (3</w:t>
            </w:r>
            <w:r w:rsidRPr="00725161">
              <w:rPr>
                <w:rFonts w:ascii="Times New Roman" w:eastAsia="Aptos" w:hAnsi="Times New Roman" w:cs="Times New Roman"/>
                <w:color w:val="auto"/>
                <w:kern w:val="2"/>
                <w:vertAlign w:val="superscript"/>
                <w:lang w:val="ro-MD" w:eastAsia="en-US" w:bidi="ar-SA"/>
                <w14:ligatures w14:val="standardContextual"/>
              </w:rPr>
              <w:t>1</w:t>
            </w:r>
            <w:r w:rsidRPr="00725161">
              <w:rPr>
                <w:rFonts w:ascii="Times New Roman" w:eastAsia="Aptos" w:hAnsi="Times New Roman" w:cs="Times New Roman"/>
                <w:color w:val="auto"/>
                <w:kern w:val="2"/>
                <w:lang w:val="ro-MD" w:eastAsia="en-US" w:bidi="ar-SA"/>
                <w14:ligatures w14:val="standardContextual"/>
              </w:rPr>
              <w:t xml:space="preserve">), entitatea de aprovizionare cu gaze naturale este obligată să își asume responsabilitatea financiară pentru dezechilibrele create în legătură cu aprovizionarea cu gaze naturale a regiunii transnistrene în care activează operatorii de sistem nelicențiați și să încheie cu operatorul sistemului de </w:t>
            </w:r>
            <w:r w:rsidRPr="00725161">
              <w:rPr>
                <w:rFonts w:ascii="Times New Roman" w:eastAsia="Aptos" w:hAnsi="Times New Roman" w:cs="Times New Roman"/>
                <w:color w:val="auto"/>
                <w:kern w:val="2"/>
                <w:lang w:val="ro-MD" w:eastAsia="en-US" w:bidi="ar-SA"/>
                <w14:ligatures w14:val="standardContextual"/>
              </w:rPr>
              <w:lastRenderedPageBreak/>
              <w:t>transport contractul de echilibrare,  în termenele stabilite în hotărârea Agenției privind desemnarea entității de aprovizionare cu gaze naturale. Entitatea de aprovizionare cu gaze naturale este obligată să achite în termen plățile pentru dezechilibrele create, precum și să depună garanțiile financiare aferente.</w:t>
            </w:r>
          </w:p>
          <w:p w14:paraId="375687F8"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(4) Prin derogare de la prevederile art. 92 alin. (2), entitatea de aprovizionare cu gaze naturale este în drept să participe pe piața gazelor naturale în vederea achiziționării de gaze naturale destinate aprovizionării cu gaze naturale a regiunii transnistrene în care activează operatorii de sistem nelicențiați, inclusiv prin intermediul unei platforme de tranzacționare. Entitatea de aprovizionare cu gaze naturale este în drept să procure gaze naturale doar în scopul aprovizionării regiunii transnistrene în care activează operatorii de sistem nelicențiați.</w:t>
            </w:r>
          </w:p>
          <w:p w14:paraId="0DAAF6E2"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 xml:space="preserve">(5) Entitatea de aprovizionare cu gaze naturale este obligată să creeze și să mențină stocuri de gaze naturale pentru a asigura acoperirea a cel puțin 15% din consumul mediu anual de gaze naturale al consumatorilor finali din regiunea transnistreană în care activează operatorii de sistem nelicențiați, determinat pentru ultimii 5 ani calendaristici. La determinarea consumului mediu anual de gaze naturale al consumatorilor finali, </w:t>
            </w:r>
            <w:r w:rsidRPr="00725161">
              <w:rPr>
                <w:rFonts w:ascii="Times New Roman" w:eastAsia="Aptos" w:hAnsi="Times New Roman" w:cs="Times New Roman"/>
                <w:color w:val="auto"/>
                <w:kern w:val="2"/>
                <w:lang w:eastAsia="en-US" w:bidi="ar-SA"/>
                <w14:ligatures w14:val="standardContextual"/>
              </w:rPr>
              <w:t>se va considera exclusiv consumul de gaze naturale înregistrat pentru</w:t>
            </w:r>
            <w:r w:rsidRPr="00725161">
              <w:rPr>
                <w:rFonts w:ascii="Times New Roman" w:eastAsia="Aptos" w:hAnsi="Times New Roman" w:cs="Times New Roman"/>
                <w:color w:val="auto"/>
                <w:kern w:val="2"/>
                <w:lang w:val="ro-MD" w:eastAsia="en-US" w:bidi="ar-SA"/>
                <w14:ligatures w14:val="standardContextual"/>
              </w:rPr>
              <w:t xml:space="preserve"> acoperirea necesităților proprii ale consumatorilor din regiunea transnistreană, </w:t>
            </w:r>
            <w:r w:rsidRPr="00725161">
              <w:rPr>
                <w:rFonts w:ascii="Times New Roman" w:eastAsia="Aptos" w:hAnsi="Times New Roman" w:cs="Times New Roman"/>
                <w:color w:val="auto"/>
                <w:kern w:val="2"/>
                <w:lang w:eastAsia="en-US" w:bidi="ar-SA"/>
                <w14:ligatures w14:val="standardContextual"/>
              </w:rPr>
              <w:t>fără a include consumul destinat producerii energiei electrice livrate în afara regiunii</w:t>
            </w:r>
            <w:r w:rsidRPr="00725161">
              <w:rPr>
                <w:rFonts w:ascii="Times New Roman" w:eastAsia="Aptos" w:hAnsi="Times New Roman" w:cs="Times New Roman"/>
                <w:color w:val="auto"/>
                <w:kern w:val="2"/>
                <w:lang w:val="ro-MD" w:eastAsia="en-US" w:bidi="ar-SA"/>
                <w14:ligatures w14:val="standardContextual"/>
              </w:rPr>
              <w:t>.</w:t>
            </w:r>
          </w:p>
          <w:p w14:paraId="72CE0202"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lastRenderedPageBreak/>
              <w:t xml:space="preserve">(6) Cantitatea anuală de gaze naturale ce urmează a fi stocată de entitatea de aprovizionare cu gaze naturale se stabilește anual de Agenție, până la data de 30 aprilie a anului curent, în baza informației prezentate de entitatea respectivă cel târziu până la data de 1 aprilie. </w:t>
            </w:r>
            <w:r w:rsidRPr="00725161">
              <w:rPr>
                <w:rFonts w:ascii="Times New Roman" w:eastAsia="Aptos" w:hAnsi="Times New Roman" w:cs="Times New Roman"/>
                <w:color w:val="auto"/>
                <w:kern w:val="2"/>
                <w:lang w:val="ro-MD" w:eastAsia="en-US" w:bidi="ar-SA"/>
                <w14:ligatures w14:val="standardContextual"/>
              </w:rPr>
              <w:t xml:space="preserve">Stocurile de gaze naturale se creează gradual, în conformitate cu calendarul stabilit în hotărârea Agenției </w:t>
            </w:r>
            <w:r w:rsidRPr="00725161">
              <w:rPr>
                <w:rFonts w:ascii="Times New Roman" w:eastAsia="Aptos" w:hAnsi="Times New Roman" w:cs="Times New Roman"/>
                <w:color w:val="auto"/>
                <w:kern w:val="2"/>
                <w:lang w:eastAsia="en-US" w:bidi="ar-SA"/>
                <w14:ligatures w14:val="standardContextual"/>
              </w:rPr>
              <w:t>menționată în prezentul aliniat</w:t>
            </w:r>
            <w:r w:rsidRPr="00725161">
              <w:rPr>
                <w:rFonts w:ascii="Times New Roman" w:eastAsia="Aptos" w:hAnsi="Times New Roman" w:cs="Times New Roman"/>
                <w:color w:val="auto"/>
                <w:kern w:val="2"/>
                <w:lang w:val="ro-MD" w:eastAsia="en-US" w:bidi="ar-SA"/>
                <w14:ligatures w14:val="standardContextual"/>
              </w:rPr>
              <w:t>.</w:t>
            </w:r>
          </w:p>
          <w:p w14:paraId="642FF29F"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(7) În legătură cu realizarea obligației prevăzute la alin. (5), entitatea de aprovizionare cu gaze naturale urmează să delege executarea obligației de stocare către unul dintre traderi și/sau furnizorii de gaze naturale licențiați în Republica Moldova. Delegarea obligației de stocare nu exonerează entitatea de aprovizionare cu gaze naturale de răspundere pentru neexecutarea, executarea necorespunzătoare sau executarea cu întârziere a obligației de stocare, precum și a obligațiilor aferente stabilite în prezentul articol. Crearea și menținerea stocurilor de gaze naturale se realizează cu respectarea prevederilor art. 108</w:t>
            </w:r>
            <w:r w:rsidRPr="00725161">
              <w:rPr>
                <w:rFonts w:ascii="Times New Roman" w:eastAsia="Aptos" w:hAnsi="Times New Roman" w:cs="Times New Roman"/>
                <w:color w:val="auto"/>
                <w:kern w:val="2"/>
                <w:vertAlign w:val="superscript"/>
                <w:lang w:val="ro-MD" w:eastAsia="en-US" w:bidi="ar-SA"/>
                <w14:ligatures w14:val="standardContextual"/>
              </w:rPr>
              <w:t>3</w:t>
            </w:r>
            <w:r w:rsidRPr="00725161">
              <w:rPr>
                <w:rFonts w:ascii="Times New Roman" w:eastAsia="Aptos" w:hAnsi="Times New Roman" w:cs="Times New Roman"/>
                <w:color w:val="auto"/>
                <w:kern w:val="2"/>
                <w:lang w:val="ro-MD" w:eastAsia="en-US" w:bidi="ar-SA"/>
                <w14:ligatures w14:val="standardContextual"/>
              </w:rPr>
              <w:t> alin. (1), (2) și (4).</w:t>
            </w:r>
          </w:p>
          <w:p w14:paraId="1E7BAD2F"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(7</w:t>
            </w:r>
            <w:r w:rsidRPr="00725161">
              <w:rPr>
                <w:rFonts w:ascii="Times New Roman" w:eastAsia="Aptos" w:hAnsi="Times New Roman" w:cs="Times New Roman"/>
                <w:color w:val="auto"/>
                <w:kern w:val="2"/>
                <w:vertAlign w:val="superscript"/>
                <w:lang w:val="ro-MD" w:eastAsia="en-US" w:bidi="ar-SA"/>
                <w14:ligatures w14:val="standardContextual"/>
              </w:rPr>
              <w:t>1</w:t>
            </w:r>
            <w:r w:rsidRPr="00725161">
              <w:rPr>
                <w:rFonts w:ascii="Times New Roman" w:eastAsia="Aptos" w:hAnsi="Times New Roman" w:cs="Times New Roman"/>
                <w:color w:val="auto"/>
                <w:kern w:val="2"/>
                <w:lang w:val="ro-MD" w:eastAsia="en-US" w:bidi="ar-SA"/>
                <w14:ligatures w14:val="standardContextual"/>
              </w:rPr>
              <w:t xml:space="preserve">) Gazele naturale stocate în contextul executării obligației de stocare se utilizează de către entitatea de aprovizionare cu gaze naturale începând cu 1 noiembrie, cu considerarea necesității asigurării continuității livrării gazelor naturale consumatorilor protejați pe perioada rece a anului. </w:t>
            </w:r>
          </w:p>
          <w:p w14:paraId="09AF9B60"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(7</w:t>
            </w:r>
            <w:r w:rsidRPr="00725161">
              <w:rPr>
                <w:rFonts w:ascii="Times New Roman" w:eastAsia="Aptos" w:hAnsi="Times New Roman" w:cs="Times New Roman"/>
                <w:color w:val="auto"/>
                <w:kern w:val="2"/>
                <w:vertAlign w:val="superscript"/>
                <w:lang w:val="ro-MD" w:eastAsia="en-US" w:bidi="ar-SA"/>
                <w14:ligatures w14:val="standardContextual"/>
              </w:rPr>
              <w:t>2</w:t>
            </w:r>
            <w:r w:rsidRPr="00725161">
              <w:rPr>
                <w:rFonts w:ascii="Times New Roman" w:eastAsia="Aptos" w:hAnsi="Times New Roman" w:cs="Times New Roman"/>
                <w:color w:val="auto"/>
                <w:kern w:val="2"/>
                <w:lang w:val="ro-MD" w:eastAsia="en-US" w:bidi="ar-SA"/>
                <w14:ligatures w14:val="standardContextual"/>
              </w:rPr>
              <w:t xml:space="preserve">) </w:t>
            </w:r>
            <w:r w:rsidRPr="00725161">
              <w:rPr>
                <w:rFonts w:ascii="Times New Roman" w:eastAsia="Aptos" w:hAnsi="Times New Roman" w:cs="Times New Roman"/>
                <w:color w:val="auto"/>
                <w:kern w:val="2"/>
                <w:lang w:eastAsia="en-US" w:bidi="ar-SA"/>
                <w14:ligatures w14:val="standardContextual"/>
              </w:rPr>
              <w:t>Î</w:t>
            </w:r>
            <w:r w:rsidRPr="00725161">
              <w:rPr>
                <w:rFonts w:ascii="Times New Roman" w:eastAsia="Aptos" w:hAnsi="Times New Roman" w:cs="Times New Roman"/>
                <w:color w:val="auto"/>
                <w:kern w:val="2"/>
                <w:lang w:val="ro-MD" w:eastAsia="en-US" w:bidi="ar-SA"/>
                <w14:ligatures w14:val="standardContextual"/>
              </w:rPr>
              <w:t>n perioada 1 noiembrie – 31 martie, cantitatea maxim</w:t>
            </w:r>
            <w:r w:rsidRPr="00725161">
              <w:rPr>
                <w:rFonts w:ascii="Times New Roman" w:eastAsia="Aptos" w:hAnsi="Times New Roman" w:cs="Times New Roman"/>
                <w:color w:val="auto"/>
                <w:kern w:val="2"/>
                <w:lang w:eastAsia="en-US" w:bidi="ar-SA"/>
                <w14:ligatures w14:val="standardContextual"/>
              </w:rPr>
              <w:t>ă</w:t>
            </w:r>
            <w:r w:rsidRPr="00725161">
              <w:rPr>
                <w:rFonts w:ascii="Times New Roman" w:eastAsia="Aptos" w:hAnsi="Times New Roman" w:cs="Times New Roman"/>
                <w:color w:val="auto"/>
                <w:kern w:val="2"/>
                <w:lang w:val="ro-MD" w:eastAsia="en-US" w:bidi="ar-SA"/>
                <w14:ligatures w14:val="standardContextual"/>
              </w:rPr>
              <w:t xml:space="preserve"> de gaze naturale ce face obiectul obligație de stocare care poate fi utilizată lunar, corespunde cu cantitatea de gaze naturale stocată în prima zi a fiecărei luni, împărțită la numărul de luni </w:t>
            </w:r>
            <w:r w:rsidRPr="00725161">
              <w:rPr>
                <w:rFonts w:ascii="Times New Roman" w:eastAsia="Aptos" w:hAnsi="Times New Roman" w:cs="Times New Roman"/>
                <w:color w:val="auto"/>
                <w:kern w:val="2"/>
                <w:lang w:val="ro-MD" w:eastAsia="en-US" w:bidi="ar-SA"/>
                <w14:ligatures w14:val="standardContextual"/>
              </w:rPr>
              <w:lastRenderedPageBreak/>
              <w:t>rămase până la data de 1 aprilie. Utilizarea de către entitatea de aprovizionare cu gaze naturale, în această perioadă, a unei cantități de gaze naturale ce face obiectul obligației de stocare, care depășește limita lunară stabilită prin prezentul aliniat, poate fi permisă doar în cazuri justificate ce ar preveni o situație excepțională în sectorul gazelor naturale, după aprobarea Agenției și organului central de specialitate al administrației publice în domeniul energeticii.(8) Agenția monitorizează activitatea entității de aprovizionare cu gaze naturale și aplică în raport cu aceasta prevederile art. 11 din Legea nr. 174/2017 cu privire la energetică. Anual, până la data de 15 noiembrie, entitatea de aprovizionare cu gaze naturale prezintă Agenției și organului central de specialitate al administrației publice în domeniul energeticii informații cu privire la cantitatea de gaze naturale stocate, statele în care sunt create și menținute stocurile de gaze naturale, dacă acestea sunt create și menținute direct sau prin intermediul altor furnizori sau traderi de gaze naturale, precum și informații referitoare la ruta pe care urmează să fie livrate gazele naturale la hotarele Republicii Moldova, cu prezentarea acordurilor încheiate în vederea rezervării capacității în rețelele relevante de transport al gazelor naturale.</w:t>
            </w:r>
            <w:r w:rsidRPr="00725161">
              <w:rPr>
                <w:rFonts w:ascii="Times New Roman" w:eastAsia="Aptos" w:hAnsi="Times New Roman" w:cs="Times New Roman"/>
                <w:color w:val="auto"/>
                <w:kern w:val="2"/>
                <w:lang w:eastAsia="en-US" w:bidi="ar-SA"/>
                <w14:ligatures w14:val="standardContextual"/>
              </w:rPr>
              <w:t xml:space="preserve"> </w:t>
            </w:r>
            <w:r w:rsidRPr="00725161">
              <w:rPr>
                <w:rFonts w:ascii="Times New Roman" w:eastAsia="Aptos" w:hAnsi="Times New Roman" w:cs="Times New Roman"/>
                <w:color w:val="auto"/>
                <w:kern w:val="2"/>
                <w:lang w:eastAsia="en-US" w:bidi="ar-SA"/>
                <w14:ligatures w14:val="standardContextual"/>
              </w:rPr>
              <w:t xml:space="preserve">În perioada </w:t>
            </w:r>
            <w:r w:rsidRPr="00725161">
              <w:rPr>
                <w:rFonts w:ascii="Times New Roman" w:eastAsia="Aptos" w:hAnsi="Times New Roman" w:cs="Times New Roman"/>
                <w:color w:val="auto"/>
                <w:kern w:val="2"/>
                <w:lang w:val="ro-MD" w:eastAsia="en-US" w:bidi="ar-SA"/>
                <w14:ligatures w14:val="standardContextual"/>
              </w:rPr>
              <w:t>decembrie – aprilie, lunar, până la data de 10 a fiecărei luni, entitatea de aprovizionare cu gaze naturale prezint</w:t>
            </w:r>
            <w:r w:rsidRPr="00725161">
              <w:rPr>
                <w:rFonts w:ascii="Times New Roman" w:eastAsia="Aptos" w:hAnsi="Times New Roman" w:cs="Times New Roman"/>
                <w:color w:val="auto"/>
                <w:kern w:val="2"/>
                <w:lang w:eastAsia="en-US" w:bidi="ar-SA"/>
                <w14:ligatures w14:val="standardContextual"/>
              </w:rPr>
              <w:t>ă</w:t>
            </w:r>
            <w:r w:rsidRPr="00725161">
              <w:rPr>
                <w:rFonts w:ascii="Times New Roman" w:eastAsia="Aptos" w:hAnsi="Times New Roman" w:cs="Times New Roman"/>
                <w:color w:val="auto"/>
                <w:kern w:val="2"/>
                <w:lang w:val="ro-MD" w:eastAsia="en-US" w:bidi="ar-SA"/>
                <w14:ligatures w14:val="standardContextual"/>
              </w:rPr>
              <w:t xml:space="preserve"> organului central de specialitate al administrației publice în domeniul energeticii și Agenției informații cu privire la cantitatea de gaze naturale stocate rămasă disponibilă la sfârșitul fiecărei luni precedente.(9) Entitatea de </w:t>
            </w:r>
            <w:r w:rsidRPr="00725161">
              <w:rPr>
                <w:rFonts w:ascii="Times New Roman" w:eastAsia="Aptos" w:hAnsi="Times New Roman" w:cs="Times New Roman"/>
                <w:color w:val="auto"/>
                <w:kern w:val="2"/>
                <w:lang w:val="ro-MD" w:eastAsia="en-US" w:bidi="ar-SA"/>
                <w14:ligatures w14:val="standardContextual"/>
              </w:rPr>
              <w:lastRenderedPageBreak/>
              <w:t>aprovizionare cu gaze naturale este obligată să prezinte Agenției alte informații și documente solicitate de aceasta în legătură cu monitorizarea modului în care entitatea respectivă își îndeplinește obligațiile aferente creării stocurilor de gaze naturale.</w:t>
            </w:r>
          </w:p>
          <w:p w14:paraId="30E8674D"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 xml:space="preserve">(10) La constatarea de către Agenție a faptului că entitatea de aprovizionare cu gaze naturale nu a executat, </w:t>
            </w:r>
            <w:r w:rsidRPr="00725161">
              <w:rPr>
                <w:rFonts w:ascii="Times New Roman" w:eastAsia="Aptos" w:hAnsi="Times New Roman" w:cs="Times New Roman"/>
                <w:b/>
                <w:bCs/>
                <w:color w:val="auto"/>
                <w:kern w:val="2"/>
                <w:lang w:val="ro-MD" w:eastAsia="en-US" w:bidi="ar-SA"/>
                <w14:ligatures w14:val="standardContextual"/>
              </w:rPr>
              <w:t>a executat necorespunzător</w:t>
            </w:r>
            <w:r w:rsidRPr="00725161">
              <w:rPr>
                <w:rFonts w:ascii="Times New Roman" w:eastAsia="Aptos" w:hAnsi="Times New Roman" w:cs="Times New Roman"/>
                <w:color w:val="auto"/>
                <w:kern w:val="2"/>
                <w:lang w:val="ro-MD" w:eastAsia="en-US" w:bidi="ar-SA"/>
                <w14:ligatures w14:val="standardContextual"/>
              </w:rPr>
              <w:t xml:space="preserve"> sau a executat cu întârziere obligația de stocare, inclusiv a faptului că nu au fost rezervate capacitățile necesare în rețelele de transport al gazelor naturale pentru a asigura livrarea la hotarele Republicii Moldova a gazelor naturale stocate, precum și în cazul în care entitatea respectivă nu prezintă repetat, la solicitare, sau refuză să prezinte informațiile și documentele prevăzute la alin. (8) și (9), aceasta aplică sancțiunile financiare prevăzute la art. 113 alin. (1</w:t>
            </w:r>
            <w:r w:rsidRPr="00725161">
              <w:rPr>
                <w:rFonts w:ascii="Times New Roman" w:eastAsia="Aptos" w:hAnsi="Times New Roman" w:cs="Times New Roman"/>
                <w:color w:val="auto"/>
                <w:kern w:val="2"/>
                <w:vertAlign w:val="superscript"/>
                <w:lang w:val="ro-MD" w:eastAsia="en-US" w:bidi="ar-SA"/>
                <w14:ligatures w14:val="standardContextual"/>
              </w:rPr>
              <w:t>2</w:t>
            </w:r>
            <w:r w:rsidRPr="00725161">
              <w:rPr>
                <w:rFonts w:ascii="Times New Roman" w:eastAsia="Aptos" w:hAnsi="Times New Roman" w:cs="Times New Roman"/>
                <w:color w:val="auto"/>
                <w:kern w:val="2"/>
                <w:lang w:val="ro-MD" w:eastAsia="en-US" w:bidi="ar-SA"/>
                <w14:ligatures w14:val="standardContextual"/>
              </w:rPr>
              <w:t>)–(1</w:t>
            </w:r>
            <w:r w:rsidRPr="00725161">
              <w:rPr>
                <w:rFonts w:ascii="Times New Roman" w:eastAsia="Aptos" w:hAnsi="Times New Roman" w:cs="Times New Roman"/>
                <w:color w:val="auto"/>
                <w:kern w:val="2"/>
                <w:vertAlign w:val="superscript"/>
                <w:lang w:val="ro-MD" w:eastAsia="en-US" w:bidi="ar-SA"/>
                <w14:ligatures w14:val="standardContextual"/>
              </w:rPr>
              <w:t>4</w:t>
            </w:r>
            <w:r w:rsidRPr="00725161">
              <w:rPr>
                <w:rFonts w:ascii="Times New Roman" w:eastAsia="Aptos" w:hAnsi="Times New Roman" w:cs="Times New Roman"/>
                <w:color w:val="auto"/>
                <w:kern w:val="2"/>
                <w:lang w:val="ro-MD" w:eastAsia="en-US" w:bidi="ar-SA"/>
                <w14:ligatures w14:val="standardContextual"/>
              </w:rPr>
              <w:t>) și stabilește un termen pentru executarea obligației de stocare de către entitatea de aprovizionare cu gaze naturale.</w:t>
            </w:r>
          </w:p>
          <w:p w14:paraId="5ECFBC01" w14:textId="77777777" w:rsidR="00725161" w:rsidRPr="00725161" w:rsidRDefault="00725161" w:rsidP="00725161">
            <w:pPr>
              <w:widowControl/>
              <w:spacing w:after="160" w:line="278" w:lineRule="auto"/>
              <w:ind w:firstLine="567"/>
              <w:contextualSpacing/>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(11) Achitarea sancțiunii financiare aplicate de Agenție conform alin. (10) nu exonerează entitatea de aprovizionare cu gaze naturale de necesitatea realizării obligației de stocare în termenele stabilite de Agenție.</w:t>
            </w:r>
          </w:p>
          <w:p w14:paraId="4E88FBE3" w14:textId="086B09C4" w:rsidR="00725161" w:rsidRPr="00725161" w:rsidRDefault="00725161" w:rsidP="00725161">
            <w:pPr>
              <w:widowControl/>
              <w:spacing w:after="160" w:line="278" w:lineRule="auto"/>
              <w:ind w:firstLine="567"/>
              <w:jc w:val="both"/>
              <w:rPr>
                <w:rFonts w:ascii="Times New Roman" w:eastAsia="Aptos" w:hAnsi="Times New Roman" w:cs="Times New Roman"/>
                <w:color w:val="auto"/>
                <w:kern w:val="2"/>
                <w:lang w:val="ro-MD" w:eastAsia="en-US" w:bidi="ar-SA"/>
                <w14:ligatures w14:val="standardContextual"/>
              </w:rPr>
            </w:pPr>
            <w:r w:rsidRPr="00725161">
              <w:rPr>
                <w:rFonts w:ascii="Times New Roman" w:eastAsia="Aptos" w:hAnsi="Times New Roman" w:cs="Times New Roman"/>
                <w:color w:val="auto"/>
                <w:kern w:val="2"/>
                <w:lang w:val="ro-MD" w:eastAsia="en-US" w:bidi="ar-SA"/>
                <w14:ligatures w14:val="standardContextual"/>
              </w:rPr>
              <w:t>(12) Agenția revocă statutul de entitate de aprovizionare cu gaze naturale la propunerea organului central de specialitate al administrației publice în domeniul energeticii.</w:t>
            </w:r>
          </w:p>
        </w:tc>
      </w:tr>
    </w:tbl>
    <w:p w14:paraId="39233316" w14:textId="77777777" w:rsidR="00CB0249" w:rsidRPr="00DC705F" w:rsidRDefault="00CB0249">
      <w:pPr>
        <w:rPr>
          <w:sz w:val="28"/>
          <w:szCs w:val="28"/>
          <w:lang w:val="ro-MD"/>
        </w:rPr>
      </w:pPr>
    </w:p>
    <w:sectPr w:rsidR="00CB0249" w:rsidRPr="00DC705F" w:rsidSect="00FC65FA">
      <w:pgSz w:w="16834" w:h="12240" w:orient="landscape"/>
      <w:pgMar w:top="1415" w:right="1030" w:bottom="567" w:left="108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A01"/>
    <w:multiLevelType w:val="hybridMultilevel"/>
    <w:tmpl w:val="DC9E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32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50"/>
    <w:rsid w:val="00134749"/>
    <w:rsid w:val="001B65A2"/>
    <w:rsid w:val="00330189"/>
    <w:rsid w:val="00516EC3"/>
    <w:rsid w:val="00653BE6"/>
    <w:rsid w:val="006B3C50"/>
    <w:rsid w:val="00725161"/>
    <w:rsid w:val="008A7EB4"/>
    <w:rsid w:val="00946A36"/>
    <w:rsid w:val="00A43718"/>
    <w:rsid w:val="00CB0249"/>
    <w:rsid w:val="00CB4EE9"/>
    <w:rsid w:val="00DC705F"/>
    <w:rsid w:val="00F45E56"/>
    <w:rsid w:val="00FC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DEFC"/>
  <w15:chartTrackingRefBased/>
  <w15:docId w15:val="{8B29F2D2-E3C6-4F21-8B4C-5DBAE838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65FA"/>
    <w:pPr>
      <w:widowControl w:val="0"/>
      <w:spacing w:after="0" w:line="240" w:lineRule="auto"/>
    </w:pPr>
    <w:rPr>
      <w:rFonts w:ascii="Arial Unicode MS" w:eastAsia="Arial Unicode MS" w:hAnsi="Arial Unicode MS" w:cs="Arial Unicode MS"/>
      <w:color w:val="000000"/>
      <w:kern w:val="0"/>
      <w:sz w:val="24"/>
      <w:szCs w:val="24"/>
      <w:lang w:val="ro-RO" w:eastAsia="ro-RO" w:bidi="ro-RO"/>
      <w14:ligatures w14:val="none"/>
    </w:rPr>
  </w:style>
  <w:style w:type="paragraph" w:styleId="Titlu1">
    <w:name w:val="heading 1"/>
    <w:basedOn w:val="Normal"/>
    <w:next w:val="Normal"/>
    <w:link w:val="Titlu1Caracter"/>
    <w:uiPriority w:val="9"/>
    <w:qFormat/>
    <w:rsid w:val="006B3C50"/>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Titlu2">
    <w:name w:val="heading 2"/>
    <w:basedOn w:val="Normal"/>
    <w:next w:val="Normal"/>
    <w:link w:val="Titlu2Caracter"/>
    <w:uiPriority w:val="9"/>
    <w:semiHidden/>
    <w:unhideWhenUsed/>
    <w:qFormat/>
    <w:rsid w:val="006B3C50"/>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Titlu3">
    <w:name w:val="heading 3"/>
    <w:basedOn w:val="Normal"/>
    <w:next w:val="Normal"/>
    <w:link w:val="Titlu3Caracter"/>
    <w:uiPriority w:val="9"/>
    <w:semiHidden/>
    <w:unhideWhenUsed/>
    <w:qFormat/>
    <w:rsid w:val="006B3C50"/>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Titlu4">
    <w:name w:val="heading 4"/>
    <w:basedOn w:val="Normal"/>
    <w:next w:val="Normal"/>
    <w:link w:val="Titlu4Caracter"/>
    <w:uiPriority w:val="9"/>
    <w:semiHidden/>
    <w:unhideWhenUsed/>
    <w:qFormat/>
    <w:rsid w:val="006B3C50"/>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bidi="ar-SA"/>
      <w14:ligatures w14:val="standardContextual"/>
    </w:rPr>
  </w:style>
  <w:style w:type="paragraph" w:styleId="Titlu5">
    <w:name w:val="heading 5"/>
    <w:basedOn w:val="Normal"/>
    <w:next w:val="Normal"/>
    <w:link w:val="Titlu5Caracter"/>
    <w:uiPriority w:val="9"/>
    <w:semiHidden/>
    <w:unhideWhenUsed/>
    <w:qFormat/>
    <w:rsid w:val="006B3C50"/>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bidi="ar-SA"/>
      <w14:ligatures w14:val="standardContextual"/>
    </w:rPr>
  </w:style>
  <w:style w:type="paragraph" w:styleId="Titlu6">
    <w:name w:val="heading 6"/>
    <w:basedOn w:val="Normal"/>
    <w:next w:val="Normal"/>
    <w:link w:val="Titlu6Caracter"/>
    <w:uiPriority w:val="9"/>
    <w:semiHidden/>
    <w:unhideWhenUsed/>
    <w:qFormat/>
    <w:rsid w:val="006B3C5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Titlu7">
    <w:name w:val="heading 7"/>
    <w:basedOn w:val="Normal"/>
    <w:next w:val="Normal"/>
    <w:link w:val="Titlu7Caracter"/>
    <w:uiPriority w:val="9"/>
    <w:semiHidden/>
    <w:unhideWhenUsed/>
    <w:qFormat/>
    <w:rsid w:val="006B3C5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Titlu8">
    <w:name w:val="heading 8"/>
    <w:basedOn w:val="Normal"/>
    <w:next w:val="Normal"/>
    <w:link w:val="Titlu8Caracter"/>
    <w:uiPriority w:val="9"/>
    <w:semiHidden/>
    <w:unhideWhenUsed/>
    <w:qFormat/>
    <w:rsid w:val="006B3C5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Titlu9">
    <w:name w:val="heading 9"/>
    <w:basedOn w:val="Normal"/>
    <w:next w:val="Normal"/>
    <w:link w:val="Titlu9Caracter"/>
    <w:uiPriority w:val="9"/>
    <w:semiHidden/>
    <w:unhideWhenUsed/>
    <w:qFormat/>
    <w:rsid w:val="006B3C5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B3C5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B3C5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B3C5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B3C5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B3C5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B3C5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B3C5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B3C5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B3C50"/>
    <w:rPr>
      <w:rFonts w:eastAsiaTheme="majorEastAsia" w:cstheme="majorBidi"/>
      <w:color w:val="272727" w:themeColor="text1" w:themeTint="D8"/>
    </w:rPr>
  </w:style>
  <w:style w:type="paragraph" w:styleId="Titlu">
    <w:name w:val="Title"/>
    <w:basedOn w:val="Normal"/>
    <w:next w:val="Normal"/>
    <w:link w:val="TitluCaracter"/>
    <w:uiPriority w:val="10"/>
    <w:qFormat/>
    <w:rsid w:val="006B3C50"/>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uCaracter">
    <w:name w:val="Titlu Caracter"/>
    <w:basedOn w:val="Fontdeparagrafimplicit"/>
    <w:link w:val="Titlu"/>
    <w:uiPriority w:val="10"/>
    <w:rsid w:val="006B3C5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B3C5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uCaracter">
    <w:name w:val="Subtitlu Caracter"/>
    <w:basedOn w:val="Fontdeparagrafimplicit"/>
    <w:link w:val="Subtitlu"/>
    <w:uiPriority w:val="11"/>
    <w:rsid w:val="006B3C5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B3C5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CitatCaracter">
    <w:name w:val="Citat Caracter"/>
    <w:basedOn w:val="Fontdeparagrafimplicit"/>
    <w:link w:val="Citat"/>
    <w:uiPriority w:val="29"/>
    <w:rsid w:val="006B3C50"/>
    <w:rPr>
      <w:i/>
      <w:iCs/>
      <w:color w:val="404040" w:themeColor="text1" w:themeTint="BF"/>
    </w:rPr>
  </w:style>
  <w:style w:type="paragraph" w:styleId="Listparagraf">
    <w:name w:val="List Paragraph"/>
    <w:basedOn w:val="Normal"/>
    <w:uiPriority w:val="34"/>
    <w:qFormat/>
    <w:rsid w:val="006B3C50"/>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styleId="Accentuareintens">
    <w:name w:val="Intense Emphasis"/>
    <w:basedOn w:val="Fontdeparagrafimplicit"/>
    <w:uiPriority w:val="21"/>
    <w:qFormat/>
    <w:rsid w:val="006B3C50"/>
    <w:rPr>
      <w:i/>
      <w:iCs/>
      <w:color w:val="0F4761" w:themeColor="accent1" w:themeShade="BF"/>
    </w:rPr>
  </w:style>
  <w:style w:type="paragraph" w:styleId="Citatintens">
    <w:name w:val="Intense Quote"/>
    <w:basedOn w:val="Normal"/>
    <w:next w:val="Normal"/>
    <w:link w:val="CitatintensCaracter"/>
    <w:uiPriority w:val="30"/>
    <w:qFormat/>
    <w:rsid w:val="006B3C5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bidi="ar-SA"/>
      <w14:ligatures w14:val="standardContextual"/>
    </w:rPr>
  </w:style>
  <w:style w:type="character" w:customStyle="1" w:styleId="CitatintensCaracter">
    <w:name w:val="Citat intens Caracter"/>
    <w:basedOn w:val="Fontdeparagrafimplicit"/>
    <w:link w:val="Citatintens"/>
    <w:uiPriority w:val="30"/>
    <w:rsid w:val="006B3C50"/>
    <w:rPr>
      <w:i/>
      <w:iCs/>
      <w:color w:val="0F4761" w:themeColor="accent1" w:themeShade="BF"/>
    </w:rPr>
  </w:style>
  <w:style w:type="character" w:styleId="Referireintens">
    <w:name w:val="Intense Reference"/>
    <w:basedOn w:val="Fontdeparagrafimplicit"/>
    <w:uiPriority w:val="32"/>
    <w:qFormat/>
    <w:rsid w:val="006B3C50"/>
    <w:rPr>
      <w:b/>
      <w:bCs/>
      <w:smallCaps/>
      <w:color w:val="0F4761" w:themeColor="accent1" w:themeShade="BF"/>
      <w:spacing w:val="5"/>
    </w:rPr>
  </w:style>
  <w:style w:type="character" w:customStyle="1" w:styleId="Heading1">
    <w:name w:val="Heading #1_"/>
    <w:basedOn w:val="Fontdeparagrafimplicit"/>
    <w:link w:val="Heading10"/>
    <w:rsid w:val="00FC65FA"/>
    <w:rPr>
      <w:rFonts w:ascii="Times New Roman" w:eastAsia="Times New Roman" w:hAnsi="Times New Roman" w:cs="Times New Roman"/>
      <w:b/>
      <w:bCs/>
      <w:shd w:val="clear" w:color="auto" w:fill="FFFFFF"/>
    </w:rPr>
  </w:style>
  <w:style w:type="character" w:customStyle="1" w:styleId="Bodytext3">
    <w:name w:val="Body text (3)_"/>
    <w:basedOn w:val="Fontdeparagrafimplicit"/>
    <w:link w:val="Bodytext30"/>
    <w:rsid w:val="00FC65FA"/>
    <w:rPr>
      <w:rFonts w:ascii="Times New Roman" w:eastAsia="Times New Roman" w:hAnsi="Times New Roman" w:cs="Times New Roman"/>
      <w:b/>
      <w:bCs/>
      <w:i/>
      <w:iCs/>
      <w:shd w:val="clear" w:color="auto" w:fill="FFFFFF"/>
    </w:rPr>
  </w:style>
  <w:style w:type="character" w:customStyle="1" w:styleId="Bodytext2">
    <w:name w:val="Body text (2)"/>
    <w:basedOn w:val="Fontdeparagrafimplicit"/>
    <w:rsid w:val="00FC65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customStyle="1" w:styleId="Heading10">
    <w:name w:val="Heading #1"/>
    <w:basedOn w:val="Normal"/>
    <w:link w:val="Heading1"/>
    <w:rsid w:val="00FC65FA"/>
    <w:pPr>
      <w:shd w:val="clear" w:color="auto" w:fill="FFFFFF"/>
      <w:spacing w:line="293" w:lineRule="exact"/>
      <w:jc w:val="center"/>
      <w:outlineLvl w:val="0"/>
    </w:pPr>
    <w:rPr>
      <w:rFonts w:ascii="Times New Roman" w:eastAsia="Times New Roman" w:hAnsi="Times New Roman" w:cs="Times New Roman"/>
      <w:b/>
      <w:bCs/>
      <w:color w:val="auto"/>
      <w:kern w:val="2"/>
      <w:sz w:val="22"/>
      <w:szCs w:val="22"/>
      <w:lang w:val="en-US" w:eastAsia="en-US" w:bidi="ar-SA"/>
      <w14:ligatures w14:val="standardContextual"/>
    </w:rPr>
  </w:style>
  <w:style w:type="paragraph" w:customStyle="1" w:styleId="Bodytext30">
    <w:name w:val="Body text (3)"/>
    <w:basedOn w:val="Normal"/>
    <w:link w:val="Bodytext3"/>
    <w:rsid w:val="00FC65FA"/>
    <w:pPr>
      <w:shd w:val="clear" w:color="auto" w:fill="FFFFFF"/>
      <w:spacing w:line="293" w:lineRule="exact"/>
      <w:jc w:val="center"/>
    </w:pPr>
    <w:rPr>
      <w:rFonts w:ascii="Times New Roman" w:eastAsia="Times New Roman" w:hAnsi="Times New Roman" w:cs="Times New Roman"/>
      <w:b/>
      <w:bCs/>
      <w:i/>
      <w:iCs/>
      <w:color w:val="auto"/>
      <w:kern w:val="2"/>
      <w:sz w:val="22"/>
      <w:szCs w:val="22"/>
      <w:lang w:val="en-US" w:eastAsia="en-US" w:bidi="ar-SA"/>
      <w14:ligatures w14:val="standardContextual"/>
    </w:rPr>
  </w:style>
  <w:style w:type="paragraph" w:styleId="Frspaiere">
    <w:name w:val="No Spacing"/>
    <w:uiPriority w:val="1"/>
    <w:qFormat/>
    <w:rsid w:val="00FC65FA"/>
    <w:pPr>
      <w:spacing w:after="0" w:line="240" w:lineRule="auto"/>
    </w:pPr>
    <w:rPr>
      <w:kern w:val="0"/>
      <w14:ligatures w14:val="none"/>
    </w:rPr>
  </w:style>
  <w:style w:type="table" w:styleId="Tabelprimar2">
    <w:name w:val="Plain Table 2"/>
    <w:basedOn w:val="TabelNormal"/>
    <w:uiPriority w:val="42"/>
    <w:rsid w:val="00FC65FA"/>
    <w:pPr>
      <w:widowControl w:val="0"/>
      <w:spacing w:after="0" w:line="240" w:lineRule="auto"/>
    </w:pPr>
    <w:rPr>
      <w:rFonts w:ascii="Arial Unicode MS" w:eastAsia="Arial Unicode MS" w:hAnsi="Arial Unicode MS" w:cs="Arial Unicode MS"/>
      <w:kern w:val="0"/>
      <w:sz w:val="24"/>
      <w:szCs w:val="24"/>
      <w:lang w:val="ro-RO" w:eastAsia="ro-RO" w:bidi="ro-RO"/>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25161"/>
    <w:pPr>
      <w:widowControl/>
      <w:spacing w:before="100" w:beforeAutospacing="1" w:after="100" w:afterAutospacing="1"/>
    </w:pPr>
    <w:rPr>
      <w:rFonts w:ascii="Times New Roman" w:eastAsia="Times New Roman" w:hAnsi="Times New Roman" w:cs="Times New Roman"/>
      <w:color w:val="auto"/>
      <w:lang w:val="ro-MD" w:eastAsia="ro-MD" w:bidi="ar-SA"/>
    </w:rPr>
  </w:style>
  <w:style w:type="character" w:styleId="Accentuat">
    <w:name w:val="Emphasis"/>
    <w:basedOn w:val="Fontdeparagrafimplicit"/>
    <w:uiPriority w:val="20"/>
    <w:qFormat/>
    <w:rsid w:val="007251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2317</Words>
  <Characters>14018</Characters>
  <Application>Microsoft Office Word</Application>
  <DocSecurity>0</DocSecurity>
  <Lines>179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Energiei</dc:creator>
  <cp:keywords/>
  <dc:description/>
  <cp:lastModifiedBy>Graur Ruslan</cp:lastModifiedBy>
  <cp:revision>7</cp:revision>
  <dcterms:created xsi:type="dcterms:W3CDTF">2024-05-17T05:39:00Z</dcterms:created>
  <dcterms:modified xsi:type="dcterms:W3CDTF">2026-03-05T13:23:00Z</dcterms:modified>
</cp:coreProperties>
</file>