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B9A23" w14:textId="77777777" w:rsidR="005A0157"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SINTEZA</w:t>
      </w:r>
    </w:p>
    <w:p w14:paraId="4CA51D49" w14:textId="77777777" w:rsidR="005A0157"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obiecțiilor și propunerilor la proiectul </w:t>
      </w:r>
      <w:proofErr w:type="spellStart"/>
      <w:r>
        <w:rPr>
          <w:rFonts w:ascii="Times New Roman" w:eastAsia="Times New Roman" w:hAnsi="Times New Roman" w:cs="Times New Roman"/>
          <w:sz w:val="24"/>
          <w:szCs w:val="24"/>
        </w:rPr>
        <w:t>Hotărîrii</w:t>
      </w:r>
      <w:proofErr w:type="spellEnd"/>
      <w:r>
        <w:rPr>
          <w:rFonts w:ascii="Times New Roman" w:eastAsia="Times New Roman" w:hAnsi="Times New Roman" w:cs="Times New Roman"/>
          <w:color w:val="000000"/>
          <w:sz w:val="24"/>
          <w:szCs w:val="24"/>
        </w:rPr>
        <w:t xml:space="preserve"> Guvernului cu privire la unele măsuri pentru implementarea în Republica Moldova a Acordului privind Programul de schimburi pentru studii universitare în Europa Centrală (CEEPUS IV), semnat la Varșovia, la 20 septembrie 2023. </w:t>
      </w:r>
    </w:p>
    <w:p w14:paraId="75615B00" w14:textId="77777777" w:rsidR="005A0157" w:rsidRDefault="005A01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bl>
      <w:tblPr>
        <w:tblStyle w:val="a0"/>
        <w:tblW w:w="1502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7097"/>
        <w:gridCol w:w="1275"/>
        <w:gridCol w:w="5236"/>
      </w:tblGrid>
      <w:tr w:rsidR="005A0157" w14:paraId="5EF459B5" w14:textId="77777777" w:rsidTr="00B87ECA">
        <w:trPr>
          <w:trHeight w:val="1009"/>
        </w:trPr>
        <w:tc>
          <w:tcPr>
            <w:tcW w:w="1418" w:type="dxa"/>
            <w:tcBorders>
              <w:bottom w:val="single" w:sz="4" w:space="0" w:color="000000"/>
            </w:tcBorders>
          </w:tcPr>
          <w:p w14:paraId="32ECF4E7"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Participantul la avizare (expertizare)</w:t>
            </w:r>
          </w:p>
        </w:tc>
        <w:tc>
          <w:tcPr>
            <w:tcW w:w="7097" w:type="dxa"/>
            <w:tcBorders>
              <w:bottom w:val="single" w:sz="4" w:space="0" w:color="000000"/>
            </w:tcBorders>
          </w:tcPr>
          <w:p w14:paraId="477C1CF5" w14:textId="77777777" w:rsidR="005A015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Conținutul obiecției/ propunerii (recomandării)</w:t>
            </w:r>
          </w:p>
        </w:tc>
        <w:tc>
          <w:tcPr>
            <w:tcW w:w="1275" w:type="dxa"/>
            <w:tcBorders>
              <w:bottom w:val="single" w:sz="4" w:space="0" w:color="000000"/>
            </w:tcBorders>
          </w:tcPr>
          <w:p w14:paraId="7F6FB113" w14:textId="77777777" w:rsidR="005A015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Opinia Ministerului Educației și Cercetării</w:t>
            </w:r>
          </w:p>
        </w:tc>
        <w:tc>
          <w:tcPr>
            <w:tcW w:w="5236" w:type="dxa"/>
            <w:tcBorders>
              <w:bottom w:val="single" w:sz="4" w:space="0" w:color="000000"/>
            </w:tcBorders>
          </w:tcPr>
          <w:p w14:paraId="7AE93071" w14:textId="77777777" w:rsidR="005A015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Argumentarea autorului proiectului</w:t>
            </w:r>
          </w:p>
        </w:tc>
      </w:tr>
      <w:tr w:rsidR="005A0157" w14:paraId="75B7D796" w14:textId="77777777" w:rsidTr="00B87ECA">
        <w:trPr>
          <w:trHeight w:val="3252"/>
        </w:trPr>
        <w:tc>
          <w:tcPr>
            <w:tcW w:w="1418" w:type="dxa"/>
            <w:vMerge w:val="restart"/>
            <w:tcBorders>
              <w:right w:val="single" w:sz="4" w:space="0" w:color="000000"/>
            </w:tcBorders>
          </w:tcPr>
          <w:p w14:paraId="5F225BEE" w14:textId="77777777" w:rsidR="005A0157" w:rsidRDefault="00000000">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Ministerul Afacerilor</w:t>
            </w:r>
          </w:p>
          <w:p w14:paraId="442D97DF" w14:textId="77777777" w:rsidR="005A0157" w:rsidRDefault="00000000">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Interne</w:t>
            </w:r>
          </w:p>
          <w:p w14:paraId="24281AC2" w14:textId="77777777" w:rsidR="005A0157" w:rsidRDefault="005A0157">
            <w:pPr>
              <w:jc w:val="both"/>
              <w:rPr>
                <w:rFonts w:ascii="Times New Roman" w:eastAsia="Times New Roman" w:hAnsi="Times New Roman" w:cs="Times New Roman"/>
                <w:b/>
                <w:bCs/>
                <w:sz w:val="20"/>
                <w:szCs w:val="20"/>
              </w:rPr>
            </w:pPr>
          </w:p>
          <w:p w14:paraId="319748AA" w14:textId="77777777" w:rsidR="005A0157" w:rsidRDefault="005A0157">
            <w:pPr>
              <w:jc w:val="both"/>
              <w:rPr>
                <w:rFonts w:ascii="Times New Roman" w:eastAsia="Times New Roman" w:hAnsi="Times New Roman" w:cs="Times New Roman"/>
                <w:b/>
                <w:bCs/>
                <w:sz w:val="20"/>
                <w:szCs w:val="20"/>
              </w:rPr>
            </w:pPr>
          </w:p>
          <w:p w14:paraId="13CB607A" w14:textId="77777777" w:rsidR="005A0157" w:rsidRDefault="005A0157">
            <w:pPr>
              <w:jc w:val="both"/>
              <w:rPr>
                <w:rFonts w:ascii="Times New Roman" w:eastAsia="Times New Roman" w:hAnsi="Times New Roman" w:cs="Times New Roman"/>
                <w:b/>
                <w:bCs/>
                <w:sz w:val="20"/>
                <w:szCs w:val="20"/>
              </w:rPr>
            </w:pPr>
          </w:p>
          <w:p w14:paraId="7C40DD11" w14:textId="77777777" w:rsidR="005A0157" w:rsidRDefault="005A0157">
            <w:pPr>
              <w:jc w:val="both"/>
              <w:rPr>
                <w:rFonts w:ascii="Times New Roman" w:eastAsia="Times New Roman" w:hAnsi="Times New Roman" w:cs="Times New Roman"/>
                <w:b/>
                <w:bCs/>
                <w:sz w:val="20"/>
                <w:szCs w:val="20"/>
              </w:rPr>
            </w:pPr>
          </w:p>
          <w:p w14:paraId="5F6DD095" w14:textId="77777777" w:rsidR="005A0157" w:rsidRDefault="005A0157">
            <w:pPr>
              <w:jc w:val="both"/>
              <w:rPr>
                <w:rFonts w:ascii="Times New Roman" w:eastAsia="Times New Roman" w:hAnsi="Times New Roman" w:cs="Times New Roman"/>
                <w:b/>
                <w:bCs/>
                <w:sz w:val="20"/>
                <w:szCs w:val="20"/>
              </w:rPr>
            </w:pPr>
          </w:p>
          <w:p w14:paraId="12E7C444" w14:textId="77777777" w:rsidR="005A0157" w:rsidRDefault="005A0157">
            <w:pPr>
              <w:jc w:val="both"/>
              <w:rPr>
                <w:rFonts w:ascii="Times New Roman" w:eastAsia="Times New Roman" w:hAnsi="Times New Roman" w:cs="Times New Roman"/>
                <w:b/>
                <w:bCs/>
                <w:sz w:val="20"/>
                <w:szCs w:val="20"/>
              </w:rPr>
            </w:pPr>
          </w:p>
          <w:p w14:paraId="606119E7" w14:textId="77777777" w:rsidR="005A0157" w:rsidRDefault="005A0157">
            <w:pPr>
              <w:jc w:val="both"/>
              <w:rPr>
                <w:rFonts w:ascii="Times New Roman" w:eastAsia="Times New Roman" w:hAnsi="Times New Roman" w:cs="Times New Roman"/>
                <w:b/>
                <w:bCs/>
                <w:sz w:val="20"/>
                <w:szCs w:val="20"/>
              </w:rPr>
            </w:pPr>
          </w:p>
          <w:p w14:paraId="082B8B69" w14:textId="77777777" w:rsidR="005A0157" w:rsidRDefault="005A0157">
            <w:pPr>
              <w:jc w:val="both"/>
              <w:rPr>
                <w:rFonts w:ascii="Times New Roman" w:eastAsia="Times New Roman" w:hAnsi="Times New Roman" w:cs="Times New Roman"/>
                <w:b/>
                <w:bCs/>
                <w:sz w:val="20"/>
                <w:szCs w:val="20"/>
              </w:rPr>
            </w:pPr>
          </w:p>
          <w:p w14:paraId="0990027B" w14:textId="77777777" w:rsidR="005A0157" w:rsidRDefault="005A0157">
            <w:pPr>
              <w:jc w:val="both"/>
              <w:rPr>
                <w:rFonts w:ascii="Times New Roman" w:eastAsia="Times New Roman" w:hAnsi="Times New Roman" w:cs="Times New Roman"/>
                <w:b/>
                <w:bCs/>
                <w:sz w:val="20"/>
                <w:szCs w:val="20"/>
              </w:rPr>
            </w:pPr>
          </w:p>
          <w:p w14:paraId="74BBD929" w14:textId="77777777" w:rsidR="005A0157" w:rsidRDefault="005A0157">
            <w:pPr>
              <w:jc w:val="both"/>
              <w:rPr>
                <w:rFonts w:ascii="Times New Roman" w:eastAsia="Times New Roman" w:hAnsi="Times New Roman" w:cs="Times New Roman"/>
                <w:b/>
                <w:bCs/>
                <w:sz w:val="20"/>
                <w:szCs w:val="20"/>
              </w:rPr>
            </w:pPr>
          </w:p>
          <w:p w14:paraId="6586E7BD" w14:textId="77777777" w:rsidR="005A0157" w:rsidRDefault="005A0157">
            <w:pPr>
              <w:jc w:val="both"/>
              <w:rPr>
                <w:rFonts w:ascii="Times New Roman" w:eastAsia="Times New Roman" w:hAnsi="Times New Roman" w:cs="Times New Roman"/>
                <w:b/>
                <w:bCs/>
                <w:sz w:val="20"/>
                <w:szCs w:val="20"/>
              </w:rPr>
            </w:pPr>
          </w:p>
          <w:p w14:paraId="03752298" w14:textId="77777777" w:rsidR="005A0157" w:rsidRDefault="005A0157">
            <w:pPr>
              <w:jc w:val="both"/>
              <w:rPr>
                <w:rFonts w:ascii="Times New Roman" w:eastAsia="Times New Roman" w:hAnsi="Times New Roman" w:cs="Times New Roman"/>
                <w:b/>
                <w:bCs/>
                <w:sz w:val="20"/>
                <w:szCs w:val="20"/>
              </w:rPr>
            </w:pPr>
          </w:p>
          <w:p w14:paraId="3FBCC808" w14:textId="77777777" w:rsidR="005A0157" w:rsidRDefault="005A0157">
            <w:pPr>
              <w:jc w:val="both"/>
              <w:rPr>
                <w:rFonts w:ascii="Times New Roman" w:eastAsia="Times New Roman" w:hAnsi="Times New Roman" w:cs="Times New Roman"/>
                <w:b/>
                <w:bCs/>
                <w:sz w:val="20"/>
                <w:szCs w:val="20"/>
              </w:rPr>
            </w:pPr>
          </w:p>
          <w:p w14:paraId="4852B831" w14:textId="77777777" w:rsidR="005A0157" w:rsidRDefault="005A0157">
            <w:pPr>
              <w:jc w:val="both"/>
              <w:rPr>
                <w:rFonts w:ascii="Times New Roman" w:eastAsia="Times New Roman" w:hAnsi="Times New Roman" w:cs="Times New Roman"/>
                <w:b/>
                <w:bCs/>
                <w:sz w:val="20"/>
                <w:szCs w:val="20"/>
              </w:rPr>
            </w:pPr>
          </w:p>
          <w:p w14:paraId="28710F1D" w14:textId="77777777" w:rsidR="005A0157" w:rsidRDefault="005A0157">
            <w:pPr>
              <w:jc w:val="both"/>
              <w:rPr>
                <w:rFonts w:ascii="Times New Roman" w:eastAsia="Times New Roman" w:hAnsi="Times New Roman" w:cs="Times New Roman"/>
                <w:b/>
                <w:bCs/>
                <w:sz w:val="20"/>
                <w:szCs w:val="20"/>
              </w:rPr>
            </w:pPr>
          </w:p>
          <w:p w14:paraId="145D80D0" w14:textId="77777777" w:rsidR="005A0157" w:rsidRDefault="005A0157">
            <w:pPr>
              <w:jc w:val="both"/>
              <w:rPr>
                <w:rFonts w:ascii="Times New Roman" w:eastAsia="Times New Roman" w:hAnsi="Times New Roman" w:cs="Times New Roman"/>
                <w:b/>
                <w:bCs/>
                <w:sz w:val="20"/>
                <w:szCs w:val="20"/>
              </w:rPr>
            </w:pPr>
          </w:p>
          <w:p w14:paraId="622364A8" w14:textId="77777777" w:rsidR="005A0157" w:rsidRDefault="005A0157">
            <w:pPr>
              <w:jc w:val="both"/>
              <w:rPr>
                <w:rFonts w:ascii="Times New Roman" w:eastAsia="Times New Roman" w:hAnsi="Times New Roman" w:cs="Times New Roman"/>
                <w:b/>
                <w:bCs/>
                <w:sz w:val="20"/>
                <w:szCs w:val="20"/>
              </w:rPr>
            </w:pPr>
          </w:p>
          <w:p w14:paraId="02D96A9C" w14:textId="77777777" w:rsidR="005A0157" w:rsidRDefault="005A0157">
            <w:pPr>
              <w:jc w:val="both"/>
              <w:rPr>
                <w:rFonts w:ascii="Times New Roman" w:eastAsia="Times New Roman" w:hAnsi="Times New Roman" w:cs="Times New Roman"/>
                <w:b/>
                <w:bCs/>
                <w:sz w:val="20"/>
                <w:szCs w:val="20"/>
              </w:rPr>
            </w:pPr>
          </w:p>
          <w:p w14:paraId="69DB9386" w14:textId="77777777" w:rsidR="005A0157" w:rsidRDefault="005A0157">
            <w:pPr>
              <w:jc w:val="both"/>
              <w:rPr>
                <w:rFonts w:ascii="Times New Roman" w:eastAsia="Times New Roman" w:hAnsi="Times New Roman" w:cs="Times New Roman"/>
                <w:b/>
                <w:bCs/>
                <w:sz w:val="20"/>
                <w:szCs w:val="20"/>
              </w:rPr>
            </w:pPr>
          </w:p>
          <w:p w14:paraId="27B76602" w14:textId="77777777" w:rsidR="005A0157" w:rsidRDefault="005A0157">
            <w:pPr>
              <w:jc w:val="both"/>
              <w:rPr>
                <w:rFonts w:ascii="Times New Roman" w:eastAsia="Times New Roman" w:hAnsi="Times New Roman" w:cs="Times New Roman"/>
                <w:b/>
                <w:bCs/>
                <w:sz w:val="20"/>
                <w:szCs w:val="20"/>
              </w:rPr>
            </w:pPr>
          </w:p>
          <w:p w14:paraId="41D11B8A" w14:textId="77777777" w:rsidR="005A0157" w:rsidRDefault="005A0157">
            <w:pPr>
              <w:jc w:val="both"/>
              <w:rPr>
                <w:rFonts w:ascii="Times New Roman" w:eastAsia="Times New Roman" w:hAnsi="Times New Roman" w:cs="Times New Roman"/>
                <w:b/>
                <w:bCs/>
                <w:sz w:val="20"/>
                <w:szCs w:val="20"/>
              </w:rPr>
            </w:pPr>
          </w:p>
          <w:p w14:paraId="0E1A5B8C" w14:textId="77777777" w:rsidR="005A0157" w:rsidRDefault="005A0157">
            <w:pPr>
              <w:jc w:val="both"/>
              <w:rPr>
                <w:rFonts w:ascii="Times New Roman" w:eastAsia="Times New Roman" w:hAnsi="Times New Roman" w:cs="Times New Roman"/>
                <w:b/>
                <w:bCs/>
                <w:sz w:val="20"/>
                <w:szCs w:val="20"/>
              </w:rPr>
            </w:pPr>
          </w:p>
          <w:p w14:paraId="2436B83E" w14:textId="77777777" w:rsidR="005A0157" w:rsidRDefault="005A0157">
            <w:pPr>
              <w:jc w:val="both"/>
              <w:rPr>
                <w:rFonts w:ascii="Times New Roman" w:eastAsia="Times New Roman" w:hAnsi="Times New Roman" w:cs="Times New Roman"/>
                <w:b/>
                <w:bCs/>
                <w:sz w:val="20"/>
                <w:szCs w:val="20"/>
              </w:rPr>
            </w:pPr>
          </w:p>
          <w:p w14:paraId="6246E6B5" w14:textId="77777777" w:rsidR="005A0157" w:rsidRDefault="005A0157">
            <w:pPr>
              <w:jc w:val="both"/>
              <w:rPr>
                <w:rFonts w:ascii="Times New Roman" w:eastAsia="Times New Roman" w:hAnsi="Times New Roman" w:cs="Times New Roman"/>
                <w:b/>
                <w:bCs/>
                <w:sz w:val="20"/>
                <w:szCs w:val="20"/>
              </w:rPr>
            </w:pPr>
          </w:p>
          <w:p w14:paraId="550D92D5" w14:textId="77777777" w:rsidR="005A0157" w:rsidRDefault="005A0157">
            <w:pPr>
              <w:jc w:val="both"/>
              <w:rPr>
                <w:rFonts w:ascii="Times New Roman" w:eastAsia="Times New Roman" w:hAnsi="Times New Roman" w:cs="Times New Roman"/>
                <w:b/>
                <w:bCs/>
                <w:sz w:val="20"/>
                <w:szCs w:val="20"/>
              </w:rPr>
            </w:pPr>
          </w:p>
          <w:p w14:paraId="04C6D07F" w14:textId="77777777" w:rsidR="005A0157" w:rsidRDefault="005A0157">
            <w:pPr>
              <w:jc w:val="both"/>
              <w:rPr>
                <w:rFonts w:ascii="Times New Roman" w:eastAsia="Times New Roman" w:hAnsi="Times New Roman" w:cs="Times New Roman"/>
                <w:b/>
                <w:bCs/>
                <w:sz w:val="20"/>
                <w:szCs w:val="20"/>
              </w:rPr>
            </w:pPr>
          </w:p>
          <w:p w14:paraId="5A3946D1" w14:textId="77777777" w:rsidR="005A0157" w:rsidRDefault="005A0157">
            <w:pPr>
              <w:jc w:val="both"/>
              <w:rPr>
                <w:rFonts w:ascii="Times New Roman" w:eastAsia="Times New Roman" w:hAnsi="Times New Roman" w:cs="Times New Roman"/>
                <w:b/>
                <w:bCs/>
                <w:sz w:val="20"/>
                <w:szCs w:val="20"/>
              </w:rPr>
            </w:pPr>
          </w:p>
          <w:p w14:paraId="625E9FFB" w14:textId="77777777" w:rsidR="005A0157" w:rsidRDefault="005A0157">
            <w:pPr>
              <w:jc w:val="both"/>
              <w:rPr>
                <w:rFonts w:ascii="Times New Roman" w:eastAsia="Times New Roman" w:hAnsi="Times New Roman" w:cs="Times New Roman"/>
                <w:b/>
                <w:bCs/>
                <w:sz w:val="20"/>
                <w:szCs w:val="20"/>
              </w:rPr>
            </w:pPr>
          </w:p>
          <w:p w14:paraId="632C5B24" w14:textId="77777777" w:rsidR="005A0157" w:rsidRDefault="005A0157">
            <w:pPr>
              <w:jc w:val="both"/>
              <w:rPr>
                <w:rFonts w:ascii="Times New Roman" w:eastAsia="Times New Roman" w:hAnsi="Times New Roman" w:cs="Times New Roman"/>
                <w:b/>
                <w:bCs/>
                <w:sz w:val="20"/>
                <w:szCs w:val="20"/>
              </w:rPr>
            </w:pPr>
          </w:p>
          <w:p w14:paraId="37B150B1" w14:textId="77777777" w:rsidR="005A0157" w:rsidRDefault="005A0157">
            <w:pPr>
              <w:jc w:val="both"/>
              <w:rPr>
                <w:rFonts w:ascii="Times New Roman" w:eastAsia="Times New Roman" w:hAnsi="Times New Roman" w:cs="Times New Roman"/>
                <w:b/>
                <w:bCs/>
                <w:sz w:val="20"/>
                <w:szCs w:val="20"/>
              </w:rPr>
            </w:pPr>
          </w:p>
          <w:p w14:paraId="28715D42" w14:textId="77777777" w:rsidR="005A0157" w:rsidRDefault="005A0157">
            <w:pPr>
              <w:jc w:val="both"/>
              <w:rPr>
                <w:rFonts w:ascii="Times New Roman" w:eastAsia="Times New Roman" w:hAnsi="Times New Roman" w:cs="Times New Roman"/>
                <w:b/>
                <w:bCs/>
                <w:sz w:val="20"/>
                <w:szCs w:val="20"/>
              </w:rPr>
            </w:pPr>
          </w:p>
          <w:p w14:paraId="20138758" w14:textId="77777777" w:rsidR="005A0157" w:rsidRDefault="005A0157">
            <w:pPr>
              <w:jc w:val="both"/>
              <w:rPr>
                <w:rFonts w:ascii="Times New Roman" w:eastAsia="Times New Roman" w:hAnsi="Times New Roman" w:cs="Times New Roman"/>
                <w:b/>
                <w:bCs/>
                <w:sz w:val="20"/>
                <w:szCs w:val="20"/>
              </w:rPr>
            </w:pPr>
          </w:p>
          <w:p w14:paraId="283BF0B2" w14:textId="77777777" w:rsidR="005A0157" w:rsidRDefault="005A0157">
            <w:pPr>
              <w:jc w:val="both"/>
              <w:rPr>
                <w:rFonts w:ascii="Times New Roman" w:eastAsia="Times New Roman" w:hAnsi="Times New Roman" w:cs="Times New Roman"/>
                <w:b/>
                <w:bCs/>
                <w:sz w:val="20"/>
                <w:szCs w:val="20"/>
              </w:rPr>
            </w:pPr>
          </w:p>
          <w:p w14:paraId="1E8D9935" w14:textId="77777777" w:rsidR="005A0157" w:rsidRDefault="005A0157">
            <w:pPr>
              <w:jc w:val="both"/>
              <w:rPr>
                <w:rFonts w:ascii="Times New Roman" w:eastAsia="Times New Roman" w:hAnsi="Times New Roman" w:cs="Times New Roman"/>
                <w:b/>
                <w:bCs/>
                <w:sz w:val="20"/>
                <w:szCs w:val="20"/>
              </w:rPr>
            </w:pPr>
          </w:p>
          <w:p w14:paraId="393B571A" w14:textId="77777777" w:rsidR="005A0157" w:rsidRDefault="005A0157">
            <w:pPr>
              <w:jc w:val="both"/>
              <w:rPr>
                <w:rFonts w:ascii="Times New Roman" w:eastAsia="Times New Roman" w:hAnsi="Times New Roman" w:cs="Times New Roman"/>
                <w:b/>
                <w:bCs/>
                <w:sz w:val="20"/>
                <w:szCs w:val="20"/>
              </w:rPr>
            </w:pPr>
          </w:p>
          <w:p w14:paraId="348959E9" w14:textId="77777777" w:rsidR="005A0157" w:rsidRDefault="005A0157">
            <w:pPr>
              <w:jc w:val="both"/>
              <w:rPr>
                <w:rFonts w:ascii="Times New Roman" w:eastAsia="Times New Roman" w:hAnsi="Times New Roman" w:cs="Times New Roman"/>
                <w:b/>
                <w:bCs/>
                <w:sz w:val="20"/>
                <w:szCs w:val="20"/>
              </w:rPr>
            </w:pPr>
          </w:p>
          <w:p w14:paraId="144B14D7" w14:textId="77777777" w:rsidR="005A0157" w:rsidRDefault="005A0157">
            <w:pPr>
              <w:jc w:val="both"/>
              <w:rPr>
                <w:rFonts w:ascii="Times New Roman" w:eastAsia="Times New Roman" w:hAnsi="Times New Roman" w:cs="Times New Roman"/>
                <w:b/>
                <w:bCs/>
                <w:sz w:val="20"/>
                <w:szCs w:val="20"/>
              </w:rPr>
            </w:pPr>
          </w:p>
          <w:p w14:paraId="1F6B43BD" w14:textId="77777777" w:rsidR="005A0157" w:rsidRDefault="005A0157">
            <w:pPr>
              <w:jc w:val="both"/>
              <w:rPr>
                <w:rFonts w:ascii="Times New Roman" w:eastAsia="Times New Roman" w:hAnsi="Times New Roman" w:cs="Times New Roman"/>
                <w:b/>
                <w:bCs/>
                <w:sz w:val="20"/>
                <w:szCs w:val="20"/>
              </w:rPr>
            </w:pPr>
          </w:p>
          <w:p w14:paraId="71127602" w14:textId="77777777" w:rsidR="005A0157" w:rsidRDefault="005A0157">
            <w:pPr>
              <w:jc w:val="both"/>
              <w:rPr>
                <w:rFonts w:ascii="Times New Roman" w:eastAsia="Times New Roman" w:hAnsi="Times New Roman" w:cs="Times New Roman"/>
                <w:b/>
                <w:bCs/>
                <w:sz w:val="20"/>
                <w:szCs w:val="20"/>
              </w:rPr>
            </w:pPr>
          </w:p>
          <w:p w14:paraId="6C462E73" w14:textId="77777777" w:rsidR="005A0157" w:rsidRDefault="005A0157">
            <w:pPr>
              <w:jc w:val="both"/>
              <w:rPr>
                <w:rFonts w:ascii="Times New Roman" w:eastAsia="Times New Roman" w:hAnsi="Times New Roman" w:cs="Times New Roman"/>
                <w:b/>
                <w:bCs/>
                <w:sz w:val="20"/>
                <w:szCs w:val="20"/>
              </w:rPr>
            </w:pPr>
          </w:p>
          <w:p w14:paraId="5B70D834" w14:textId="77777777" w:rsidR="005A0157" w:rsidRDefault="005A0157">
            <w:pPr>
              <w:jc w:val="both"/>
              <w:rPr>
                <w:rFonts w:ascii="Times New Roman" w:eastAsia="Times New Roman" w:hAnsi="Times New Roman" w:cs="Times New Roman"/>
                <w:b/>
                <w:bCs/>
                <w:sz w:val="20"/>
                <w:szCs w:val="20"/>
              </w:rPr>
            </w:pPr>
          </w:p>
          <w:p w14:paraId="1323286C" w14:textId="77777777" w:rsidR="005A0157" w:rsidRDefault="005A0157">
            <w:pPr>
              <w:jc w:val="both"/>
              <w:rPr>
                <w:rFonts w:ascii="Times New Roman" w:eastAsia="Times New Roman" w:hAnsi="Times New Roman" w:cs="Times New Roman"/>
                <w:b/>
                <w:bCs/>
                <w:sz w:val="20"/>
                <w:szCs w:val="20"/>
              </w:rPr>
            </w:pPr>
          </w:p>
          <w:p w14:paraId="46D26F6E" w14:textId="77777777" w:rsidR="005A0157" w:rsidRDefault="005A0157">
            <w:pPr>
              <w:jc w:val="both"/>
              <w:rPr>
                <w:rFonts w:ascii="Times New Roman" w:eastAsia="Times New Roman" w:hAnsi="Times New Roman" w:cs="Times New Roman"/>
                <w:b/>
                <w:bCs/>
                <w:sz w:val="20"/>
                <w:szCs w:val="20"/>
              </w:rPr>
            </w:pPr>
          </w:p>
          <w:p w14:paraId="1209B1A5" w14:textId="77777777" w:rsidR="005A0157" w:rsidRDefault="005A0157">
            <w:pPr>
              <w:jc w:val="both"/>
              <w:rPr>
                <w:rFonts w:ascii="Times New Roman" w:eastAsia="Times New Roman" w:hAnsi="Times New Roman" w:cs="Times New Roman"/>
                <w:b/>
                <w:bCs/>
                <w:sz w:val="20"/>
                <w:szCs w:val="20"/>
              </w:rPr>
            </w:pPr>
          </w:p>
          <w:p w14:paraId="18F0C2E3" w14:textId="77777777" w:rsidR="005A0157" w:rsidRDefault="005A0157">
            <w:pPr>
              <w:jc w:val="both"/>
              <w:rPr>
                <w:rFonts w:ascii="Times New Roman" w:eastAsia="Times New Roman" w:hAnsi="Times New Roman" w:cs="Times New Roman"/>
                <w:b/>
                <w:bCs/>
                <w:sz w:val="20"/>
                <w:szCs w:val="20"/>
              </w:rPr>
            </w:pPr>
          </w:p>
          <w:p w14:paraId="67713DED" w14:textId="77777777" w:rsidR="005A0157" w:rsidRDefault="005A0157">
            <w:pPr>
              <w:jc w:val="both"/>
              <w:rPr>
                <w:rFonts w:ascii="Times New Roman" w:eastAsia="Times New Roman" w:hAnsi="Times New Roman" w:cs="Times New Roman"/>
                <w:b/>
                <w:bCs/>
                <w:sz w:val="20"/>
                <w:szCs w:val="20"/>
              </w:rPr>
            </w:pPr>
          </w:p>
          <w:p w14:paraId="7E61A787" w14:textId="77777777" w:rsidR="005A0157" w:rsidRDefault="005A0157">
            <w:pPr>
              <w:jc w:val="both"/>
              <w:rPr>
                <w:rFonts w:ascii="Times New Roman" w:eastAsia="Times New Roman" w:hAnsi="Times New Roman" w:cs="Times New Roman"/>
                <w:b/>
                <w:bCs/>
                <w:sz w:val="20"/>
                <w:szCs w:val="20"/>
              </w:rPr>
            </w:pPr>
          </w:p>
          <w:p w14:paraId="0364DE9B" w14:textId="77777777" w:rsidR="005A0157" w:rsidRDefault="005A0157">
            <w:pPr>
              <w:jc w:val="both"/>
              <w:rPr>
                <w:rFonts w:ascii="Times New Roman" w:eastAsia="Times New Roman" w:hAnsi="Times New Roman" w:cs="Times New Roman"/>
                <w:b/>
                <w:bCs/>
                <w:sz w:val="20"/>
                <w:szCs w:val="20"/>
              </w:rPr>
            </w:pPr>
          </w:p>
          <w:p w14:paraId="4FBC9DD3" w14:textId="77777777" w:rsidR="005A0157" w:rsidRDefault="005A0157">
            <w:pPr>
              <w:jc w:val="both"/>
              <w:rPr>
                <w:rFonts w:ascii="Times New Roman" w:eastAsia="Times New Roman" w:hAnsi="Times New Roman" w:cs="Times New Roman"/>
                <w:b/>
                <w:bCs/>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11FF865D"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La proiectul HG</w:t>
            </w:r>
            <w:r>
              <w:rPr>
                <w:rFonts w:ascii="Times New Roman" w:eastAsia="Times New Roman" w:hAnsi="Times New Roman" w:cs="Times New Roman"/>
                <w:sz w:val="20"/>
                <w:szCs w:val="20"/>
              </w:rPr>
              <w:br/>
            </w:r>
          </w:p>
          <w:p w14:paraId="12D2680B" w14:textId="77777777" w:rsidR="005A0157" w:rsidRDefault="00000000">
            <w:pPr>
              <w:numPr>
                <w:ilvl w:val="0"/>
                <w:numId w:val="2"/>
              </w:numPr>
              <w:pBdr>
                <w:top w:val="nil"/>
                <w:left w:val="nil"/>
                <w:bottom w:val="nil"/>
                <w:right w:val="nil"/>
                <w:between w:val="nil"/>
              </w:pBd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 constată o neconcordanță între Nota de fundamentare și conținutul proiectului de hotărâre. În Nota de fundamentare se menționează că actul ar urma să </w:t>
            </w:r>
            <w:r>
              <w:rPr>
                <w:rFonts w:ascii="Times New Roman" w:eastAsia="Times New Roman" w:hAnsi="Times New Roman" w:cs="Times New Roman"/>
                <w:sz w:val="20"/>
                <w:szCs w:val="20"/>
              </w:rPr>
              <w:t>între</w:t>
            </w:r>
            <w:r>
              <w:rPr>
                <w:rFonts w:ascii="Times New Roman" w:eastAsia="Times New Roman" w:hAnsi="Times New Roman" w:cs="Times New Roman"/>
                <w:color w:val="000000"/>
                <w:sz w:val="20"/>
                <w:szCs w:val="20"/>
              </w:rPr>
              <w:t xml:space="preserve"> în vigoare la 01.09.2026, justificarea fiind formulată prin afirmația că „anul academic CEEPUS începe la data de 1 septembrie 2026”. Această afirmație este însă eronată, deoarece, potrivit pct. 4 din Regulamentul anexat, participarea Republicii Moldova la Programul CEEPUS IV începe din anul universitar 2025–2026, iar Acordul CEEPUS IV este deja aplicabil Republicii Moldova pentru acest ciclu academic, în temeiul Legii nr. 70/2024 privind aprobarea Acordului privind Programul de schimburi pentru studii universitare în Europa Centrală (CEEPUS IV), fiind în vigoare din 1 mai 2025.</w:t>
            </w:r>
          </w:p>
        </w:tc>
        <w:tc>
          <w:tcPr>
            <w:tcW w:w="1275" w:type="dxa"/>
            <w:tcBorders>
              <w:left w:val="single" w:sz="4" w:space="0" w:color="000000"/>
              <w:bottom w:val="single" w:sz="4" w:space="0" w:color="000000"/>
            </w:tcBorders>
          </w:tcPr>
          <w:p w14:paraId="2CEE21B3"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p w14:paraId="468F903E" w14:textId="345A9F0A"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S-a luat act</w:t>
            </w:r>
          </w:p>
        </w:tc>
        <w:tc>
          <w:tcPr>
            <w:tcW w:w="5236" w:type="dxa"/>
            <w:tcBorders>
              <w:bottom w:val="single" w:sz="4" w:space="0" w:color="000000"/>
            </w:tcBorders>
          </w:tcPr>
          <w:p w14:paraId="0C9D678E" w14:textId="77777777" w:rsidR="005A0157" w:rsidRDefault="005A0157">
            <w:pPr>
              <w:jc w:val="both"/>
              <w:rPr>
                <w:rFonts w:ascii="Times New Roman" w:eastAsia="Times New Roman" w:hAnsi="Times New Roman" w:cs="Times New Roman"/>
                <w:sz w:val="20"/>
                <w:szCs w:val="20"/>
              </w:rPr>
            </w:pPr>
          </w:p>
          <w:p w14:paraId="0D9A5B93"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Acordul  CEEPUS IV este  în vigoare din 1 mai 2025, Republica Moldova </w:t>
            </w:r>
            <w:proofErr w:type="spellStart"/>
            <w:r>
              <w:rPr>
                <w:rFonts w:ascii="Times New Roman" w:eastAsia="Times New Roman" w:hAnsi="Times New Roman" w:cs="Times New Roman"/>
                <w:sz w:val="20"/>
                <w:szCs w:val="20"/>
              </w:rPr>
              <w:t>avînd</w:t>
            </w:r>
            <w:proofErr w:type="spellEnd"/>
            <w:r>
              <w:rPr>
                <w:rFonts w:ascii="Times New Roman" w:eastAsia="Times New Roman" w:hAnsi="Times New Roman" w:cs="Times New Roman"/>
                <w:sz w:val="20"/>
                <w:szCs w:val="20"/>
              </w:rPr>
              <w:t xml:space="preserve"> temei legal să participe la Program în anul 2025. Totodată, achitarea burselor în cadrul Programului CEEPUS IV, de către R. Moldova,  conform noile tarife care se promovează prin prezenta </w:t>
            </w:r>
            <w:proofErr w:type="spellStart"/>
            <w:r>
              <w:rPr>
                <w:rFonts w:ascii="Times New Roman" w:eastAsia="Times New Roman" w:hAnsi="Times New Roman" w:cs="Times New Roman"/>
                <w:sz w:val="20"/>
                <w:szCs w:val="20"/>
              </w:rPr>
              <w:t>Hotărîre</w:t>
            </w:r>
            <w:proofErr w:type="spellEnd"/>
            <w:r>
              <w:rPr>
                <w:rFonts w:ascii="Times New Roman" w:eastAsia="Times New Roman" w:hAnsi="Times New Roman" w:cs="Times New Roman"/>
                <w:sz w:val="20"/>
                <w:szCs w:val="20"/>
              </w:rPr>
              <w:t xml:space="preserve"> de Guvern, se va realiza odată cu aprobarea  HG în cauză. </w:t>
            </w:r>
          </w:p>
        </w:tc>
      </w:tr>
      <w:tr w:rsidR="005A0157" w14:paraId="5CAF77F4" w14:textId="77777777" w:rsidTr="00B87ECA">
        <w:trPr>
          <w:trHeight w:val="459"/>
        </w:trPr>
        <w:tc>
          <w:tcPr>
            <w:tcW w:w="1418" w:type="dxa"/>
            <w:vMerge/>
            <w:tcBorders>
              <w:right w:val="single" w:sz="4" w:space="0" w:color="000000"/>
            </w:tcBorders>
          </w:tcPr>
          <w:p w14:paraId="28D696BF"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4B61DD9A" w14:textId="77777777" w:rsidR="005A0157" w:rsidRDefault="00000000">
            <w:pPr>
              <w:numPr>
                <w:ilvl w:val="0"/>
                <w:numId w:val="2"/>
              </w:numPr>
              <w:pBdr>
                <w:top w:val="nil"/>
                <w:left w:val="nil"/>
                <w:bottom w:val="nil"/>
                <w:right w:val="nil"/>
                <w:between w:val="nil"/>
              </w:pBdr>
              <w:spacing w:after="20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Având în vedere prevederile art.122 din Codul educației al Republicii Moldova nr.152/2014, care stipulează că învățământul în domeniile milităriei, </w:t>
            </w:r>
            <w:proofErr w:type="spellStart"/>
            <w:r>
              <w:rPr>
                <w:rFonts w:ascii="Times New Roman" w:eastAsia="Times New Roman" w:hAnsi="Times New Roman" w:cs="Times New Roman"/>
                <w:sz w:val="20"/>
                <w:szCs w:val="20"/>
              </w:rPr>
              <w:t>securităţii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şi</w:t>
            </w:r>
            <w:proofErr w:type="spellEnd"/>
            <w:r>
              <w:rPr>
                <w:rFonts w:ascii="Times New Roman" w:eastAsia="Times New Roman" w:hAnsi="Times New Roman" w:cs="Times New Roman"/>
                <w:sz w:val="20"/>
                <w:szCs w:val="20"/>
              </w:rPr>
              <w:t xml:space="preserve"> ordinii publice este parte integrantă a sistemului </w:t>
            </w:r>
            <w:proofErr w:type="spellStart"/>
            <w:r>
              <w:rPr>
                <w:rFonts w:ascii="Times New Roman" w:eastAsia="Times New Roman" w:hAnsi="Times New Roman" w:cs="Times New Roman"/>
                <w:sz w:val="20"/>
                <w:szCs w:val="20"/>
              </w:rPr>
              <w:t>naţional</w:t>
            </w:r>
            <w:proofErr w:type="spellEnd"/>
            <w:r>
              <w:rPr>
                <w:rFonts w:ascii="Times New Roman" w:eastAsia="Times New Roman" w:hAnsi="Times New Roman" w:cs="Times New Roman"/>
                <w:sz w:val="20"/>
                <w:szCs w:val="20"/>
              </w:rPr>
              <w:t xml:space="preserve"> de învățământ, se propune completarea Regulamentului, după pct. 5, cu un nou punct, cu următorul conținut: ,,6. Participarea la programe de schimburi de experiență și/sau studii în domeniile milităriei, securității și ordinii publice se va realiza ținându-se cont de norme și/sau acorduri speciale încheiate în acest sens”.</w:t>
            </w:r>
          </w:p>
        </w:tc>
        <w:tc>
          <w:tcPr>
            <w:tcW w:w="1275" w:type="dxa"/>
            <w:tcBorders>
              <w:top w:val="single" w:sz="4" w:space="0" w:color="000000"/>
              <w:left w:val="single" w:sz="4" w:space="0" w:color="000000"/>
              <w:bottom w:val="single" w:sz="4" w:space="0" w:color="000000"/>
            </w:tcBorders>
          </w:tcPr>
          <w:p w14:paraId="047F29FA" w14:textId="77777777" w:rsidR="005A0157" w:rsidRDefault="005A0157">
            <w:pPr>
              <w:rPr>
                <w:rFonts w:ascii="Times New Roman" w:eastAsia="Times New Roman" w:hAnsi="Times New Roman" w:cs="Times New Roman"/>
                <w:sz w:val="20"/>
                <w:szCs w:val="20"/>
              </w:rPr>
            </w:pPr>
          </w:p>
          <w:p w14:paraId="1D7A04CF"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 se acceptă </w:t>
            </w:r>
          </w:p>
          <w:p w14:paraId="6D173A62" w14:textId="77777777" w:rsidR="005A0157" w:rsidRDefault="005A0157">
            <w:pPr>
              <w:rPr>
                <w:rFonts w:ascii="Times New Roman" w:eastAsia="Times New Roman" w:hAnsi="Times New Roman" w:cs="Times New Roman"/>
                <w:sz w:val="20"/>
                <w:szCs w:val="20"/>
              </w:rPr>
            </w:pPr>
          </w:p>
          <w:p w14:paraId="2F27C2DB" w14:textId="77777777" w:rsidR="005A0157" w:rsidRDefault="005A0157">
            <w:pPr>
              <w:rPr>
                <w:rFonts w:ascii="Times New Roman" w:eastAsia="Times New Roman" w:hAnsi="Times New Roman" w:cs="Times New Roman"/>
                <w:sz w:val="20"/>
                <w:szCs w:val="20"/>
              </w:rPr>
            </w:pPr>
          </w:p>
        </w:tc>
        <w:tc>
          <w:tcPr>
            <w:tcW w:w="5236" w:type="dxa"/>
            <w:tcBorders>
              <w:top w:val="single" w:sz="4" w:space="0" w:color="000000"/>
              <w:bottom w:val="single" w:sz="4" w:space="0" w:color="000000"/>
            </w:tcBorders>
          </w:tcPr>
          <w:p w14:paraId="236B0BC6"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Menționăm că toate mobilitățile realizate în cadrul Programului CEEPUS IV se desfășoară în conformitate cu prevederile Acordului CEEPUS IV, semnat la Varșovia la 20 septembrie 2023, care stabilește cadrul și condițiile aplicabile cooperării și schimburilor academice între statele participante. În acest context, participarea în domeniile menționate urmează să se realizeze în conformitate cu prevederile Acordului respectiv sau, după caz, în cadrul altor programe academice de mobilitate implementate în temeiul unor acorduri internaționale distincte.</w:t>
            </w:r>
          </w:p>
        </w:tc>
      </w:tr>
      <w:tr w:rsidR="005A0157" w14:paraId="77F4BA40" w14:textId="77777777" w:rsidTr="00B87ECA">
        <w:trPr>
          <w:trHeight w:val="552"/>
        </w:trPr>
        <w:tc>
          <w:tcPr>
            <w:tcW w:w="1418" w:type="dxa"/>
            <w:vMerge/>
            <w:tcBorders>
              <w:right w:val="single" w:sz="4" w:space="0" w:color="000000"/>
            </w:tcBorders>
          </w:tcPr>
          <w:p w14:paraId="5299C15A"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6F9B813E" w14:textId="77777777" w:rsidR="005A0157" w:rsidRDefault="00000000">
            <w:pPr>
              <w:numPr>
                <w:ilvl w:val="0"/>
                <w:numId w:val="2"/>
              </w:numPr>
              <w:pBdr>
                <w:top w:val="nil"/>
                <w:left w:val="nil"/>
                <w:bottom w:val="nil"/>
                <w:right w:val="nil"/>
                <w:between w:val="nil"/>
              </w:pBdr>
              <w:spacing w:after="20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pct.9, se constată lipsa clarității privind statutul juridic și organizatoric al Oficiului Național CEEPUS, care se instituie în cadrul Ministerului Educației și Cercetării fără a se preciza natura acestuia – subdiviziune structurală, unitate funcțională sau simplă desemnare de competențe. Proiectul nu conține prevederi privind modificarea organigramei Ministerului Educației și Cercetării, completarea statelor de personal sau identificarea sursei de finanțare.</w:t>
            </w:r>
          </w:p>
        </w:tc>
        <w:tc>
          <w:tcPr>
            <w:tcW w:w="1275" w:type="dxa"/>
            <w:tcBorders>
              <w:top w:val="single" w:sz="4" w:space="0" w:color="000000"/>
              <w:left w:val="single" w:sz="4" w:space="0" w:color="000000"/>
              <w:bottom w:val="single" w:sz="4" w:space="0" w:color="000000"/>
            </w:tcBorders>
          </w:tcPr>
          <w:p w14:paraId="3BBA28C6"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acceptă </w:t>
            </w:r>
          </w:p>
        </w:tc>
        <w:tc>
          <w:tcPr>
            <w:tcW w:w="5236" w:type="dxa"/>
            <w:tcBorders>
              <w:top w:val="single" w:sz="4" w:space="0" w:color="000000"/>
              <w:bottom w:val="single" w:sz="4" w:space="0" w:color="000000"/>
            </w:tcBorders>
          </w:tcPr>
          <w:p w14:paraId="6FBB1A81"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Regulamentul se va completa  și concretiza la acest subiect. De fapt este vorba de un punct focal (o persoană din cadrul Direcției CPPIE), care  gestionează implementarea Programului la nivel național.  Un asemenea punct focal a existat de la începuturile implementării Programului (2011). Prin Regulamentul în cauză se concretizează responsabilitățile acestui punct focal, fapt ce nu a fost inclus în Regulamentul precedent.  </w:t>
            </w:r>
          </w:p>
        </w:tc>
      </w:tr>
      <w:tr w:rsidR="005A0157" w14:paraId="38C92C30" w14:textId="77777777" w:rsidTr="00B87ECA">
        <w:trPr>
          <w:trHeight w:val="435"/>
        </w:trPr>
        <w:tc>
          <w:tcPr>
            <w:tcW w:w="1418" w:type="dxa"/>
            <w:vMerge/>
            <w:tcBorders>
              <w:right w:val="single" w:sz="4" w:space="0" w:color="000000"/>
            </w:tcBorders>
          </w:tcPr>
          <w:p w14:paraId="029A1EF7"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6DA2AAFE" w14:textId="77777777" w:rsidR="005A0157" w:rsidRDefault="00000000">
            <w:pPr>
              <w:numPr>
                <w:ilvl w:val="0"/>
                <w:numId w:val="2"/>
              </w:numPr>
              <w:pBdr>
                <w:top w:val="nil"/>
                <w:left w:val="nil"/>
                <w:bottom w:val="nil"/>
                <w:right w:val="nil"/>
                <w:between w:val="nil"/>
              </w:pBdr>
              <w:spacing w:after="20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recomandă revizuirea pct. 11 din proiectul Regulamentului deoarece se constată lipsa argumentării în Nota de fundamentare a excluderii cetățenilor Republicii Moldova care dețin și cetățenia altui stat din sfera de aplicare a Regulamentului. Menținerea unei astfel de excluderi poate genera riscul unei discriminări indirecte, al nealinierii la spiritul și obiectivele Acordului internațional, precum și al unor potențiale obiecții de compatibilitate cu principiul egalității, reglementat de Constituție.</w:t>
            </w:r>
          </w:p>
        </w:tc>
        <w:tc>
          <w:tcPr>
            <w:tcW w:w="1275" w:type="dxa"/>
            <w:tcBorders>
              <w:top w:val="single" w:sz="4" w:space="0" w:color="000000"/>
              <w:left w:val="single" w:sz="4" w:space="0" w:color="000000"/>
              <w:bottom w:val="single" w:sz="4" w:space="0" w:color="000000"/>
            </w:tcBorders>
          </w:tcPr>
          <w:p w14:paraId="1486B423" w14:textId="328E3EDB"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Se acceptă</w:t>
            </w:r>
          </w:p>
        </w:tc>
        <w:tc>
          <w:tcPr>
            <w:tcW w:w="5236" w:type="dxa"/>
            <w:tcBorders>
              <w:top w:val="single" w:sz="4" w:space="0" w:color="000000"/>
              <w:bottom w:val="single" w:sz="4" w:space="0" w:color="000000"/>
            </w:tcBorders>
          </w:tcPr>
          <w:p w14:paraId="0EB94F73" w14:textId="77777777" w:rsidR="005A0157" w:rsidRDefault="00000000">
            <w:pPr>
              <w:jc w:val="both"/>
              <w:rPr>
                <w:rFonts w:ascii="Times New Roman" w:eastAsia="Times New Roman" w:hAnsi="Times New Roman" w:cs="Times New Roman"/>
                <w:i/>
                <w:iCs/>
                <w:sz w:val="20"/>
                <w:szCs w:val="20"/>
              </w:rPr>
            </w:pPr>
            <w:r>
              <w:rPr>
                <w:rFonts w:ascii="Times New Roman" w:eastAsia="Times New Roman" w:hAnsi="Times New Roman" w:cs="Times New Roman"/>
                <w:sz w:val="20"/>
                <w:szCs w:val="20"/>
              </w:rPr>
              <w:t xml:space="preserve">Prevederile Regulamentului vor fi concretizate. Totodată, menționăm că conform prevederilor Acordului CEEPUS IV, statul R. Moldova va achita bursele sociale și alocațiilor pentru trai, cetățenilor străini care vin în R. Moldova pentru studii în cadrul Programului. Or, în conformitate cu </w:t>
            </w:r>
            <w:r>
              <w:rPr>
                <w:rFonts w:ascii="Times New Roman" w:eastAsia="Times New Roman" w:hAnsi="Times New Roman" w:cs="Times New Roman"/>
                <w:b/>
                <w:bCs/>
                <w:sz w:val="20"/>
                <w:szCs w:val="20"/>
              </w:rPr>
              <w:t>Legea Cetățeniei R</w:t>
            </w:r>
            <w:r>
              <w:rPr>
                <w:rFonts w:ascii="Times New Roman" w:eastAsia="Times New Roman" w:hAnsi="Times New Roman" w:cs="Times New Roman"/>
                <w:sz w:val="20"/>
                <w:szCs w:val="20"/>
              </w:rPr>
              <w:t>M</w:t>
            </w:r>
            <w:r>
              <w:rPr>
                <w:rFonts w:ascii="Times New Roman" w:eastAsia="Times New Roman" w:hAnsi="Times New Roman" w:cs="Times New Roman"/>
                <w:b/>
                <w:bCs/>
                <w:sz w:val="20"/>
                <w:szCs w:val="20"/>
              </w:rPr>
              <w:t xml:space="preserve"> nr. 253/2025,</w:t>
            </w:r>
            <w:r>
              <w:rPr>
                <w:rFonts w:ascii="Times New Roman" w:eastAsia="Times New Roman" w:hAnsi="Times New Roman" w:cs="Times New Roman"/>
                <w:sz w:val="20"/>
                <w:szCs w:val="20"/>
              </w:rPr>
              <w:t xml:space="preserve"> articolul 23 alineatul 4) </w:t>
            </w:r>
            <w:r>
              <w:rPr>
                <w:rFonts w:ascii="Times New Roman" w:eastAsia="Times New Roman" w:hAnsi="Times New Roman" w:cs="Times New Roman"/>
                <w:i/>
                <w:iCs/>
                <w:sz w:val="20"/>
                <w:szCs w:val="20"/>
              </w:rPr>
              <w:t>Cetățeanul Republicii Moldova care deține cetățenia altui stat este recunoscut în raporturile cu Republica Moldova exclusiv ca cetățean al acesteia.</w:t>
            </w:r>
          </w:p>
          <w:p w14:paraId="7629B31C"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Astfel, nu este vorba de nediscriminare ci de respectarea prevederilor Acordului CEEPUS IV și a legislației naționale subsecvente acestui Acord. </w:t>
            </w:r>
          </w:p>
        </w:tc>
      </w:tr>
      <w:tr w:rsidR="005A0157" w14:paraId="555B6AB7" w14:textId="77777777" w:rsidTr="00B87ECA">
        <w:trPr>
          <w:trHeight w:val="435"/>
        </w:trPr>
        <w:tc>
          <w:tcPr>
            <w:tcW w:w="1418" w:type="dxa"/>
            <w:vMerge/>
            <w:tcBorders>
              <w:right w:val="single" w:sz="4" w:space="0" w:color="000000"/>
            </w:tcBorders>
          </w:tcPr>
          <w:p w14:paraId="18B10063"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59688C5D" w14:textId="77777777" w:rsidR="005A0157" w:rsidRDefault="00000000">
            <w:pPr>
              <w:numPr>
                <w:ilvl w:val="0"/>
                <w:numId w:val="2"/>
              </w:numPr>
              <w:pBdr>
                <w:top w:val="nil"/>
                <w:left w:val="nil"/>
                <w:bottom w:val="nil"/>
                <w:right w:val="nil"/>
                <w:between w:val="nil"/>
              </w:pBdr>
              <w:spacing w:after="20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 numerotarea elementelor structurale ale proiectului actului normativ se va ține cont de art. 52 din Legea nr. 100/2017 cu privire la actele normative or, punctele se numerotează cu cifre arabe, urmate de punct și pot fi divizate în subpuncte, care se numerotează prin adăugarea consecutivă a cifrelor arabe, până la gradul de detaliere necesar.</w:t>
            </w:r>
          </w:p>
        </w:tc>
        <w:tc>
          <w:tcPr>
            <w:tcW w:w="1275" w:type="dxa"/>
            <w:tcBorders>
              <w:top w:val="single" w:sz="4" w:space="0" w:color="000000"/>
              <w:left w:val="single" w:sz="4" w:space="0" w:color="000000"/>
              <w:bottom w:val="single" w:sz="4" w:space="0" w:color="000000"/>
            </w:tcBorders>
          </w:tcPr>
          <w:p w14:paraId="1ADDA0AE"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acceptă </w:t>
            </w:r>
          </w:p>
        </w:tc>
        <w:tc>
          <w:tcPr>
            <w:tcW w:w="5236" w:type="dxa"/>
            <w:tcBorders>
              <w:top w:val="single" w:sz="4" w:space="0" w:color="000000"/>
              <w:bottom w:val="single" w:sz="4" w:space="0" w:color="000000"/>
            </w:tcBorders>
          </w:tcPr>
          <w:p w14:paraId="436A0555"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Actul normativ se va redacta corespunzător. </w:t>
            </w:r>
          </w:p>
        </w:tc>
      </w:tr>
      <w:tr w:rsidR="005A0157" w14:paraId="0A308E9C" w14:textId="77777777" w:rsidTr="00B87ECA">
        <w:trPr>
          <w:trHeight w:val="435"/>
        </w:trPr>
        <w:tc>
          <w:tcPr>
            <w:tcW w:w="1418" w:type="dxa"/>
            <w:vMerge/>
            <w:tcBorders>
              <w:right w:val="single" w:sz="4" w:space="0" w:color="000000"/>
            </w:tcBorders>
          </w:tcPr>
          <w:p w14:paraId="2F19CA58"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0B745FF9" w14:textId="77777777" w:rsidR="005A0157" w:rsidRDefault="00000000">
            <w:pPr>
              <w:numPr>
                <w:ilvl w:val="0"/>
                <w:numId w:val="2"/>
              </w:numPr>
              <w:pBdr>
                <w:top w:val="nil"/>
                <w:left w:val="nil"/>
                <w:bottom w:val="nil"/>
                <w:right w:val="nil"/>
                <w:between w:val="nil"/>
              </w:pBdr>
              <w:spacing w:after="20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În tot conținutul proiectului, la utilizarea sintagmei „legislația în vigoare”, cuvintele „în vigoare” se vor exclude, ca fiind inutile. Regula generală este că referințele la actele normative reprezintă referințe la legislația în vigoare și doar pentru excepțiile de la regulă se va specifica dacă este vorba despre legislația aplicabilă la un anumit moment.</w:t>
            </w:r>
          </w:p>
        </w:tc>
        <w:tc>
          <w:tcPr>
            <w:tcW w:w="1275" w:type="dxa"/>
            <w:tcBorders>
              <w:top w:val="single" w:sz="4" w:space="0" w:color="000000"/>
              <w:left w:val="single" w:sz="4" w:space="0" w:color="000000"/>
              <w:bottom w:val="single" w:sz="4" w:space="0" w:color="000000"/>
            </w:tcBorders>
          </w:tcPr>
          <w:p w14:paraId="0A928A4F"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acceptă </w:t>
            </w:r>
          </w:p>
        </w:tc>
        <w:tc>
          <w:tcPr>
            <w:tcW w:w="5236" w:type="dxa"/>
            <w:tcBorders>
              <w:top w:val="single" w:sz="4" w:space="0" w:color="000000"/>
              <w:bottom w:val="single" w:sz="4" w:space="0" w:color="000000"/>
            </w:tcBorders>
          </w:tcPr>
          <w:p w14:paraId="32D0AAAD"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Actul normativ se va redacta corespunzător. </w:t>
            </w:r>
          </w:p>
        </w:tc>
      </w:tr>
      <w:tr w:rsidR="005A0157" w14:paraId="20A9FC60" w14:textId="77777777" w:rsidTr="00B87ECA">
        <w:trPr>
          <w:trHeight w:val="435"/>
        </w:trPr>
        <w:tc>
          <w:tcPr>
            <w:tcW w:w="1418" w:type="dxa"/>
            <w:vMerge/>
            <w:tcBorders>
              <w:right w:val="single" w:sz="4" w:space="0" w:color="000000"/>
            </w:tcBorders>
          </w:tcPr>
          <w:p w14:paraId="03DBAF66"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097" w:type="dxa"/>
            <w:vMerge w:val="restart"/>
            <w:tcBorders>
              <w:top w:val="single" w:sz="4" w:space="0" w:color="000000"/>
              <w:left w:val="single" w:sz="4" w:space="0" w:color="000000"/>
              <w:bottom w:val="single" w:sz="4" w:space="0" w:color="000000"/>
              <w:right w:val="single" w:sz="4" w:space="0" w:color="000000"/>
            </w:tcBorders>
          </w:tcPr>
          <w:p w14:paraId="1DE47C6D" w14:textId="77777777" w:rsidR="005A0157" w:rsidRDefault="00000000">
            <w:pPr>
              <w:numPr>
                <w:ilvl w:val="0"/>
                <w:numId w:val="2"/>
              </w:numPr>
              <w:pBdr>
                <w:top w:val="nil"/>
                <w:left w:val="nil"/>
                <w:bottom w:val="nil"/>
                <w:right w:val="nil"/>
                <w:between w:val="nil"/>
              </w:pBdr>
              <w:spacing w:after="20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pct. 11 din proiectul Regulamentului se recomandă revizuirea trimiterii la art. 24 alin. (4) din Legea cetățeniei Republicii Moldova nr. 253/2025 deoarece nu corespunde redacției actului normativ.</w:t>
            </w:r>
          </w:p>
        </w:tc>
        <w:tc>
          <w:tcPr>
            <w:tcW w:w="1275" w:type="dxa"/>
            <w:vMerge w:val="restart"/>
            <w:tcBorders>
              <w:top w:val="single" w:sz="4" w:space="0" w:color="000000"/>
              <w:left w:val="single" w:sz="4" w:space="0" w:color="000000"/>
              <w:bottom w:val="single" w:sz="4" w:space="0" w:color="000000"/>
            </w:tcBorders>
          </w:tcPr>
          <w:p w14:paraId="6186270E"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acceptă </w:t>
            </w:r>
          </w:p>
          <w:p w14:paraId="5BF2F0A3" w14:textId="77777777" w:rsidR="005A0157" w:rsidRDefault="005A0157">
            <w:pPr>
              <w:rPr>
                <w:rFonts w:ascii="Times New Roman" w:eastAsia="Times New Roman" w:hAnsi="Times New Roman" w:cs="Times New Roman"/>
                <w:sz w:val="20"/>
                <w:szCs w:val="20"/>
              </w:rPr>
            </w:pPr>
          </w:p>
        </w:tc>
        <w:tc>
          <w:tcPr>
            <w:tcW w:w="5236" w:type="dxa"/>
            <w:vMerge w:val="restart"/>
            <w:tcBorders>
              <w:top w:val="single" w:sz="4" w:space="0" w:color="000000"/>
              <w:bottom w:val="single" w:sz="4" w:space="0" w:color="000000"/>
            </w:tcBorders>
          </w:tcPr>
          <w:p w14:paraId="12068F09"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va face referință la</w:t>
            </w:r>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art</w:t>
            </w:r>
            <w:proofErr w:type="spellEnd"/>
            <w:r>
              <w:rPr>
                <w:rFonts w:ascii="Times New Roman" w:eastAsia="Times New Roman" w:hAnsi="Times New Roman" w:cs="Times New Roman"/>
                <w:b/>
                <w:bCs/>
                <w:sz w:val="20"/>
                <w:szCs w:val="20"/>
              </w:rPr>
              <w:t xml:space="preserve"> 23 </w:t>
            </w:r>
            <w:r>
              <w:rPr>
                <w:rFonts w:ascii="Times New Roman" w:eastAsia="Times New Roman" w:hAnsi="Times New Roman" w:cs="Times New Roman"/>
                <w:sz w:val="20"/>
                <w:szCs w:val="20"/>
              </w:rPr>
              <w:t>al legii respective,  alin 4.</w:t>
            </w:r>
          </w:p>
        </w:tc>
      </w:tr>
      <w:tr w:rsidR="005A0157" w14:paraId="0B663A31" w14:textId="77777777" w:rsidTr="00B87ECA">
        <w:trPr>
          <w:trHeight w:val="345"/>
        </w:trPr>
        <w:tc>
          <w:tcPr>
            <w:tcW w:w="1418" w:type="dxa"/>
            <w:vMerge/>
            <w:tcBorders>
              <w:right w:val="single" w:sz="4" w:space="0" w:color="000000"/>
            </w:tcBorders>
          </w:tcPr>
          <w:p w14:paraId="3443B9E1"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097" w:type="dxa"/>
            <w:vMerge/>
            <w:tcBorders>
              <w:top w:val="single" w:sz="4" w:space="0" w:color="000000"/>
              <w:left w:val="single" w:sz="4" w:space="0" w:color="000000"/>
              <w:bottom w:val="single" w:sz="4" w:space="0" w:color="000000"/>
              <w:right w:val="single" w:sz="4" w:space="0" w:color="000000"/>
            </w:tcBorders>
          </w:tcPr>
          <w:p w14:paraId="253EBFC3"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275" w:type="dxa"/>
            <w:vMerge/>
            <w:tcBorders>
              <w:top w:val="single" w:sz="4" w:space="0" w:color="000000"/>
              <w:left w:val="single" w:sz="4" w:space="0" w:color="000000"/>
              <w:bottom w:val="single" w:sz="4" w:space="0" w:color="000000"/>
            </w:tcBorders>
          </w:tcPr>
          <w:p w14:paraId="734F5934"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236" w:type="dxa"/>
            <w:vMerge/>
            <w:tcBorders>
              <w:top w:val="single" w:sz="4" w:space="0" w:color="000000"/>
              <w:bottom w:val="single" w:sz="4" w:space="0" w:color="000000"/>
            </w:tcBorders>
          </w:tcPr>
          <w:p w14:paraId="461E1707"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5A0157" w14:paraId="6A1D45F3" w14:textId="77777777" w:rsidTr="00B87ECA">
        <w:trPr>
          <w:trHeight w:val="578"/>
        </w:trPr>
        <w:tc>
          <w:tcPr>
            <w:tcW w:w="1418" w:type="dxa"/>
            <w:vMerge w:val="restart"/>
            <w:tcBorders>
              <w:right w:val="single" w:sz="4" w:space="0" w:color="000000"/>
            </w:tcBorders>
          </w:tcPr>
          <w:p w14:paraId="6BD32AB0" w14:textId="77777777" w:rsidR="005A0157" w:rsidRDefault="00000000">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Ministerul </w:t>
            </w:r>
          </w:p>
          <w:p w14:paraId="1F198751" w14:textId="77777777" w:rsidR="005A0157" w:rsidRDefault="00000000">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Culturii</w:t>
            </w:r>
          </w:p>
        </w:tc>
        <w:tc>
          <w:tcPr>
            <w:tcW w:w="7097" w:type="dxa"/>
            <w:tcBorders>
              <w:top w:val="single" w:sz="4" w:space="0" w:color="000000"/>
              <w:left w:val="single" w:sz="4" w:space="0" w:color="000000"/>
              <w:bottom w:val="single" w:sz="4" w:space="0" w:color="000000"/>
              <w:right w:val="single" w:sz="4" w:space="0" w:color="000000"/>
            </w:tcBorders>
          </w:tcPr>
          <w:p w14:paraId="3168FF20" w14:textId="77777777" w:rsidR="005A0157" w:rsidRDefault="005A0157">
            <w:pPr>
              <w:jc w:val="both"/>
              <w:rPr>
                <w:rFonts w:ascii="Times New Roman" w:eastAsia="Times New Roman" w:hAnsi="Times New Roman" w:cs="Times New Roman"/>
                <w:sz w:val="20"/>
                <w:szCs w:val="20"/>
              </w:rPr>
            </w:pPr>
          </w:p>
          <w:p w14:paraId="24103A28" w14:textId="77777777" w:rsidR="005A0157" w:rsidRDefault="00000000">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La proiectul HG</w:t>
            </w:r>
          </w:p>
          <w:p w14:paraId="1D93C79B" w14:textId="77777777" w:rsidR="005A0157" w:rsidRDefault="005A0157">
            <w:pPr>
              <w:jc w:val="both"/>
              <w:rPr>
                <w:rFonts w:ascii="Times New Roman" w:eastAsia="Times New Roman" w:hAnsi="Times New Roman" w:cs="Times New Roman"/>
                <w:sz w:val="20"/>
                <w:szCs w:val="20"/>
              </w:rPr>
            </w:pPr>
          </w:p>
          <w:p w14:paraId="495D4C31" w14:textId="77777777" w:rsidR="005A0157" w:rsidRDefault="00000000">
            <w:pPr>
              <w:numPr>
                <w:ilvl w:val="0"/>
                <w:numId w:val="3"/>
              </w:numPr>
              <w:pBdr>
                <w:top w:val="nil"/>
                <w:left w:val="nil"/>
                <w:bottom w:val="nil"/>
                <w:right w:val="nil"/>
                <w:between w:val="nil"/>
              </w:pBdr>
              <w:spacing w:after="20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Clarificarea criteriilor de selecție pentru beneficiarii burselor, inclusiv transparența procesului de evaluare și publicarea periodică a rezultatelor.</w:t>
            </w:r>
          </w:p>
          <w:p w14:paraId="1B40C733" w14:textId="77777777" w:rsidR="005A0157" w:rsidRDefault="005A0157">
            <w:pPr>
              <w:jc w:val="both"/>
              <w:rPr>
                <w:rFonts w:ascii="Times New Roman" w:eastAsia="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1F26A960" w14:textId="77777777" w:rsidR="005A0157" w:rsidRDefault="005A0157">
            <w:pPr>
              <w:rPr>
                <w:rFonts w:ascii="Times New Roman" w:eastAsia="Times New Roman" w:hAnsi="Times New Roman" w:cs="Times New Roman"/>
                <w:sz w:val="20"/>
                <w:szCs w:val="20"/>
              </w:rPr>
            </w:pPr>
          </w:p>
          <w:p w14:paraId="293C840B" w14:textId="77777777" w:rsidR="005A0157" w:rsidRDefault="005A0157">
            <w:pPr>
              <w:rPr>
                <w:rFonts w:ascii="Times New Roman" w:eastAsia="Times New Roman" w:hAnsi="Times New Roman" w:cs="Times New Roman"/>
                <w:sz w:val="20"/>
                <w:szCs w:val="20"/>
              </w:rPr>
            </w:pPr>
          </w:p>
          <w:p w14:paraId="1F70D3DB"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Nu se acceptă</w:t>
            </w:r>
          </w:p>
        </w:tc>
        <w:tc>
          <w:tcPr>
            <w:tcW w:w="5236" w:type="dxa"/>
            <w:tcBorders>
              <w:top w:val="single" w:sz="4" w:space="0" w:color="000000"/>
              <w:left w:val="single" w:sz="4" w:space="0" w:color="000000"/>
              <w:bottom w:val="single" w:sz="4" w:space="0" w:color="000000"/>
              <w:right w:val="single" w:sz="4" w:space="0" w:color="000000"/>
            </w:tcBorders>
          </w:tcPr>
          <w:p w14:paraId="467C4BE1" w14:textId="77777777" w:rsidR="005A0157" w:rsidRDefault="005A0157">
            <w:pPr>
              <w:jc w:val="both"/>
              <w:rPr>
                <w:rFonts w:ascii="Times New Roman" w:eastAsia="Times New Roman" w:hAnsi="Times New Roman" w:cs="Times New Roman"/>
                <w:sz w:val="20"/>
                <w:szCs w:val="20"/>
              </w:rPr>
            </w:pPr>
          </w:p>
          <w:p w14:paraId="2977CFFB"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MEC sprijină toate mobilitățile academice acceptate de instituțiile gazdă, atât timp cât sunt respectate câteva condiții clare: este indicată perioada mobilității, este precizat statutul persoanei (student, doctorand, cadru didactic etc.) și sunt prezentate scrisorile de confirmare ale instituției </w:t>
            </w:r>
            <w:proofErr w:type="spellStart"/>
            <w:r>
              <w:rPr>
                <w:rFonts w:ascii="Times New Roman" w:eastAsia="Times New Roman" w:hAnsi="Times New Roman" w:cs="Times New Roman"/>
                <w:sz w:val="20"/>
                <w:szCs w:val="20"/>
              </w:rPr>
              <w:t>trimitătoare</w:t>
            </w:r>
            <w:proofErr w:type="spellEnd"/>
            <w:r>
              <w:rPr>
                <w:rFonts w:ascii="Times New Roman" w:eastAsia="Times New Roman" w:hAnsi="Times New Roman" w:cs="Times New Roman"/>
                <w:sz w:val="20"/>
                <w:szCs w:val="20"/>
              </w:rPr>
              <w:t xml:space="preserve"> și ale celei gazdă, precum și prezentarea motivației </w:t>
            </w:r>
            <w:proofErr w:type="spellStart"/>
            <w:r>
              <w:rPr>
                <w:rFonts w:ascii="Times New Roman" w:eastAsia="Times New Roman" w:hAnsi="Times New Roman" w:cs="Times New Roman"/>
                <w:sz w:val="20"/>
                <w:szCs w:val="20"/>
              </w:rPr>
              <w:t>aplicantului</w:t>
            </w:r>
            <w:proofErr w:type="spellEnd"/>
            <w:r>
              <w:rPr>
                <w:rFonts w:ascii="Times New Roman" w:eastAsia="Times New Roman" w:hAnsi="Times New Roman" w:cs="Times New Roman"/>
                <w:sz w:val="20"/>
                <w:szCs w:val="20"/>
              </w:rPr>
              <w:t xml:space="preserve">. Mobilitatea trebuie să se încadreze în plafonul total de 100 de luni de bursă acordate de RM.  Rezultatele selectării candidaților participanți în Program sunt disponibile în regim real  pe site-ul Programului </w:t>
            </w:r>
            <w:hyperlink r:id="rId8">
              <w:r w:rsidR="005A0157">
                <w:rPr>
                  <w:rFonts w:ascii="Times New Roman" w:eastAsia="Times New Roman" w:hAnsi="Times New Roman" w:cs="Times New Roman"/>
                  <w:b/>
                  <w:bCs/>
                  <w:sz w:val="20"/>
                  <w:szCs w:val="20"/>
                </w:rPr>
                <w:t>www.ceepus.info</w:t>
              </w:r>
            </w:hyperlink>
            <w:r>
              <w:rPr>
                <w:rFonts w:ascii="Times New Roman" w:eastAsia="Times New Roman" w:hAnsi="Times New Roman" w:cs="Times New Roman"/>
                <w:sz w:val="20"/>
                <w:szCs w:val="20"/>
              </w:rPr>
              <w:t xml:space="preserve"> </w:t>
            </w:r>
          </w:p>
          <w:p w14:paraId="74729078" w14:textId="77777777" w:rsidR="005A0157" w:rsidRDefault="005A0157">
            <w:pPr>
              <w:jc w:val="both"/>
              <w:rPr>
                <w:rFonts w:ascii="Times New Roman" w:eastAsia="Times New Roman" w:hAnsi="Times New Roman" w:cs="Times New Roman"/>
                <w:sz w:val="20"/>
                <w:szCs w:val="20"/>
              </w:rPr>
            </w:pPr>
          </w:p>
        </w:tc>
      </w:tr>
      <w:tr w:rsidR="005A0157" w14:paraId="68508DFE" w14:textId="77777777" w:rsidTr="00B87ECA">
        <w:trPr>
          <w:trHeight w:val="578"/>
        </w:trPr>
        <w:tc>
          <w:tcPr>
            <w:tcW w:w="1418" w:type="dxa"/>
            <w:vMerge/>
            <w:tcBorders>
              <w:right w:val="single" w:sz="4" w:space="0" w:color="000000"/>
            </w:tcBorders>
          </w:tcPr>
          <w:p w14:paraId="00116CF3"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378D4872" w14:textId="77777777" w:rsidR="005A0157" w:rsidRDefault="00000000">
            <w:pPr>
              <w:numPr>
                <w:ilvl w:val="0"/>
                <w:numId w:val="3"/>
              </w:numPr>
              <w:pBdr>
                <w:top w:val="nil"/>
                <w:left w:val="nil"/>
                <w:bottom w:val="nil"/>
                <w:right w:val="nil"/>
                <w:between w:val="nil"/>
              </w:pBdr>
              <w:spacing w:after="20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Detalierea mecanismului de indexare anuală a burselor, cu referire la indicatorii economici utilizați (ex. rata inflației, salariul mediu).</w:t>
            </w:r>
          </w:p>
        </w:tc>
        <w:tc>
          <w:tcPr>
            <w:tcW w:w="1275" w:type="dxa"/>
            <w:tcBorders>
              <w:top w:val="single" w:sz="4" w:space="0" w:color="000000"/>
              <w:left w:val="single" w:sz="4" w:space="0" w:color="000000"/>
              <w:bottom w:val="single" w:sz="4" w:space="0" w:color="000000"/>
              <w:right w:val="single" w:sz="4" w:space="0" w:color="000000"/>
            </w:tcBorders>
          </w:tcPr>
          <w:p w14:paraId="422110A9"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 se acceptă </w:t>
            </w:r>
          </w:p>
        </w:tc>
        <w:tc>
          <w:tcPr>
            <w:tcW w:w="5236" w:type="dxa"/>
            <w:tcBorders>
              <w:top w:val="single" w:sz="4" w:space="0" w:color="000000"/>
              <w:left w:val="single" w:sz="4" w:space="0" w:color="000000"/>
              <w:bottom w:val="single" w:sz="4" w:space="0" w:color="000000"/>
              <w:right w:val="single" w:sz="4" w:space="0" w:color="000000"/>
            </w:tcBorders>
          </w:tcPr>
          <w:p w14:paraId="0989034E"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se vedea avizul Ministerului Finanțelor, care menționează despre faptul că mecanismul de indexare este stabilit în acte </w:t>
            </w:r>
            <w:r>
              <w:rPr>
                <w:rFonts w:ascii="Times New Roman" w:eastAsia="Times New Roman" w:hAnsi="Times New Roman" w:cs="Times New Roman"/>
                <w:sz w:val="20"/>
                <w:szCs w:val="20"/>
              </w:rPr>
              <w:lastRenderedPageBreak/>
              <w:t xml:space="preserve">normative de nivel superior, și anume în Legea privind indexarea veniturilor bănești ale populației nr.824/1991.   </w:t>
            </w:r>
          </w:p>
        </w:tc>
      </w:tr>
      <w:tr w:rsidR="005A0157" w14:paraId="27F7B982" w14:textId="77777777" w:rsidTr="00B87ECA">
        <w:trPr>
          <w:trHeight w:val="578"/>
        </w:trPr>
        <w:tc>
          <w:tcPr>
            <w:tcW w:w="1418" w:type="dxa"/>
            <w:vMerge/>
            <w:tcBorders>
              <w:right w:val="single" w:sz="4" w:space="0" w:color="000000"/>
            </w:tcBorders>
          </w:tcPr>
          <w:p w14:paraId="75642E20"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1F4A6E33" w14:textId="77777777" w:rsidR="005A0157" w:rsidRDefault="00000000">
            <w:pPr>
              <w:numPr>
                <w:ilvl w:val="0"/>
                <w:numId w:val="3"/>
              </w:numPr>
              <w:pBdr>
                <w:top w:val="nil"/>
                <w:left w:val="nil"/>
                <w:bottom w:val="nil"/>
                <w:right w:val="nil"/>
                <w:between w:val="nil"/>
              </w:pBdr>
              <w:spacing w:after="20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Introducerea unor prevederi privind monitorizarea calității mobilităților, prin rapoarte anuale și evaluări independente.</w:t>
            </w:r>
          </w:p>
        </w:tc>
        <w:tc>
          <w:tcPr>
            <w:tcW w:w="1275" w:type="dxa"/>
            <w:tcBorders>
              <w:top w:val="single" w:sz="4" w:space="0" w:color="000000"/>
              <w:left w:val="single" w:sz="4" w:space="0" w:color="000000"/>
              <w:bottom w:val="single" w:sz="4" w:space="0" w:color="000000"/>
              <w:right w:val="single" w:sz="4" w:space="0" w:color="000000"/>
            </w:tcBorders>
          </w:tcPr>
          <w:p w14:paraId="057255A6"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acceptă </w:t>
            </w:r>
          </w:p>
        </w:tc>
        <w:tc>
          <w:tcPr>
            <w:tcW w:w="5236" w:type="dxa"/>
            <w:tcBorders>
              <w:top w:val="single" w:sz="4" w:space="0" w:color="000000"/>
              <w:left w:val="single" w:sz="4" w:space="0" w:color="000000"/>
              <w:bottom w:val="single" w:sz="4" w:space="0" w:color="000000"/>
              <w:right w:val="single" w:sz="4" w:space="0" w:color="000000"/>
            </w:tcBorders>
          </w:tcPr>
          <w:p w14:paraId="0E4C80D9" w14:textId="77777777" w:rsidR="005A0157" w:rsidRDefault="00000000">
            <w:pPr>
              <w:jc w:val="both"/>
              <w:rPr>
                <w:rFonts w:ascii="Times New Roman" w:eastAsia="Times New Roman" w:hAnsi="Times New Roman" w:cs="Times New Roman"/>
                <w:i/>
                <w:iCs/>
                <w:sz w:val="20"/>
                <w:szCs w:val="20"/>
              </w:rPr>
            </w:pPr>
            <w:r>
              <w:rPr>
                <w:rFonts w:ascii="Times New Roman" w:eastAsia="Times New Roman" w:hAnsi="Times New Roman" w:cs="Times New Roman"/>
                <w:sz w:val="20"/>
                <w:szCs w:val="20"/>
              </w:rPr>
              <w:t xml:space="preserve">La compartimentul Responsabilitățile Oficiului se va completa cu prevederea: </w:t>
            </w:r>
            <w:r>
              <w:rPr>
                <w:rFonts w:ascii="Times New Roman" w:eastAsia="Times New Roman" w:hAnsi="Times New Roman" w:cs="Times New Roman"/>
                <w:i/>
                <w:iCs/>
                <w:sz w:val="20"/>
                <w:szCs w:val="20"/>
              </w:rPr>
              <w:t>Realizarea ședințelor anuale cu Universitățile participante în Program pentru monitorizarea și evaluarea calității implementării mobilităților.</w:t>
            </w:r>
          </w:p>
        </w:tc>
      </w:tr>
      <w:tr w:rsidR="005A0157" w14:paraId="00E6C56C" w14:textId="77777777" w:rsidTr="00B87ECA">
        <w:trPr>
          <w:trHeight w:val="840"/>
        </w:trPr>
        <w:tc>
          <w:tcPr>
            <w:tcW w:w="1418" w:type="dxa"/>
            <w:vMerge/>
            <w:tcBorders>
              <w:right w:val="single" w:sz="4" w:space="0" w:color="000000"/>
            </w:tcBorders>
          </w:tcPr>
          <w:p w14:paraId="65947E4D"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i/>
                <w:iCs/>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0CBE3428" w14:textId="77777777" w:rsidR="005A0157" w:rsidRDefault="00000000">
            <w:pPr>
              <w:numPr>
                <w:ilvl w:val="0"/>
                <w:numId w:val="3"/>
              </w:numPr>
              <w:pBdr>
                <w:top w:val="nil"/>
                <w:left w:val="nil"/>
                <w:bottom w:val="nil"/>
                <w:right w:val="nil"/>
                <w:between w:val="nil"/>
              </w:pBdr>
              <w:spacing w:after="20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Extinderea categoriilor de cheltuieli eligibile, incluzând eventual sprijin pentru materiale didactice sau activități </w:t>
            </w:r>
            <w:proofErr w:type="spellStart"/>
            <w:r>
              <w:rPr>
                <w:rFonts w:ascii="Times New Roman" w:eastAsia="Times New Roman" w:hAnsi="Times New Roman" w:cs="Times New Roman"/>
                <w:sz w:val="20"/>
                <w:szCs w:val="20"/>
              </w:rPr>
              <w:t>extracurriculare</w:t>
            </w:r>
            <w:proofErr w:type="spellEnd"/>
            <w:r>
              <w:rPr>
                <w:rFonts w:ascii="Times New Roman" w:eastAsia="Times New Roman" w:hAnsi="Times New Roman" w:cs="Times New Roman"/>
                <w:sz w:val="20"/>
                <w:szCs w:val="20"/>
              </w:rPr>
              <w:t>.</w:t>
            </w:r>
          </w:p>
        </w:tc>
        <w:tc>
          <w:tcPr>
            <w:tcW w:w="1275" w:type="dxa"/>
            <w:tcBorders>
              <w:top w:val="single" w:sz="4" w:space="0" w:color="000000"/>
              <w:left w:val="single" w:sz="4" w:space="0" w:color="000000"/>
              <w:bottom w:val="single" w:sz="4" w:space="0" w:color="000000"/>
              <w:right w:val="single" w:sz="4" w:space="0" w:color="000000"/>
            </w:tcBorders>
          </w:tcPr>
          <w:p w14:paraId="77E39062" w14:textId="77777777" w:rsidR="005A0157" w:rsidRDefault="005A0157">
            <w:pPr>
              <w:rPr>
                <w:rFonts w:ascii="Times New Roman" w:eastAsia="Times New Roman" w:hAnsi="Times New Roman" w:cs="Times New Roman"/>
                <w:sz w:val="20"/>
                <w:szCs w:val="20"/>
              </w:rPr>
            </w:pPr>
          </w:p>
          <w:p w14:paraId="2421C8B9" w14:textId="3F382F63"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 se acceptă </w:t>
            </w:r>
          </w:p>
        </w:tc>
        <w:tc>
          <w:tcPr>
            <w:tcW w:w="5236" w:type="dxa"/>
            <w:tcBorders>
              <w:top w:val="single" w:sz="4" w:space="0" w:color="000000"/>
              <w:left w:val="single" w:sz="4" w:space="0" w:color="000000"/>
              <w:bottom w:val="single" w:sz="4" w:space="0" w:color="000000"/>
              <w:right w:val="single" w:sz="4" w:space="0" w:color="000000"/>
            </w:tcBorders>
          </w:tcPr>
          <w:p w14:paraId="3F1E1A61"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Prevederile Acordului CEEPUS IV prevăd expres  doar tipurile de cheltuieli incluse deja în actul normativ. </w:t>
            </w:r>
          </w:p>
        </w:tc>
      </w:tr>
      <w:tr w:rsidR="005A0157" w14:paraId="22DF373A" w14:textId="77777777" w:rsidTr="00B87ECA">
        <w:trPr>
          <w:trHeight w:val="694"/>
        </w:trPr>
        <w:tc>
          <w:tcPr>
            <w:tcW w:w="1418" w:type="dxa"/>
            <w:vMerge/>
            <w:tcBorders>
              <w:right w:val="single" w:sz="4" w:space="0" w:color="000000"/>
            </w:tcBorders>
          </w:tcPr>
          <w:p w14:paraId="30306CF8"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4CD12A6E" w14:textId="77777777" w:rsidR="005A0157" w:rsidRDefault="00000000">
            <w:pPr>
              <w:numPr>
                <w:ilvl w:val="0"/>
                <w:numId w:val="3"/>
              </w:numPr>
              <w:pBdr>
                <w:top w:val="nil"/>
                <w:left w:val="nil"/>
                <w:bottom w:val="nil"/>
                <w:right w:val="nil"/>
                <w:between w:val="nil"/>
              </w:pBdr>
              <w:spacing w:after="20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Consolidarea cooperării interinstituționale, prin implicarea universităților în procesul de promovare și atragere a bursierilor străini.</w:t>
            </w:r>
          </w:p>
        </w:tc>
        <w:tc>
          <w:tcPr>
            <w:tcW w:w="1275" w:type="dxa"/>
            <w:tcBorders>
              <w:top w:val="single" w:sz="4" w:space="0" w:color="000000"/>
              <w:left w:val="single" w:sz="4" w:space="0" w:color="000000"/>
              <w:bottom w:val="single" w:sz="4" w:space="0" w:color="000000"/>
              <w:right w:val="single" w:sz="4" w:space="0" w:color="000000"/>
            </w:tcBorders>
          </w:tcPr>
          <w:p w14:paraId="0F55961E" w14:textId="378FFE7D" w:rsidR="005A0157" w:rsidRDefault="00000000" w:rsidP="00B8461D">
            <w:pPr>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w:t>
            </w:r>
          </w:p>
        </w:tc>
        <w:tc>
          <w:tcPr>
            <w:tcW w:w="5236" w:type="dxa"/>
            <w:tcBorders>
              <w:top w:val="single" w:sz="4" w:space="0" w:color="000000"/>
              <w:left w:val="single" w:sz="4" w:space="0" w:color="000000"/>
              <w:bottom w:val="single" w:sz="4" w:space="0" w:color="000000"/>
              <w:right w:val="single" w:sz="4" w:space="0" w:color="000000"/>
            </w:tcBorders>
          </w:tcPr>
          <w:p w14:paraId="616CB817" w14:textId="77777777" w:rsidR="005A0157" w:rsidRDefault="00000000">
            <w:pPr>
              <w:jc w:val="both"/>
              <w:rPr>
                <w:rFonts w:ascii="Times New Roman" w:eastAsia="Times New Roman" w:hAnsi="Times New Roman" w:cs="Times New Roman"/>
                <w:i/>
                <w:iCs/>
                <w:sz w:val="20"/>
                <w:szCs w:val="20"/>
              </w:rPr>
            </w:pPr>
            <w:r>
              <w:rPr>
                <w:rFonts w:ascii="Times New Roman" w:eastAsia="Times New Roman" w:hAnsi="Times New Roman" w:cs="Times New Roman"/>
                <w:sz w:val="20"/>
                <w:szCs w:val="20"/>
              </w:rPr>
              <w:t xml:space="preserve">Se va specifica la responsabilitățile Punctului Focal CEEPUS din cadrul MEC: </w:t>
            </w:r>
            <w:r>
              <w:rPr>
                <w:rFonts w:ascii="Times New Roman" w:eastAsia="Times New Roman" w:hAnsi="Times New Roman" w:cs="Times New Roman"/>
                <w:i/>
                <w:iCs/>
                <w:sz w:val="20"/>
                <w:szCs w:val="20"/>
              </w:rPr>
              <w:t>Promovarea unor sesiuni de informare în rândul universităților pentru a facilita cooperarea interinstituțională și atragerea bursierilor străini în Program.</w:t>
            </w:r>
          </w:p>
        </w:tc>
      </w:tr>
      <w:tr w:rsidR="005A0157" w14:paraId="7278B884" w14:textId="77777777" w:rsidTr="00B87ECA">
        <w:trPr>
          <w:trHeight w:val="694"/>
        </w:trPr>
        <w:tc>
          <w:tcPr>
            <w:tcW w:w="1418" w:type="dxa"/>
            <w:vMerge/>
            <w:tcBorders>
              <w:right w:val="single" w:sz="4" w:space="0" w:color="000000"/>
            </w:tcBorders>
          </w:tcPr>
          <w:p w14:paraId="685682FC"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i/>
                <w:iCs/>
                <w:sz w:val="20"/>
                <w:szCs w:val="20"/>
              </w:rPr>
            </w:pPr>
          </w:p>
        </w:tc>
        <w:tc>
          <w:tcPr>
            <w:tcW w:w="7097" w:type="dxa"/>
            <w:vMerge w:val="restart"/>
            <w:tcBorders>
              <w:top w:val="single" w:sz="4" w:space="0" w:color="000000"/>
              <w:left w:val="single" w:sz="4" w:space="0" w:color="000000"/>
              <w:bottom w:val="single" w:sz="4" w:space="0" w:color="000000"/>
              <w:right w:val="single" w:sz="4" w:space="0" w:color="000000"/>
            </w:tcBorders>
          </w:tcPr>
          <w:p w14:paraId="59EBF25C" w14:textId="77777777" w:rsidR="005A0157" w:rsidRDefault="00000000">
            <w:pPr>
              <w:numPr>
                <w:ilvl w:val="0"/>
                <w:numId w:val="3"/>
              </w:numPr>
              <w:pBdr>
                <w:top w:val="nil"/>
                <w:left w:val="nil"/>
                <w:bottom w:val="nil"/>
                <w:right w:val="nil"/>
                <w:between w:val="nil"/>
              </w:pBdr>
              <w:spacing w:after="20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Proiectul Regulamentului, pct. 10 va avea următorul cuprins: „Republica Moldova oferă anual un minim de 100 luni-bursă participanților la Programul („CEEPUS IV”) – cetățeni străini, pentru mobilități în învățământul superior, inclusiv în domeniul învățământului artistic, stagii, cercetări științifice, cursuri intensive, cursuri lingvistice, precum și ore de curs predate de cadre didactice și </w:t>
            </w:r>
            <w:proofErr w:type="spellStart"/>
            <w:r>
              <w:rPr>
                <w:rFonts w:ascii="Times New Roman" w:eastAsia="Times New Roman" w:hAnsi="Times New Roman" w:cs="Times New Roman"/>
                <w:sz w:val="20"/>
                <w:szCs w:val="20"/>
              </w:rPr>
              <w:t>științifico</w:t>
            </w:r>
            <w:proofErr w:type="spellEnd"/>
            <w:r>
              <w:rPr>
                <w:rFonts w:ascii="Times New Roman" w:eastAsia="Times New Roman" w:hAnsi="Times New Roman" w:cs="Times New Roman"/>
                <w:sz w:val="20"/>
                <w:szCs w:val="20"/>
              </w:rPr>
              <w:t>-didactice, stagii de creație artistică și interpretare, programe comune de formare și cercetare, precum și activități de promovare a culturii naționale în spațiul academic european.</w:t>
            </w:r>
          </w:p>
        </w:tc>
        <w:tc>
          <w:tcPr>
            <w:tcW w:w="1275" w:type="dxa"/>
            <w:vMerge w:val="restart"/>
            <w:tcBorders>
              <w:top w:val="single" w:sz="4" w:space="0" w:color="000000"/>
              <w:left w:val="single" w:sz="4" w:space="0" w:color="000000"/>
              <w:bottom w:val="single" w:sz="4" w:space="0" w:color="000000"/>
              <w:right w:val="single" w:sz="4" w:space="0" w:color="000000"/>
            </w:tcBorders>
          </w:tcPr>
          <w:p w14:paraId="4BBD9414"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acceptă </w:t>
            </w:r>
          </w:p>
          <w:p w14:paraId="42E6A93E" w14:textId="77777777" w:rsidR="005A0157" w:rsidRDefault="005A0157">
            <w:pPr>
              <w:rPr>
                <w:rFonts w:ascii="Times New Roman" w:eastAsia="Times New Roman" w:hAnsi="Times New Roman" w:cs="Times New Roman"/>
                <w:sz w:val="20"/>
                <w:szCs w:val="20"/>
              </w:rPr>
            </w:pPr>
          </w:p>
          <w:p w14:paraId="25F79188" w14:textId="77777777" w:rsidR="005A0157" w:rsidRDefault="005A0157">
            <w:pPr>
              <w:rPr>
                <w:rFonts w:ascii="Times New Roman" w:eastAsia="Times New Roman" w:hAnsi="Times New Roman" w:cs="Times New Roman"/>
                <w:sz w:val="20"/>
                <w:szCs w:val="20"/>
              </w:rPr>
            </w:pPr>
          </w:p>
        </w:tc>
        <w:tc>
          <w:tcPr>
            <w:tcW w:w="5236" w:type="dxa"/>
            <w:vMerge w:val="restart"/>
            <w:tcBorders>
              <w:top w:val="single" w:sz="4" w:space="0" w:color="000000"/>
              <w:left w:val="single" w:sz="4" w:space="0" w:color="000000"/>
              <w:bottom w:val="single" w:sz="4" w:space="0" w:color="000000"/>
              <w:right w:val="single" w:sz="4" w:space="0" w:color="000000"/>
            </w:tcBorders>
          </w:tcPr>
          <w:p w14:paraId="26F725FA" w14:textId="6E91ECDA"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 includerea activităților de creație artistică și interpretare, în măsura în care acestea se încadrează în activități academice desfășurate în cadrul învățământului superior, iar activitățile de promovare a culturii naționale sunt eligibile doar în măsura în care sunt realizate ca parte integrantă a unor activități didactice, de cercetare, creație sau cooperare academică, în conformitate cu prevederile Acordului CEEPUS IV și ale programului de lucru aferent, fără a extinde sau restrânge tipologia activităților prevăzute de acesta</w:t>
            </w:r>
            <w:r w:rsidR="00B87ECA">
              <w:rPr>
                <w:rFonts w:ascii="Times New Roman" w:eastAsia="Times New Roman" w:hAnsi="Times New Roman" w:cs="Times New Roman"/>
                <w:sz w:val="20"/>
                <w:szCs w:val="20"/>
              </w:rPr>
              <w:t>.</w:t>
            </w:r>
          </w:p>
        </w:tc>
      </w:tr>
      <w:tr w:rsidR="005A0157" w14:paraId="0E8177E1" w14:textId="77777777" w:rsidTr="00B87ECA">
        <w:trPr>
          <w:trHeight w:val="1872"/>
        </w:trPr>
        <w:tc>
          <w:tcPr>
            <w:tcW w:w="1418" w:type="dxa"/>
            <w:vMerge/>
            <w:tcBorders>
              <w:right w:val="single" w:sz="4" w:space="0" w:color="000000"/>
            </w:tcBorders>
          </w:tcPr>
          <w:p w14:paraId="1C4B91D9"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097" w:type="dxa"/>
            <w:vMerge/>
            <w:tcBorders>
              <w:top w:val="single" w:sz="4" w:space="0" w:color="000000"/>
              <w:left w:val="single" w:sz="4" w:space="0" w:color="000000"/>
              <w:bottom w:val="single" w:sz="4" w:space="0" w:color="000000"/>
              <w:right w:val="single" w:sz="4" w:space="0" w:color="000000"/>
            </w:tcBorders>
          </w:tcPr>
          <w:p w14:paraId="1A26E8E8"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275" w:type="dxa"/>
            <w:vMerge/>
            <w:tcBorders>
              <w:top w:val="single" w:sz="4" w:space="0" w:color="000000"/>
              <w:left w:val="single" w:sz="4" w:space="0" w:color="000000"/>
              <w:bottom w:val="single" w:sz="4" w:space="0" w:color="000000"/>
              <w:right w:val="single" w:sz="4" w:space="0" w:color="000000"/>
            </w:tcBorders>
          </w:tcPr>
          <w:p w14:paraId="61C1D329"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236" w:type="dxa"/>
            <w:vMerge/>
            <w:tcBorders>
              <w:top w:val="single" w:sz="4" w:space="0" w:color="000000"/>
              <w:left w:val="single" w:sz="4" w:space="0" w:color="000000"/>
              <w:bottom w:val="single" w:sz="4" w:space="0" w:color="000000"/>
              <w:right w:val="single" w:sz="4" w:space="0" w:color="000000"/>
            </w:tcBorders>
          </w:tcPr>
          <w:p w14:paraId="63CEC5A7"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5A0157" w14:paraId="7AC8D58F" w14:textId="77777777" w:rsidTr="00B87ECA">
        <w:trPr>
          <w:trHeight w:val="780"/>
        </w:trPr>
        <w:tc>
          <w:tcPr>
            <w:tcW w:w="1418" w:type="dxa"/>
            <w:vMerge w:val="restart"/>
            <w:tcBorders>
              <w:right w:val="single" w:sz="4" w:space="0" w:color="000000"/>
            </w:tcBorders>
          </w:tcPr>
          <w:p w14:paraId="17E0AEE9" w14:textId="77777777" w:rsidR="005A0157" w:rsidRDefault="00000000">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Ministerul Sănătății</w:t>
            </w:r>
          </w:p>
        </w:tc>
        <w:tc>
          <w:tcPr>
            <w:tcW w:w="7097" w:type="dxa"/>
            <w:vMerge w:val="restart"/>
            <w:tcBorders>
              <w:top w:val="single" w:sz="4" w:space="0" w:color="000000"/>
              <w:left w:val="single" w:sz="4" w:space="0" w:color="000000"/>
              <w:bottom w:val="single" w:sz="4" w:space="0" w:color="000000"/>
              <w:right w:val="single" w:sz="4" w:space="0" w:color="000000"/>
            </w:tcBorders>
          </w:tcPr>
          <w:p w14:paraId="21A2CEA7" w14:textId="77777777" w:rsidR="005A0157" w:rsidRDefault="00000000">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La proiectul HG</w:t>
            </w:r>
          </w:p>
          <w:p w14:paraId="7DDEA45F" w14:textId="77777777" w:rsidR="005A0157" w:rsidRDefault="005A0157">
            <w:pPr>
              <w:jc w:val="both"/>
              <w:rPr>
                <w:rFonts w:ascii="Times New Roman" w:eastAsia="Times New Roman" w:hAnsi="Times New Roman" w:cs="Times New Roman"/>
                <w:b/>
                <w:bCs/>
                <w:sz w:val="20"/>
                <w:szCs w:val="20"/>
              </w:rPr>
            </w:pPr>
          </w:p>
          <w:p w14:paraId="6154CA32" w14:textId="77777777" w:rsidR="005A0157" w:rsidRDefault="00000000">
            <w:pPr>
              <w:numPr>
                <w:ilvl w:val="0"/>
                <w:numId w:val="4"/>
              </w:numPr>
              <w:pBdr>
                <w:top w:val="nil"/>
                <w:left w:val="nil"/>
                <w:bottom w:val="nil"/>
                <w:right w:val="nil"/>
                <w:between w:val="nil"/>
              </w:pBdr>
              <w:spacing w:after="20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menționează că nivelul actual al burselor și alocațiilor pentru cazare stabilite pentru Republica Moldova poate fi mai puțin corelat cu costurile reale de pe piață, ceea ce poate influența interesul bursierilor străini pentru participarea la mobilități. În acest sens, apreciem oportună examinarea posibilității de ajustare a cuantumului acestora, în vederea menținerii atractivității Programului și asigurării unei participări echitabile a tuturor beneficiarilor.</w:t>
            </w:r>
          </w:p>
        </w:tc>
        <w:tc>
          <w:tcPr>
            <w:tcW w:w="1275" w:type="dxa"/>
            <w:vMerge w:val="restart"/>
            <w:tcBorders>
              <w:top w:val="single" w:sz="4" w:space="0" w:color="000000"/>
              <w:left w:val="single" w:sz="4" w:space="0" w:color="000000"/>
              <w:bottom w:val="single" w:sz="4" w:space="0" w:color="000000"/>
              <w:right w:val="single" w:sz="4" w:space="0" w:color="000000"/>
            </w:tcBorders>
          </w:tcPr>
          <w:p w14:paraId="0CDDB968" w14:textId="77777777" w:rsidR="005A0157" w:rsidRDefault="005A0157">
            <w:pPr>
              <w:rPr>
                <w:rFonts w:ascii="Times New Roman" w:eastAsia="Times New Roman" w:hAnsi="Times New Roman" w:cs="Times New Roman"/>
                <w:sz w:val="20"/>
                <w:szCs w:val="20"/>
              </w:rPr>
            </w:pPr>
          </w:p>
          <w:p w14:paraId="311E8B12" w14:textId="77777777" w:rsidR="005A0157" w:rsidRDefault="005A0157">
            <w:pPr>
              <w:rPr>
                <w:rFonts w:ascii="Times New Roman" w:eastAsia="Times New Roman" w:hAnsi="Times New Roman" w:cs="Times New Roman"/>
                <w:sz w:val="20"/>
                <w:szCs w:val="20"/>
              </w:rPr>
            </w:pPr>
          </w:p>
          <w:p w14:paraId="7BCA0588" w14:textId="2A22D734"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S-a luat act</w:t>
            </w:r>
          </w:p>
        </w:tc>
        <w:tc>
          <w:tcPr>
            <w:tcW w:w="5236" w:type="dxa"/>
            <w:vMerge w:val="restart"/>
            <w:tcBorders>
              <w:top w:val="single" w:sz="4" w:space="0" w:color="000000"/>
              <w:left w:val="single" w:sz="4" w:space="0" w:color="000000"/>
              <w:bottom w:val="single" w:sz="4" w:space="0" w:color="000000"/>
              <w:right w:val="single" w:sz="4" w:space="0" w:color="000000"/>
            </w:tcBorders>
          </w:tcPr>
          <w:p w14:paraId="10432400"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Nivelul acestor </w:t>
            </w:r>
            <w:proofErr w:type="spellStart"/>
            <w:r>
              <w:rPr>
                <w:rFonts w:ascii="Times New Roman" w:eastAsia="Times New Roman" w:hAnsi="Times New Roman" w:cs="Times New Roman"/>
                <w:sz w:val="20"/>
                <w:szCs w:val="20"/>
              </w:rPr>
              <w:t>alocatii</w:t>
            </w:r>
            <w:proofErr w:type="spellEnd"/>
            <w:r>
              <w:rPr>
                <w:rFonts w:ascii="Times New Roman" w:eastAsia="Times New Roman" w:hAnsi="Times New Roman" w:cs="Times New Roman"/>
                <w:sz w:val="20"/>
                <w:szCs w:val="20"/>
              </w:rPr>
              <w:t xml:space="preserve"> a fost corelat cu HG 1009/2006 care prevede stabilirea burselor pentru studenții, cetățeni ai R. Moldova. În conformitate cu prevederile  Acordului CEEPUS IV, aceste alocații  sunt corelate cu costurile de trai din țara gazdă respectivă și cu nivelul inflației din aceasta. De asemenea, </w:t>
            </w:r>
            <w:proofErr w:type="spellStart"/>
            <w:r>
              <w:rPr>
                <w:rFonts w:ascii="Times New Roman" w:eastAsia="Times New Roman" w:hAnsi="Times New Roman" w:cs="Times New Roman"/>
                <w:sz w:val="20"/>
                <w:szCs w:val="20"/>
              </w:rPr>
              <w:t>istituțiile</w:t>
            </w:r>
            <w:proofErr w:type="spellEnd"/>
            <w:r>
              <w:rPr>
                <w:rFonts w:ascii="Times New Roman" w:eastAsia="Times New Roman" w:hAnsi="Times New Roman" w:cs="Times New Roman"/>
                <w:sz w:val="20"/>
                <w:szCs w:val="20"/>
              </w:rPr>
              <w:t xml:space="preserve"> de învățământ superior din Republica Moldova care găzduiesc bursieri CEEPUS IV asigură perfectarea poliței de asigurare medicală, în condițiile prevăzute pentru studenții autohtoni.</w:t>
            </w:r>
          </w:p>
        </w:tc>
      </w:tr>
      <w:tr w:rsidR="005A0157" w14:paraId="3C57FBC4" w14:textId="77777777" w:rsidTr="00B87ECA">
        <w:trPr>
          <w:trHeight w:val="780"/>
        </w:trPr>
        <w:tc>
          <w:tcPr>
            <w:tcW w:w="1418" w:type="dxa"/>
            <w:vMerge/>
            <w:tcBorders>
              <w:right w:val="single" w:sz="4" w:space="0" w:color="000000"/>
            </w:tcBorders>
          </w:tcPr>
          <w:p w14:paraId="05B5CCAF"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097" w:type="dxa"/>
            <w:vMerge/>
            <w:tcBorders>
              <w:top w:val="single" w:sz="4" w:space="0" w:color="000000"/>
              <w:left w:val="single" w:sz="4" w:space="0" w:color="000000"/>
              <w:bottom w:val="single" w:sz="4" w:space="0" w:color="000000"/>
              <w:right w:val="single" w:sz="4" w:space="0" w:color="000000"/>
            </w:tcBorders>
          </w:tcPr>
          <w:p w14:paraId="2A7A0142"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275" w:type="dxa"/>
            <w:vMerge/>
            <w:tcBorders>
              <w:top w:val="single" w:sz="4" w:space="0" w:color="000000"/>
              <w:left w:val="single" w:sz="4" w:space="0" w:color="000000"/>
              <w:bottom w:val="single" w:sz="4" w:space="0" w:color="000000"/>
              <w:right w:val="single" w:sz="4" w:space="0" w:color="000000"/>
            </w:tcBorders>
          </w:tcPr>
          <w:p w14:paraId="258F16D9"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236" w:type="dxa"/>
            <w:vMerge/>
            <w:tcBorders>
              <w:top w:val="single" w:sz="4" w:space="0" w:color="000000"/>
              <w:left w:val="single" w:sz="4" w:space="0" w:color="000000"/>
              <w:bottom w:val="single" w:sz="4" w:space="0" w:color="000000"/>
              <w:right w:val="single" w:sz="4" w:space="0" w:color="000000"/>
            </w:tcBorders>
          </w:tcPr>
          <w:p w14:paraId="7D6C3C73"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5A0157" w14:paraId="5D242FAE" w14:textId="77777777" w:rsidTr="00B87ECA">
        <w:trPr>
          <w:trHeight w:val="768"/>
        </w:trPr>
        <w:tc>
          <w:tcPr>
            <w:tcW w:w="1418" w:type="dxa"/>
            <w:vMerge w:val="restart"/>
            <w:tcBorders>
              <w:right w:val="single" w:sz="4" w:space="0" w:color="000000"/>
            </w:tcBorders>
          </w:tcPr>
          <w:p w14:paraId="16626EF0" w14:textId="77777777" w:rsidR="005A0157" w:rsidRDefault="00000000">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Ministerul Finanțelor</w:t>
            </w:r>
          </w:p>
        </w:tc>
        <w:tc>
          <w:tcPr>
            <w:tcW w:w="7097" w:type="dxa"/>
            <w:tcBorders>
              <w:top w:val="single" w:sz="4" w:space="0" w:color="000000"/>
              <w:left w:val="single" w:sz="4" w:space="0" w:color="000000"/>
              <w:bottom w:val="single" w:sz="4" w:space="0" w:color="000000"/>
              <w:right w:val="single" w:sz="4" w:space="0" w:color="000000"/>
            </w:tcBorders>
          </w:tcPr>
          <w:p w14:paraId="5946B3C5" w14:textId="77777777" w:rsidR="005A0157" w:rsidRDefault="00000000">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La proiectul HG</w:t>
            </w:r>
          </w:p>
          <w:p w14:paraId="086B6A75" w14:textId="77777777" w:rsidR="005A0157" w:rsidRDefault="005A0157">
            <w:pPr>
              <w:jc w:val="both"/>
              <w:rPr>
                <w:rFonts w:ascii="Times New Roman" w:eastAsia="Times New Roman" w:hAnsi="Times New Roman" w:cs="Times New Roman"/>
                <w:b/>
                <w:bCs/>
                <w:sz w:val="20"/>
                <w:szCs w:val="20"/>
              </w:rPr>
            </w:pPr>
          </w:p>
          <w:p w14:paraId="1BDFAE79" w14:textId="77777777" w:rsidR="005A0157" w:rsidRDefault="00000000">
            <w:pPr>
              <w:numPr>
                <w:ilvl w:val="0"/>
                <w:numId w:val="5"/>
              </w:numPr>
              <w:pBdr>
                <w:top w:val="nil"/>
                <w:left w:val="nil"/>
                <w:bottom w:val="nil"/>
                <w:right w:val="nil"/>
                <w:between w:val="nil"/>
              </w:pBdr>
              <w:spacing w:after="20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Pct.2 se propune de exclus, întrucât norma vizată este stabilită în acte normative de nivel superior, și anume în Legea privind indexarea veniturilor bănești ale populației nr.824/1991. Mai mult ca atât, menționăm că, anual la etapa elaborării Cadrului bugetar pe termen mediu, Ministerul Finanțelor indexează la indicele prețurilor de consum toate tipurile de burse, inclusiv și </w:t>
            </w:r>
            <w:r>
              <w:rPr>
                <w:rFonts w:ascii="Times New Roman" w:eastAsia="Times New Roman" w:hAnsi="Times New Roman" w:cs="Times New Roman"/>
                <w:sz w:val="20"/>
                <w:szCs w:val="20"/>
              </w:rPr>
              <w:lastRenderedPageBreak/>
              <w:t>cele pentru mobilitatea academică în legătură cu programul de schimburi pentru studii universitare.</w:t>
            </w:r>
          </w:p>
        </w:tc>
        <w:tc>
          <w:tcPr>
            <w:tcW w:w="1275" w:type="dxa"/>
            <w:tcBorders>
              <w:top w:val="single" w:sz="4" w:space="0" w:color="000000"/>
              <w:left w:val="single" w:sz="4" w:space="0" w:color="000000"/>
              <w:bottom w:val="single" w:sz="4" w:space="0" w:color="000000"/>
              <w:right w:val="single" w:sz="4" w:space="0" w:color="000000"/>
            </w:tcBorders>
          </w:tcPr>
          <w:p w14:paraId="6F3512A0"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Se acceptă </w:t>
            </w:r>
          </w:p>
        </w:tc>
        <w:tc>
          <w:tcPr>
            <w:tcW w:w="5236" w:type="dxa"/>
            <w:tcBorders>
              <w:top w:val="single" w:sz="4" w:space="0" w:color="000000"/>
              <w:left w:val="single" w:sz="4" w:space="0" w:color="000000"/>
              <w:bottom w:val="single" w:sz="4" w:space="0" w:color="000000"/>
              <w:right w:val="single" w:sz="4" w:space="0" w:color="000000"/>
            </w:tcBorders>
          </w:tcPr>
          <w:p w14:paraId="62186694"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va exclude </w:t>
            </w:r>
            <w:proofErr w:type="spellStart"/>
            <w:r>
              <w:rPr>
                <w:rFonts w:ascii="Times New Roman" w:eastAsia="Times New Roman" w:hAnsi="Times New Roman" w:cs="Times New Roman"/>
                <w:sz w:val="20"/>
                <w:szCs w:val="20"/>
              </w:rPr>
              <w:t>pct</w:t>
            </w:r>
            <w:proofErr w:type="spellEnd"/>
            <w:r>
              <w:rPr>
                <w:rFonts w:ascii="Times New Roman" w:eastAsia="Times New Roman" w:hAnsi="Times New Roman" w:cs="Times New Roman"/>
                <w:sz w:val="20"/>
                <w:szCs w:val="20"/>
              </w:rPr>
              <w:t xml:space="preserve"> 2 al HG.</w:t>
            </w:r>
          </w:p>
        </w:tc>
      </w:tr>
      <w:tr w:rsidR="005A0157" w14:paraId="0CFEBCF2" w14:textId="77777777" w:rsidTr="00B87ECA">
        <w:trPr>
          <w:trHeight w:val="768"/>
        </w:trPr>
        <w:tc>
          <w:tcPr>
            <w:tcW w:w="1418" w:type="dxa"/>
            <w:vMerge/>
            <w:tcBorders>
              <w:right w:val="single" w:sz="4" w:space="0" w:color="000000"/>
            </w:tcBorders>
          </w:tcPr>
          <w:p w14:paraId="5045FFF9"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097" w:type="dxa"/>
            <w:vMerge w:val="restart"/>
            <w:tcBorders>
              <w:top w:val="single" w:sz="4" w:space="0" w:color="000000"/>
              <w:left w:val="single" w:sz="4" w:space="0" w:color="000000"/>
              <w:bottom w:val="single" w:sz="4" w:space="0" w:color="000000"/>
              <w:right w:val="single" w:sz="4" w:space="0" w:color="000000"/>
            </w:tcBorders>
          </w:tcPr>
          <w:p w14:paraId="2879E487" w14:textId="77777777" w:rsidR="005A0157" w:rsidRDefault="00000000">
            <w:pPr>
              <w:numPr>
                <w:ilvl w:val="0"/>
                <w:numId w:val="5"/>
              </w:numPr>
              <w:pBdr>
                <w:top w:val="nil"/>
                <w:left w:val="nil"/>
                <w:bottom w:val="nil"/>
                <w:right w:val="nil"/>
                <w:between w:val="nil"/>
              </w:pBdr>
              <w:spacing w:after="20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propune de exclus ministrul finanțelor, din clauza de contrasemnare întrucât potrivit prevederilor art.36 alin.(2) din Legea cu privire la Guvern nr.136/2017, hotărârile se contrasemnează de miniștrii care au obligația punerii în aplicare a acestora și/sau care sunt responsabili de domeniile de activitate care intră parțial sau integral în obiectul de reglementare al actului contrasemnat.</w:t>
            </w:r>
          </w:p>
        </w:tc>
        <w:tc>
          <w:tcPr>
            <w:tcW w:w="1275" w:type="dxa"/>
            <w:vMerge w:val="restart"/>
            <w:tcBorders>
              <w:top w:val="single" w:sz="4" w:space="0" w:color="000000"/>
              <w:left w:val="single" w:sz="4" w:space="0" w:color="000000"/>
              <w:bottom w:val="single" w:sz="4" w:space="0" w:color="000000"/>
              <w:right w:val="single" w:sz="4" w:space="0" w:color="000000"/>
            </w:tcBorders>
          </w:tcPr>
          <w:p w14:paraId="6740C630"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acceptă </w:t>
            </w:r>
          </w:p>
        </w:tc>
        <w:tc>
          <w:tcPr>
            <w:tcW w:w="5236" w:type="dxa"/>
            <w:vMerge w:val="restart"/>
            <w:tcBorders>
              <w:top w:val="single" w:sz="4" w:space="0" w:color="000000"/>
              <w:left w:val="single" w:sz="4" w:space="0" w:color="000000"/>
              <w:bottom w:val="single" w:sz="4" w:space="0" w:color="000000"/>
              <w:right w:val="single" w:sz="4" w:space="0" w:color="000000"/>
            </w:tcBorders>
          </w:tcPr>
          <w:p w14:paraId="3B0013A7"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va exclude.</w:t>
            </w:r>
          </w:p>
        </w:tc>
      </w:tr>
      <w:tr w:rsidR="005A0157" w14:paraId="3BC7468C" w14:textId="77777777" w:rsidTr="00B87ECA">
        <w:trPr>
          <w:trHeight w:val="551"/>
        </w:trPr>
        <w:tc>
          <w:tcPr>
            <w:tcW w:w="1418" w:type="dxa"/>
            <w:vMerge/>
            <w:tcBorders>
              <w:right w:val="single" w:sz="4" w:space="0" w:color="000000"/>
            </w:tcBorders>
          </w:tcPr>
          <w:p w14:paraId="23A34A23"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097" w:type="dxa"/>
            <w:vMerge/>
            <w:tcBorders>
              <w:top w:val="single" w:sz="4" w:space="0" w:color="000000"/>
              <w:left w:val="single" w:sz="4" w:space="0" w:color="000000"/>
              <w:bottom w:val="single" w:sz="4" w:space="0" w:color="000000"/>
              <w:right w:val="single" w:sz="4" w:space="0" w:color="000000"/>
            </w:tcBorders>
          </w:tcPr>
          <w:p w14:paraId="4A5FD95C"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275" w:type="dxa"/>
            <w:vMerge/>
            <w:tcBorders>
              <w:top w:val="single" w:sz="4" w:space="0" w:color="000000"/>
              <w:left w:val="single" w:sz="4" w:space="0" w:color="000000"/>
              <w:bottom w:val="single" w:sz="4" w:space="0" w:color="000000"/>
              <w:right w:val="single" w:sz="4" w:space="0" w:color="000000"/>
            </w:tcBorders>
          </w:tcPr>
          <w:p w14:paraId="5A22848C"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236" w:type="dxa"/>
            <w:vMerge/>
            <w:tcBorders>
              <w:top w:val="single" w:sz="4" w:space="0" w:color="000000"/>
              <w:left w:val="single" w:sz="4" w:space="0" w:color="000000"/>
              <w:bottom w:val="single" w:sz="4" w:space="0" w:color="000000"/>
              <w:right w:val="single" w:sz="4" w:space="0" w:color="000000"/>
            </w:tcBorders>
          </w:tcPr>
          <w:p w14:paraId="7943DECD"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5A0157" w14:paraId="03656851" w14:textId="77777777" w:rsidTr="00B87ECA">
        <w:trPr>
          <w:trHeight w:val="768"/>
        </w:trPr>
        <w:tc>
          <w:tcPr>
            <w:tcW w:w="1418" w:type="dxa"/>
            <w:vMerge/>
            <w:tcBorders>
              <w:right w:val="single" w:sz="4" w:space="0" w:color="000000"/>
            </w:tcBorders>
          </w:tcPr>
          <w:p w14:paraId="66EA4E3C"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097" w:type="dxa"/>
            <w:vMerge w:val="restart"/>
            <w:tcBorders>
              <w:top w:val="single" w:sz="4" w:space="0" w:color="000000"/>
              <w:left w:val="single" w:sz="4" w:space="0" w:color="000000"/>
              <w:bottom w:val="single" w:sz="4" w:space="0" w:color="000000"/>
              <w:right w:val="single" w:sz="4" w:space="0" w:color="000000"/>
            </w:tcBorders>
          </w:tcPr>
          <w:p w14:paraId="45C84AC8" w14:textId="77777777" w:rsidR="005A0157" w:rsidRDefault="00000000">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La proiectul Regulamentului</w:t>
            </w:r>
          </w:p>
          <w:p w14:paraId="2FE9C595" w14:textId="77777777" w:rsidR="005A0157" w:rsidRDefault="00000000">
            <w:pPr>
              <w:numPr>
                <w:ilvl w:val="0"/>
                <w:numId w:val="6"/>
              </w:numPr>
              <w:pBdr>
                <w:top w:val="nil"/>
                <w:left w:val="nil"/>
                <w:bottom w:val="nil"/>
                <w:right w:val="nil"/>
                <w:between w:val="nil"/>
              </w:pBdr>
              <w:spacing w:after="20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Capitolul III prevede instituirea Oficiului Național CEEPUS în cadrul Ministerului Educației și Cercetării, fără a fi clar stipulată componența nominală a acestuia, modul de remunerare/gratuitate a activității personalului implicat, precum modul și sursele de finanțare a cheltuielilor necesare pentru activitatea Oficiului. Prin urmare, atât proiectul Regulamentului, cât și Nota de fundamentare urmează a fi completată cu detalii în acest sens.</w:t>
            </w:r>
          </w:p>
        </w:tc>
        <w:tc>
          <w:tcPr>
            <w:tcW w:w="1275" w:type="dxa"/>
            <w:vMerge w:val="restart"/>
            <w:tcBorders>
              <w:top w:val="single" w:sz="4" w:space="0" w:color="000000"/>
              <w:left w:val="single" w:sz="4" w:space="0" w:color="000000"/>
              <w:bottom w:val="single" w:sz="4" w:space="0" w:color="000000"/>
              <w:right w:val="single" w:sz="4" w:space="0" w:color="000000"/>
            </w:tcBorders>
          </w:tcPr>
          <w:p w14:paraId="364DA053"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acceptă  </w:t>
            </w:r>
          </w:p>
        </w:tc>
        <w:tc>
          <w:tcPr>
            <w:tcW w:w="5236" w:type="dxa"/>
            <w:vMerge w:val="restart"/>
            <w:tcBorders>
              <w:top w:val="single" w:sz="4" w:space="0" w:color="000000"/>
              <w:bottom w:val="single" w:sz="4" w:space="0" w:color="000000"/>
            </w:tcBorders>
          </w:tcPr>
          <w:p w14:paraId="5B0C56A9"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Nota informativă și Regulamentul se va completa/și concretiza la acest subiect. De fapt este vorba de un punct focal (o persoană din cadrul Direcției CPPIE), care  gestionează implementarea Programului la nivel național.  Un asemenea punct focal a existat de la începuturile implementării Programului (2011). Prin Regulamentul în cauză se concretizează responsabilitățile acestuia. Nu este vorba de instituirea unei structuri noi, cu personal nou angajat și nici despre resurse financiare suplimentare în acest scop. </w:t>
            </w:r>
          </w:p>
        </w:tc>
      </w:tr>
      <w:tr w:rsidR="005A0157" w14:paraId="14341A34" w14:textId="77777777" w:rsidTr="00B87ECA">
        <w:trPr>
          <w:trHeight w:val="810"/>
        </w:trPr>
        <w:tc>
          <w:tcPr>
            <w:tcW w:w="1418" w:type="dxa"/>
            <w:vMerge/>
            <w:tcBorders>
              <w:right w:val="single" w:sz="4" w:space="0" w:color="000000"/>
            </w:tcBorders>
          </w:tcPr>
          <w:p w14:paraId="645F9383"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097" w:type="dxa"/>
            <w:vMerge/>
            <w:tcBorders>
              <w:top w:val="single" w:sz="4" w:space="0" w:color="000000"/>
              <w:left w:val="single" w:sz="4" w:space="0" w:color="000000"/>
              <w:bottom w:val="single" w:sz="4" w:space="0" w:color="000000"/>
              <w:right w:val="single" w:sz="4" w:space="0" w:color="000000"/>
            </w:tcBorders>
          </w:tcPr>
          <w:p w14:paraId="41AAE93F"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275" w:type="dxa"/>
            <w:vMerge/>
            <w:tcBorders>
              <w:top w:val="single" w:sz="4" w:space="0" w:color="000000"/>
              <w:left w:val="single" w:sz="4" w:space="0" w:color="000000"/>
              <w:bottom w:val="single" w:sz="4" w:space="0" w:color="000000"/>
              <w:right w:val="single" w:sz="4" w:space="0" w:color="000000"/>
            </w:tcBorders>
          </w:tcPr>
          <w:p w14:paraId="54C2FBDD"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236" w:type="dxa"/>
            <w:vMerge/>
            <w:tcBorders>
              <w:top w:val="single" w:sz="4" w:space="0" w:color="000000"/>
              <w:bottom w:val="single" w:sz="4" w:space="0" w:color="000000"/>
            </w:tcBorders>
          </w:tcPr>
          <w:p w14:paraId="57452F4A"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5A0157" w14:paraId="1CD3AB49" w14:textId="77777777" w:rsidTr="00B87ECA">
        <w:trPr>
          <w:trHeight w:val="984"/>
        </w:trPr>
        <w:tc>
          <w:tcPr>
            <w:tcW w:w="1418" w:type="dxa"/>
            <w:vMerge/>
            <w:tcBorders>
              <w:right w:val="single" w:sz="4" w:space="0" w:color="000000"/>
            </w:tcBorders>
          </w:tcPr>
          <w:p w14:paraId="2DDDFB15"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097" w:type="dxa"/>
            <w:vMerge/>
            <w:tcBorders>
              <w:top w:val="single" w:sz="4" w:space="0" w:color="000000"/>
              <w:left w:val="single" w:sz="4" w:space="0" w:color="000000"/>
              <w:bottom w:val="single" w:sz="4" w:space="0" w:color="000000"/>
              <w:right w:val="single" w:sz="4" w:space="0" w:color="000000"/>
            </w:tcBorders>
          </w:tcPr>
          <w:p w14:paraId="37F62554"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275" w:type="dxa"/>
            <w:vMerge/>
            <w:tcBorders>
              <w:top w:val="single" w:sz="4" w:space="0" w:color="000000"/>
              <w:left w:val="single" w:sz="4" w:space="0" w:color="000000"/>
              <w:bottom w:val="single" w:sz="4" w:space="0" w:color="000000"/>
              <w:right w:val="single" w:sz="4" w:space="0" w:color="000000"/>
            </w:tcBorders>
          </w:tcPr>
          <w:p w14:paraId="7902D30A"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236" w:type="dxa"/>
            <w:vMerge/>
            <w:tcBorders>
              <w:top w:val="single" w:sz="4" w:space="0" w:color="000000"/>
              <w:bottom w:val="single" w:sz="4" w:space="0" w:color="000000"/>
            </w:tcBorders>
          </w:tcPr>
          <w:p w14:paraId="7C672A6E" w14:textId="77777777" w:rsidR="005A0157" w:rsidRDefault="005A0157">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5A0157" w14:paraId="2A488065" w14:textId="77777777" w:rsidTr="00B87ECA">
        <w:trPr>
          <w:trHeight w:val="768"/>
        </w:trPr>
        <w:tc>
          <w:tcPr>
            <w:tcW w:w="1418" w:type="dxa"/>
            <w:vMerge w:val="restart"/>
            <w:tcBorders>
              <w:right w:val="single" w:sz="4" w:space="0" w:color="000000"/>
            </w:tcBorders>
          </w:tcPr>
          <w:p w14:paraId="7F5EC397" w14:textId="77777777" w:rsidR="005A0157" w:rsidRDefault="00000000">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Ministerul Justiției</w:t>
            </w:r>
          </w:p>
        </w:tc>
        <w:tc>
          <w:tcPr>
            <w:tcW w:w="7097" w:type="dxa"/>
            <w:tcBorders>
              <w:top w:val="single" w:sz="4" w:space="0" w:color="000000"/>
              <w:left w:val="single" w:sz="4" w:space="0" w:color="000000"/>
              <w:bottom w:val="single" w:sz="4" w:space="0" w:color="000000"/>
              <w:right w:val="single" w:sz="4" w:space="0" w:color="000000"/>
            </w:tcBorders>
          </w:tcPr>
          <w:p w14:paraId="71828145" w14:textId="77777777" w:rsidR="005A0157" w:rsidRDefault="00000000">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La proiectul HG</w:t>
            </w:r>
          </w:p>
          <w:p w14:paraId="36A6395D" w14:textId="77777777" w:rsidR="005A0157" w:rsidRDefault="005A0157">
            <w:pPr>
              <w:jc w:val="both"/>
              <w:rPr>
                <w:rFonts w:ascii="Times New Roman" w:eastAsia="Times New Roman" w:hAnsi="Times New Roman" w:cs="Times New Roman"/>
                <w:b/>
                <w:bCs/>
                <w:sz w:val="20"/>
                <w:szCs w:val="20"/>
              </w:rPr>
            </w:pPr>
          </w:p>
          <w:p w14:paraId="21F38405"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remarcă că, potrivit art. 44 alin. (1) din Legea nr. 100/2017 privind actele normative, clauza de adoptare trebuie să cuprindă denumirea autorității publice emitente și decizia de adoptare, aprobare sau emitere a actului normativ, iar în cazul actelor Guvernului și temeiul legal al adoptării. În acest context, întrucât hotărârile Guvernului reprezintă acte normative de reglementare secundară, acestea trebuie să derive în mod expres din norma primară care le instituie și să indice temeiul legal concret ce justifică adoptarea lor. Prin urmare, în vederea asigurării unei corecte identificări a cadrului legal și a executării Legii nr. 70/2024, se impune indicarea expresă, în clauza de adoptare, a articolului relevant din actul legislativ menționat.</w:t>
            </w:r>
          </w:p>
        </w:tc>
        <w:tc>
          <w:tcPr>
            <w:tcW w:w="1275" w:type="dxa"/>
            <w:tcBorders>
              <w:top w:val="single" w:sz="4" w:space="0" w:color="000000"/>
              <w:left w:val="single" w:sz="4" w:space="0" w:color="000000"/>
              <w:bottom w:val="single" w:sz="4" w:space="0" w:color="000000"/>
              <w:right w:val="single" w:sz="4" w:space="0" w:color="000000"/>
            </w:tcBorders>
          </w:tcPr>
          <w:p w14:paraId="161C887D"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w:t>
            </w:r>
          </w:p>
        </w:tc>
        <w:tc>
          <w:tcPr>
            <w:tcW w:w="5236" w:type="dxa"/>
            <w:tcBorders>
              <w:top w:val="single" w:sz="4" w:space="0" w:color="000000"/>
              <w:bottom w:val="single" w:sz="4" w:space="0" w:color="000000"/>
            </w:tcBorders>
          </w:tcPr>
          <w:p w14:paraId="5FACE0A0"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Pentru a respecta cerința de tehnică legislativă se va  modifica textul astfel:</w:t>
            </w:r>
          </w:p>
          <w:p w14:paraId="06324354" w14:textId="77777777" w:rsidR="005A0157" w:rsidRDefault="005A0157">
            <w:pPr>
              <w:jc w:val="both"/>
              <w:rPr>
                <w:rFonts w:ascii="Times New Roman" w:eastAsia="Times New Roman" w:hAnsi="Times New Roman" w:cs="Times New Roman"/>
                <w:sz w:val="20"/>
                <w:szCs w:val="20"/>
              </w:rPr>
            </w:pPr>
          </w:p>
          <w:p w14:paraId="514DA1E4"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„În temeiul art. 150 din Codul Educației al Republicii Moldova nr. 152/2014 (Monitorul Oficial al Republicii Moldova, 2014, nr. 319-324, art. 634) și al </w:t>
            </w:r>
            <w:r>
              <w:rPr>
                <w:rFonts w:ascii="Times New Roman" w:eastAsia="Times New Roman" w:hAnsi="Times New Roman" w:cs="Times New Roman"/>
                <w:b/>
                <w:bCs/>
                <w:sz w:val="20"/>
                <w:szCs w:val="20"/>
              </w:rPr>
              <w:t>art. 2 din Legea nr. 70/2024</w:t>
            </w:r>
            <w:r>
              <w:rPr>
                <w:rFonts w:ascii="Times New Roman" w:eastAsia="Times New Roman" w:hAnsi="Times New Roman" w:cs="Times New Roman"/>
                <w:sz w:val="20"/>
                <w:szCs w:val="20"/>
              </w:rPr>
              <w:t xml:space="preserve"> pentru aprobarea Acordului privind Programul de schimburi pentru studii universitare în Europa Centrală (CEEPUS IV) (Monitorul Oficial al Republicii Moldova, 2024, nr. 138-140, art. 209),”</w:t>
            </w:r>
          </w:p>
        </w:tc>
      </w:tr>
      <w:tr w:rsidR="005A0157" w14:paraId="0025230F" w14:textId="77777777" w:rsidTr="00B87ECA">
        <w:trPr>
          <w:trHeight w:val="768"/>
        </w:trPr>
        <w:tc>
          <w:tcPr>
            <w:tcW w:w="1418" w:type="dxa"/>
            <w:vMerge/>
            <w:tcBorders>
              <w:right w:val="single" w:sz="4" w:space="0" w:color="000000"/>
            </w:tcBorders>
          </w:tcPr>
          <w:p w14:paraId="3A7270FE"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536592FE"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În ceea ce privește trimiterea la Codul educației al Republicii Moldova nr. 152/2014, se consideră necesară reexaminarea temeiului juridic indicat, fiind oportună menționarea art. 148 alin. (6), în loc de art. 150, pentru a determina în mod expres temeiul juridic potrivit căruia prin legea bugetului de stat se aprobă anual mijloace financiare pentru susținerea mobilității academice.</w:t>
            </w:r>
          </w:p>
        </w:tc>
        <w:tc>
          <w:tcPr>
            <w:tcW w:w="1275" w:type="dxa"/>
            <w:tcBorders>
              <w:top w:val="single" w:sz="4" w:space="0" w:color="000000"/>
              <w:left w:val="single" w:sz="4" w:space="0" w:color="000000"/>
              <w:bottom w:val="single" w:sz="4" w:space="0" w:color="000000"/>
              <w:right w:val="single" w:sz="4" w:space="0" w:color="000000"/>
            </w:tcBorders>
          </w:tcPr>
          <w:p w14:paraId="7AC5087D"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w:t>
            </w:r>
          </w:p>
        </w:tc>
        <w:tc>
          <w:tcPr>
            <w:tcW w:w="5236" w:type="dxa"/>
            <w:tcBorders>
              <w:top w:val="single" w:sz="4" w:space="0" w:color="000000"/>
              <w:bottom w:val="single" w:sz="4" w:space="0" w:color="000000"/>
            </w:tcBorders>
          </w:tcPr>
          <w:p w14:paraId="73E3AB07"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va înlocui art. 150 cu art. 148 alin, (6) în text.</w:t>
            </w:r>
          </w:p>
        </w:tc>
      </w:tr>
      <w:tr w:rsidR="005A0157" w14:paraId="73D1AA0E" w14:textId="77777777" w:rsidTr="00B87ECA">
        <w:trPr>
          <w:trHeight w:val="3165"/>
        </w:trPr>
        <w:tc>
          <w:tcPr>
            <w:tcW w:w="1418" w:type="dxa"/>
            <w:vMerge/>
            <w:tcBorders>
              <w:right w:val="single" w:sz="4" w:space="0" w:color="000000"/>
            </w:tcBorders>
          </w:tcPr>
          <w:p w14:paraId="2BBE9F23"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4AEBCD65"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Referitor la norma formulată pentru pct. 1, se atrage atenția că actul normativ riscă să fie inaplicabil, întrucât nu este respectată unitatea de formă a actului normativ prezentat. În conținutul normei dispozitive a pct. 1, la final, trebuie să fie făcută trimiterea expresă la anexă/Regulamentul cu privire la unele măsuri pentru implementarea în Republica Moldova a Acordului privind Programul de schimburi pentru studii universitare în Europa Centrală (CEEPUS IV), semnat la Varșovia, la 20 septembrie 2023. Astfel, raportat la prevederea art. 49 alin. (2) din Legea nr. 100/2017, potrivit căreia anexa este parte integrantă a actului normativ și are aceeași forță și efecte juridice ca întreg actul, se remarcă că proiectul Regulamentului nominalizat trebuie să aibă un temei clar în corpul actului normativ. În acest sens, la pct. 1 din </w:t>
            </w:r>
            <w:proofErr w:type="spellStart"/>
            <w:r>
              <w:rPr>
                <w:rFonts w:ascii="Times New Roman" w:eastAsia="Times New Roman" w:hAnsi="Times New Roman" w:cs="Times New Roman"/>
                <w:sz w:val="20"/>
                <w:szCs w:val="20"/>
              </w:rPr>
              <w:t>hotărîrea</w:t>
            </w:r>
            <w:proofErr w:type="spellEnd"/>
            <w:r>
              <w:rPr>
                <w:rFonts w:ascii="Times New Roman" w:eastAsia="Times New Roman" w:hAnsi="Times New Roman" w:cs="Times New Roman"/>
                <w:sz w:val="20"/>
                <w:szCs w:val="20"/>
              </w:rPr>
              <w:t xml:space="preserve"> Guvernului, în finalul textului, este necesar să fie completat textul „(se anexează)”, pentru a asigura aplicabilitatea actului normativ.</w:t>
            </w:r>
          </w:p>
        </w:tc>
        <w:tc>
          <w:tcPr>
            <w:tcW w:w="1275" w:type="dxa"/>
            <w:tcBorders>
              <w:top w:val="single" w:sz="4" w:space="0" w:color="000000"/>
              <w:left w:val="single" w:sz="4" w:space="0" w:color="000000"/>
              <w:bottom w:val="single" w:sz="4" w:space="0" w:color="000000"/>
              <w:right w:val="single" w:sz="4" w:space="0" w:color="000000"/>
            </w:tcBorders>
          </w:tcPr>
          <w:p w14:paraId="53336F16"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w:t>
            </w:r>
          </w:p>
        </w:tc>
        <w:tc>
          <w:tcPr>
            <w:tcW w:w="5236" w:type="dxa"/>
            <w:tcBorders>
              <w:top w:val="single" w:sz="4" w:space="0" w:color="000000"/>
              <w:bottom w:val="single" w:sz="4" w:space="0" w:color="000000"/>
            </w:tcBorders>
          </w:tcPr>
          <w:p w14:paraId="77397F32"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va introduce sintagma</w:t>
            </w:r>
            <w:r>
              <w:rPr>
                <w:rFonts w:ascii="Times New Roman" w:eastAsia="Times New Roman" w:hAnsi="Times New Roman" w:cs="Times New Roman"/>
                <w:b/>
                <w:bCs/>
                <w:sz w:val="20"/>
                <w:szCs w:val="20"/>
              </w:rPr>
              <w:t xml:space="preserve"> (se anexează).</w:t>
            </w:r>
            <w:r>
              <w:rPr>
                <w:rFonts w:ascii="Times New Roman" w:eastAsia="Times New Roman" w:hAnsi="Times New Roman" w:cs="Times New Roman"/>
                <w:sz w:val="20"/>
                <w:szCs w:val="20"/>
              </w:rPr>
              <w:t xml:space="preserve"> la pct. 1.</w:t>
            </w:r>
          </w:p>
        </w:tc>
      </w:tr>
      <w:tr w:rsidR="005A0157" w14:paraId="0E83CA56" w14:textId="77777777" w:rsidTr="00B87ECA">
        <w:trPr>
          <w:trHeight w:val="768"/>
        </w:trPr>
        <w:tc>
          <w:tcPr>
            <w:tcW w:w="1418" w:type="dxa"/>
            <w:vMerge/>
            <w:tcBorders>
              <w:right w:val="single" w:sz="4" w:space="0" w:color="000000"/>
            </w:tcBorders>
          </w:tcPr>
          <w:p w14:paraId="4D75D5E5"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3C9B80F1"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În cazul în care printr-un act normativ al Guvernului sunt aprobate măsuri pentru implementarea, în speță, a Acordului privind Programul de schimburi pentru studii universitare în Europa Centrală (CEEPUS IV), în dispozitivul acestuia urmează a fi stabilită autoritatea responsabilă de controlul asupra executării măsurilor sau prevederilor hotărârii.</w:t>
            </w:r>
          </w:p>
        </w:tc>
        <w:tc>
          <w:tcPr>
            <w:tcW w:w="1275" w:type="dxa"/>
            <w:tcBorders>
              <w:top w:val="single" w:sz="4" w:space="0" w:color="000000"/>
              <w:left w:val="single" w:sz="4" w:space="0" w:color="000000"/>
              <w:bottom w:val="single" w:sz="4" w:space="0" w:color="000000"/>
              <w:right w:val="single" w:sz="4" w:space="0" w:color="000000"/>
            </w:tcBorders>
          </w:tcPr>
          <w:p w14:paraId="34AE73B8"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w:t>
            </w:r>
          </w:p>
        </w:tc>
        <w:tc>
          <w:tcPr>
            <w:tcW w:w="5236" w:type="dxa"/>
            <w:tcBorders>
              <w:top w:val="single" w:sz="4" w:space="0" w:color="000000"/>
              <w:bottom w:val="single" w:sz="4" w:space="0" w:color="000000"/>
            </w:tcBorders>
          </w:tcPr>
          <w:p w14:paraId="239A2F57"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va introduce următorul punct în PHG: </w:t>
            </w:r>
          </w:p>
          <w:p w14:paraId="6D16D9BF"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Controlul asupra executării prezentei hotărâri se pune în sarcina Ministerului Educației și Cercetării.</w:t>
            </w:r>
          </w:p>
          <w:p w14:paraId="20AC569F" w14:textId="77777777" w:rsidR="005A0157" w:rsidRDefault="005A0157">
            <w:pPr>
              <w:jc w:val="both"/>
              <w:rPr>
                <w:rFonts w:ascii="Times New Roman" w:eastAsia="Times New Roman" w:hAnsi="Times New Roman" w:cs="Times New Roman"/>
                <w:sz w:val="20"/>
                <w:szCs w:val="20"/>
              </w:rPr>
            </w:pPr>
          </w:p>
        </w:tc>
      </w:tr>
      <w:tr w:rsidR="005A0157" w14:paraId="48188A01" w14:textId="77777777" w:rsidTr="00B87ECA">
        <w:trPr>
          <w:trHeight w:val="589"/>
        </w:trPr>
        <w:tc>
          <w:tcPr>
            <w:tcW w:w="1418" w:type="dxa"/>
            <w:vMerge/>
            <w:tcBorders>
              <w:right w:val="single" w:sz="4" w:space="0" w:color="000000"/>
            </w:tcBorders>
          </w:tcPr>
          <w:p w14:paraId="70F5FE09"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281F9356"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pct. 2, pentru complinirea prevederii, sugerăm completarea cu cuvintele „prin legea bugetară anuală”.</w:t>
            </w:r>
          </w:p>
        </w:tc>
        <w:tc>
          <w:tcPr>
            <w:tcW w:w="1275" w:type="dxa"/>
            <w:tcBorders>
              <w:top w:val="single" w:sz="4" w:space="0" w:color="000000"/>
              <w:left w:val="single" w:sz="4" w:space="0" w:color="000000"/>
              <w:bottom w:val="single" w:sz="4" w:space="0" w:color="000000"/>
              <w:right w:val="single" w:sz="4" w:space="0" w:color="000000"/>
            </w:tcBorders>
          </w:tcPr>
          <w:p w14:paraId="5E640BA7"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w:t>
            </w:r>
          </w:p>
        </w:tc>
        <w:tc>
          <w:tcPr>
            <w:tcW w:w="5236" w:type="dxa"/>
            <w:tcBorders>
              <w:top w:val="single" w:sz="4" w:space="0" w:color="000000"/>
              <w:bottom w:val="single" w:sz="4" w:space="0" w:color="000000"/>
            </w:tcBorders>
          </w:tcPr>
          <w:p w14:paraId="3F1FF576"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punctul 2 se va completa cu cuvintele „prin legea bugetară anuală”.</w:t>
            </w:r>
          </w:p>
        </w:tc>
      </w:tr>
      <w:tr w:rsidR="005A0157" w14:paraId="3F19D316" w14:textId="77777777" w:rsidTr="00B87ECA">
        <w:trPr>
          <w:trHeight w:val="768"/>
        </w:trPr>
        <w:tc>
          <w:tcPr>
            <w:tcW w:w="1418" w:type="dxa"/>
            <w:vMerge/>
            <w:tcBorders>
              <w:right w:val="single" w:sz="4" w:space="0" w:color="000000"/>
            </w:tcBorders>
          </w:tcPr>
          <w:p w14:paraId="707335E8"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0EE7F48E"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pct. 3 este incorect prevăzută sursa oficială de publicare. Astfel, pentru corectitudine redacțională, sursa oficială de publicare se va expune în redacția: „(Monitorul Oficial al Republicii Moldova, 2011, nr. 131-134, art. 500)”.</w:t>
            </w:r>
          </w:p>
        </w:tc>
        <w:tc>
          <w:tcPr>
            <w:tcW w:w="1275" w:type="dxa"/>
            <w:tcBorders>
              <w:top w:val="single" w:sz="4" w:space="0" w:color="000000"/>
              <w:left w:val="single" w:sz="4" w:space="0" w:color="000000"/>
              <w:bottom w:val="single" w:sz="4" w:space="0" w:color="000000"/>
              <w:right w:val="single" w:sz="4" w:space="0" w:color="000000"/>
            </w:tcBorders>
          </w:tcPr>
          <w:p w14:paraId="739D9505"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w:t>
            </w:r>
          </w:p>
        </w:tc>
        <w:tc>
          <w:tcPr>
            <w:tcW w:w="5236" w:type="dxa"/>
            <w:tcBorders>
              <w:top w:val="single" w:sz="4" w:space="0" w:color="000000"/>
              <w:bottom w:val="single" w:sz="4" w:space="0" w:color="000000"/>
            </w:tcBorders>
          </w:tcPr>
          <w:p w14:paraId="7F6ACBCF"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va redacta corespunzător.</w:t>
            </w:r>
          </w:p>
        </w:tc>
      </w:tr>
      <w:tr w:rsidR="005A0157" w14:paraId="4E607D64" w14:textId="77777777" w:rsidTr="00B87ECA">
        <w:trPr>
          <w:trHeight w:val="768"/>
        </w:trPr>
        <w:tc>
          <w:tcPr>
            <w:tcW w:w="1418" w:type="dxa"/>
            <w:vMerge/>
            <w:tcBorders>
              <w:right w:val="single" w:sz="4" w:space="0" w:color="000000"/>
            </w:tcBorders>
          </w:tcPr>
          <w:p w14:paraId="5CC3DBD1"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60D4BF2F"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Sub aspectul respectării normelor de tehnică legislativă, referitor la pct. 3, dat fiind că, urmare adoptării, actul normativ a fost supus modificării, după textul din paranteze (care indică sursa oficială de publicare), este necesar a fi inserată formula consacrată de legislație „cu modificările ulterioare”.</w:t>
            </w:r>
          </w:p>
        </w:tc>
        <w:tc>
          <w:tcPr>
            <w:tcW w:w="1275" w:type="dxa"/>
            <w:tcBorders>
              <w:top w:val="single" w:sz="4" w:space="0" w:color="000000"/>
              <w:left w:val="single" w:sz="4" w:space="0" w:color="000000"/>
              <w:bottom w:val="single" w:sz="4" w:space="0" w:color="000000"/>
              <w:right w:val="single" w:sz="4" w:space="0" w:color="000000"/>
            </w:tcBorders>
          </w:tcPr>
          <w:p w14:paraId="5CB75B3E"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w:t>
            </w:r>
          </w:p>
        </w:tc>
        <w:tc>
          <w:tcPr>
            <w:tcW w:w="5236" w:type="dxa"/>
            <w:tcBorders>
              <w:top w:val="single" w:sz="4" w:space="0" w:color="000000"/>
              <w:bottom w:val="single" w:sz="4" w:space="0" w:color="000000"/>
            </w:tcBorders>
          </w:tcPr>
          <w:p w14:paraId="01344C51"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Vor fi inserate cuvintele „cu modificările ulterioare”.</w:t>
            </w:r>
          </w:p>
        </w:tc>
      </w:tr>
      <w:tr w:rsidR="005A0157" w14:paraId="11927ECA" w14:textId="77777777" w:rsidTr="00B87ECA">
        <w:trPr>
          <w:trHeight w:val="768"/>
        </w:trPr>
        <w:tc>
          <w:tcPr>
            <w:tcW w:w="1418" w:type="dxa"/>
            <w:vMerge/>
            <w:tcBorders>
              <w:right w:val="single" w:sz="4" w:space="0" w:color="000000"/>
            </w:tcBorders>
          </w:tcPr>
          <w:p w14:paraId="66B7477C"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203E4367"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Întrucât la pct. 4 se precizează data intrării în vigoare a actului normativ, la pct. 3, privind abrogarea Hotărârii Guvernului nr. 453/2012, este necesar ca, la început, să se menționeze că, la data intrării în vigoare a prezentei hotărâri, se abrogă hotărârea respectivă, pentru a stabili clar momentul de aplicare și efectele abrogării actului anterior.</w:t>
            </w:r>
          </w:p>
        </w:tc>
        <w:tc>
          <w:tcPr>
            <w:tcW w:w="1275" w:type="dxa"/>
            <w:tcBorders>
              <w:top w:val="single" w:sz="4" w:space="0" w:color="000000"/>
              <w:left w:val="single" w:sz="4" w:space="0" w:color="000000"/>
              <w:bottom w:val="single" w:sz="4" w:space="0" w:color="000000"/>
              <w:right w:val="single" w:sz="4" w:space="0" w:color="000000"/>
            </w:tcBorders>
          </w:tcPr>
          <w:p w14:paraId="0FAC9AB7"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acceptă </w:t>
            </w:r>
          </w:p>
        </w:tc>
        <w:tc>
          <w:tcPr>
            <w:tcW w:w="5236" w:type="dxa"/>
            <w:tcBorders>
              <w:top w:val="single" w:sz="4" w:space="0" w:color="000000"/>
              <w:bottom w:val="single" w:sz="4" w:space="0" w:color="000000"/>
            </w:tcBorders>
          </w:tcPr>
          <w:p w14:paraId="6BB81F37"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va modifica corespunzător. </w:t>
            </w:r>
          </w:p>
        </w:tc>
      </w:tr>
      <w:tr w:rsidR="005A0157" w14:paraId="6FA68BE0" w14:textId="77777777" w:rsidTr="00B87ECA">
        <w:trPr>
          <w:trHeight w:val="768"/>
        </w:trPr>
        <w:tc>
          <w:tcPr>
            <w:tcW w:w="1418" w:type="dxa"/>
            <w:vMerge/>
            <w:tcBorders>
              <w:right w:val="single" w:sz="4" w:space="0" w:color="000000"/>
            </w:tcBorders>
          </w:tcPr>
          <w:p w14:paraId="3C16BDF6"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4F825125"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pct. 4, din rațiuni de ordin gramatical, este necesară scrierea cu inițială mică a termenului „Hotărâre”.</w:t>
            </w:r>
          </w:p>
        </w:tc>
        <w:tc>
          <w:tcPr>
            <w:tcW w:w="1275" w:type="dxa"/>
            <w:tcBorders>
              <w:top w:val="single" w:sz="4" w:space="0" w:color="000000"/>
              <w:left w:val="single" w:sz="4" w:space="0" w:color="000000"/>
              <w:bottom w:val="single" w:sz="4" w:space="0" w:color="000000"/>
              <w:right w:val="single" w:sz="4" w:space="0" w:color="000000"/>
            </w:tcBorders>
          </w:tcPr>
          <w:p w14:paraId="556FDCEB"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w:t>
            </w:r>
          </w:p>
        </w:tc>
        <w:tc>
          <w:tcPr>
            <w:tcW w:w="5236" w:type="dxa"/>
            <w:tcBorders>
              <w:top w:val="single" w:sz="4" w:space="0" w:color="000000"/>
              <w:bottom w:val="single" w:sz="4" w:space="0" w:color="000000"/>
            </w:tcBorders>
          </w:tcPr>
          <w:p w14:paraId="3F7B1377"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va corecta.</w:t>
            </w:r>
          </w:p>
        </w:tc>
      </w:tr>
      <w:tr w:rsidR="005A0157" w14:paraId="2DD1DC2D" w14:textId="77777777" w:rsidTr="00B87ECA">
        <w:trPr>
          <w:trHeight w:val="768"/>
        </w:trPr>
        <w:tc>
          <w:tcPr>
            <w:tcW w:w="1418" w:type="dxa"/>
            <w:vMerge/>
            <w:tcBorders>
              <w:right w:val="single" w:sz="4" w:space="0" w:color="000000"/>
            </w:tcBorders>
          </w:tcPr>
          <w:p w14:paraId="635113CC"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38716A07" w14:textId="77777777" w:rsidR="005A0157" w:rsidRDefault="00000000">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La anexă</w:t>
            </w:r>
          </w:p>
          <w:p w14:paraId="71FD5E1D" w14:textId="77777777" w:rsidR="005A0157" w:rsidRDefault="005A0157">
            <w:pPr>
              <w:jc w:val="both"/>
              <w:rPr>
                <w:rFonts w:ascii="Times New Roman" w:eastAsia="Times New Roman" w:hAnsi="Times New Roman" w:cs="Times New Roman"/>
                <w:sz w:val="20"/>
                <w:szCs w:val="20"/>
              </w:rPr>
            </w:pPr>
          </w:p>
          <w:p w14:paraId="334B30E0" w14:textId="14362B59" w:rsidR="005A0157" w:rsidRPr="00B87ECA" w:rsidRDefault="00000000" w:rsidP="00B87ECA">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remarcă faptul că, anexa este partea integrantă a actului normativ și include reglementări care urmează a fi aprobate de autoritatea publică competentă. Prin urmare, aceasta trebuie să fie însoțită de parafa de aprobare: „Aprobat prin Hotărârea Guvernului nr.__/2026”.</w:t>
            </w:r>
          </w:p>
        </w:tc>
        <w:tc>
          <w:tcPr>
            <w:tcW w:w="1275" w:type="dxa"/>
            <w:tcBorders>
              <w:top w:val="single" w:sz="4" w:space="0" w:color="000000"/>
              <w:left w:val="single" w:sz="4" w:space="0" w:color="000000"/>
              <w:bottom w:val="single" w:sz="4" w:space="0" w:color="000000"/>
              <w:right w:val="single" w:sz="4" w:space="0" w:color="000000"/>
            </w:tcBorders>
          </w:tcPr>
          <w:p w14:paraId="669EC99B"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w:t>
            </w:r>
          </w:p>
        </w:tc>
        <w:tc>
          <w:tcPr>
            <w:tcW w:w="5236" w:type="dxa"/>
            <w:tcBorders>
              <w:top w:val="single" w:sz="4" w:space="0" w:color="000000"/>
              <w:bottom w:val="single" w:sz="4" w:space="0" w:color="000000"/>
            </w:tcBorders>
          </w:tcPr>
          <w:p w14:paraId="74A91D0A"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va introduce sintagma „Aprobat prin Hotărârea Guvernului nr.__/2026” în anexă.</w:t>
            </w:r>
          </w:p>
          <w:p w14:paraId="16CC11C1" w14:textId="77777777" w:rsidR="005A0157" w:rsidRDefault="005A0157">
            <w:pPr>
              <w:jc w:val="both"/>
              <w:rPr>
                <w:rFonts w:ascii="Times New Roman" w:eastAsia="Times New Roman" w:hAnsi="Times New Roman" w:cs="Times New Roman"/>
                <w:sz w:val="20"/>
                <w:szCs w:val="20"/>
              </w:rPr>
            </w:pPr>
          </w:p>
        </w:tc>
      </w:tr>
      <w:tr w:rsidR="005A0157" w14:paraId="138D9D57" w14:textId="77777777" w:rsidTr="00B87ECA">
        <w:trPr>
          <w:trHeight w:val="768"/>
        </w:trPr>
        <w:tc>
          <w:tcPr>
            <w:tcW w:w="1418" w:type="dxa"/>
            <w:vMerge/>
            <w:tcBorders>
              <w:right w:val="single" w:sz="4" w:space="0" w:color="000000"/>
            </w:tcBorders>
          </w:tcPr>
          <w:p w14:paraId="66F873A0"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6478B3B0"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Pct. 2 urmează a fi eliminat, deoarece menționarea temeiurilor juridice în conținutul regulamentului se consideră redundantă, or, scopul principal al cuprinsului acestuia este de a reglementa aspecte specifice și obiectivele urmărite. Precizăm că, în procesul de elaborare a unui regulament, temeiul juridic se indică doar în clauza de adoptare a actului normativ de aprobare a acestuia. Totodată, pentru a asigura transparența și claritatea temeiurilor juridice care stau la baza regulamentului, este recomandat ca acestea să fie menționate în nota de 3 fundamentare anexată proiectului de act normativ pentru a facilita înțelegerea contextului juridic și a fundamentării acestuia.</w:t>
            </w:r>
          </w:p>
        </w:tc>
        <w:tc>
          <w:tcPr>
            <w:tcW w:w="1275" w:type="dxa"/>
            <w:tcBorders>
              <w:top w:val="single" w:sz="4" w:space="0" w:color="000000"/>
              <w:left w:val="single" w:sz="4" w:space="0" w:color="000000"/>
              <w:bottom w:val="single" w:sz="4" w:space="0" w:color="000000"/>
              <w:right w:val="single" w:sz="4" w:space="0" w:color="000000"/>
            </w:tcBorders>
          </w:tcPr>
          <w:p w14:paraId="05925CBB"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w:t>
            </w:r>
          </w:p>
        </w:tc>
        <w:tc>
          <w:tcPr>
            <w:tcW w:w="5236" w:type="dxa"/>
            <w:tcBorders>
              <w:top w:val="single" w:sz="4" w:space="0" w:color="000000"/>
              <w:bottom w:val="single" w:sz="4" w:space="0" w:color="000000"/>
            </w:tcBorders>
          </w:tcPr>
          <w:p w14:paraId="5AFC13BA"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va elimina pct. 2. Pentru asigurarea transparenței, în nota de fundamentare va fi inclus următorul text: „Proiectul este elaborat în vederea executării prevederilor art. 2 din Legea nr. 70/2024, care mandatează Guvernul cu întreprinderea măsurilor necesare pentru realizarea Acordului CEEPUS IV, coroborat cu art. 148 alin. (6) din Codul Educației, care reglementează finanțarea mobilităților academice. Astfel, prezentul act normativ asigură cadrul juridic secundar necesar pentru operaționalizarea angajamentelor internaționale asumate de Republica Moldova în domeniul schimburilor universitare.”</w:t>
            </w:r>
          </w:p>
        </w:tc>
      </w:tr>
      <w:tr w:rsidR="005A0157" w14:paraId="1143DB33" w14:textId="77777777" w:rsidTr="00B87ECA">
        <w:trPr>
          <w:trHeight w:val="768"/>
        </w:trPr>
        <w:tc>
          <w:tcPr>
            <w:tcW w:w="1418" w:type="dxa"/>
            <w:vMerge/>
            <w:tcBorders>
              <w:right w:val="single" w:sz="4" w:space="0" w:color="000000"/>
            </w:tcBorders>
          </w:tcPr>
          <w:p w14:paraId="3AD9D31F"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51850ECC"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Referitor la formula abreviată folosită la pct. 4 „Acordului”, se va reține că, potrivit art. 54 alin. (1) lit. i) din Legea nr. 100/2017, exprimarea prin abrevieri a unor denumiri sau termeni se poate face numai după explicarea acestora în text, la prima folosire. În consecință, în textul pct. 3, la final, este necesar de completat cu formula abreviată „(în continuare - Acordul)”. Aceeași observație este valabilă și pentru pct. 5, vizând utilizarea formulei abreviate „Programului CEEPUS IV”.</w:t>
            </w:r>
          </w:p>
        </w:tc>
        <w:tc>
          <w:tcPr>
            <w:tcW w:w="1275" w:type="dxa"/>
            <w:tcBorders>
              <w:top w:val="single" w:sz="4" w:space="0" w:color="000000"/>
              <w:left w:val="single" w:sz="4" w:space="0" w:color="000000"/>
              <w:bottom w:val="single" w:sz="4" w:space="0" w:color="000000"/>
              <w:right w:val="single" w:sz="4" w:space="0" w:color="000000"/>
            </w:tcBorders>
          </w:tcPr>
          <w:p w14:paraId="78958D56"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w:t>
            </w:r>
          </w:p>
        </w:tc>
        <w:tc>
          <w:tcPr>
            <w:tcW w:w="5236" w:type="dxa"/>
            <w:tcBorders>
              <w:top w:val="single" w:sz="4" w:space="0" w:color="000000"/>
              <w:bottom w:val="single" w:sz="4" w:space="0" w:color="000000"/>
            </w:tcBorders>
          </w:tcPr>
          <w:p w14:paraId="1C5C054B"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va completa pct. 3 cu formula abreviată  „(în continuare - Acordul)”, iar la pct. se va exclude formula abreviată, fiind scrisă denumirea programului complet.</w:t>
            </w:r>
          </w:p>
        </w:tc>
      </w:tr>
      <w:tr w:rsidR="005A0157" w14:paraId="562F6F5B" w14:textId="77777777" w:rsidTr="00B87ECA">
        <w:trPr>
          <w:trHeight w:val="768"/>
        </w:trPr>
        <w:tc>
          <w:tcPr>
            <w:tcW w:w="1418" w:type="dxa"/>
            <w:vMerge/>
            <w:tcBorders>
              <w:right w:val="single" w:sz="4" w:space="0" w:color="000000"/>
            </w:tcBorders>
          </w:tcPr>
          <w:p w14:paraId="733CFBE8"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0598DEF5"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pct. 6, textul normei conține o contradicție internă. În primul enunț se prevede că lista instituțiilor participante din Republica Moldova în cadrul Programului CEEPUS IV se publică anterior lansării apelului de candidaturi CEEPUS, iar în al doilea enunț se stipulează că lista este publicată simultan cu lansarea apelului. Or, publicarea „anterior” și publicarea „simultan” reprezintă momente diferite, ceea ce poate genera dificultăți în aplicare. Precizăm că, potrivit prevederilor art. 2 din Acord, fiecare Parte Contractantă prezintă anual o listă a universităților eligibile pentru participarea la acțiunile CEEPUS IV, înainte de fiecare nouă lansare a aplicațiilor de rețea. În consecință, norma urmează a fi revizuită în vederea asigurării corelării cu prevederile Acordului și pentru garantarea clarității și previzibilității procesului de selecție.</w:t>
            </w:r>
          </w:p>
        </w:tc>
        <w:tc>
          <w:tcPr>
            <w:tcW w:w="1275" w:type="dxa"/>
            <w:tcBorders>
              <w:top w:val="single" w:sz="4" w:space="0" w:color="000000"/>
              <w:left w:val="single" w:sz="4" w:space="0" w:color="000000"/>
              <w:bottom w:val="single" w:sz="4" w:space="0" w:color="000000"/>
              <w:right w:val="single" w:sz="4" w:space="0" w:color="000000"/>
            </w:tcBorders>
          </w:tcPr>
          <w:p w14:paraId="54AE113A"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w:t>
            </w:r>
          </w:p>
        </w:tc>
        <w:tc>
          <w:tcPr>
            <w:tcW w:w="5236" w:type="dxa"/>
            <w:tcBorders>
              <w:top w:val="single" w:sz="4" w:space="0" w:color="000000"/>
              <w:bottom w:val="single" w:sz="4" w:space="0" w:color="000000"/>
            </w:tcBorders>
          </w:tcPr>
          <w:p w14:paraId="34D7CF10"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elimină mențiunea contradictorie privind publicarea simultană, pentru a asigura corelarea cu prevederile Acordului internațional.</w:t>
            </w:r>
          </w:p>
        </w:tc>
      </w:tr>
      <w:tr w:rsidR="005A0157" w14:paraId="50B0A79E" w14:textId="77777777" w:rsidTr="00B87ECA">
        <w:trPr>
          <w:trHeight w:val="768"/>
        </w:trPr>
        <w:tc>
          <w:tcPr>
            <w:tcW w:w="1418" w:type="dxa"/>
            <w:vMerge/>
            <w:tcBorders>
              <w:right w:val="single" w:sz="4" w:space="0" w:color="000000"/>
            </w:tcBorders>
          </w:tcPr>
          <w:p w14:paraId="74CFC807"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6239A9CE"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pct. 6: expresia „prin ordin MEC” urmează a fi reformulată, întrucât în cuprinsul textului titulatura ministerului este utilizată în formă integrală; sintagma „pe site-ul mec.gov.md” urmează a fi </w:t>
            </w:r>
            <w:proofErr w:type="spellStart"/>
            <w:r>
              <w:rPr>
                <w:rFonts w:ascii="Times New Roman" w:eastAsia="Times New Roman" w:hAnsi="Times New Roman" w:cs="Times New Roman"/>
                <w:sz w:val="20"/>
                <w:szCs w:val="20"/>
              </w:rPr>
              <w:t>substită</w:t>
            </w:r>
            <w:proofErr w:type="spellEnd"/>
            <w:r>
              <w:rPr>
                <w:rFonts w:ascii="Times New Roman" w:eastAsia="Times New Roman" w:hAnsi="Times New Roman" w:cs="Times New Roman"/>
                <w:sz w:val="20"/>
                <w:szCs w:val="20"/>
              </w:rPr>
              <w:t xml:space="preserve"> cu sintagma „pe </w:t>
            </w:r>
            <w:proofErr w:type="spellStart"/>
            <w:r>
              <w:rPr>
                <w:rFonts w:ascii="Times New Roman" w:eastAsia="Times New Roman" w:hAnsi="Times New Roman" w:cs="Times New Roman"/>
                <w:sz w:val="20"/>
                <w:szCs w:val="20"/>
              </w:rPr>
              <w:t>siteul</w:t>
            </w:r>
            <w:proofErr w:type="spellEnd"/>
            <w:r>
              <w:rPr>
                <w:rFonts w:ascii="Times New Roman" w:eastAsia="Times New Roman" w:hAnsi="Times New Roman" w:cs="Times New Roman"/>
                <w:sz w:val="20"/>
                <w:szCs w:val="20"/>
              </w:rPr>
              <w:t xml:space="preserve"> său web oficial”.</w:t>
            </w:r>
          </w:p>
        </w:tc>
        <w:tc>
          <w:tcPr>
            <w:tcW w:w="1275" w:type="dxa"/>
            <w:tcBorders>
              <w:top w:val="single" w:sz="4" w:space="0" w:color="000000"/>
              <w:left w:val="single" w:sz="4" w:space="0" w:color="000000"/>
              <w:bottom w:val="single" w:sz="4" w:space="0" w:color="000000"/>
              <w:right w:val="single" w:sz="4" w:space="0" w:color="000000"/>
            </w:tcBorders>
          </w:tcPr>
          <w:p w14:paraId="59342804"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w:t>
            </w:r>
          </w:p>
        </w:tc>
        <w:tc>
          <w:tcPr>
            <w:tcW w:w="5236" w:type="dxa"/>
            <w:tcBorders>
              <w:top w:val="single" w:sz="4" w:space="0" w:color="000000"/>
              <w:bottom w:val="single" w:sz="4" w:space="0" w:color="000000"/>
            </w:tcBorders>
          </w:tcPr>
          <w:p w14:paraId="40EFF5AC"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va modifica corespunzător.</w:t>
            </w:r>
          </w:p>
        </w:tc>
      </w:tr>
      <w:tr w:rsidR="005A0157" w14:paraId="425236FC" w14:textId="77777777" w:rsidTr="00B87ECA">
        <w:trPr>
          <w:trHeight w:val="768"/>
        </w:trPr>
        <w:tc>
          <w:tcPr>
            <w:tcW w:w="1418" w:type="dxa"/>
            <w:vMerge/>
            <w:tcBorders>
              <w:right w:val="single" w:sz="4" w:space="0" w:color="000000"/>
            </w:tcBorders>
          </w:tcPr>
          <w:p w14:paraId="241B33F6"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42A53CDC"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pct. 7, textul „începe la 01.09.” trebuie completat cu formularea „a anului în curs”, iar textul „31.08.” cu „al anului următor”, pentru a asigura claritatea și exactitatea perioadei de desfășurare a anului universitar în cadrul Programului CEEPUS IV.</w:t>
            </w:r>
          </w:p>
        </w:tc>
        <w:tc>
          <w:tcPr>
            <w:tcW w:w="1275" w:type="dxa"/>
            <w:tcBorders>
              <w:top w:val="single" w:sz="4" w:space="0" w:color="000000"/>
              <w:left w:val="single" w:sz="4" w:space="0" w:color="000000"/>
              <w:bottom w:val="single" w:sz="4" w:space="0" w:color="000000"/>
              <w:right w:val="single" w:sz="4" w:space="0" w:color="000000"/>
            </w:tcBorders>
          </w:tcPr>
          <w:p w14:paraId="581C8B41"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w:t>
            </w:r>
          </w:p>
        </w:tc>
        <w:tc>
          <w:tcPr>
            <w:tcW w:w="5236" w:type="dxa"/>
            <w:tcBorders>
              <w:top w:val="single" w:sz="4" w:space="0" w:color="000000"/>
              <w:bottom w:val="single" w:sz="4" w:space="0" w:color="000000"/>
            </w:tcBorders>
          </w:tcPr>
          <w:p w14:paraId="5A171374"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va completa cu formularea „a anului în curs” și formularea „al anului următor”.</w:t>
            </w:r>
          </w:p>
        </w:tc>
      </w:tr>
      <w:tr w:rsidR="005A0157" w14:paraId="19587366" w14:textId="77777777" w:rsidTr="00B87ECA">
        <w:trPr>
          <w:trHeight w:val="795"/>
        </w:trPr>
        <w:tc>
          <w:tcPr>
            <w:tcW w:w="1418" w:type="dxa"/>
            <w:vMerge/>
            <w:tcBorders>
              <w:right w:val="single" w:sz="4" w:space="0" w:color="000000"/>
            </w:tcBorders>
          </w:tcPr>
          <w:p w14:paraId="67144653"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0FDAC3C2"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pct. 8, norma prin care se prevede că creditele obținute de bursierii Programului CEEPUS sunt recunoscute de țara de origine nu este necesară în cadrul proiectului dat. Aceasta este deja reglementată de Acord, care prevede la art. 2 paragraful 3) că perioada de studii, formare sau stagiu trebuie să se desfășoare la o universitate sau instituție-gazdă dintr-o rețea CEEPUS, în conformitate cu Acordul și cu programul de lucru CEEPUS, cu condiția ca </w:t>
            </w:r>
            <w:r>
              <w:rPr>
                <w:rFonts w:ascii="Times New Roman" w:eastAsia="Times New Roman" w:hAnsi="Times New Roman" w:cs="Times New Roman"/>
                <w:sz w:val="20"/>
                <w:szCs w:val="20"/>
              </w:rPr>
              <w:lastRenderedPageBreak/>
              <w:t>creditele acumulate în timpul acestei perioade să fie recunoscute și acordate de universitatea de origine a studentului. Prin urmare, inserarea acestei norme în proiect ar fi redundantă și inutilă.</w:t>
            </w:r>
          </w:p>
        </w:tc>
        <w:tc>
          <w:tcPr>
            <w:tcW w:w="1275" w:type="dxa"/>
            <w:tcBorders>
              <w:top w:val="single" w:sz="4" w:space="0" w:color="000000"/>
              <w:left w:val="single" w:sz="4" w:space="0" w:color="000000"/>
              <w:bottom w:val="single" w:sz="4" w:space="0" w:color="000000"/>
              <w:right w:val="single" w:sz="4" w:space="0" w:color="000000"/>
            </w:tcBorders>
          </w:tcPr>
          <w:p w14:paraId="5694A8A4"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Se acceptă</w:t>
            </w:r>
          </w:p>
        </w:tc>
        <w:tc>
          <w:tcPr>
            <w:tcW w:w="5236" w:type="dxa"/>
            <w:tcBorders>
              <w:top w:val="single" w:sz="4" w:space="0" w:color="000000"/>
              <w:bottom w:val="single" w:sz="4" w:space="0" w:color="000000"/>
            </w:tcBorders>
          </w:tcPr>
          <w:p w14:paraId="20167A24" w14:textId="38F69C0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va exclude pct. 8.</w:t>
            </w:r>
          </w:p>
        </w:tc>
      </w:tr>
      <w:tr w:rsidR="005A0157" w14:paraId="0A642352" w14:textId="77777777" w:rsidTr="00B87ECA">
        <w:trPr>
          <w:trHeight w:val="768"/>
        </w:trPr>
        <w:tc>
          <w:tcPr>
            <w:tcW w:w="1418" w:type="dxa"/>
            <w:vMerge/>
            <w:tcBorders>
              <w:right w:val="single" w:sz="4" w:space="0" w:color="000000"/>
            </w:tcBorders>
          </w:tcPr>
          <w:p w14:paraId="714FCBFF"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1D51DB77"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 pct. 11 formularea „Republica Moldova oferă anual un minim de 100 luni-bursă participanților la Programul CEEPUS IV – cetățeni străini – pentru mobilități în învățământul superior” este ambiguă și lipsită de claritate din cauza cratimelor excesive. Se recomandă reformularea textului pentru a exprima clar numărul de luni bursă și destinatarii acestora.</w:t>
            </w:r>
          </w:p>
        </w:tc>
        <w:tc>
          <w:tcPr>
            <w:tcW w:w="1275" w:type="dxa"/>
            <w:tcBorders>
              <w:top w:val="single" w:sz="4" w:space="0" w:color="000000"/>
              <w:left w:val="single" w:sz="4" w:space="0" w:color="000000"/>
              <w:bottom w:val="single" w:sz="4" w:space="0" w:color="000000"/>
              <w:right w:val="single" w:sz="4" w:space="0" w:color="000000"/>
            </w:tcBorders>
          </w:tcPr>
          <w:p w14:paraId="685D385F"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w:t>
            </w:r>
          </w:p>
        </w:tc>
        <w:tc>
          <w:tcPr>
            <w:tcW w:w="5236" w:type="dxa"/>
            <w:tcBorders>
              <w:top w:val="single" w:sz="4" w:space="0" w:color="000000"/>
              <w:bottom w:val="single" w:sz="4" w:space="0" w:color="000000"/>
            </w:tcBorders>
          </w:tcPr>
          <w:p w14:paraId="5B48940A"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va reformula textul în următorul mod: „Republica Moldova oferă anual un număr minim de 100 de luni/bursă participanților în cadrul Programului CEEPUS IV, destinate mobilităților în învățământul superior, inclusiv pentru studii, stagii, activități de predare, cercetare, creație artistică și alte activități academice eligibile.”</w:t>
            </w:r>
          </w:p>
        </w:tc>
      </w:tr>
      <w:tr w:rsidR="005A0157" w14:paraId="52167CBA" w14:textId="77777777" w:rsidTr="00B87ECA">
        <w:trPr>
          <w:trHeight w:val="768"/>
        </w:trPr>
        <w:tc>
          <w:tcPr>
            <w:tcW w:w="1418" w:type="dxa"/>
            <w:vMerge/>
            <w:tcBorders>
              <w:right w:val="single" w:sz="4" w:space="0" w:color="000000"/>
            </w:tcBorders>
          </w:tcPr>
          <w:p w14:paraId="3EABB28B"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5BED4959"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Sugerăm revizuirea expresiei „în conformitate cu Acordul privind Programul CEEPUS IV”, astfel încât să fie utilizată o terminologie unitară în întreg textul. Aceeași observație este valabilă și pentru pct. 16, vizând expresia „conform Acordului CEEPUS IV”.</w:t>
            </w:r>
          </w:p>
        </w:tc>
        <w:tc>
          <w:tcPr>
            <w:tcW w:w="1275" w:type="dxa"/>
            <w:tcBorders>
              <w:top w:val="single" w:sz="4" w:space="0" w:color="000000"/>
              <w:left w:val="single" w:sz="4" w:space="0" w:color="000000"/>
              <w:bottom w:val="single" w:sz="4" w:space="0" w:color="000000"/>
              <w:right w:val="single" w:sz="4" w:space="0" w:color="000000"/>
            </w:tcBorders>
          </w:tcPr>
          <w:p w14:paraId="3923C6C8"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w:t>
            </w:r>
          </w:p>
        </w:tc>
        <w:tc>
          <w:tcPr>
            <w:tcW w:w="5236" w:type="dxa"/>
            <w:tcBorders>
              <w:top w:val="single" w:sz="4" w:space="0" w:color="000000"/>
              <w:bottom w:val="single" w:sz="4" w:space="0" w:color="000000"/>
            </w:tcBorders>
          </w:tcPr>
          <w:p w14:paraId="2C8DAC44"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va modifica pct.16 prin utilizarea expresiei „în conformitate cu Acordul privind Programul CEEPUS IV”.</w:t>
            </w:r>
          </w:p>
        </w:tc>
      </w:tr>
      <w:tr w:rsidR="005A0157" w14:paraId="182A5AF2" w14:textId="77777777" w:rsidTr="00B87ECA">
        <w:trPr>
          <w:trHeight w:val="720"/>
        </w:trPr>
        <w:tc>
          <w:tcPr>
            <w:tcW w:w="1418" w:type="dxa"/>
            <w:vMerge/>
            <w:tcBorders>
              <w:right w:val="single" w:sz="4" w:space="0" w:color="000000"/>
            </w:tcBorders>
          </w:tcPr>
          <w:p w14:paraId="43BBC51C"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15859F56"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 regulă, destinatarii sau subiecții unui act normativ, în special ai unui regulament, sunt precizați în </w:t>
            </w:r>
            <w:proofErr w:type="spellStart"/>
            <w:r>
              <w:rPr>
                <w:rFonts w:ascii="Times New Roman" w:eastAsia="Times New Roman" w:hAnsi="Times New Roman" w:cs="Times New Roman"/>
                <w:sz w:val="20"/>
                <w:szCs w:val="20"/>
              </w:rPr>
              <w:t>capit</w:t>
            </w:r>
            <w:proofErr w:type="spellEnd"/>
            <w:r>
              <w:rPr>
                <w:rFonts w:ascii="Times New Roman" w:eastAsia="Times New Roman" w:hAnsi="Times New Roman" w:cs="Times New Roman"/>
                <w:sz w:val="20"/>
                <w:szCs w:val="20"/>
              </w:rPr>
              <w:t>. I, dedicat dispozițiilor generale, pentru a fi clar de la început cui se aplică prevederile actului și a asigura o structură coerentă.</w:t>
            </w:r>
          </w:p>
        </w:tc>
        <w:tc>
          <w:tcPr>
            <w:tcW w:w="1275" w:type="dxa"/>
            <w:tcBorders>
              <w:top w:val="single" w:sz="4" w:space="0" w:color="000000"/>
              <w:left w:val="single" w:sz="4" w:space="0" w:color="000000"/>
              <w:bottom w:val="single" w:sz="4" w:space="0" w:color="000000"/>
              <w:right w:val="single" w:sz="4" w:space="0" w:color="000000"/>
            </w:tcBorders>
          </w:tcPr>
          <w:p w14:paraId="423E69C1"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acceptă </w:t>
            </w:r>
          </w:p>
        </w:tc>
        <w:tc>
          <w:tcPr>
            <w:tcW w:w="5236" w:type="dxa"/>
            <w:tcBorders>
              <w:top w:val="single" w:sz="4" w:space="0" w:color="000000"/>
              <w:bottom w:val="single" w:sz="4" w:space="0" w:color="000000"/>
            </w:tcBorders>
          </w:tcPr>
          <w:p w14:paraId="6F6BDDD6"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pct. 1 din Capitolul I „Dispoziții generale”, a fost completat în scopul asigurării clarității  aplicabilității actului prin specificarea faptului că subiecții actului normativ sunt cetățeni ai altor state decât Republica Moldova. </w:t>
            </w:r>
          </w:p>
        </w:tc>
      </w:tr>
      <w:tr w:rsidR="005A0157" w14:paraId="2078B66A" w14:textId="77777777" w:rsidTr="00B87ECA">
        <w:trPr>
          <w:trHeight w:val="750"/>
        </w:trPr>
        <w:tc>
          <w:tcPr>
            <w:tcW w:w="1418" w:type="dxa"/>
            <w:vMerge/>
            <w:tcBorders>
              <w:right w:val="single" w:sz="4" w:space="0" w:color="000000"/>
            </w:tcBorders>
          </w:tcPr>
          <w:p w14:paraId="2BEFC7AA"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28CB7EC1"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Aceeași observație este valabilă și pentru pct. 12, norma căruia stabilește subiecții neeligibili, întrucât precizarea de la început a acestora ar facilita înțelegerea imediată a aplicabilității actului și ar preveni eventualele confuzii.</w:t>
            </w:r>
          </w:p>
        </w:tc>
        <w:tc>
          <w:tcPr>
            <w:tcW w:w="1275" w:type="dxa"/>
            <w:tcBorders>
              <w:top w:val="single" w:sz="4" w:space="0" w:color="000000"/>
              <w:left w:val="single" w:sz="4" w:space="0" w:color="000000"/>
              <w:bottom w:val="single" w:sz="4" w:space="0" w:color="000000"/>
              <w:right w:val="single" w:sz="4" w:space="0" w:color="000000"/>
            </w:tcBorders>
          </w:tcPr>
          <w:p w14:paraId="21CA7C38"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w:t>
            </w:r>
          </w:p>
        </w:tc>
        <w:tc>
          <w:tcPr>
            <w:tcW w:w="5236" w:type="dxa"/>
            <w:tcBorders>
              <w:top w:val="single" w:sz="4" w:space="0" w:color="000000"/>
              <w:bottom w:val="single" w:sz="4" w:space="0" w:color="000000"/>
            </w:tcBorders>
          </w:tcPr>
          <w:p w14:paraId="700C3C78" w14:textId="77777777" w:rsidR="005A0157" w:rsidRDefault="00000000">
            <w:pPr>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Pct. 12 va fi transferat la capitolul </w:t>
            </w:r>
            <w:r>
              <w:rPr>
                <w:rFonts w:ascii="Times New Roman" w:eastAsia="Times New Roman" w:hAnsi="Times New Roman" w:cs="Times New Roman"/>
                <w:b/>
                <w:bCs/>
                <w:sz w:val="20"/>
                <w:szCs w:val="20"/>
              </w:rPr>
              <w:t>Dispoziții generale.</w:t>
            </w:r>
          </w:p>
        </w:tc>
      </w:tr>
      <w:tr w:rsidR="005A0157" w14:paraId="2282F1F1" w14:textId="77777777" w:rsidTr="00B87ECA">
        <w:trPr>
          <w:trHeight w:val="768"/>
        </w:trPr>
        <w:tc>
          <w:tcPr>
            <w:tcW w:w="1418" w:type="dxa"/>
            <w:vMerge/>
            <w:tcBorders>
              <w:right w:val="single" w:sz="4" w:space="0" w:color="000000"/>
            </w:tcBorders>
          </w:tcPr>
          <w:p w14:paraId="51FACCDC"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1D91F149"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Conform art. 51 alin. (6) din Legea nr. 100/2017, alineatele, ca subdiviziuni ale articolului, se marchează succesiv cu numere ordinare, exprimate prin cifre arabe și luate/încadrate între paranteze rotunde. Prin urmare, la pct. 24, mențiunea „alineatul 4)” trebuie revizuită.</w:t>
            </w:r>
          </w:p>
        </w:tc>
        <w:tc>
          <w:tcPr>
            <w:tcW w:w="1275" w:type="dxa"/>
            <w:tcBorders>
              <w:top w:val="single" w:sz="4" w:space="0" w:color="000000"/>
              <w:left w:val="single" w:sz="4" w:space="0" w:color="000000"/>
              <w:bottom w:val="single" w:sz="4" w:space="0" w:color="000000"/>
              <w:right w:val="single" w:sz="4" w:space="0" w:color="000000"/>
            </w:tcBorders>
          </w:tcPr>
          <w:p w14:paraId="02E23D70"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w:t>
            </w:r>
          </w:p>
        </w:tc>
        <w:tc>
          <w:tcPr>
            <w:tcW w:w="5236" w:type="dxa"/>
            <w:tcBorders>
              <w:top w:val="single" w:sz="4" w:space="0" w:color="000000"/>
              <w:bottom w:val="single" w:sz="4" w:space="0" w:color="000000"/>
            </w:tcBorders>
          </w:tcPr>
          <w:p w14:paraId="3C5BA2D7"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va face această modificare la pct. 2 de la capitolul Dispoziții generale.</w:t>
            </w:r>
          </w:p>
        </w:tc>
      </w:tr>
      <w:tr w:rsidR="005A0157" w14:paraId="59294AD7" w14:textId="77777777" w:rsidTr="00B87ECA">
        <w:trPr>
          <w:trHeight w:val="768"/>
        </w:trPr>
        <w:tc>
          <w:tcPr>
            <w:tcW w:w="1418" w:type="dxa"/>
            <w:vMerge/>
            <w:tcBorders>
              <w:right w:val="single" w:sz="4" w:space="0" w:color="000000"/>
            </w:tcBorders>
          </w:tcPr>
          <w:p w14:paraId="1488813F" w14:textId="77777777" w:rsidR="005A0157" w:rsidRDefault="005A0157">
            <w:pPr>
              <w:widowControl w:val="0"/>
              <w:pBdr>
                <w:top w:val="nil"/>
                <w:left w:val="nil"/>
                <w:bottom w:val="nil"/>
                <w:right w:val="nil"/>
                <w:between w:val="nil"/>
              </w:pBdr>
              <w:rPr>
                <w:rFonts w:ascii="Times New Roman" w:eastAsia="Times New Roman" w:hAnsi="Times New Roman" w:cs="Times New Roman"/>
                <w:sz w:val="20"/>
                <w:szCs w:val="20"/>
              </w:rPr>
            </w:pPr>
          </w:p>
        </w:tc>
        <w:tc>
          <w:tcPr>
            <w:tcW w:w="7097" w:type="dxa"/>
            <w:tcBorders>
              <w:top w:val="single" w:sz="4" w:space="0" w:color="000000"/>
              <w:left w:val="single" w:sz="4" w:space="0" w:color="000000"/>
              <w:bottom w:val="single" w:sz="4" w:space="0" w:color="000000"/>
              <w:right w:val="single" w:sz="4" w:space="0" w:color="000000"/>
            </w:tcBorders>
          </w:tcPr>
          <w:p w14:paraId="53D3076E" w14:textId="77777777" w:rsidR="005A0157" w:rsidRDefault="00000000">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În ceea ce privește numerotarea/marcajul normelor în proiect, aceasta urmează a fi ajustată conform dispozițiilor statuate la art. 52 alin. (3) din Legea nr. 100/2017, care stabilește că în vederea interpretării corecte și aplicării comode, punctele pot fi divizate în subpuncte care se numerotează prin adăugarea consecutivă a cifrelor arabe, până la gradul de detaliere necesar.</w:t>
            </w:r>
          </w:p>
        </w:tc>
        <w:tc>
          <w:tcPr>
            <w:tcW w:w="1275" w:type="dxa"/>
            <w:tcBorders>
              <w:top w:val="single" w:sz="4" w:space="0" w:color="000000"/>
              <w:left w:val="single" w:sz="4" w:space="0" w:color="000000"/>
              <w:bottom w:val="single" w:sz="4" w:space="0" w:color="000000"/>
              <w:right w:val="single" w:sz="4" w:space="0" w:color="000000"/>
            </w:tcBorders>
          </w:tcPr>
          <w:p w14:paraId="61D0F3FB" w14:textId="77777777" w:rsidR="005A015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 acceptă</w:t>
            </w:r>
          </w:p>
        </w:tc>
        <w:tc>
          <w:tcPr>
            <w:tcW w:w="5236" w:type="dxa"/>
            <w:tcBorders>
              <w:top w:val="single" w:sz="4" w:space="0" w:color="000000"/>
              <w:bottom w:val="single" w:sz="4" w:space="0" w:color="000000"/>
            </w:tcBorders>
          </w:tcPr>
          <w:p w14:paraId="282CC90A" w14:textId="77777777" w:rsidR="005A0157"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va modifica corespunzător.</w:t>
            </w:r>
          </w:p>
        </w:tc>
      </w:tr>
      <w:tr w:rsidR="00983ACC" w14:paraId="209ECD8A" w14:textId="77777777" w:rsidTr="00B87ECA">
        <w:trPr>
          <w:trHeight w:val="416"/>
        </w:trPr>
        <w:tc>
          <w:tcPr>
            <w:tcW w:w="1418" w:type="dxa"/>
            <w:tcBorders>
              <w:right w:val="single" w:sz="4" w:space="0" w:color="000000"/>
            </w:tcBorders>
          </w:tcPr>
          <w:p w14:paraId="2028FB84" w14:textId="77777777" w:rsidR="00983ACC" w:rsidRPr="00983ACC" w:rsidRDefault="00983ACC">
            <w:pPr>
              <w:widowControl w:val="0"/>
              <w:pBdr>
                <w:top w:val="nil"/>
                <w:left w:val="nil"/>
                <w:bottom w:val="nil"/>
                <w:right w:val="nil"/>
                <w:between w:val="nil"/>
              </w:pBdr>
              <w:rPr>
                <w:rFonts w:ascii="Times New Roman" w:eastAsia="Times New Roman" w:hAnsi="Times New Roman" w:cs="Times New Roman"/>
                <w:b/>
                <w:bCs/>
                <w:sz w:val="20"/>
                <w:szCs w:val="20"/>
              </w:rPr>
            </w:pPr>
            <w:r w:rsidRPr="00983ACC">
              <w:rPr>
                <w:rFonts w:ascii="Times New Roman" w:eastAsia="Times New Roman" w:hAnsi="Times New Roman" w:cs="Times New Roman"/>
                <w:b/>
                <w:bCs/>
                <w:sz w:val="20"/>
                <w:szCs w:val="20"/>
              </w:rPr>
              <w:t>Centrul Național Anticorupție</w:t>
            </w:r>
          </w:p>
        </w:tc>
        <w:tc>
          <w:tcPr>
            <w:tcW w:w="7097" w:type="dxa"/>
            <w:tcBorders>
              <w:top w:val="single" w:sz="4" w:space="0" w:color="000000"/>
              <w:left w:val="single" w:sz="4" w:space="0" w:color="000000"/>
              <w:right w:val="single" w:sz="4" w:space="0" w:color="000000"/>
            </w:tcBorders>
          </w:tcPr>
          <w:p w14:paraId="04792389" w14:textId="50122828" w:rsidR="00983ACC" w:rsidRDefault="00983ACC">
            <w:pPr>
              <w:ind w:left="720" w:hanging="36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La proiectul HG</w:t>
            </w:r>
          </w:p>
          <w:p w14:paraId="5BBE6352" w14:textId="77777777" w:rsidR="00983ACC" w:rsidRDefault="00983ACC">
            <w:pPr>
              <w:ind w:left="720" w:hanging="360"/>
              <w:jc w:val="both"/>
              <w:rPr>
                <w:rFonts w:ascii="Times New Roman" w:eastAsia="Times New Roman" w:hAnsi="Times New Roman" w:cs="Times New Roman"/>
                <w:b/>
                <w:bCs/>
                <w:sz w:val="20"/>
                <w:szCs w:val="20"/>
              </w:rPr>
            </w:pPr>
          </w:p>
          <w:p w14:paraId="12039E31" w14:textId="77777777" w:rsidR="00983ACC" w:rsidRDefault="00983ACC">
            <w:pPr>
              <w:ind w:left="720" w:hanging="36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a. </w:t>
            </w:r>
            <w:r w:rsidRPr="00983ACC">
              <w:rPr>
                <w:rFonts w:ascii="Times New Roman" w:eastAsia="Times New Roman" w:hAnsi="Times New Roman" w:cs="Times New Roman"/>
                <w:sz w:val="20"/>
                <w:szCs w:val="20"/>
              </w:rPr>
              <w:t xml:space="preserve">Completarea preambulului cu art. 148 alin.(1),(3) </w:t>
            </w:r>
            <w:proofErr w:type="spellStart"/>
            <w:r w:rsidRPr="00983ACC">
              <w:rPr>
                <w:rFonts w:ascii="Times New Roman" w:eastAsia="Times New Roman" w:hAnsi="Times New Roman" w:cs="Times New Roman"/>
                <w:sz w:val="20"/>
                <w:szCs w:val="20"/>
              </w:rPr>
              <w:t>lit.a</w:t>
            </w:r>
            <w:proofErr w:type="spellEnd"/>
            <w:r w:rsidRPr="00983ACC">
              <w:rPr>
                <w:rFonts w:ascii="Times New Roman" w:eastAsia="Times New Roman" w:hAnsi="Times New Roman" w:cs="Times New Roman"/>
                <w:sz w:val="20"/>
                <w:szCs w:val="20"/>
              </w:rPr>
              <w:t>) și (6) din Codul Educației.</w:t>
            </w:r>
          </w:p>
          <w:p w14:paraId="5F45AF86" w14:textId="4C9B7F8D" w:rsidR="00B87ECA" w:rsidRDefault="00B87ECA">
            <w:pPr>
              <w:ind w:left="720" w:hanging="360"/>
              <w:jc w:val="both"/>
              <w:rPr>
                <w:rFonts w:ascii="Times New Roman" w:eastAsia="Times New Roman" w:hAnsi="Times New Roman" w:cs="Times New Roman"/>
                <w:b/>
                <w:bCs/>
                <w:sz w:val="20"/>
                <w:szCs w:val="20"/>
              </w:rPr>
            </w:pPr>
          </w:p>
        </w:tc>
        <w:tc>
          <w:tcPr>
            <w:tcW w:w="1275" w:type="dxa"/>
            <w:tcBorders>
              <w:top w:val="single" w:sz="4" w:space="0" w:color="000000"/>
              <w:left w:val="single" w:sz="4" w:space="0" w:color="000000"/>
              <w:right w:val="single" w:sz="4" w:space="0" w:color="000000"/>
            </w:tcBorders>
          </w:tcPr>
          <w:p w14:paraId="0F6B86D8" w14:textId="70474ABC" w:rsidR="00983ACC" w:rsidRDefault="00983AC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acceptă </w:t>
            </w:r>
          </w:p>
        </w:tc>
        <w:tc>
          <w:tcPr>
            <w:tcW w:w="5236" w:type="dxa"/>
            <w:tcBorders>
              <w:top w:val="single" w:sz="4" w:space="0" w:color="000000"/>
            </w:tcBorders>
          </w:tcPr>
          <w:p w14:paraId="2B20B3CF" w14:textId="0F6BA31E" w:rsidR="00983ACC" w:rsidRDefault="00983AC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 va completa corespunzător.</w:t>
            </w:r>
          </w:p>
        </w:tc>
      </w:tr>
    </w:tbl>
    <w:p w14:paraId="009EA188" w14:textId="77777777" w:rsidR="005A0157" w:rsidRDefault="005A0157">
      <w:pPr>
        <w:spacing w:after="0" w:line="240" w:lineRule="auto"/>
        <w:jc w:val="both"/>
        <w:rPr>
          <w:rFonts w:ascii="Times New Roman" w:eastAsia="Times New Roman" w:hAnsi="Times New Roman" w:cs="Times New Roman"/>
          <w:b/>
          <w:bCs/>
          <w:sz w:val="20"/>
          <w:szCs w:val="20"/>
        </w:rPr>
      </w:pPr>
    </w:p>
    <w:p w14:paraId="60A79B3F" w14:textId="77777777" w:rsidR="005A0157" w:rsidRDefault="005A0157">
      <w:pPr>
        <w:spacing w:after="0" w:line="240" w:lineRule="auto"/>
        <w:jc w:val="both"/>
        <w:rPr>
          <w:rFonts w:ascii="Times New Roman" w:eastAsia="Times New Roman" w:hAnsi="Times New Roman" w:cs="Times New Roman"/>
          <w:b/>
          <w:bCs/>
          <w:sz w:val="20"/>
          <w:szCs w:val="20"/>
        </w:rPr>
      </w:pPr>
    </w:p>
    <w:p w14:paraId="18FBAC9D" w14:textId="77777777" w:rsidR="005A0157" w:rsidRDefault="005A0157">
      <w:pPr>
        <w:spacing w:after="0" w:line="240" w:lineRule="auto"/>
        <w:jc w:val="both"/>
        <w:rPr>
          <w:rFonts w:ascii="Times New Roman" w:eastAsia="Times New Roman" w:hAnsi="Times New Roman" w:cs="Times New Roman"/>
          <w:b/>
          <w:bCs/>
          <w:sz w:val="20"/>
          <w:szCs w:val="20"/>
        </w:rPr>
      </w:pPr>
    </w:p>
    <w:p w14:paraId="0A19B11F" w14:textId="77777777" w:rsidR="005A0157" w:rsidRDefault="005A0157">
      <w:pPr>
        <w:spacing w:after="0" w:line="240" w:lineRule="auto"/>
        <w:jc w:val="both"/>
        <w:rPr>
          <w:rFonts w:ascii="Times New Roman" w:eastAsia="Times New Roman" w:hAnsi="Times New Roman" w:cs="Times New Roman"/>
          <w:b/>
          <w:bCs/>
          <w:sz w:val="20"/>
          <w:szCs w:val="20"/>
        </w:rPr>
      </w:pPr>
    </w:p>
    <w:p w14:paraId="16AC9A93" w14:textId="77777777" w:rsidR="005A0157" w:rsidRDefault="005A0157">
      <w:pPr>
        <w:spacing w:after="0" w:line="240" w:lineRule="auto"/>
        <w:jc w:val="both"/>
        <w:rPr>
          <w:rFonts w:ascii="Times New Roman" w:eastAsia="Times New Roman" w:hAnsi="Times New Roman" w:cs="Times New Roman"/>
          <w:b/>
          <w:bCs/>
          <w:sz w:val="20"/>
          <w:szCs w:val="20"/>
        </w:rPr>
      </w:pPr>
    </w:p>
    <w:p w14:paraId="76B2C899" w14:textId="77777777" w:rsidR="005A0157"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Ministru                                                        Dan Perciun</w:t>
      </w:r>
    </w:p>
    <w:p w14:paraId="0C794F06" w14:textId="77777777" w:rsidR="005A0157" w:rsidRDefault="005A0157">
      <w:pPr>
        <w:spacing w:after="0" w:line="240" w:lineRule="auto"/>
        <w:jc w:val="both"/>
        <w:rPr>
          <w:rFonts w:ascii="Times New Roman" w:eastAsia="Times New Roman" w:hAnsi="Times New Roman" w:cs="Times New Roman"/>
          <w:b/>
          <w:bCs/>
          <w:sz w:val="20"/>
          <w:szCs w:val="20"/>
        </w:rPr>
      </w:pPr>
    </w:p>
    <w:sectPr w:rsidR="005A0157" w:rsidSect="00B87ECA">
      <w:footerReference w:type="default" r:id="rId9"/>
      <w:pgSz w:w="16838" w:h="11906" w:orient="landscape" w:code="9"/>
      <w:pgMar w:top="284" w:right="1134" w:bottom="1247" w:left="1361" w:header="720" w:footer="22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C9133" w14:textId="77777777" w:rsidR="00FE62CB" w:rsidRDefault="00FE62CB">
      <w:pPr>
        <w:spacing w:after="0" w:line="240" w:lineRule="auto"/>
      </w:pPr>
      <w:r>
        <w:separator/>
      </w:r>
    </w:p>
  </w:endnote>
  <w:endnote w:type="continuationSeparator" w:id="0">
    <w:p w14:paraId="72793A08" w14:textId="77777777" w:rsidR="00FE62CB" w:rsidRDefault="00FE6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B0D53A0-F397-4B62-8C84-F78C3C9157AF}"/>
    <w:embedBold r:id="rId2" w:fontKey="{17B404E6-A5DC-4F2D-B4C1-251974A4DC43}"/>
    <w:embedItalic r:id="rId3" w:fontKey="{EA8CC685-FC52-490B-8FBE-F92DE8C2E2B2}"/>
    <w:embedBoldItalic r:id="rId4" w:fontKey="{38C3C64C-87FB-4A95-86E8-40110175BFE6}"/>
  </w:font>
  <w:font w:name="Calibri">
    <w:panose1 w:val="020F0502020204030204"/>
    <w:charset w:val="00"/>
    <w:family w:val="swiss"/>
    <w:pitch w:val="variable"/>
    <w:sig w:usb0="E4002EFF" w:usb1="C200247B" w:usb2="00000009" w:usb3="00000000" w:csb0="000001FF" w:csb1="00000000"/>
    <w:embedRegular r:id="rId5" w:fontKey="{1D8D1514-CF2D-49A7-9F08-38607597A8F9}"/>
    <w:embedBold r:id="rId6" w:fontKey="{80F29A98-8CBF-463A-9A4F-D742330CC787}"/>
    <w:embedItalic r:id="rId7" w:fontKey="{BE87D0B9-24D4-4D2F-84B1-A82CB85F1D70}"/>
    <w:embedBoldItalic r:id="rId8" w:fontKey="{E1A1E642-B19A-4766-8B2D-C7FC2CCC9875}"/>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B3FB4" w14:textId="77777777" w:rsidR="005A0157" w:rsidRDefault="005A0157">
    <w:pPr>
      <w:pBdr>
        <w:top w:val="nil"/>
        <w:left w:val="nil"/>
        <w:bottom w:val="nil"/>
        <w:right w:val="nil"/>
        <w:between w:val="nil"/>
      </w:pBdr>
      <w:tabs>
        <w:tab w:val="center" w:pos="4680"/>
        <w:tab w:val="right" w:pos="9360"/>
        <w:tab w:val="left" w:pos="213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35939" w14:textId="77777777" w:rsidR="00FE62CB" w:rsidRDefault="00FE62CB">
      <w:pPr>
        <w:spacing w:after="0" w:line="240" w:lineRule="auto"/>
      </w:pPr>
      <w:r>
        <w:separator/>
      </w:r>
    </w:p>
  </w:footnote>
  <w:footnote w:type="continuationSeparator" w:id="0">
    <w:p w14:paraId="26254800" w14:textId="77777777" w:rsidR="00FE62CB" w:rsidRDefault="00FE62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B53CC3"/>
    <w:multiLevelType w:val="multilevel"/>
    <w:tmpl w:val="7C5C3FD0"/>
    <w:lvl w:ilvl="0">
      <w:start w:val="1"/>
      <w:numFmt w:val="lowerLetter"/>
      <w:pStyle w:val="ListNumber"/>
      <w:lvlText w:val="%1."/>
      <w:lvlJc w:val="left"/>
      <w:pPr>
        <w:ind w:left="720" w:hanging="360"/>
      </w:pPr>
      <w:rPr>
        <w:rFonts w:ascii="Times New Roman" w:eastAsia="Times New Roman" w:hAnsi="Times New Roman" w:cs="Times New Roman"/>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3585634"/>
    <w:multiLevelType w:val="multilevel"/>
    <w:tmpl w:val="8D022DDA"/>
    <w:lvl w:ilvl="0">
      <w:start w:val="1"/>
      <w:numFmt w:val="lowerLetter"/>
      <w:pStyle w:val="ListBullet2"/>
      <w:lvlText w:val="%1."/>
      <w:lvlJc w:val="left"/>
      <w:pPr>
        <w:ind w:left="720" w:hanging="360"/>
      </w:pPr>
      <w:rPr>
        <w:rFonts w:ascii="Times New Roman" w:eastAsia="Times New Roman" w:hAnsi="Times New Roman" w:cs="Times New Roman"/>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E6C45F1"/>
    <w:multiLevelType w:val="multilevel"/>
    <w:tmpl w:val="FDB6E1A6"/>
    <w:lvl w:ilvl="0">
      <w:start w:val="1"/>
      <w:numFmt w:val="lowerLetter"/>
      <w:pStyle w:val="ListBullet3"/>
      <w:lvlText w:val="%1."/>
      <w:lvlJc w:val="left"/>
      <w:pPr>
        <w:ind w:left="720" w:hanging="360"/>
      </w:pPr>
      <w:rPr>
        <w:rFonts w:ascii="Times New Roman" w:eastAsia="Times New Roman" w:hAnsi="Times New Roman" w:cs="Times New Roman"/>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59140FF"/>
    <w:multiLevelType w:val="multilevel"/>
    <w:tmpl w:val="5EE874E2"/>
    <w:lvl w:ilvl="0">
      <w:start w:val="1"/>
      <w:numFmt w:val="lowerLetter"/>
      <w:lvlText w:val="%1."/>
      <w:lvlJc w:val="left"/>
      <w:pPr>
        <w:ind w:left="720" w:hanging="360"/>
      </w:pPr>
      <w:rPr>
        <w:rFonts w:ascii="Times New Roman" w:eastAsia="Times New Roman" w:hAnsi="Times New Roman" w:cs="Times New Roman"/>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A993403"/>
    <w:multiLevelType w:val="multilevel"/>
    <w:tmpl w:val="068EEBC6"/>
    <w:lvl w:ilvl="0">
      <w:start w:val="1"/>
      <w:numFmt w:val="lowerLetter"/>
      <w:pStyle w:val="ListBullet"/>
      <w:lvlText w:val="%1."/>
      <w:lvlJc w:val="left"/>
      <w:pPr>
        <w:ind w:left="720" w:hanging="360"/>
      </w:pPr>
      <w:rPr>
        <w:rFonts w:ascii="Times New Roman" w:eastAsia="Arial" w:hAnsi="Times New Roman" w:cs="Times New Roman" w:hint="default"/>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71BB67BA"/>
    <w:multiLevelType w:val="multilevel"/>
    <w:tmpl w:val="09C40408"/>
    <w:lvl w:ilvl="0">
      <w:start w:val="1"/>
      <w:numFmt w:val="lowerLetter"/>
      <w:pStyle w:val="ListNumber2"/>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27529476">
    <w:abstractNumId w:val="4"/>
  </w:num>
  <w:num w:numId="2" w16cid:durableId="105661508">
    <w:abstractNumId w:val="1"/>
  </w:num>
  <w:num w:numId="3" w16cid:durableId="784349815">
    <w:abstractNumId w:val="2"/>
  </w:num>
  <w:num w:numId="4" w16cid:durableId="236593018">
    <w:abstractNumId w:val="3"/>
  </w:num>
  <w:num w:numId="5" w16cid:durableId="1503080656">
    <w:abstractNumId w:val="0"/>
  </w:num>
  <w:num w:numId="6" w16cid:durableId="17506930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157"/>
    <w:rsid w:val="00286BBC"/>
    <w:rsid w:val="005A0157"/>
    <w:rsid w:val="0084088F"/>
    <w:rsid w:val="0095735C"/>
    <w:rsid w:val="00983ACC"/>
    <w:rsid w:val="00AA0BB0"/>
    <w:rsid w:val="00B8461D"/>
    <w:rsid w:val="00B87ECA"/>
    <w:rsid w:val="00CA29A4"/>
    <w:rsid w:val="00E81EE5"/>
    <w:rsid w:val="00FE6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0B3AD"/>
  <w15:docId w15:val="{C05D0B6B-112E-4BA7-A19D-A268AF302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9D6CCC"/>
    <w:rPr>
      <w:color w:val="0000FF" w:themeColor="hyperlink"/>
      <w:u w:val="single"/>
    </w:rPr>
  </w:style>
  <w:style w:type="paragraph" w:customStyle="1" w:styleId="Default">
    <w:name w:val="Default"/>
    <w:rsid w:val="003C1708"/>
    <w:pPr>
      <w:autoSpaceDE w:val="0"/>
      <w:autoSpaceDN w:val="0"/>
      <w:adjustRightInd w:val="0"/>
      <w:spacing w:after="0" w:line="240" w:lineRule="auto"/>
    </w:pPr>
    <w:rPr>
      <w:rFonts w:ascii="Times New Roman" w:hAnsi="Times New Roman" w:cs="Times New Roman"/>
      <w:color w:val="000000"/>
      <w:sz w:val="24"/>
      <w:szCs w:val="24"/>
    </w:rPr>
  </w:style>
  <w:style w:type="character" w:styleId="LineNumber">
    <w:name w:val="line number"/>
    <w:basedOn w:val="DefaultParagraphFont"/>
    <w:uiPriority w:val="99"/>
    <w:semiHidden/>
    <w:unhideWhenUsed/>
    <w:rsid w:val="00EC0F7E"/>
  </w:style>
  <w:style w:type="table" w:customStyle="1" w:styleId="a">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epus.info"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zWhFU5T92N7RTDYQK9GsZiPnlQ==">CgMxLjA4AHIhMVlNMTBBMVVPT2tKT3N4ZGowSS15SDNzLUVnZC15VVdi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3683</Words>
  <Characters>20999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MEC</cp:lastModifiedBy>
  <cp:revision>5</cp:revision>
  <cp:lastPrinted>2026-03-06T06:36:00Z</cp:lastPrinted>
  <dcterms:created xsi:type="dcterms:W3CDTF">2026-02-02T09:08:00Z</dcterms:created>
  <dcterms:modified xsi:type="dcterms:W3CDTF">2026-03-06T06:44:00Z</dcterms:modified>
</cp:coreProperties>
</file>