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B124BD" w14:textId="77777777" w:rsidR="004C72D9" w:rsidRDefault="004C72D9">
      <w:pPr>
        <w:pBdr>
          <w:top w:val="none" w:sz="0" w:space="0" w:color="000000"/>
          <w:left w:val="none" w:sz="0" w:space="0" w:color="000000"/>
          <w:bottom w:val="none" w:sz="0" w:space="0" w:color="000000"/>
          <w:right w:val="none" w:sz="0" w:space="0" w:color="000000"/>
        </w:pBdr>
        <w:tabs>
          <w:tab w:val="left" w:pos="884"/>
          <w:tab w:val="left" w:pos="1196"/>
        </w:tabs>
        <w:spacing w:line="276" w:lineRule="auto"/>
        <w:ind w:firstLine="0"/>
        <w:jc w:val="center"/>
        <w:rPr>
          <w:b/>
          <w:bCs/>
          <w:sz w:val="24"/>
          <w:szCs w:val="24"/>
        </w:rPr>
      </w:pPr>
    </w:p>
    <w:p w14:paraId="10DB558F" w14:textId="77777777" w:rsidR="004C72D9" w:rsidRDefault="00000000">
      <w:pPr>
        <w:pBdr>
          <w:top w:val="none" w:sz="0" w:space="0" w:color="000000"/>
          <w:left w:val="none" w:sz="0" w:space="0" w:color="000000"/>
          <w:bottom w:val="none" w:sz="0" w:space="0" w:color="000000"/>
          <w:right w:val="none" w:sz="0" w:space="0" w:color="000000"/>
        </w:pBdr>
        <w:tabs>
          <w:tab w:val="left" w:pos="884"/>
          <w:tab w:val="left" w:pos="1196"/>
        </w:tabs>
        <w:spacing w:line="276" w:lineRule="auto"/>
        <w:ind w:firstLine="0"/>
        <w:jc w:val="center"/>
        <w:rPr>
          <w:b/>
          <w:bCs/>
          <w:sz w:val="24"/>
          <w:szCs w:val="24"/>
        </w:rPr>
      </w:pPr>
      <w:r>
        <w:rPr>
          <w:b/>
          <w:bCs/>
          <w:sz w:val="24"/>
          <w:szCs w:val="24"/>
        </w:rPr>
        <w:t>NOTA DE FUNDAMENTARE</w:t>
      </w:r>
    </w:p>
    <w:p w14:paraId="496DFBD5" w14:textId="77777777" w:rsidR="004C72D9" w:rsidRDefault="00000000">
      <w:pPr>
        <w:pBdr>
          <w:top w:val="none" w:sz="0" w:space="0" w:color="000000"/>
          <w:left w:val="none" w:sz="0" w:space="0" w:color="000000"/>
          <w:bottom w:val="none" w:sz="0" w:space="0" w:color="000000"/>
          <w:right w:val="none" w:sz="0" w:space="0" w:color="000000"/>
        </w:pBdr>
        <w:tabs>
          <w:tab w:val="left" w:pos="884"/>
          <w:tab w:val="left" w:pos="1196"/>
        </w:tabs>
        <w:spacing w:line="276" w:lineRule="auto"/>
        <w:ind w:firstLine="0"/>
        <w:jc w:val="center"/>
        <w:rPr>
          <w:b/>
          <w:bCs/>
          <w:sz w:val="24"/>
          <w:szCs w:val="24"/>
        </w:rPr>
      </w:pPr>
      <w:r>
        <w:rPr>
          <w:b/>
          <w:bCs/>
          <w:sz w:val="24"/>
          <w:szCs w:val="24"/>
        </w:rPr>
        <w:t>la proiectul Hotărârii Guvernului cu privire la unele măsuri pentru implementarea în Republica Moldova a Acordului privind Programul de schimburi pentru studii universitare în Europa Centrală (CEEPUS IV), semnat la Varșovia, la 20 septembrie 2023</w:t>
      </w:r>
    </w:p>
    <w:p w14:paraId="1B62ECA7" w14:textId="77777777" w:rsidR="004C72D9" w:rsidRDefault="004C72D9">
      <w:pPr>
        <w:pBdr>
          <w:top w:val="none" w:sz="0" w:space="0" w:color="000000"/>
          <w:left w:val="none" w:sz="0" w:space="0" w:color="000000"/>
          <w:bottom w:val="none" w:sz="0" w:space="0" w:color="000000"/>
          <w:right w:val="none" w:sz="0" w:space="0" w:color="000000"/>
        </w:pBdr>
        <w:tabs>
          <w:tab w:val="left" w:pos="884"/>
          <w:tab w:val="left" w:pos="1196"/>
        </w:tabs>
        <w:ind w:firstLine="0"/>
        <w:jc w:val="center"/>
        <w:rPr>
          <w:sz w:val="24"/>
          <w:szCs w:val="24"/>
        </w:rPr>
      </w:pPr>
    </w:p>
    <w:tbl>
      <w:tblPr>
        <w:tblStyle w:val="a2"/>
        <w:tblW w:w="9629" w:type="dxa"/>
        <w:tblBorders>
          <w:top w:val="nil"/>
          <w:left w:val="nil"/>
          <w:bottom w:val="nil"/>
          <w:right w:val="nil"/>
          <w:insideH w:val="nil"/>
          <w:insideV w:val="nil"/>
        </w:tblBorders>
        <w:tblLayout w:type="fixed"/>
        <w:tblLook w:val="0400" w:firstRow="0" w:lastRow="0" w:firstColumn="0" w:lastColumn="0" w:noHBand="0" w:noVBand="1"/>
      </w:tblPr>
      <w:tblGrid>
        <w:gridCol w:w="9629"/>
      </w:tblGrid>
      <w:tr w:rsidR="004C72D9" w14:paraId="30D3DDE3" w14:textId="77777777">
        <w:trPr>
          <w:trHeight w:val="658"/>
        </w:trPr>
        <w:tc>
          <w:tcPr>
            <w:tcW w:w="9629"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3D1D8714" w14:textId="77777777" w:rsidR="004C72D9" w:rsidRDefault="00000000">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Denumirea sau numele autorului și, după caz, a/al participanților la elaborarea proiectului actului normativ</w:t>
            </w:r>
          </w:p>
        </w:tc>
      </w:tr>
      <w:tr w:rsidR="004C72D9" w14:paraId="11EB4027" w14:textId="77777777">
        <w:tc>
          <w:tcPr>
            <w:tcW w:w="962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AF41C37"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Proiectul Hotărârii Guvernului este elaborat de către Ministerul Educației și Cercetării</w:t>
            </w:r>
          </w:p>
        </w:tc>
      </w:tr>
      <w:tr w:rsidR="004C72D9" w14:paraId="30D2921E" w14:textId="77777777">
        <w:tc>
          <w:tcPr>
            <w:tcW w:w="9629"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0908C74D" w14:textId="77777777" w:rsidR="004C72D9" w:rsidRDefault="00000000">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Condițiile ce au impus elaborarea proiectului actului normativ</w:t>
            </w:r>
          </w:p>
        </w:tc>
      </w:tr>
      <w:tr w:rsidR="004C72D9" w14:paraId="3826F210" w14:textId="77777777">
        <w:tc>
          <w:tcPr>
            <w:tcW w:w="9629" w:type="dxa"/>
            <w:tcBorders>
              <w:top w:val="nil"/>
              <w:left w:val="single" w:sz="8" w:space="0" w:color="000000"/>
              <w:bottom w:val="single" w:sz="8" w:space="0" w:color="000000"/>
              <w:right w:val="single" w:sz="8" w:space="0" w:color="000000"/>
            </w:tcBorders>
            <w:shd w:val="clear" w:color="auto" w:fill="EDEDED"/>
            <w:tcMar>
              <w:top w:w="0" w:type="dxa"/>
              <w:left w:w="108" w:type="dxa"/>
              <w:bottom w:w="0" w:type="dxa"/>
              <w:right w:w="108" w:type="dxa"/>
            </w:tcMar>
          </w:tcPr>
          <w:p w14:paraId="193C44C5"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Temeiul legal sau, după caz, sursa proiectului actului normativ</w:t>
            </w:r>
          </w:p>
        </w:tc>
      </w:tr>
      <w:tr w:rsidR="004C72D9" w14:paraId="192A7267" w14:textId="77777777">
        <w:tc>
          <w:tcPr>
            <w:tcW w:w="962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9212801" w14:textId="7A2B4D68"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Proiectul Hotărârii Guvernului a fost elaborat în temeiul art. 1</w:t>
            </w:r>
            <w:r w:rsidR="0085466D">
              <w:rPr>
                <w:rFonts w:ascii="Times New Roman" w:eastAsia="Times New Roman" w:hAnsi="Times New Roman" w:cs="Times New Roman"/>
                <w:sz w:val="24"/>
                <w:szCs w:val="24"/>
              </w:rPr>
              <w:t xml:space="preserve">48 </w:t>
            </w:r>
            <w:r w:rsidR="0085466D" w:rsidRPr="0085466D">
              <w:rPr>
                <w:rFonts w:ascii="Times New Roman" w:eastAsia="Times New Roman" w:hAnsi="Times New Roman" w:cs="Times New Roman"/>
                <w:sz w:val="24"/>
                <w:szCs w:val="24"/>
              </w:rPr>
              <w:t xml:space="preserve">alin.(1),(3) </w:t>
            </w:r>
            <w:proofErr w:type="spellStart"/>
            <w:r w:rsidR="0085466D" w:rsidRPr="0085466D">
              <w:rPr>
                <w:rFonts w:ascii="Times New Roman" w:eastAsia="Times New Roman" w:hAnsi="Times New Roman" w:cs="Times New Roman"/>
                <w:sz w:val="24"/>
                <w:szCs w:val="24"/>
              </w:rPr>
              <w:t>lit.a</w:t>
            </w:r>
            <w:proofErr w:type="spellEnd"/>
            <w:r w:rsidR="0085466D" w:rsidRPr="0085466D">
              <w:rPr>
                <w:rFonts w:ascii="Times New Roman" w:eastAsia="Times New Roman" w:hAnsi="Times New Roman" w:cs="Times New Roman"/>
                <w:sz w:val="24"/>
                <w:szCs w:val="24"/>
              </w:rPr>
              <w:t xml:space="preserve">) și (6) </w:t>
            </w:r>
            <w:r>
              <w:rPr>
                <w:rFonts w:ascii="Times New Roman" w:eastAsia="Times New Roman" w:hAnsi="Times New Roman" w:cs="Times New Roman"/>
                <w:sz w:val="24"/>
                <w:szCs w:val="24"/>
              </w:rPr>
              <w:t xml:space="preserve"> din Codul Educației al Republicii Moldova nr.152/2014 (Monitorul Oficial al Republicii Moldova, 2014, nr.319-324, art.634) și Legii nr. 70/2024 pentru aprobarea  Acordului privind Programul de schimburi pentru studii universitare în Europa Centrală (CEEPUS IV) (Monitorul Oficial al Republicii Moldova, 2024, nr. 138-140 art. 209).</w:t>
            </w:r>
          </w:p>
          <w:p w14:paraId="18088030"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Elaborarea proiectului Hotărârii Guvernului privind implementarea Programului de schimburi pentru studii universitare în Europa Centrală (CEEPUS) este prevăzută în Programul național de aderare a Republicii Moldova la Uniunea Europeană pentru anii 2025–2029, aprobat prin Hotărârea Guvernului nr. 306/2025, acțiunea normativă nr. 4 din Clusterul 3 „Competitivitate și Creștere Incluzivă”, Capitolul 26 „Educație și Cultură”.</w:t>
            </w:r>
          </w:p>
        </w:tc>
      </w:tr>
      <w:tr w:rsidR="004C72D9" w14:paraId="4AB6FEEB" w14:textId="77777777">
        <w:tc>
          <w:tcPr>
            <w:tcW w:w="9629" w:type="dxa"/>
            <w:tcBorders>
              <w:top w:val="nil"/>
              <w:left w:val="single" w:sz="8" w:space="0" w:color="000000"/>
              <w:bottom w:val="single" w:sz="8" w:space="0" w:color="000000"/>
              <w:right w:val="single" w:sz="8" w:space="0" w:color="000000"/>
            </w:tcBorders>
            <w:shd w:val="clear" w:color="auto" w:fill="EDEDED"/>
            <w:tcMar>
              <w:top w:w="0" w:type="dxa"/>
              <w:left w:w="108" w:type="dxa"/>
              <w:bottom w:w="0" w:type="dxa"/>
              <w:right w:w="108" w:type="dxa"/>
            </w:tcMar>
          </w:tcPr>
          <w:p w14:paraId="0C739F68"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Descrierea situației actuale și a problemelor care impun intervenția, inclusiv a cadrului normativ aplicabil și a deficiențelor/lacunelor normative</w:t>
            </w:r>
          </w:p>
        </w:tc>
      </w:tr>
      <w:tr w:rsidR="004C72D9" w14:paraId="12B950B7" w14:textId="77777777">
        <w:tc>
          <w:tcPr>
            <w:tcW w:w="962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95E68AB"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Prezentul proiect de Hotărâre a Guvernului are drept scop reglementarea implementării în Republica Moldova a Programului de schimburi pentru studii universitare în Europa Centrală (CEEPUS IV), în baza Acordului semnat la Varșovia la 20 septembrie 2023,  prin  aprobarea unui Regulament nou, care să stabilească în mod clar cadrul de implementare al Programului, categoriile de beneficiari, alocațiile financiare pentru bursieri și responsabilitățile instituționale.</w:t>
            </w:r>
          </w:p>
          <w:p w14:paraId="65E24627"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Programul CEEPUS este un program multilateral de cooperare academică și schimb universitar în regiunea Europei Centrale, de Est și de Sud-Est, bazat pe un Acord internațional, la care participă în prezent 15 state membre: Republica Albania, Republica Austria, Republica Bulgaria, Bosnia și Herțegovina, Republica Croația, Republica Cehă, Republica Ungară, Republica Macedonia de Nord, Republica Moldova, Muntenegru, Republica Polonă, România, Republica Serbia, Republica Slovacă și Republica Slovenia. Principalele activități derulate în cadrul programului includ stagii universitare și postuniversitare, cursuri intensive, activități de predare, cursuri de limbă, excursii studențești și întâlniri de coordonare a rețelelor. Scopul acestora este promovarea transferului de cunoștințe, a schimbului de experiență și consolidarea cooperării academice între instituțiile de învățământ superior din regiune. Finanțarea programului se realizează pe bază de reciprocitate, prin intermediul instrumentului „lună-bursă”. Astfel, fiecare stat participant finanțează bursierii, cetățeni străini (</w:t>
            </w:r>
            <w:proofErr w:type="spellStart"/>
            <w:r>
              <w:rPr>
                <w:rFonts w:ascii="Times New Roman" w:eastAsia="Times New Roman" w:hAnsi="Times New Roman" w:cs="Times New Roman"/>
                <w:sz w:val="24"/>
                <w:szCs w:val="24"/>
              </w:rPr>
              <w:t>incoming</w:t>
            </w:r>
            <w:proofErr w:type="spellEnd"/>
            <w:r>
              <w:rPr>
                <w:rFonts w:ascii="Times New Roman" w:eastAsia="Times New Roman" w:hAnsi="Times New Roman" w:cs="Times New Roman"/>
                <w:sz w:val="24"/>
                <w:szCs w:val="24"/>
              </w:rPr>
              <w:t>, cei care efectuează mobilități în țara respectivă), acordând burse conform legislației interne, cu luarea în considerare a  prevederilor Acordului CEEPUS.</w:t>
            </w:r>
          </w:p>
          <w:p w14:paraId="34AA44CC"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Republica Moldova participă la Programul de schimburi universitare în Europa Centrală (CEEPUS) din anul 2011, având ca obiectiv promovarea mobilității academice și consolidarea cooperării între instituțiile de învățământ superior din statele membre. Începând cu anul universitar </w:t>
            </w:r>
            <w:r>
              <w:rPr>
                <w:rFonts w:ascii="Times New Roman" w:eastAsia="Times New Roman" w:hAnsi="Times New Roman" w:cs="Times New Roman"/>
                <w:sz w:val="24"/>
                <w:szCs w:val="24"/>
              </w:rPr>
              <w:lastRenderedPageBreak/>
              <w:t>2025–2026, Republica Moldova implementează Programul în temeiul unui nou Acord internațional, CEEPUS IV, cu o durată de 7 ani.</w:t>
            </w:r>
          </w:p>
          <w:p w14:paraId="031E1EE7"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Cadrul normativ național care reglementează implementarea Programului CEEPUS este stabilit în prezent prin Hotărârea Guvernului nr. 454/2012, adoptată pentru Acordul CEEPUS III, acțiunea căruia a expirat. Această hotărâre nu mai corespunde noilor angajamente asumate de Republica Moldova prin Acordul CEEPUS IV, nici din perspectiva duratei programului, nici a structurii instituționale și nici a nivelului burselor acordate.</w:t>
            </w:r>
          </w:p>
          <w:p w14:paraId="359440C3"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Totodată, cuantumul burselor și alocațiilor pentru cazare stabilit prin HG nr. 454/2012 a fost actualizat ultima dată în anul 2020 și nu a fost supus ulterior indexării. Ca urmare, valorile actuale nu mai reflectă costurile reale de trai și sunt semnificativ inferioare burselor acordate în alte state participante la Program, precum și burselor oferite cetățenilor Republicii Moldova.</w:t>
            </w:r>
          </w:p>
          <w:p w14:paraId="13853F34"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Această situație a generat o scădere vizibilă a interesului participanților internaționali pentru mobilitățile academice în Republica Moldova, fiind tot mai dificilă valorificarea integrală a celor 100 de luni de bursă promise anual de statul nostru. Totodată, Ministerul Educației și Cercetării trebuie să prevadă în bugetul anual sumele corespunzătoare acoperirii acestor luni de mobilitate, calculate la cuantumurile actuale: de exemplu, 4.800 lei lunar pentru doctoranzi autohtoni, cadre didactice și cercetători autohtoni, respectiv 4.000 lei pentru studenți și masteranzi, în conformitate cu HG 1009/2006.</w:t>
            </w:r>
          </w:p>
          <w:p w14:paraId="79D66782"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În lipsa unui cadru normativ actualizat, adaptat etapei CEEPUS IV, nu sunt reglementate în mod coerent aspecte esențiale privind organizarea implementării Programului, responsabilitățile instituționale, mecanismul de acordare și achitare a burselor, precum și reglementarea responsabilităților Oficiului Național CEEPUS, prevăzut de Acordul internațional. Această lacună normativă afectează eficiența implementării Programului și limitează capacitatea Republicii Moldova de a-și valorifica angajamentele asumate în domeniul internaționalizării educației.</w:t>
            </w:r>
          </w:p>
          <w:p w14:paraId="314DDA37"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În acest context, se impune adoptarea unei hotărâri de guvern noi, care să asigure un cadru normativ clar, actualizat și coerent pentru implementarea în Republica Moldova a Acordului privind Programul CEEPUS IV, să abroge Hotărârea Guvernului nr. 454/2012, devenită inaplicabilă, și să creeze premisele necesare pentru funcționarea eficientă și sustenabilă a Programului pe întreaga durată a  aplicabilității Acordului  CEEPUS IV.</w:t>
            </w:r>
          </w:p>
        </w:tc>
      </w:tr>
      <w:tr w:rsidR="004C72D9" w14:paraId="23CB9AB3" w14:textId="77777777">
        <w:tc>
          <w:tcPr>
            <w:tcW w:w="9629"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6A5A4310" w14:textId="77777777" w:rsidR="004C72D9" w:rsidRDefault="00000000">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 Obiectivele urmărite și soluțiile propuse</w:t>
            </w:r>
          </w:p>
        </w:tc>
      </w:tr>
      <w:tr w:rsidR="004C72D9" w14:paraId="2B5A7718" w14:textId="77777777">
        <w:tc>
          <w:tcPr>
            <w:tcW w:w="9629"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tcPr>
          <w:p w14:paraId="54FA8F5B"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Principalele prevederi ale proiectului și evidențierea elementelor noi</w:t>
            </w:r>
          </w:p>
        </w:tc>
      </w:tr>
      <w:tr w:rsidR="004C72D9" w14:paraId="254D6A6C" w14:textId="77777777">
        <w:tc>
          <w:tcPr>
            <w:tcW w:w="962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8978FD0"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Obiectivul general al proiectului Hotărârii Guvernului constă în asigurarea unui cadru normativ relevant pentru implementarea în Republica Moldova a Acordului privind Programul de schimburi pentru studii universitare în Europa Centrală (CEEPUS IV), în vederea consolidării cooperării academice internaționale și a creșterii atractivității sistemului național de învățământ superior.</w:t>
            </w:r>
          </w:p>
          <w:p w14:paraId="7974EBF6"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Obiectivele specifice urmărite prin adoptarea proiectului vizează alinierea reglementărilor naționale la prevederile Acordului CEEPUS IV, reglementarea clară a mecanismului de acordare și achitare a burselor pentru participanții străini, instituirea cadrului organizatoric necesar implementării Programului, precum și asigurarea unui nivel echitabil și competitiv al sprijinului financiar oferit beneficiarilor.</w:t>
            </w:r>
          </w:p>
          <w:p w14:paraId="158D2E90"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Subiecții vizați de proiect au fost specificați în mod exhaustiv în cadrul Capitolului I prin completarea pct. 1, care clarifică statutul de cetățeni străini al participanților, și prin transferarea normei de neeligibilitate a persoanelor cu dublă cetățenie din pct.2. Această restructurare asigură o viziune unitară și previzibilă asupra sferei de aplicare a actului normativ încă de la începutul textului dispozitiv.</w:t>
            </w:r>
          </w:p>
          <w:p w14:paraId="643FF6E5"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Introducerea pct. 2 are drept scop clarificarea sferei de aplicare a Regulamentului și asigurarea implementării corecte a Programului CEEPUS, întrucât, potrivit art. 23 alin. (4) din Legea cetățeniei Republicii Moldova nr. 253/2025, cetățenii Republicii Moldova care dețin și cetățenia altui stat sunt recunoscuți în raporturile cu statul exclusiv ca cetățeni ai Republicii Moldova, iar includerea acestora ar contraveni logicii mobilităților internaționale și utilizării echitabile a resurselor Programului.</w:t>
            </w:r>
          </w:p>
          <w:p w14:paraId="04EF8BF5"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Proiectul prevede descrierea activității Oficiului Național CEEPUS în cadrul Ministerului Educației și Cercetării, sub forma unui punct focal național, cu atribuții clare în domeniul coordonării, gestionării și monitorizării implementării Programului, în conformitate cu cerințele Acordului CEEPUS IV. </w:t>
            </w:r>
          </w:p>
          <w:p w14:paraId="74D8E488"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Activitatea Oficiului Național CEEPUS este asigurată de o persoană desemnată din cadrul Direcției CPPIE, care gestionează implementarea Programului CEEPUS la nivel național și exercită atribuțiile stabilite prin prezentul Regulament. Acest mecanism de coordonare a existat încă de la începuturile implementării Programului CEEPUS (2011), iar prin prezentul Regulament se concretizează și se formalizează responsabilitățile punctului focal național.</w:t>
            </w:r>
          </w:p>
          <w:p w14:paraId="3FC42DE4"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Oficiului Național CEEPUS nu implică modificarea organigramei Ministerului Educației și Cercetării, nu necesită completarea statelor de personal și nu presupune alocarea unor resurse financiare suplimentare. Activitatea acestuia se realizează în limitele atribuțiilor de serviciu ale persoanei desemnate și din resursele bugetare existente ale Ministerului Educației și Cercetării.</w:t>
            </w:r>
          </w:p>
          <w:p w14:paraId="642160AA"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Totodată, sunt stabilite cuantumuri actualizate ale burselor și ale alocațiilor pentru cazare acordate participanților străini, corelate cu nivelurile burselor acordate în sistemul național de învățământ superior, în vederea asigurării echității și atractivității Programului:</w:t>
            </w:r>
          </w:p>
          <w:p w14:paraId="6F86359E" w14:textId="77777777" w:rsidR="004C72D9" w:rsidRDefault="004C72D9">
            <w:pPr>
              <w:spacing w:line="276" w:lineRule="auto"/>
              <w:ind w:firstLine="0"/>
              <w:rPr>
                <w:rFonts w:ascii="Times New Roman" w:eastAsia="Times New Roman" w:hAnsi="Times New Roman" w:cs="Times New Roman"/>
                <w:sz w:val="24"/>
                <w:szCs w:val="24"/>
              </w:rPr>
            </w:pPr>
          </w:p>
          <w:tbl>
            <w:tblPr>
              <w:tblStyle w:val="a3"/>
              <w:tblW w:w="8655"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5"/>
              <w:gridCol w:w="3630"/>
              <w:gridCol w:w="2055"/>
              <w:gridCol w:w="2355"/>
            </w:tblGrid>
            <w:tr w:rsidR="004C72D9" w14:paraId="3B917454" w14:textId="77777777">
              <w:tc>
                <w:tcPr>
                  <w:tcW w:w="615" w:type="dxa"/>
                  <w:tcBorders>
                    <w:top w:val="single" w:sz="4" w:space="0" w:color="000000"/>
                    <w:left w:val="single" w:sz="4" w:space="0" w:color="000000"/>
                    <w:bottom w:val="single" w:sz="4" w:space="0" w:color="000000"/>
                    <w:right w:val="single" w:sz="4" w:space="0" w:color="000000"/>
                  </w:tcBorders>
                </w:tcPr>
                <w:p w14:paraId="0AC3E2C4" w14:textId="77777777" w:rsidR="004C72D9" w:rsidRDefault="00000000">
                  <w:pPr>
                    <w:spacing w:line="276" w:lineRule="auto"/>
                    <w:ind w:firstLine="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Nr.</w:t>
                  </w:r>
                </w:p>
              </w:tc>
              <w:tc>
                <w:tcPr>
                  <w:tcW w:w="3630" w:type="dxa"/>
                  <w:tcBorders>
                    <w:top w:val="single" w:sz="4" w:space="0" w:color="000000"/>
                    <w:left w:val="single" w:sz="4" w:space="0" w:color="000000"/>
                    <w:bottom w:val="single" w:sz="4" w:space="0" w:color="000000"/>
                    <w:right w:val="single" w:sz="4" w:space="0" w:color="000000"/>
                  </w:tcBorders>
                </w:tcPr>
                <w:p w14:paraId="17DF3021" w14:textId="77777777" w:rsidR="004C72D9" w:rsidRDefault="00000000">
                  <w:pPr>
                    <w:pBdr>
                      <w:top w:val="nil"/>
                      <w:left w:val="nil"/>
                      <w:bottom w:val="nil"/>
                      <w:right w:val="nil"/>
                      <w:between w:val="nil"/>
                    </w:pBdr>
                    <w:spacing w:line="276" w:lineRule="auto"/>
                    <w:ind w:firstLine="0"/>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Categoriile de participanți în Programul CEEPUS IV</w:t>
                  </w:r>
                </w:p>
              </w:tc>
              <w:tc>
                <w:tcPr>
                  <w:tcW w:w="2055" w:type="dxa"/>
                  <w:tcBorders>
                    <w:top w:val="single" w:sz="4" w:space="0" w:color="000000"/>
                    <w:left w:val="single" w:sz="4" w:space="0" w:color="000000"/>
                    <w:bottom w:val="single" w:sz="4" w:space="0" w:color="000000"/>
                    <w:right w:val="single" w:sz="4" w:space="0" w:color="000000"/>
                  </w:tcBorders>
                </w:tcPr>
                <w:p w14:paraId="68461AEF" w14:textId="77777777" w:rsidR="004C72D9" w:rsidRDefault="00000000">
                  <w:pPr>
                    <w:pBdr>
                      <w:top w:val="nil"/>
                      <w:left w:val="nil"/>
                      <w:bottom w:val="nil"/>
                      <w:right w:val="nil"/>
                      <w:between w:val="nil"/>
                    </w:pBdr>
                    <w:spacing w:line="276" w:lineRule="auto"/>
                    <w:ind w:firstLine="0"/>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Cuantumul bursei</w:t>
                  </w:r>
                </w:p>
              </w:tc>
              <w:tc>
                <w:tcPr>
                  <w:tcW w:w="2355" w:type="dxa"/>
                  <w:tcBorders>
                    <w:top w:val="single" w:sz="4" w:space="0" w:color="000000"/>
                    <w:left w:val="single" w:sz="4" w:space="0" w:color="000000"/>
                    <w:bottom w:val="single" w:sz="4" w:space="0" w:color="000000"/>
                    <w:right w:val="single" w:sz="4" w:space="0" w:color="000000"/>
                  </w:tcBorders>
                </w:tcPr>
                <w:p w14:paraId="64841E76" w14:textId="77777777" w:rsidR="004C72D9" w:rsidRDefault="00000000">
                  <w:pPr>
                    <w:pBdr>
                      <w:top w:val="nil"/>
                      <w:left w:val="nil"/>
                      <w:bottom w:val="nil"/>
                      <w:right w:val="nil"/>
                      <w:between w:val="nil"/>
                    </w:pBdr>
                    <w:spacing w:line="276" w:lineRule="auto"/>
                    <w:ind w:firstLine="0"/>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Alocații pentru cazare</w:t>
                  </w:r>
                </w:p>
              </w:tc>
            </w:tr>
            <w:tr w:rsidR="004C72D9" w14:paraId="3A47F88E" w14:textId="77777777">
              <w:tc>
                <w:tcPr>
                  <w:tcW w:w="615" w:type="dxa"/>
                  <w:tcBorders>
                    <w:top w:val="single" w:sz="4" w:space="0" w:color="000000"/>
                    <w:left w:val="single" w:sz="4" w:space="0" w:color="000000"/>
                    <w:bottom w:val="single" w:sz="4" w:space="0" w:color="000000"/>
                    <w:right w:val="single" w:sz="4" w:space="0" w:color="000000"/>
                  </w:tcBorders>
                </w:tcPr>
                <w:p w14:paraId="56287DBA" w14:textId="77777777" w:rsidR="004C72D9" w:rsidRDefault="004C72D9">
                  <w:pPr>
                    <w:numPr>
                      <w:ilvl w:val="0"/>
                      <w:numId w:val="1"/>
                    </w:numPr>
                    <w:pBdr>
                      <w:top w:val="nil"/>
                      <w:left w:val="nil"/>
                      <w:bottom w:val="nil"/>
                      <w:right w:val="nil"/>
                      <w:between w:val="nil"/>
                    </w:pBdr>
                    <w:spacing w:after="200" w:line="276" w:lineRule="auto"/>
                    <w:jc w:val="center"/>
                    <w:rPr>
                      <w:rFonts w:ascii="Times New Roman" w:eastAsia="Times New Roman" w:hAnsi="Times New Roman" w:cs="Times New Roman"/>
                      <w:color w:val="000000"/>
                      <w:sz w:val="22"/>
                      <w:szCs w:val="22"/>
                    </w:rPr>
                  </w:pPr>
                </w:p>
              </w:tc>
              <w:tc>
                <w:tcPr>
                  <w:tcW w:w="3630" w:type="dxa"/>
                  <w:tcBorders>
                    <w:top w:val="single" w:sz="4" w:space="0" w:color="000000"/>
                    <w:left w:val="single" w:sz="4" w:space="0" w:color="000000"/>
                    <w:bottom w:val="single" w:sz="4" w:space="0" w:color="000000"/>
                    <w:right w:val="single" w:sz="4" w:space="0" w:color="000000"/>
                  </w:tcBorders>
                </w:tcPr>
                <w:p w14:paraId="6A6C1FC9" w14:textId="77777777" w:rsidR="004C72D9" w:rsidRDefault="00000000">
                  <w:pPr>
                    <w:spacing w:line="276" w:lineRule="auto"/>
                    <w:ind w:firstLine="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Studenți, masteranzi</w:t>
                  </w:r>
                </w:p>
              </w:tc>
              <w:tc>
                <w:tcPr>
                  <w:tcW w:w="2055" w:type="dxa"/>
                  <w:tcBorders>
                    <w:top w:val="single" w:sz="4" w:space="0" w:color="000000"/>
                    <w:left w:val="single" w:sz="4" w:space="0" w:color="000000"/>
                    <w:bottom w:val="single" w:sz="4" w:space="0" w:color="000000"/>
                    <w:right w:val="single" w:sz="4" w:space="0" w:color="000000"/>
                  </w:tcBorders>
                </w:tcPr>
                <w:p w14:paraId="510C4C58" w14:textId="77777777" w:rsidR="004C72D9" w:rsidRDefault="00000000">
                  <w:pPr>
                    <w:spacing w:line="276" w:lineRule="auto"/>
                    <w:ind w:firstLine="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3620 lei</w:t>
                  </w:r>
                </w:p>
              </w:tc>
              <w:tc>
                <w:tcPr>
                  <w:tcW w:w="2355" w:type="dxa"/>
                  <w:tcBorders>
                    <w:top w:val="single" w:sz="4" w:space="0" w:color="000000"/>
                    <w:left w:val="single" w:sz="4" w:space="0" w:color="000000"/>
                    <w:bottom w:val="single" w:sz="4" w:space="0" w:color="000000"/>
                    <w:right w:val="single" w:sz="4" w:space="0" w:color="000000"/>
                  </w:tcBorders>
                </w:tcPr>
                <w:p w14:paraId="5FD99C24" w14:textId="77777777" w:rsidR="004C72D9" w:rsidRDefault="00000000">
                  <w:pPr>
                    <w:spacing w:line="276" w:lineRule="auto"/>
                    <w:ind w:firstLine="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2000 lei</w:t>
                  </w:r>
                </w:p>
              </w:tc>
            </w:tr>
            <w:tr w:rsidR="004C72D9" w14:paraId="602BDF4C" w14:textId="77777777">
              <w:tc>
                <w:tcPr>
                  <w:tcW w:w="615" w:type="dxa"/>
                  <w:tcBorders>
                    <w:top w:val="single" w:sz="4" w:space="0" w:color="000000"/>
                    <w:left w:val="single" w:sz="4" w:space="0" w:color="000000"/>
                    <w:bottom w:val="single" w:sz="4" w:space="0" w:color="000000"/>
                    <w:right w:val="single" w:sz="4" w:space="0" w:color="000000"/>
                  </w:tcBorders>
                </w:tcPr>
                <w:p w14:paraId="76173381" w14:textId="77777777" w:rsidR="004C72D9" w:rsidRDefault="004C72D9">
                  <w:pPr>
                    <w:numPr>
                      <w:ilvl w:val="0"/>
                      <w:numId w:val="1"/>
                    </w:numPr>
                    <w:pBdr>
                      <w:top w:val="nil"/>
                      <w:left w:val="nil"/>
                      <w:bottom w:val="nil"/>
                      <w:right w:val="nil"/>
                      <w:between w:val="nil"/>
                    </w:pBdr>
                    <w:spacing w:after="200" w:line="276" w:lineRule="auto"/>
                    <w:jc w:val="center"/>
                    <w:rPr>
                      <w:rFonts w:ascii="Times New Roman" w:eastAsia="Times New Roman" w:hAnsi="Times New Roman" w:cs="Times New Roman"/>
                      <w:color w:val="000000"/>
                      <w:sz w:val="22"/>
                      <w:szCs w:val="22"/>
                    </w:rPr>
                  </w:pPr>
                </w:p>
              </w:tc>
              <w:tc>
                <w:tcPr>
                  <w:tcW w:w="3630" w:type="dxa"/>
                  <w:tcBorders>
                    <w:top w:val="single" w:sz="4" w:space="0" w:color="000000"/>
                    <w:left w:val="single" w:sz="4" w:space="0" w:color="000000"/>
                    <w:bottom w:val="single" w:sz="4" w:space="0" w:color="000000"/>
                    <w:right w:val="single" w:sz="4" w:space="0" w:color="000000"/>
                  </w:tcBorders>
                </w:tcPr>
                <w:p w14:paraId="731FC67C" w14:textId="77777777" w:rsidR="004C72D9" w:rsidRDefault="00000000">
                  <w:pPr>
                    <w:pBdr>
                      <w:top w:val="nil"/>
                      <w:left w:val="nil"/>
                      <w:bottom w:val="nil"/>
                      <w:right w:val="nil"/>
                      <w:between w:val="nil"/>
                    </w:pBdr>
                    <w:spacing w:line="276" w:lineRule="auto"/>
                    <w:ind w:firstLine="0"/>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Doctoranzi, cercetători, cadre didactice și </w:t>
                  </w:r>
                  <w:proofErr w:type="spellStart"/>
                  <w:r>
                    <w:rPr>
                      <w:rFonts w:ascii="Times New Roman" w:eastAsia="Times New Roman" w:hAnsi="Times New Roman" w:cs="Times New Roman"/>
                      <w:color w:val="000000"/>
                      <w:sz w:val="22"/>
                      <w:szCs w:val="22"/>
                    </w:rPr>
                    <w:t>științifico</w:t>
                  </w:r>
                  <w:proofErr w:type="spellEnd"/>
                  <w:r>
                    <w:rPr>
                      <w:rFonts w:ascii="Times New Roman" w:eastAsia="Times New Roman" w:hAnsi="Times New Roman" w:cs="Times New Roman"/>
                      <w:color w:val="000000"/>
                      <w:sz w:val="22"/>
                      <w:szCs w:val="22"/>
                    </w:rPr>
                    <w:t>-didactice</w:t>
                  </w:r>
                </w:p>
              </w:tc>
              <w:tc>
                <w:tcPr>
                  <w:tcW w:w="2055" w:type="dxa"/>
                  <w:tcBorders>
                    <w:top w:val="single" w:sz="4" w:space="0" w:color="000000"/>
                    <w:left w:val="single" w:sz="4" w:space="0" w:color="000000"/>
                    <w:bottom w:val="single" w:sz="4" w:space="0" w:color="000000"/>
                    <w:right w:val="single" w:sz="4" w:space="0" w:color="000000"/>
                  </w:tcBorders>
                </w:tcPr>
                <w:p w14:paraId="250E6F2C" w14:textId="77777777" w:rsidR="004C72D9" w:rsidRDefault="00000000">
                  <w:pPr>
                    <w:spacing w:line="276" w:lineRule="auto"/>
                    <w:ind w:firstLine="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4400 lei</w:t>
                  </w:r>
                </w:p>
              </w:tc>
              <w:tc>
                <w:tcPr>
                  <w:tcW w:w="2355" w:type="dxa"/>
                  <w:tcBorders>
                    <w:top w:val="single" w:sz="4" w:space="0" w:color="000000"/>
                    <w:left w:val="single" w:sz="4" w:space="0" w:color="000000"/>
                    <w:bottom w:val="single" w:sz="4" w:space="0" w:color="000000"/>
                    <w:right w:val="single" w:sz="4" w:space="0" w:color="000000"/>
                  </w:tcBorders>
                </w:tcPr>
                <w:p w14:paraId="35CBA2A8" w14:textId="77777777" w:rsidR="004C72D9" w:rsidRDefault="00000000">
                  <w:pPr>
                    <w:spacing w:line="276" w:lineRule="auto"/>
                    <w:ind w:firstLine="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2500 lei</w:t>
                  </w:r>
                </w:p>
              </w:tc>
            </w:tr>
          </w:tbl>
          <w:p w14:paraId="0E223F67" w14:textId="77777777" w:rsidR="004C72D9" w:rsidRDefault="004C72D9">
            <w:pPr>
              <w:spacing w:line="276" w:lineRule="auto"/>
              <w:rPr>
                <w:rFonts w:ascii="Times New Roman" w:eastAsia="Times New Roman" w:hAnsi="Times New Roman" w:cs="Times New Roman"/>
                <w:sz w:val="24"/>
                <w:szCs w:val="24"/>
              </w:rPr>
            </w:pPr>
          </w:p>
          <w:p w14:paraId="52E70F42" w14:textId="77777777" w:rsidR="004C72D9" w:rsidRDefault="00000000">
            <w:pPr>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De asemenea, proiectul introduce mecanismul de indexare anuală a burselor, în conformitate cu legislația națională, ceea ce va permite menținerea valorii reale a sprijinului financiar acordat beneficiarilor și va contribui la sustenabilitatea Programului pe termen lung. Prin abrogarea Hotărârii Guvernului nr. 454/2012 se asigură eliminarea paralelismelor normative și se instituie un cadru juridic unic, aplicabil exclusiv etapei CEEPUS IV. </w:t>
            </w:r>
          </w:p>
          <w:p w14:paraId="054143B4"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Având în vedere faptul că  anul academic CEEPUS începe la data de 1 septembrie 2026, prezenta hotărâre a Guvernului va intra în vigoare începând cu data de 01.09.2026, asigurând astfel corelarea cadrului normativ cu calendarul de implementare al Programului CEEPUS.</w:t>
            </w:r>
          </w:p>
          <w:p w14:paraId="33CEF302"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Elementele de noutate constau în actualizarea valorilor burselor și alocațiilor de cazare în concordanță cu practicile regionale și costurile reale de trai, precum și în clarificarea structurii anexei, care delimitează categoriile de beneficiari. </w:t>
            </w:r>
          </w:p>
        </w:tc>
      </w:tr>
      <w:tr w:rsidR="004C72D9" w14:paraId="46254150" w14:textId="77777777">
        <w:tc>
          <w:tcPr>
            <w:tcW w:w="9629"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tcPr>
          <w:p w14:paraId="25F86AC8"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3.2. Opțiunile alternative analizate și motivele pentru care acestea nu au fost luate în considerare</w:t>
            </w:r>
          </w:p>
        </w:tc>
      </w:tr>
      <w:tr w:rsidR="004C72D9" w14:paraId="37DCC394" w14:textId="77777777">
        <w:tc>
          <w:tcPr>
            <w:tcW w:w="962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E477EEB"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 au fost identificate.</w:t>
            </w:r>
          </w:p>
        </w:tc>
      </w:tr>
      <w:tr w:rsidR="004C72D9" w14:paraId="005604EC" w14:textId="77777777">
        <w:trPr>
          <w:trHeight w:val="381"/>
        </w:trPr>
        <w:tc>
          <w:tcPr>
            <w:tcW w:w="9629"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2B47E62D" w14:textId="77777777" w:rsidR="004C72D9" w:rsidRDefault="00000000">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 Analiza impactului de reglementare </w:t>
            </w:r>
          </w:p>
        </w:tc>
      </w:tr>
      <w:tr w:rsidR="004C72D9" w14:paraId="5F5A511B" w14:textId="77777777">
        <w:tc>
          <w:tcPr>
            <w:tcW w:w="9629" w:type="dxa"/>
            <w:tcBorders>
              <w:top w:val="nil"/>
              <w:left w:val="single" w:sz="8" w:space="0" w:color="000000"/>
              <w:bottom w:val="single" w:sz="8" w:space="0" w:color="000000"/>
              <w:right w:val="single" w:sz="8" w:space="0" w:color="000000"/>
            </w:tcBorders>
            <w:shd w:val="clear" w:color="auto" w:fill="EDEDED"/>
            <w:tcMar>
              <w:top w:w="0" w:type="dxa"/>
              <w:left w:w="108" w:type="dxa"/>
              <w:bottom w:w="0" w:type="dxa"/>
              <w:right w:w="108" w:type="dxa"/>
            </w:tcMar>
          </w:tcPr>
          <w:p w14:paraId="7F078A87"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 Impactul asupra sectorului public</w:t>
            </w:r>
          </w:p>
        </w:tc>
      </w:tr>
      <w:tr w:rsidR="004C72D9" w14:paraId="713C0B17" w14:textId="77777777">
        <w:tc>
          <w:tcPr>
            <w:tcW w:w="962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E66EF9"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Proiectul va contribui la consolidarea cadrului normativ privind implementarea Programului CEEPUS în Republica Moldova, prin actualizarea cuantumurilor burselor și alocațiilor de cazare acordate participanților străini. Această măsură va spori vizibilitatea și prestigiul instituțiilor de învățământ superior din țară, va facilita atragerea studenților și cercetătorilor internaționali, precum și valorificarea integrală a lunilor de mobilitate asumate anual. </w:t>
            </w:r>
          </w:p>
        </w:tc>
      </w:tr>
      <w:tr w:rsidR="004C72D9" w14:paraId="4EBEF590" w14:textId="77777777">
        <w:tc>
          <w:tcPr>
            <w:tcW w:w="9629" w:type="dxa"/>
            <w:tcBorders>
              <w:top w:val="nil"/>
              <w:left w:val="single" w:sz="8" w:space="0" w:color="000000"/>
              <w:bottom w:val="single" w:sz="8" w:space="0" w:color="000000"/>
              <w:right w:val="single" w:sz="8" w:space="0" w:color="000000"/>
            </w:tcBorders>
            <w:shd w:val="clear" w:color="auto" w:fill="EDEDED"/>
            <w:tcMar>
              <w:top w:w="0" w:type="dxa"/>
              <w:left w:w="108" w:type="dxa"/>
              <w:bottom w:w="0" w:type="dxa"/>
              <w:right w:w="108" w:type="dxa"/>
            </w:tcMar>
          </w:tcPr>
          <w:p w14:paraId="278259E2"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 Impactul financiar și argumentarea costurilor estimative</w:t>
            </w:r>
          </w:p>
        </w:tc>
      </w:tr>
      <w:tr w:rsidR="004C72D9" w14:paraId="5D141EA2" w14:textId="77777777">
        <w:trPr>
          <w:trHeight w:val="4053"/>
        </w:trPr>
        <w:tc>
          <w:tcPr>
            <w:tcW w:w="962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EDF7393"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Anual, pentru implementarea Programului CEEPUS, aprobat prin Legea nr. 141/2011, se alocau 200.000 lei. Numărul beneficiarilor variază de la an la an, în funcție de lunile de mobilitate efectiv valorificate, Republica Moldova oferind 100 de luni de bursă anual.</w:t>
            </w:r>
            <w:r>
              <w:t xml:space="preserve"> </w:t>
            </w:r>
            <w:r>
              <w:rPr>
                <w:rFonts w:ascii="Times New Roman" w:eastAsia="Times New Roman" w:hAnsi="Times New Roman" w:cs="Times New Roman"/>
                <w:sz w:val="24"/>
                <w:szCs w:val="24"/>
              </w:rPr>
              <w:t>Această alocare reprezintă angajamentul financiar standard al Republicii Moldova în cadrul programului, asigurând continuitatea și funcționalitatea mobilităților academice.</w:t>
            </w:r>
          </w:p>
          <w:p w14:paraId="2D619536"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În prezent, cuantumul burselor stabilit prin Hotărârea Guvernului nr. 454/2012 constituie 2500 lei pentru studenți și masteranzi și 2800 lei pentru doctoranzi, cadre didactice și cercetători, la care se adaugă alocațiile pentru cazare în mărime de 1500 lei și, respectiv, 2000 lei. Aceste sume nu mai reflectă realitățile economice și costurile actuale de trai, reducând semnificativ atractivitatea Programului pentru beneficiarii internaționali.</w:t>
            </w:r>
          </w:p>
          <w:p w14:paraId="13A6050C"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În acest sens, în contextul eforturilor de internaționalizare a educației și al promovării schimburilor academice, se propune alinierea burselor CEEPUS la nivelul burselor acordate studenților și doctoranzilor din Republica Moldova, stabilite prin Hotărârea Guvernului nr. 1009/2006 privind aprobarea Regulamentului cu privire la modul de acordare a burselor în instituțiile de învățământ superior și secundar profesional.</w:t>
            </w:r>
          </w:p>
          <w:p w14:paraId="631C5B53"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Astfel, potrivit pct. (5) din anexa la HG nr. 1009/2006, în învățământul superior, mărimea bursei pentru studenții din anii terminali de la specialitățile din domeniul educației, categoria I, este de 3620 lei lunar. Prin urmare, se propune ajustarea cuantumului bursei pentru participanții internaționali (studenți și masteranzi) din cadrul Programului CEEPUS la același nivel, pentru a asigura echitatea, competitivitatea și atractivitatea Programului la nivel regional.</w:t>
            </w:r>
          </w:p>
          <w:p w14:paraId="51E8614F"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Pentru doctoranzi, cadre didactice și cercetători, cuantumul bursei propus este de 4400 lei lunar, în conformitate cu nivelurile stabilite pentru categoria „Studenți-doctoranzi” din același act normativ, asigurând o corelare proporțională cu gradul de calificare și contribuția academică a beneficiarilor.</w:t>
            </w:r>
          </w:p>
          <w:p w14:paraId="5AE9EB97"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Totodată, pentru a acoperi costurile reale de trai și de cazare în Republica Moldova, se propune majorarea alocațiilor pentru cazare la 2000 lei/lună pentru studenți și masteranzi și 2500 lei/lună pentru doctoranzi, cadre didactice și cercetători. </w:t>
            </w:r>
          </w:p>
          <w:p w14:paraId="5AFFDC2A"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Prin urmare, noile cuantumuri propuse sunt:</w:t>
            </w:r>
          </w:p>
          <w:p w14:paraId="24AE2F12" w14:textId="77777777" w:rsidR="004C72D9" w:rsidRDefault="004C72D9">
            <w:pPr>
              <w:spacing w:line="276" w:lineRule="auto"/>
              <w:rPr>
                <w:rFonts w:ascii="Times New Roman" w:eastAsia="Times New Roman" w:hAnsi="Times New Roman" w:cs="Times New Roman"/>
                <w:sz w:val="24"/>
                <w:szCs w:val="24"/>
              </w:rPr>
            </w:pPr>
          </w:p>
          <w:tbl>
            <w:tblPr>
              <w:tblStyle w:val="a4"/>
              <w:tblW w:w="8227"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
              <w:gridCol w:w="3544"/>
              <w:gridCol w:w="1984"/>
              <w:gridCol w:w="2126"/>
            </w:tblGrid>
            <w:tr w:rsidR="004C72D9" w14:paraId="3ED6AFCD" w14:textId="77777777">
              <w:tc>
                <w:tcPr>
                  <w:tcW w:w="573" w:type="dxa"/>
                  <w:tcBorders>
                    <w:top w:val="single" w:sz="4" w:space="0" w:color="000000"/>
                    <w:left w:val="single" w:sz="4" w:space="0" w:color="000000"/>
                    <w:bottom w:val="single" w:sz="4" w:space="0" w:color="000000"/>
                    <w:right w:val="single" w:sz="4" w:space="0" w:color="000000"/>
                  </w:tcBorders>
                </w:tcPr>
                <w:p w14:paraId="49508A06" w14:textId="77777777" w:rsidR="004C72D9" w:rsidRDefault="00000000">
                  <w:pPr>
                    <w:spacing w:line="276" w:lineRule="auto"/>
                    <w:ind w:firstLine="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Nr.</w:t>
                  </w:r>
                </w:p>
              </w:tc>
              <w:tc>
                <w:tcPr>
                  <w:tcW w:w="3544" w:type="dxa"/>
                  <w:tcBorders>
                    <w:top w:val="single" w:sz="4" w:space="0" w:color="000000"/>
                    <w:left w:val="single" w:sz="4" w:space="0" w:color="000000"/>
                    <w:bottom w:val="single" w:sz="4" w:space="0" w:color="000000"/>
                    <w:right w:val="single" w:sz="4" w:space="0" w:color="000000"/>
                  </w:tcBorders>
                </w:tcPr>
                <w:p w14:paraId="31CBE2C5" w14:textId="77777777" w:rsidR="004C72D9" w:rsidRDefault="00000000">
                  <w:pPr>
                    <w:pBdr>
                      <w:top w:val="nil"/>
                      <w:left w:val="nil"/>
                      <w:bottom w:val="nil"/>
                      <w:right w:val="nil"/>
                      <w:between w:val="nil"/>
                    </w:pBdr>
                    <w:spacing w:line="276" w:lineRule="auto"/>
                    <w:ind w:firstLine="0"/>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Categoriile de participanți în Programul CEEPUS IV</w:t>
                  </w:r>
                </w:p>
              </w:tc>
              <w:tc>
                <w:tcPr>
                  <w:tcW w:w="1984" w:type="dxa"/>
                  <w:tcBorders>
                    <w:top w:val="single" w:sz="4" w:space="0" w:color="000000"/>
                    <w:left w:val="single" w:sz="4" w:space="0" w:color="000000"/>
                    <w:bottom w:val="single" w:sz="4" w:space="0" w:color="000000"/>
                    <w:right w:val="single" w:sz="4" w:space="0" w:color="000000"/>
                  </w:tcBorders>
                </w:tcPr>
                <w:p w14:paraId="75C76A31" w14:textId="77777777" w:rsidR="004C72D9" w:rsidRDefault="00000000">
                  <w:pPr>
                    <w:pBdr>
                      <w:top w:val="nil"/>
                      <w:left w:val="nil"/>
                      <w:bottom w:val="nil"/>
                      <w:right w:val="nil"/>
                      <w:between w:val="nil"/>
                    </w:pBdr>
                    <w:spacing w:line="276" w:lineRule="auto"/>
                    <w:ind w:firstLine="0"/>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Cuantumul bursei</w:t>
                  </w:r>
                </w:p>
              </w:tc>
              <w:tc>
                <w:tcPr>
                  <w:tcW w:w="2126" w:type="dxa"/>
                  <w:tcBorders>
                    <w:top w:val="single" w:sz="4" w:space="0" w:color="000000"/>
                    <w:left w:val="single" w:sz="4" w:space="0" w:color="000000"/>
                    <w:bottom w:val="single" w:sz="4" w:space="0" w:color="000000"/>
                    <w:right w:val="single" w:sz="4" w:space="0" w:color="000000"/>
                  </w:tcBorders>
                </w:tcPr>
                <w:p w14:paraId="7E41D6B4" w14:textId="77777777" w:rsidR="004C72D9" w:rsidRDefault="00000000">
                  <w:pPr>
                    <w:pBdr>
                      <w:top w:val="nil"/>
                      <w:left w:val="nil"/>
                      <w:bottom w:val="nil"/>
                      <w:right w:val="nil"/>
                      <w:between w:val="nil"/>
                    </w:pBdr>
                    <w:spacing w:line="276" w:lineRule="auto"/>
                    <w:ind w:firstLine="0"/>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Alocații pentru cazare</w:t>
                  </w:r>
                </w:p>
              </w:tc>
            </w:tr>
            <w:tr w:rsidR="004C72D9" w14:paraId="375D35D3" w14:textId="77777777">
              <w:tc>
                <w:tcPr>
                  <w:tcW w:w="573" w:type="dxa"/>
                  <w:tcBorders>
                    <w:top w:val="single" w:sz="4" w:space="0" w:color="000000"/>
                    <w:left w:val="single" w:sz="4" w:space="0" w:color="000000"/>
                    <w:bottom w:val="single" w:sz="4" w:space="0" w:color="000000"/>
                    <w:right w:val="single" w:sz="4" w:space="0" w:color="000000"/>
                  </w:tcBorders>
                </w:tcPr>
                <w:p w14:paraId="4D23216A" w14:textId="77777777" w:rsidR="004C72D9" w:rsidRDefault="004C72D9">
                  <w:pPr>
                    <w:numPr>
                      <w:ilvl w:val="0"/>
                      <w:numId w:val="1"/>
                    </w:numPr>
                    <w:pBdr>
                      <w:top w:val="nil"/>
                      <w:left w:val="nil"/>
                      <w:bottom w:val="nil"/>
                      <w:right w:val="nil"/>
                      <w:between w:val="nil"/>
                    </w:pBdr>
                    <w:spacing w:after="200" w:line="276" w:lineRule="auto"/>
                    <w:jc w:val="center"/>
                    <w:rPr>
                      <w:rFonts w:ascii="Times New Roman" w:eastAsia="Times New Roman" w:hAnsi="Times New Roman" w:cs="Times New Roman"/>
                      <w:color w:val="000000"/>
                      <w:sz w:val="22"/>
                      <w:szCs w:val="22"/>
                    </w:rPr>
                  </w:pPr>
                </w:p>
              </w:tc>
              <w:tc>
                <w:tcPr>
                  <w:tcW w:w="3544" w:type="dxa"/>
                  <w:tcBorders>
                    <w:top w:val="single" w:sz="4" w:space="0" w:color="000000"/>
                    <w:left w:val="single" w:sz="4" w:space="0" w:color="000000"/>
                    <w:bottom w:val="single" w:sz="4" w:space="0" w:color="000000"/>
                    <w:right w:val="single" w:sz="4" w:space="0" w:color="000000"/>
                  </w:tcBorders>
                </w:tcPr>
                <w:p w14:paraId="57C5C675" w14:textId="77777777" w:rsidR="004C72D9" w:rsidRDefault="00000000">
                  <w:pPr>
                    <w:spacing w:line="276" w:lineRule="auto"/>
                    <w:ind w:firstLine="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Studenți, masteranzi</w:t>
                  </w:r>
                </w:p>
              </w:tc>
              <w:tc>
                <w:tcPr>
                  <w:tcW w:w="1984" w:type="dxa"/>
                  <w:tcBorders>
                    <w:top w:val="single" w:sz="4" w:space="0" w:color="000000"/>
                    <w:left w:val="single" w:sz="4" w:space="0" w:color="000000"/>
                    <w:bottom w:val="single" w:sz="4" w:space="0" w:color="000000"/>
                    <w:right w:val="single" w:sz="4" w:space="0" w:color="000000"/>
                  </w:tcBorders>
                </w:tcPr>
                <w:p w14:paraId="595B665F" w14:textId="77777777" w:rsidR="004C72D9" w:rsidRDefault="00000000">
                  <w:pPr>
                    <w:spacing w:line="276" w:lineRule="auto"/>
                    <w:ind w:firstLine="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3620 lei</w:t>
                  </w:r>
                </w:p>
              </w:tc>
              <w:tc>
                <w:tcPr>
                  <w:tcW w:w="2126" w:type="dxa"/>
                  <w:tcBorders>
                    <w:top w:val="single" w:sz="4" w:space="0" w:color="000000"/>
                    <w:left w:val="single" w:sz="4" w:space="0" w:color="000000"/>
                    <w:bottom w:val="single" w:sz="4" w:space="0" w:color="000000"/>
                    <w:right w:val="single" w:sz="4" w:space="0" w:color="000000"/>
                  </w:tcBorders>
                </w:tcPr>
                <w:p w14:paraId="22732B9F" w14:textId="77777777" w:rsidR="004C72D9" w:rsidRDefault="00000000">
                  <w:pPr>
                    <w:spacing w:line="276" w:lineRule="auto"/>
                    <w:ind w:firstLine="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2000 lei</w:t>
                  </w:r>
                </w:p>
              </w:tc>
            </w:tr>
            <w:tr w:rsidR="004C72D9" w14:paraId="54398404" w14:textId="77777777">
              <w:tc>
                <w:tcPr>
                  <w:tcW w:w="573" w:type="dxa"/>
                  <w:tcBorders>
                    <w:top w:val="single" w:sz="4" w:space="0" w:color="000000"/>
                    <w:left w:val="single" w:sz="4" w:space="0" w:color="000000"/>
                    <w:bottom w:val="single" w:sz="4" w:space="0" w:color="000000"/>
                    <w:right w:val="single" w:sz="4" w:space="0" w:color="000000"/>
                  </w:tcBorders>
                </w:tcPr>
                <w:p w14:paraId="0DE6A8F0" w14:textId="77777777" w:rsidR="004C72D9" w:rsidRDefault="004C72D9">
                  <w:pPr>
                    <w:numPr>
                      <w:ilvl w:val="0"/>
                      <w:numId w:val="1"/>
                    </w:numPr>
                    <w:pBdr>
                      <w:top w:val="nil"/>
                      <w:left w:val="nil"/>
                      <w:bottom w:val="nil"/>
                      <w:right w:val="nil"/>
                      <w:between w:val="nil"/>
                    </w:pBdr>
                    <w:spacing w:after="200" w:line="276" w:lineRule="auto"/>
                    <w:jc w:val="center"/>
                    <w:rPr>
                      <w:rFonts w:ascii="Times New Roman" w:eastAsia="Times New Roman" w:hAnsi="Times New Roman" w:cs="Times New Roman"/>
                      <w:color w:val="000000"/>
                      <w:sz w:val="22"/>
                      <w:szCs w:val="22"/>
                    </w:rPr>
                  </w:pPr>
                </w:p>
              </w:tc>
              <w:tc>
                <w:tcPr>
                  <w:tcW w:w="3544" w:type="dxa"/>
                  <w:tcBorders>
                    <w:top w:val="single" w:sz="4" w:space="0" w:color="000000"/>
                    <w:left w:val="single" w:sz="4" w:space="0" w:color="000000"/>
                    <w:bottom w:val="single" w:sz="4" w:space="0" w:color="000000"/>
                    <w:right w:val="single" w:sz="4" w:space="0" w:color="000000"/>
                  </w:tcBorders>
                </w:tcPr>
                <w:p w14:paraId="64EBA506" w14:textId="77777777" w:rsidR="004C72D9" w:rsidRDefault="00000000">
                  <w:pPr>
                    <w:pBdr>
                      <w:top w:val="nil"/>
                      <w:left w:val="nil"/>
                      <w:bottom w:val="nil"/>
                      <w:right w:val="nil"/>
                      <w:between w:val="nil"/>
                    </w:pBdr>
                    <w:spacing w:line="276" w:lineRule="auto"/>
                    <w:ind w:firstLine="0"/>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Doctoranzi, cercetători, cadre didactice și </w:t>
                  </w:r>
                  <w:proofErr w:type="spellStart"/>
                  <w:r>
                    <w:rPr>
                      <w:rFonts w:ascii="Times New Roman" w:eastAsia="Times New Roman" w:hAnsi="Times New Roman" w:cs="Times New Roman"/>
                      <w:color w:val="000000"/>
                      <w:sz w:val="22"/>
                      <w:szCs w:val="22"/>
                    </w:rPr>
                    <w:t>științifico</w:t>
                  </w:r>
                  <w:proofErr w:type="spellEnd"/>
                  <w:r>
                    <w:rPr>
                      <w:rFonts w:ascii="Times New Roman" w:eastAsia="Times New Roman" w:hAnsi="Times New Roman" w:cs="Times New Roman"/>
                      <w:color w:val="000000"/>
                      <w:sz w:val="22"/>
                      <w:szCs w:val="22"/>
                    </w:rPr>
                    <w:t>-didactice</w:t>
                  </w:r>
                </w:p>
              </w:tc>
              <w:tc>
                <w:tcPr>
                  <w:tcW w:w="1984" w:type="dxa"/>
                  <w:tcBorders>
                    <w:top w:val="single" w:sz="4" w:space="0" w:color="000000"/>
                    <w:left w:val="single" w:sz="4" w:space="0" w:color="000000"/>
                    <w:bottom w:val="single" w:sz="4" w:space="0" w:color="000000"/>
                    <w:right w:val="single" w:sz="4" w:space="0" w:color="000000"/>
                  </w:tcBorders>
                </w:tcPr>
                <w:p w14:paraId="3F26CCF8" w14:textId="77777777" w:rsidR="004C72D9" w:rsidRDefault="00000000">
                  <w:pPr>
                    <w:spacing w:line="276" w:lineRule="auto"/>
                    <w:ind w:firstLine="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4400 lei</w:t>
                  </w:r>
                </w:p>
              </w:tc>
              <w:tc>
                <w:tcPr>
                  <w:tcW w:w="2126" w:type="dxa"/>
                  <w:tcBorders>
                    <w:top w:val="single" w:sz="4" w:space="0" w:color="000000"/>
                    <w:left w:val="single" w:sz="4" w:space="0" w:color="000000"/>
                    <w:bottom w:val="single" w:sz="4" w:space="0" w:color="000000"/>
                    <w:right w:val="single" w:sz="4" w:space="0" w:color="000000"/>
                  </w:tcBorders>
                </w:tcPr>
                <w:p w14:paraId="4E920E40" w14:textId="77777777" w:rsidR="004C72D9" w:rsidRDefault="00000000">
                  <w:pPr>
                    <w:spacing w:line="276" w:lineRule="auto"/>
                    <w:ind w:firstLine="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2500 lei</w:t>
                  </w:r>
                </w:p>
              </w:tc>
            </w:tr>
          </w:tbl>
          <w:p w14:paraId="3D8A7455" w14:textId="77777777" w:rsidR="004C72D9" w:rsidRDefault="004C72D9">
            <w:pPr>
              <w:spacing w:line="276" w:lineRule="auto"/>
              <w:ind w:firstLine="0"/>
              <w:rPr>
                <w:rFonts w:ascii="Times New Roman" w:eastAsia="Times New Roman" w:hAnsi="Times New Roman" w:cs="Times New Roman"/>
                <w:sz w:val="24"/>
                <w:szCs w:val="24"/>
              </w:rPr>
            </w:pPr>
          </w:p>
          <w:p w14:paraId="039DA36B"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propune introducerea unei prevederi generale prin care bursele oferite în cadrul Programului CEEPUS să fie supuse anual procesului de indexare, în conformitate cu modul de actualizare a burselor stabilit pentru studenții din instituțiile de învățământ superior din Republica Moldova, în baza legislației naționale. Această măsură va asigura sustenabilitatea, echitatea și stabilitatea financiară a Programului pe termen lung. </w:t>
            </w:r>
          </w:p>
          <w:p w14:paraId="5192FEBC"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Astfel, pentru anul 2025 au fost bugetate surse financiare în valoare de 200.000 lei pentru implementarea Programului CEEPUS. În urma aplicării noilor cuantumuri, costurile se vor majora, după cum urmează:</w:t>
            </w:r>
          </w:p>
          <w:p w14:paraId="0F435B5A"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Conform statisticii privind realizarea lunilor de mobilitate, se estimează că în medie 40% dintre beneficiari sunt studenți și masteranzi, iar 60% sunt doctoranzi, cadre didactice și cercetători. Calculul pentru 100 de luni de mobilitate este următorul:</w:t>
            </w:r>
          </w:p>
          <w:p w14:paraId="26143223" w14:textId="77777777" w:rsidR="004C72D9" w:rsidRDefault="00000000">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Pentru doctoranzi, cadre didactice și cercetători: (4 400 + 2 500) × 60 luni = 414 000 lei</w:t>
            </w:r>
          </w:p>
          <w:p w14:paraId="6FD42328"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Pentru studenți și masteranzi: (3 620 + 2 000) × 40 luni = 224 800 lei</w:t>
            </w:r>
          </w:p>
          <w:p w14:paraId="3855A972"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estimat: 638 800 lei/an</w:t>
            </w:r>
          </w:p>
          <w:p w14:paraId="49525441" w14:textId="77777777" w:rsidR="004C72D9" w:rsidRDefault="004C72D9">
            <w:pPr>
              <w:spacing w:line="276" w:lineRule="auto"/>
              <w:rPr>
                <w:rFonts w:ascii="Times New Roman" w:eastAsia="Times New Roman" w:hAnsi="Times New Roman" w:cs="Times New Roman"/>
                <w:sz w:val="24"/>
                <w:szCs w:val="24"/>
              </w:rPr>
            </w:pPr>
          </w:p>
          <w:p w14:paraId="76771348"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Prin urmare, costurile totale pentru implementarea Programului, în baza noilor cuantumuri propuse, vor constitui aproximativ 638.800 lei anual.</w:t>
            </w:r>
          </w:p>
          <w:p w14:paraId="512BB0E9"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Conform Legii nr.322/2025 privind bugetul de stat pentru anul 2026, la repartizarea alocațiilor pe articole de cheltuieli, MEC a repartizat pentru Programul CEEPUS 600.000 lei pentru anul 2026.</w:t>
            </w:r>
          </w:p>
          <w:p w14:paraId="142EA8F3"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Proiectul este elaborat în vederea executării prevederilor art. 2 din Legea nr. 70/2024, care mandatează Guvernul cu întreprinderea măsurilor necesare pentru realizarea Acordului CEEPUS IV, coroborat cu art. 148 alin. (6) din Codul Educației, care reglementează finanțarea mobilităților academice. Astfel, prezentul act normativ asigură cadrul juridic secundar necesar pentru operaționalizarea angajamentelor internaționale asumate de Republica Moldova în domeniul schimburilor universitare.</w:t>
            </w:r>
          </w:p>
        </w:tc>
      </w:tr>
      <w:tr w:rsidR="004C72D9" w14:paraId="4E6362CC" w14:textId="77777777">
        <w:tc>
          <w:tcPr>
            <w:tcW w:w="9629" w:type="dxa"/>
            <w:tcBorders>
              <w:top w:val="nil"/>
              <w:left w:val="single" w:sz="8" w:space="0" w:color="000000"/>
              <w:bottom w:val="single" w:sz="8" w:space="0" w:color="000000"/>
              <w:right w:val="single" w:sz="8" w:space="0" w:color="000000"/>
            </w:tcBorders>
            <w:shd w:val="clear" w:color="auto" w:fill="EDEDED"/>
            <w:tcMar>
              <w:top w:w="0" w:type="dxa"/>
              <w:left w:w="108" w:type="dxa"/>
              <w:bottom w:w="0" w:type="dxa"/>
              <w:right w:w="108" w:type="dxa"/>
            </w:tcMar>
          </w:tcPr>
          <w:p w14:paraId="67E81B12"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4.3. Impactul asupra sectorului privat</w:t>
            </w:r>
          </w:p>
        </w:tc>
      </w:tr>
      <w:tr w:rsidR="004C72D9" w14:paraId="73E7DC35" w14:textId="77777777">
        <w:tc>
          <w:tcPr>
            <w:tcW w:w="962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D1FD1B"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Proiectul va avea un impact indirect pozitiv asupra sectorului privat, prin stimularea mobilităților academice și atragerea studenților și cercetătorilor străini, ceea ce contribuie la schimbul de bune practici, inovare și dezvoltarea competențelor cerute pe piața muncii.</w:t>
            </w:r>
          </w:p>
        </w:tc>
      </w:tr>
      <w:tr w:rsidR="004C72D9" w14:paraId="5A777DE6" w14:textId="77777777">
        <w:tc>
          <w:tcPr>
            <w:tcW w:w="9629" w:type="dxa"/>
            <w:tcBorders>
              <w:top w:val="nil"/>
              <w:left w:val="single" w:sz="8" w:space="0" w:color="000000"/>
              <w:bottom w:val="single" w:sz="8" w:space="0" w:color="000000"/>
              <w:right w:val="single" w:sz="8" w:space="0" w:color="000000"/>
            </w:tcBorders>
            <w:shd w:val="clear" w:color="auto" w:fill="EDEDED"/>
            <w:tcMar>
              <w:top w:w="0" w:type="dxa"/>
              <w:left w:w="108" w:type="dxa"/>
              <w:bottom w:w="0" w:type="dxa"/>
              <w:right w:w="108" w:type="dxa"/>
            </w:tcMar>
          </w:tcPr>
          <w:p w14:paraId="20F7D092"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 Impactul social</w:t>
            </w:r>
          </w:p>
          <w:p w14:paraId="5E09397E"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4.4.1. Impactul asupra datelor cu caracter personal</w:t>
            </w:r>
          </w:p>
          <w:p w14:paraId="22EF896A"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4.4.2. Impactul asupra echității și egalității de gen</w:t>
            </w:r>
          </w:p>
        </w:tc>
      </w:tr>
      <w:tr w:rsidR="004C72D9" w14:paraId="05E7C9C9" w14:textId="77777777">
        <w:tc>
          <w:tcPr>
            <w:tcW w:w="962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525CAF4"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Implementarea proiectului va favoriza dezvoltarea capitalului uman și creșterea vizibilității Republicii Moldova în spațiul european al educației, facilitând cooperarea </w:t>
            </w:r>
            <w:proofErr w:type="spellStart"/>
            <w:r>
              <w:rPr>
                <w:rFonts w:ascii="Times New Roman" w:eastAsia="Times New Roman" w:hAnsi="Times New Roman" w:cs="Times New Roman"/>
                <w:sz w:val="24"/>
                <w:szCs w:val="24"/>
              </w:rPr>
              <w:t>interuniversitară</w:t>
            </w:r>
            <w:proofErr w:type="spellEnd"/>
            <w:r>
              <w:rPr>
                <w:rFonts w:ascii="Times New Roman" w:eastAsia="Times New Roman" w:hAnsi="Times New Roman" w:cs="Times New Roman"/>
                <w:sz w:val="24"/>
                <w:szCs w:val="24"/>
              </w:rPr>
              <w:t>, dialogul intercultural și integrarea tinerilor într-o comunitate academică internațională.</w:t>
            </w:r>
          </w:p>
        </w:tc>
      </w:tr>
      <w:tr w:rsidR="004C72D9" w14:paraId="0FA90463" w14:textId="77777777">
        <w:tc>
          <w:tcPr>
            <w:tcW w:w="9629" w:type="dxa"/>
            <w:tcBorders>
              <w:top w:val="nil"/>
              <w:left w:val="single" w:sz="8" w:space="0" w:color="000000"/>
              <w:bottom w:val="single" w:sz="8" w:space="0" w:color="000000"/>
              <w:right w:val="single" w:sz="8" w:space="0" w:color="000000"/>
            </w:tcBorders>
            <w:shd w:val="clear" w:color="auto" w:fill="EDEDED"/>
            <w:tcMar>
              <w:top w:w="0" w:type="dxa"/>
              <w:left w:w="108" w:type="dxa"/>
              <w:bottom w:w="0" w:type="dxa"/>
              <w:right w:w="108" w:type="dxa"/>
            </w:tcMar>
          </w:tcPr>
          <w:p w14:paraId="2834E103"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 Impactul asupra mediului</w:t>
            </w:r>
          </w:p>
        </w:tc>
      </w:tr>
      <w:tr w:rsidR="004C72D9" w14:paraId="1C1972D6" w14:textId="77777777">
        <w:tc>
          <w:tcPr>
            <w:tcW w:w="962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21A0AB3" w14:textId="77777777" w:rsidR="004C72D9" w:rsidRDefault="00000000">
            <w:pPr>
              <w:spacing w:line="276" w:lineRule="auto"/>
              <w:rPr>
                <w:sz w:val="24"/>
                <w:szCs w:val="24"/>
              </w:rPr>
            </w:pPr>
            <w:r>
              <w:rPr>
                <w:rFonts w:ascii="Times New Roman" w:eastAsia="Times New Roman" w:hAnsi="Times New Roman" w:cs="Times New Roman"/>
                <w:sz w:val="24"/>
                <w:szCs w:val="24"/>
              </w:rPr>
              <w:t>Nu este aplicabil.</w:t>
            </w:r>
          </w:p>
        </w:tc>
      </w:tr>
      <w:tr w:rsidR="004C72D9" w14:paraId="0695EAB3" w14:textId="77777777">
        <w:tc>
          <w:tcPr>
            <w:tcW w:w="9629" w:type="dxa"/>
            <w:tcBorders>
              <w:top w:val="nil"/>
              <w:left w:val="single" w:sz="8" w:space="0" w:color="000000"/>
              <w:bottom w:val="single" w:sz="8" w:space="0" w:color="000000"/>
              <w:right w:val="single" w:sz="8" w:space="0" w:color="000000"/>
            </w:tcBorders>
            <w:shd w:val="clear" w:color="auto" w:fill="EDEDED"/>
            <w:tcMar>
              <w:top w:w="0" w:type="dxa"/>
              <w:left w:w="108" w:type="dxa"/>
              <w:bottom w:w="0" w:type="dxa"/>
              <w:right w:w="108" w:type="dxa"/>
            </w:tcMar>
          </w:tcPr>
          <w:p w14:paraId="17572E3F"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 Alte impacturi și informații relevante</w:t>
            </w:r>
          </w:p>
        </w:tc>
      </w:tr>
      <w:tr w:rsidR="004C72D9" w14:paraId="480CD50F" w14:textId="77777777">
        <w:tc>
          <w:tcPr>
            <w:tcW w:w="962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0599744"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 este aplicabil.</w:t>
            </w:r>
          </w:p>
        </w:tc>
      </w:tr>
      <w:tr w:rsidR="004C72D9" w14:paraId="229E6611" w14:textId="77777777">
        <w:tc>
          <w:tcPr>
            <w:tcW w:w="9629"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2F56739F" w14:textId="77777777" w:rsidR="004C72D9" w:rsidRDefault="00000000">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5. Compatibilitatea proiectului actului normativ cu legislația UE </w:t>
            </w:r>
          </w:p>
        </w:tc>
      </w:tr>
      <w:tr w:rsidR="004C72D9" w14:paraId="6FDD8CFF" w14:textId="77777777">
        <w:tc>
          <w:tcPr>
            <w:tcW w:w="9629" w:type="dxa"/>
            <w:tcBorders>
              <w:top w:val="nil"/>
              <w:left w:val="single" w:sz="8" w:space="0" w:color="000000"/>
              <w:bottom w:val="single" w:sz="8" w:space="0" w:color="000000"/>
              <w:right w:val="single" w:sz="8" w:space="0" w:color="000000"/>
            </w:tcBorders>
            <w:shd w:val="clear" w:color="auto" w:fill="EDEDED"/>
            <w:tcMar>
              <w:top w:w="0" w:type="dxa"/>
              <w:left w:w="108" w:type="dxa"/>
              <w:bottom w:w="0" w:type="dxa"/>
              <w:right w:w="108" w:type="dxa"/>
            </w:tcMar>
          </w:tcPr>
          <w:p w14:paraId="31BE62B5"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 Măsuri normative necesare pentru transpunerea actelor juridice ale UE în legislația națională</w:t>
            </w:r>
          </w:p>
        </w:tc>
      </w:tr>
      <w:tr w:rsidR="004C72D9" w14:paraId="6EF840FD" w14:textId="77777777">
        <w:tc>
          <w:tcPr>
            <w:tcW w:w="962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1770B46" w14:textId="77777777" w:rsidR="004C72D9" w:rsidRDefault="00000000">
            <w:pPr>
              <w:spacing w:line="276" w:lineRule="auto"/>
              <w:rPr>
                <w:sz w:val="24"/>
                <w:szCs w:val="24"/>
              </w:rPr>
            </w:pPr>
            <w:r>
              <w:rPr>
                <w:rFonts w:ascii="Times New Roman" w:eastAsia="Times New Roman" w:hAnsi="Times New Roman" w:cs="Times New Roman"/>
                <w:sz w:val="24"/>
                <w:szCs w:val="24"/>
              </w:rPr>
              <w:t>Nu este aplicabil.</w:t>
            </w:r>
          </w:p>
        </w:tc>
      </w:tr>
      <w:tr w:rsidR="004C72D9" w14:paraId="2EDEC141" w14:textId="77777777">
        <w:tc>
          <w:tcPr>
            <w:tcW w:w="9629" w:type="dxa"/>
            <w:tcBorders>
              <w:top w:val="nil"/>
              <w:left w:val="single" w:sz="8" w:space="0" w:color="000000"/>
              <w:bottom w:val="single" w:sz="8" w:space="0" w:color="000000"/>
              <w:right w:val="single" w:sz="8" w:space="0" w:color="000000"/>
            </w:tcBorders>
            <w:shd w:val="clear" w:color="auto" w:fill="EDEDED"/>
            <w:tcMar>
              <w:top w:w="0" w:type="dxa"/>
              <w:left w:w="108" w:type="dxa"/>
              <w:bottom w:w="0" w:type="dxa"/>
              <w:right w:w="108" w:type="dxa"/>
            </w:tcMar>
          </w:tcPr>
          <w:p w14:paraId="44E20B78"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 Măsuri normative care urmăresc crearea cadrului juridic intern necesar pentru implementarea legislației UE</w:t>
            </w:r>
          </w:p>
        </w:tc>
      </w:tr>
      <w:tr w:rsidR="004C72D9" w14:paraId="09066705" w14:textId="77777777">
        <w:tc>
          <w:tcPr>
            <w:tcW w:w="962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2A8991B"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Proiectul respectă prevederile legislației naționale și nu intră în contradicție cu prevederile legislației UE.</w:t>
            </w:r>
          </w:p>
        </w:tc>
      </w:tr>
      <w:tr w:rsidR="004C72D9" w14:paraId="184107DC" w14:textId="77777777">
        <w:tc>
          <w:tcPr>
            <w:tcW w:w="9629"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55AAE5DC" w14:textId="77777777" w:rsidR="004C72D9" w:rsidRDefault="00000000">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Avizarea și consultarea publică a proiectului actului normativ</w:t>
            </w:r>
          </w:p>
        </w:tc>
      </w:tr>
      <w:tr w:rsidR="004C72D9" w14:paraId="091ACF8C" w14:textId="77777777">
        <w:tc>
          <w:tcPr>
            <w:tcW w:w="962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1D73BB8" w14:textId="77777777" w:rsidR="004C72D9" w:rsidRDefault="00000000">
            <w:pPr>
              <w:spacing w:line="276" w:lineRule="auto"/>
              <w:ind w:firstLine="75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În conformitate cu prevederile Legii nr. 239/2008 privind transparența în procesul decizional, anunțul privind elaborarea proiectului de Hotărâre a fost plasat pe pagina web oficială a Ministerului Educației și Cercetării (</w:t>
            </w:r>
            <w:hyperlink r:id="rId8">
              <w:r>
                <w:rPr>
                  <w:rFonts w:ascii="Times New Roman" w:eastAsia="Times New Roman" w:hAnsi="Times New Roman" w:cs="Times New Roman"/>
                  <w:color w:val="0000FF"/>
                  <w:sz w:val="24"/>
                  <w:szCs w:val="24"/>
                  <w:u w:val="single"/>
                </w:rPr>
                <w:t xml:space="preserve">http://www.mec.gov.md </w:t>
              </w:r>
            </w:hyperlink>
            <w:r>
              <w:rPr>
                <w:rFonts w:ascii="Times New Roman" w:eastAsia="Times New Roman" w:hAnsi="Times New Roman" w:cs="Times New Roman"/>
                <w:sz w:val="24"/>
                <w:szCs w:val="24"/>
              </w:rPr>
              <w:t xml:space="preserve">), la compartimentul „Transparență decizională”, precum și pe portalul </w:t>
            </w:r>
            <w:hyperlink r:id="rId9">
              <w:r>
                <w:rPr>
                  <w:rFonts w:ascii="Times New Roman" w:eastAsia="Times New Roman" w:hAnsi="Times New Roman" w:cs="Times New Roman"/>
                  <w:color w:val="0000FF"/>
                  <w:sz w:val="24"/>
                  <w:szCs w:val="24"/>
                  <w:u w:val="single"/>
                </w:rPr>
                <w:t>https://particip.gov.md/ro/document/stages/*/15770</w:t>
              </w:r>
            </w:hyperlink>
            <w:r>
              <w:rPr>
                <w:rFonts w:ascii="Times New Roman" w:eastAsia="Times New Roman" w:hAnsi="Times New Roman" w:cs="Times New Roman"/>
                <w:sz w:val="24"/>
                <w:szCs w:val="24"/>
              </w:rPr>
              <w:t>.</w:t>
            </w:r>
          </w:p>
        </w:tc>
      </w:tr>
      <w:tr w:rsidR="004C72D9" w14:paraId="5A1D39FD" w14:textId="77777777">
        <w:tc>
          <w:tcPr>
            <w:tcW w:w="9629"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6498EF32" w14:textId="77777777" w:rsidR="004C72D9" w:rsidRDefault="00000000">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 Concluziile expertizelor</w:t>
            </w:r>
          </w:p>
        </w:tc>
      </w:tr>
      <w:tr w:rsidR="004C72D9" w14:paraId="613CC7CA" w14:textId="77777777">
        <w:trPr>
          <w:trHeight w:val="1280"/>
        </w:trPr>
        <w:tc>
          <w:tcPr>
            <w:tcW w:w="962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E467D2C" w14:textId="77777777" w:rsidR="004C72D9" w:rsidRDefault="00000000">
            <w:pPr>
              <w:spacing w:line="276" w:lineRule="auto"/>
              <w:ind w:firstLine="750"/>
              <w:rPr>
                <w:rFonts w:ascii="Times New Roman" w:eastAsia="Times New Roman" w:hAnsi="Times New Roman" w:cs="Times New Roman"/>
                <w:sz w:val="24"/>
                <w:szCs w:val="24"/>
              </w:rPr>
            </w:pPr>
            <w:r>
              <w:rPr>
                <w:rFonts w:ascii="Times New Roman" w:eastAsia="Times New Roman" w:hAnsi="Times New Roman" w:cs="Times New Roman"/>
                <w:sz w:val="24"/>
                <w:szCs w:val="24"/>
              </w:rPr>
              <w:t>În temeiul art. 34 din Legea nr. 100/2017, proiectul va fi supus expertizei anticorupție și expertizei juridice. Concluziile expertizei vor fi luate în considerare la definitivarea textului Hotărârii de Guvern.</w:t>
            </w:r>
          </w:p>
        </w:tc>
      </w:tr>
      <w:tr w:rsidR="004C72D9" w14:paraId="14BA1351" w14:textId="77777777">
        <w:tc>
          <w:tcPr>
            <w:tcW w:w="9629"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73C9832C" w14:textId="77777777" w:rsidR="004C72D9" w:rsidRDefault="00000000">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 Modul de încorporare a actului în cadrul normativ existent</w:t>
            </w:r>
          </w:p>
        </w:tc>
      </w:tr>
      <w:tr w:rsidR="004C72D9" w14:paraId="775B0A1A" w14:textId="77777777">
        <w:tc>
          <w:tcPr>
            <w:tcW w:w="962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183C64B"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Proiectul se încorporează în cadrul normativ în vigoare și nu necesită modificarea de acte normative. </w:t>
            </w:r>
          </w:p>
        </w:tc>
      </w:tr>
      <w:tr w:rsidR="004C72D9" w14:paraId="54E47FE5" w14:textId="77777777">
        <w:tc>
          <w:tcPr>
            <w:tcW w:w="9629"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7A9F85FF" w14:textId="77777777" w:rsidR="004C72D9" w:rsidRDefault="00000000">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 Măsurile necesare pentru implementarea prevederilor proiectului actului normativ</w:t>
            </w:r>
          </w:p>
        </w:tc>
      </w:tr>
      <w:tr w:rsidR="004C72D9" w14:paraId="18D0F725" w14:textId="77777777">
        <w:tc>
          <w:tcPr>
            <w:tcW w:w="962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D0B628F" w14:textId="77777777" w:rsidR="004C72D9"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Aprobarea proiectului de hotărâre nu implică realizarea unor măsuri adiționale pentru implementare.</w:t>
            </w:r>
          </w:p>
        </w:tc>
      </w:tr>
    </w:tbl>
    <w:p w14:paraId="23A60F33" w14:textId="77777777" w:rsidR="004C72D9" w:rsidRDefault="004C72D9">
      <w:pPr>
        <w:ind w:firstLine="0"/>
        <w:rPr>
          <w:b/>
          <w:bCs/>
          <w:sz w:val="24"/>
          <w:szCs w:val="24"/>
        </w:rPr>
      </w:pPr>
    </w:p>
    <w:p w14:paraId="34A1D951" w14:textId="77777777" w:rsidR="004C72D9" w:rsidRDefault="004C72D9">
      <w:pPr>
        <w:ind w:firstLine="708"/>
        <w:jc w:val="center"/>
        <w:rPr>
          <w:b/>
          <w:bCs/>
          <w:sz w:val="28"/>
          <w:szCs w:val="28"/>
        </w:rPr>
      </w:pPr>
    </w:p>
    <w:p w14:paraId="401ABE56" w14:textId="77777777" w:rsidR="004C72D9" w:rsidRDefault="004C72D9">
      <w:pPr>
        <w:ind w:firstLine="708"/>
        <w:jc w:val="center"/>
        <w:rPr>
          <w:b/>
          <w:bCs/>
          <w:sz w:val="28"/>
          <w:szCs w:val="28"/>
        </w:rPr>
      </w:pPr>
    </w:p>
    <w:p w14:paraId="5D04AEC6" w14:textId="77777777" w:rsidR="004C72D9" w:rsidRDefault="004C72D9">
      <w:pPr>
        <w:ind w:firstLine="708"/>
        <w:jc w:val="center"/>
        <w:rPr>
          <w:b/>
          <w:bCs/>
          <w:sz w:val="28"/>
          <w:szCs w:val="28"/>
        </w:rPr>
      </w:pPr>
    </w:p>
    <w:p w14:paraId="17B1D15A" w14:textId="77777777" w:rsidR="004C72D9" w:rsidRDefault="00000000">
      <w:pPr>
        <w:ind w:firstLine="708"/>
        <w:jc w:val="center"/>
        <w:rPr>
          <w:b/>
          <w:bCs/>
          <w:sz w:val="22"/>
          <w:szCs w:val="22"/>
        </w:rPr>
      </w:pPr>
      <w:r>
        <w:rPr>
          <w:b/>
          <w:bCs/>
          <w:sz w:val="28"/>
          <w:szCs w:val="28"/>
        </w:rPr>
        <w:t xml:space="preserve">Ministru </w:t>
      </w:r>
      <w:r>
        <w:rPr>
          <w:b/>
          <w:bCs/>
          <w:sz w:val="28"/>
          <w:szCs w:val="28"/>
        </w:rPr>
        <w:tab/>
      </w:r>
      <w:r>
        <w:rPr>
          <w:b/>
          <w:bCs/>
          <w:sz w:val="28"/>
          <w:szCs w:val="28"/>
        </w:rPr>
        <w:tab/>
      </w:r>
      <w:r>
        <w:rPr>
          <w:b/>
          <w:bCs/>
          <w:sz w:val="28"/>
          <w:szCs w:val="28"/>
        </w:rPr>
        <w:tab/>
        <w:t xml:space="preserve">         </w:t>
      </w:r>
      <w:r>
        <w:rPr>
          <w:b/>
          <w:bCs/>
          <w:sz w:val="28"/>
          <w:szCs w:val="28"/>
        </w:rPr>
        <w:tab/>
      </w:r>
      <w:r>
        <w:rPr>
          <w:b/>
          <w:bCs/>
          <w:sz w:val="28"/>
          <w:szCs w:val="28"/>
        </w:rPr>
        <w:tab/>
        <w:t>Dan PERCIUN</w:t>
      </w:r>
    </w:p>
    <w:p w14:paraId="1BB920FF" w14:textId="77777777" w:rsidR="004C72D9" w:rsidRDefault="004C72D9">
      <w:pPr>
        <w:ind w:firstLine="0"/>
        <w:rPr>
          <w:sz w:val="16"/>
          <w:szCs w:val="16"/>
        </w:rPr>
      </w:pPr>
    </w:p>
    <w:p w14:paraId="28338C10" w14:textId="77777777" w:rsidR="004C72D9" w:rsidRDefault="004C72D9">
      <w:pPr>
        <w:ind w:left="-567" w:firstLine="141"/>
        <w:rPr>
          <w:sz w:val="16"/>
          <w:szCs w:val="16"/>
        </w:rPr>
      </w:pPr>
    </w:p>
    <w:p w14:paraId="5C9108D8" w14:textId="77777777" w:rsidR="004C72D9" w:rsidRDefault="004C72D9">
      <w:pPr>
        <w:ind w:firstLine="0"/>
        <w:rPr>
          <w:sz w:val="16"/>
          <w:szCs w:val="16"/>
        </w:rPr>
      </w:pPr>
    </w:p>
    <w:p w14:paraId="430D27CD" w14:textId="77777777" w:rsidR="004C72D9" w:rsidRDefault="004C72D9">
      <w:pPr>
        <w:ind w:firstLine="0"/>
        <w:rPr>
          <w:sz w:val="16"/>
          <w:szCs w:val="16"/>
        </w:rPr>
      </w:pPr>
    </w:p>
    <w:p w14:paraId="6ABCBB70" w14:textId="77777777" w:rsidR="004C72D9" w:rsidRDefault="004C72D9">
      <w:pPr>
        <w:ind w:firstLine="0"/>
        <w:rPr>
          <w:sz w:val="16"/>
          <w:szCs w:val="16"/>
        </w:rPr>
      </w:pPr>
    </w:p>
    <w:p w14:paraId="4AA74D01" w14:textId="77777777" w:rsidR="004C72D9" w:rsidRDefault="004C72D9">
      <w:pPr>
        <w:ind w:firstLine="0"/>
        <w:rPr>
          <w:sz w:val="16"/>
          <w:szCs w:val="16"/>
        </w:rPr>
      </w:pPr>
    </w:p>
    <w:p w14:paraId="0F41EF51" w14:textId="77777777" w:rsidR="004C72D9" w:rsidRDefault="004C72D9">
      <w:pPr>
        <w:ind w:firstLine="0"/>
        <w:rPr>
          <w:sz w:val="16"/>
          <w:szCs w:val="16"/>
        </w:rPr>
      </w:pPr>
    </w:p>
    <w:p w14:paraId="6F86A2A2" w14:textId="77777777" w:rsidR="004C72D9" w:rsidRDefault="004C72D9">
      <w:pPr>
        <w:ind w:firstLine="0"/>
        <w:rPr>
          <w:sz w:val="16"/>
          <w:szCs w:val="16"/>
        </w:rPr>
      </w:pPr>
    </w:p>
    <w:p w14:paraId="1B1A0123" w14:textId="77777777" w:rsidR="004C72D9" w:rsidRDefault="004C72D9">
      <w:pPr>
        <w:ind w:firstLine="0"/>
        <w:rPr>
          <w:sz w:val="16"/>
          <w:szCs w:val="16"/>
        </w:rPr>
      </w:pPr>
    </w:p>
    <w:p w14:paraId="4FAA5EED" w14:textId="77777777" w:rsidR="004C72D9" w:rsidRDefault="004C72D9">
      <w:pPr>
        <w:ind w:firstLine="0"/>
        <w:rPr>
          <w:sz w:val="16"/>
          <w:szCs w:val="16"/>
        </w:rPr>
      </w:pPr>
    </w:p>
    <w:p w14:paraId="56088150" w14:textId="77777777" w:rsidR="004C72D9" w:rsidRDefault="004C72D9">
      <w:pPr>
        <w:ind w:firstLine="0"/>
        <w:rPr>
          <w:sz w:val="16"/>
          <w:szCs w:val="16"/>
        </w:rPr>
      </w:pPr>
    </w:p>
    <w:p w14:paraId="1F55C463" w14:textId="77777777" w:rsidR="004C72D9" w:rsidRDefault="004C72D9">
      <w:pPr>
        <w:ind w:firstLine="0"/>
        <w:rPr>
          <w:sz w:val="16"/>
          <w:szCs w:val="16"/>
        </w:rPr>
      </w:pPr>
    </w:p>
    <w:p w14:paraId="385BDA24" w14:textId="77777777" w:rsidR="004C72D9" w:rsidRDefault="004C72D9">
      <w:pPr>
        <w:ind w:firstLine="0"/>
        <w:rPr>
          <w:sz w:val="16"/>
          <w:szCs w:val="16"/>
        </w:rPr>
      </w:pPr>
    </w:p>
    <w:p w14:paraId="36CC5831" w14:textId="77777777" w:rsidR="004C72D9" w:rsidRDefault="004C72D9">
      <w:pPr>
        <w:ind w:firstLine="0"/>
        <w:rPr>
          <w:sz w:val="16"/>
          <w:szCs w:val="16"/>
        </w:rPr>
      </w:pPr>
    </w:p>
    <w:p w14:paraId="586023B8" w14:textId="77777777" w:rsidR="004C72D9" w:rsidRDefault="004C72D9">
      <w:pPr>
        <w:ind w:firstLine="0"/>
        <w:rPr>
          <w:sz w:val="16"/>
          <w:szCs w:val="16"/>
        </w:rPr>
      </w:pPr>
    </w:p>
    <w:p w14:paraId="7B473477" w14:textId="77777777" w:rsidR="004C72D9" w:rsidRDefault="004C72D9">
      <w:pPr>
        <w:ind w:firstLine="0"/>
        <w:rPr>
          <w:sz w:val="16"/>
          <w:szCs w:val="16"/>
        </w:rPr>
      </w:pPr>
    </w:p>
    <w:p w14:paraId="75B4A546" w14:textId="77777777" w:rsidR="004C72D9" w:rsidRDefault="004C72D9">
      <w:pPr>
        <w:ind w:firstLine="0"/>
        <w:rPr>
          <w:sz w:val="16"/>
          <w:szCs w:val="16"/>
        </w:rPr>
      </w:pPr>
    </w:p>
    <w:p w14:paraId="2E356BF0" w14:textId="77777777" w:rsidR="004C72D9" w:rsidRDefault="004C72D9">
      <w:pPr>
        <w:ind w:firstLine="0"/>
        <w:rPr>
          <w:sz w:val="16"/>
          <w:szCs w:val="16"/>
        </w:rPr>
      </w:pPr>
    </w:p>
    <w:p w14:paraId="527A9341" w14:textId="77777777" w:rsidR="004C72D9" w:rsidRDefault="004C72D9">
      <w:pPr>
        <w:ind w:firstLine="0"/>
        <w:rPr>
          <w:sz w:val="16"/>
          <w:szCs w:val="16"/>
        </w:rPr>
      </w:pPr>
    </w:p>
    <w:p w14:paraId="436FFFE0" w14:textId="77777777" w:rsidR="004C72D9" w:rsidRDefault="004C72D9">
      <w:pPr>
        <w:ind w:firstLine="0"/>
        <w:rPr>
          <w:sz w:val="16"/>
          <w:szCs w:val="16"/>
        </w:rPr>
      </w:pPr>
    </w:p>
    <w:p w14:paraId="3AB8175B" w14:textId="77777777" w:rsidR="004C72D9" w:rsidRDefault="004C72D9">
      <w:pPr>
        <w:ind w:firstLine="0"/>
        <w:rPr>
          <w:sz w:val="16"/>
          <w:szCs w:val="16"/>
        </w:rPr>
      </w:pPr>
    </w:p>
    <w:p w14:paraId="4364D5E0" w14:textId="77777777" w:rsidR="004C72D9" w:rsidRDefault="004C72D9">
      <w:pPr>
        <w:ind w:firstLine="0"/>
        <w:rPr>
          <w:sz w:val="16"/>
          <w:szCs w:val="16"/>
        </w:rPr>
      </w:pPr>
    </w:p>
    <w:p w14:paraId="0E6DC7B9" w14:textId="77777777" w:rsidR="004C72D9" w:rsidRDefault="004C72D9">
      <w:pPr>
        <w:ind w:firstLine="0"/>
        <w:rPr>
          <w:sz w:val="16"/>
          <w:szCs w:val="16"/>
        </w:rPr>
      </w:pPr>
    </w:p>
    <w:p w14:paraId="2493B36A" w14:textId="77777777" w:rsidR="004C72D9" w:rsidRDefault="004C72D9">
      <w:pPr>
        <w:ind w:firstLine="0"/>
        <w:rPr>
          <w:sz w:val="16"/>
          <w:szCs w:val="16"/>
        </w:rPr>
      </w:pPr>
    </w:p>
    <w:p w14:paraId="5156AD9E" w14:textId="77777777" w:rsidR="004C72D9" w:rsidRDefault="004C72D9">
      <w:pPr>
        <w:ind w:firstLine="0"/>
        <w:rPr>
          <w:sz w:val="16"/>
          <w:szCs w:val="16"/>
        </w:rPr>
      </w:pPr>
    </w:p>
    <w:p w14:paraId="054F6483" w14:textId="77777777" w:rsidR="004C72D9" w:rsidRDefault="004C72D9">
      <w:pPr>
        <w:ind w:firstLine="0"/>
        <w:rPr>
          <w:sz w:val="16"/>
          <w:szCs w:val="16"/>
        </w:rPr>
      </w:pPr>
    </w:p>
    <w:p w14:paraId="51CFAE76" w14:textId="77777777" w:rsidR="004C72D9" w:rsidRDefault="004C72D9">
      <w:pPr>
        <w:ind w:firstLine="0"/>
        <w:rPr>
          <w:sz w:val="16"/>
          <w:szCs w:val="16"/>
        </w:rPr>
      </w:pPr>
    </w:p>
    <w:p w14:paraId="5C327C35" w14:textId="77777777" w:rsidR="004C72D9" w:rsidRDefault="004C72D9">
      <w:pPr>
        <w:ind w:firstLine="0"/>
        <w:rPr>
          <w:sz w:val="16"/>
          <w:szCs w:val="16"/>
        </w:rPr>
      </w:pPr>
    </w:p>
    <w:p w14:paraId="17D3E542" w14:textId="77777777" w:rsidR="004C72D9" w:rsidRDefault="004C72D9">
      <w:pPr>
        <w:ind w:firstLine="0"/>
        <w:rPr>
          <w:sz w:val="16"/>
          <w:szCs w:val="16"/>
        </w:rPr>
      </w:pPr>
    </w:p>
    <w:p w14:paraId="370ECCF3" w14:textId="77777777" w:rsidR="004C72D9" w:rsidRDefault="004C72D9">
      <w:pPr>
        <w:ind w:firstLine="0"/>
        <w:rPr>
          <w:sz w:val="16"/>
          <w:szCs w:val="16"/>
        </w:rPr>
      </w:pPr>
    </w:p>
    <w:p w14:paraId="4DD9540D" w14:textId="77777777" w:rsidR="004C72D9" w:rsidRDefault="004C72D9">
      <w:pPr>
        <w:ind w:firstLine="0"/>
        <w:rPr>
          <w:sz w:val="16"/>
          <w:szCs w:val="16"/>
        </w:rPr>
      </w:pPr>
    </w:p>
    <w:p w14:paraId="257A6565" w14:textId="77777777" w:rsidR="004C72D9" w:rsidRDefault="004C72D9">
      <w:pPr>
        <w:ind w:firstLine="0"/>
        <w:rPr>
          <w:sz w:val="16"/>
          <w:szCs w:val="16"/>
        </w:rPr>
      </w:pPr>
    </w:p>
    <w:p w14:paraId="63909208" w14:textId="77777777" w:rsidR="004C72D9" w:rsidRDefault="004C72D9">
      <w:pPr>
        <w:ind w:firstLine="0"/>
        <w:rPr>
          <w:sz w:val="16"/>
          <w:szCs w:val="16"/>
        </w:rPr>
      </w:pPr>
    </w:p>
    <w:p w14:paraId="3C3F1B8B" w14:textId="77777777" w:rsidR="004C72D9" w:rsidRDefault="004C72D9">
      <w:pPr>
        <w:ind w:firstLine="0"/>
        <w:rPr>
          <w:sz w:val="16"/>
          <w:szCs w:val="16"/>
        </w:rPr>
      </w:pPr>
    </w:p>
    <w:p w14:paraId="5C1066C8" w14:textId="77777777" w:rsidR="004C72D9" w:rsidRDefault="004C72D9">
      <w:pPr>
        <w:ind w:firstLine="0"/>
        <w:rPr>
          <w:sz w:val="16"/>
          <w:szCs w:val="16"/>
        </w:rPr>
      </w:pPr>
    </w:p>
    <w:p w14:paraId="7C43E4D6" w14:textId="77777777" w:rsidR="004C72D9" w:rsidRDefault="004C72D9">
      <w:pPr>
        <w:ind w:firstLine="0"/>
        <w:rPr>
          <w:sz w:val="16"/>
          <w:szCs w:val="16"/>
        </w:rPr>
      </w:pPr>
    </w:p>
    <w:p w14:paraId="53AEF24F" w14:textId="77777777" w:rsidR="004C72D9" w:rsidRDefault="004C72D9">
      <w:pPr>
        <w:ind w:firstLine="0"/>
        <w:rPr>
          <w:sz w:val="16"/>
          <w:szCs w:val="16"/>
        </w:rPr>
      </w:pPr>
    </w:p>
    <w:p w14:paraId="7992913E" w14:textId="77777777" w:rsidR="004C72D9" w:rsidRDefault="004C72D9">
      <w:pPr>
        <w:ind w:firstLine="0"/>
        <w:rPr>
          <w:sz w:val="16"/>
          <w:szCs w:val="16"/>
        </w:rPr>
      </w:pPr>
    </w:p>
    <w:p w14:paraId="06DB01D8" w14:textId="77777777" w:rsidR="004C72D9" w:rsidRDefault="004C72D9">
      <w:pPr>
        <w:ind w:firstLine="0"/>
        <w:rPr>
          <w:sz w:val="16"/>
          <w:szCs w:val="16"/>
        </w:rPr>
      </w:pPr>
    </w:p>
    <w:p w14:paraId="1AE27AF0" w14:textId="77777777" w:rsidR="004C72D9" w:rsidRDefault="004C72D9">
      <w:pPr>
        <w:ind w:firstLine="0"/>
        <w:rPr>
          <w:i/>
          <w:iCs/>
          <w:sz w:val="14"/>
          <w:szCs w:val="14"/>
        </w:rPr>
      </w:pPr>
    </w:p>
    <w:p w14:paraId="7D92F6E4" w14:textId="77777777" w:rsidR="004C72D9" w:rsidRDefault="004C72D9">
      <w:pPr>
        <w:ind w:firstLine="0"/>
        <w:rPr>
          <w:i/>
          <w:iCs/>
          <w:sz w:val="14"/>
          <w:szCs w:val="14"/>
        </w:rPr>
      </w:pPr>
    </w:p>
    <w:p w14:paraId="0A168164" w14:textId="77777777" w:rsidR="004C72D9" w:rsidRDefault="004C72D9">
      <w:pPr>
        <w:ind w:firstLine="0"/>
        <w:rPr>
          <w:i/>
          <w:iCs/>
          <w:sz w:val="14"/>
          <w:szCs w:val="14"/>
        </w:rPr>
      </w:pPr>
    </w:p>
    <w:p w14:paraId="1C6E96D9" w14:textId="77777777" w:rsidR="004C72D9" w:rsidRDefault="004C72D9">
      <w:pPr>
        <w:ind w:firstLine="0"/>
        <w:rPr>
          <w:i/>
          <w:iCs/>
          <w:sz w:val="14"/>
          <w:szCs w:val="14"/>
        </w:rPr>
      </w:pPr>
    </w:p>
    <w:p w14:paraId="599DBB2D" w14:textId="77777777" w:rsidR="004C72D9" w:rsidRDefault="004C72D9">
      <w:pPr>
        <w:ind w:firstLine="0"/>
        <w:rPr>
          <w:i/>
          <w:iCs/>
          <w:sz w:val="16"/>
          <w:szCs w:val="16"/>
        </w:rPr>
      </w:pPr>
    </w:p>
    <w:p w14:paraId="13229DF8" w14:textId="77777777" w:rsidR="004C72D9" w:rsidRDefault="00000000">
      <w:pPr>
        <w:ind w:firstLine="0"/>
        <w:rPr>
          <w:i/>
          <w:iCs/>
          <w:sz w:val="14"/>
          <w:szCs w:val="14"/>
        </w:rPr>
      </w:pPr>
      <w:r>
        <w:rPr>
          <w:i/>
          <w:iCs/>
          <w:sz w:val="14"/>
          <w:szCs w:val="14"/>
        </w:rPr>
        <w:t>Ex. Maria-Victoria Prepeleac</w:t>
      </w:r>
    </w:p>
    <w:p w14:paraId="3212E6CC" w14:textId="77777777" w:rsidR="004C72D9" w:rsidRDefault="00000000">
      <w:pPr>
        <w:pBdr>
          <w:top w:val="nil"/>
          <w:left w:val="nil"/>
          <w:bottom w:val="nil"/>
          <w:right w:val="nil"/>
          <w:between w:val="nil"/>
        </w:pBdr>
        <w:ind w:left="1170" w:hanging="1170"/>
        <w:rPr>
          <w:i/>
          <w:iCs/>
          <w:color w:val="000000"/>
          <w:sz w:val="14"/>
          <w:szCs w:val="14"/>
        </w:rPr>
      </w:pPr>
      <w:r>
        <w:rPr>
          <w:i/>
          <w:iCs/>
          <w:color w:val="000000"/>
          <w:sz w:val="14"/>
          <w:szCs w:val="14"/>
        </w:rPr>
        <w:t xml:space="preserve">E-mail: </w:t>
      </w:r>
      <w:hyperlink r:id="rId10">
        <w:r>
          <w:rPr>
            <w:i/>
            <w:iCs/>
            <w:color w:val="0000FF"/>
            <w:sz w:val="14"/>
            <w:szCs w:val="14"/>
            <w:u w:val="single"/>
          </w:rPr>
          <w:t>maria-victoria.prepeleac@mec.gov.md</w:t>
        </w:r>
      </w:hyperlink>
      <w:r>
        <w:rPr>
          <w:i/>
          <w:iCs/>
          <w:color w:val="000000"/>
          <w:sz w:val="14"/>
          <w:szCs w:val="14"/>
        </w:rPr>
        <w:t xml:space="preserve"> </w:t>
      </w:r>
    </w:p>
    <w:sectPr w:rsidR="004C72D9">
      <w:headerReference w:type="default" r:id="rId11"/>
      <w:footerReference w:type="default" r:id="rId12"/>
      <w:headerReference w:type="first" r:id="rId13"/>
      <w:pgSz w:w="11907" w:h="16839"/>
      <w:pgMar w:top="851" w:right="567" w:bottom="851" w:left="1418" w:header="709"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BC437" w14:textId="77777777" w:rsidR="005D5E69" w:rsidRDefault="005D5E69">
      <w:r>
        <w:separator/>
      </w:r>
    </w:p>
  </w:endnote>
  <w:endnote w:type="continuationSeparator" w:id="0">
    <w:p w14:paraId="23C8552D" w14:textId="77777777" w:rsidR="005D5E69" w:rsidRDefault="005D5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 Benguiat_Bold">
    <w:altName w:val="Calibri"/>
    <w:charset w:val="00"/>
    <w:family w:val="auto"/>
    <w:pitch w:val="default"/>
  </w:font>
  <w:font w:name="$Caslon">
    <w:altName w:val="Calibri"/>
    <w:charset w:val="00"/>
    <w:family w:val="auto"/>
    <w:pitch w:val="default"/>
  </w:font>
  <w:font w:name="Garamond">
    <w:panose1 w:val="02020404030301010803"/>
    <w:charset w:val="00"/>
    <w:family w:val="roman"/>
    <w:pitch w:val="variable"/>
    <w:sig w:usb0="00000287" w:usb1="00000000" w:usb2="00000000" w:usb3="00000000" w:csb0="0000009F" w:csb1="00000000"/>
    <w:embedBold r:id="rId1" w:fontKey="{64C72DD5-1BCE-47D2-9BC7-36DABE9BAEEC}"/>
  </w:font>
  <w:font w:name="Tahoma">
    <w:panose1 w:val="020B0604030504040204"/>
    <w:charset w:val="00"/>
    <w:family w:val="swiss"/>
    <w:pitch w:val="variable"/>
    <w:sig w:usb0="E1002EFF" w:usb1="C000605B" w:usb2="00000029" w:usb3="00000000" w:csb0="000101FF" w:csb1="00000000"/>
    <w:embedRegular r:id="rId2" w:fontKey="{6D549480-C9F0-494F-9105-2EC39844A218}"/>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3" w:fontKey="{CC34E717-C661-491C-86D4-128C3DFE5EB7}"/>
  </w:font>
  <w:font w:name="Verdana">
    <w:panose1 w:val="020B0604030504040204"/>
    <w:charset w:val="00"/>
    <w:family w:val="swiss"/>
    <w:pitch w:val="variable"/>
    <w:sig w:usb0="A00006FF" w:usb1="4000205B" w:usb2="00000010" w:usb3="00000000" w:csb0="0000019F" w:csb1="00000000"/>
    <w:embedRegular r:id="rId4" w:fontKey="{8C91A3C1-1F9A-46CB-B5C1-95D7AA1255DD}"/>
  </w:font>
  <w:font w:name="Consolas">
    <w:panose1 w:val="020B0609020204030204"/>
    <w:charset w:val="00"/>
    <w:family w:val="modern"/>
    <w:pitch w:val="fixed"/>
    <w:sig w:usb0="E00006FF" w:usb1="0000FCFF" w:usb2="00000001" w:usb3="00000000" w:csb0="0000019F" w:csb1="00000000"/>
    <w:embedRegular r:id="rId5" w:fontKey="{CC0960FD-7E8E-456D-8CC9-483BAE3F3EDC}"/>
  </w:font>
  <w:font w:name="Cambria">
    <w:panose1 w:val="02040503050406030204"/>
    <w:charset w:val="00"/>
    <w:family w:val="roman"/>
    <w:pitch w:val="variable"/>
    <w:sig w:usb0="E00006FF" w:usb1="420024FF" w:usb2="02000000" w:usb3="00000000" w:csb0="0000019F" w:csb1="00000000"/>
    <w:embedRegular r:id="rId6" w:fontKey="{C685ABAB-DD02-4BE4-B168-1287E6C7CA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0B0A4" w14:textId="77777777" w:rsidR="004C72D9" w:rsidRDefault="004C72D9">
    <w:pPr>
      <w:pBdr>
        <w:top w:val="nil"/>
        <w:left w:val="nil"/>
        <w:bottom w:val="nil"/>
        <w:right w:val="nil"/>
        <w:between w:val="nil"/>
      </w:pBdr>
      <w:tabs>
        <w:tab w:val="center" w:pos="4677"/>
        <w:tab w:val="right" w:pos="9355"/>
      </w:tabs>
      <w:ind w:firstLine="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372DE" w14:textId="77777777" w:rsidR="005D5E69" w:rsidRDefault="005D5E69">
      <w:r>
        <w:separator/>
      </w:r>
    </w:p>
  </w:footnote>
  <w:footnote w:type="continuationSeparator" w:id="0">
    <w:p w14:paraId="46998E60" w14:textId="77777777" w:rsidR="005D5E69" w:rsidRDefault="005D5E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9B7B6" w14:textId="77777777" w:rsidR="004C72D9" w:rsidRDefault="004C72D9">
    <w:pPr>
      <w:pBdr>
        <w:top w:val="nil"/>
        <w:left w:val="nil"/>
        <w:bottom w:val="nil"/>
        <w:right w:val="nil"/>
        <w:between w:val="nil"/>
      </w:pBdr>
      <w:tabs>
        <w:tab w:val="center" w:pos="4677"/>
        <w:tab w:val="right" w:pos="9355"/>
      </w:tabs>
      <w:ind w:firstLine="0"/>
      <w:jc w:val="center"/>
      <w:rPr>
        <w:color w:val="00000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D7C6F" w14:textId="77777777" w:rsidR="004C72D9" w:rsidRDefault="004C72D9">
    <w:pPr>
      <w:pBdr>
        <w:top w:val="nil"/>
        <w:left w:val="nil"/>
        <w:bottom w:val="nil"/>
        <w:right w:val="nil"/>
        <w:between w:val="nil"/>
      </w:pBdr>
      <w:tabs>
        <w:tab w:val="center" w:pos="4677"/>
        <w:tab w:val="right" w:pos="9355"/>
      </w:tabs>
      <w:ind w:firstLine="0"/>
      <w:rPr>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B608A4"/>
    <w:multiLevelType w:val="multilevel"/>
    <w:tmpl w:val="2362BA0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621186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2D9"/>
    <w:rsid w:val="004C72D9"/>
    <w:rsid w:val="005D5E69"/>
    <w:rsid w:val="0085466D"/>
    <w:rsid w:val="0090363F"/>
    <w:rsid w:val="00E81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3B540"/>
  <w15:docId w15:val="{E9ADA88B-8BA7-482F-93A4-2F453AFAB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o-MD" w:eastAsia="en-US" w:bidi="ar-SA"/>
      </w:rPr>
    </w:rPrDefault>
    <w:pPrDefault>
      <w:pPr>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1"/>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link w:val="Heading2Char1"/>
    <w:uiPriority w:val="9"/>
    <w:semiHidden/>
    <w:unhideWhenUsed/>
    <w:qFormat/>
    <w:pPr>
      <w:keepNext/>
      <w:jc w:val="center"/>
      <w:outlineLvl w:val="1"/>
    </w:pPr>
    <w:rPr>
      <w:rFonts w:ascii="$ Benguiat_Bold" w:eastAsia="$ Benguiat_Bold" w:hAnsi="$ Benguiat_Bold" w:cs="$ Benguiat_Bold"/>
      <w:b/>
      <w:bCs/>
      <w:sz w:val="132"/>
      <w:szCs w:val="132"/>
    </w:rPr>
  </w:style>
  <w:style w:type="paragraph" w:styleId="Heading3">
    <w:name w:val="heading 3"/>
    <w:basedOn w:val="Normal"/>
    <w:next w:val="Normal"/>
    <w:link w:val="Heading3Char1"/>
    <w:uiPriority w:val="9"/>
    <w:semiHidden/>
    <w:unhideWhenUsed/>
    <w:qFormat/>
    <w:pPr>
      <w:keepNext/>
      <w:jc w:val="center"/>
      <w:outlineLvl w:val="2"/>
    </w:pPr>
    <w:rPr>
      <w:rFonts w:ascii="$Caslon" w:eastAsia="$Caslon" w:hAnsi="$Caslon" w:cs="$Caslon"/>
      <w:b/>
      <w:bCs/>
    </w:rPr>
  </w:style>
  <w:style w:type="paragraph" w:styleId="Heading4">
    <w:name w:val="heading 4"/>
    <w:basedOn w:val="Normal"/>
    <w:next w:val="Normal"/>
    <w:link w:val="Heading4Char1"/>
    <w:uiPriority w:val="9"/>
    <w:semiHidden/>
    <w:unhideWhenUsed/>
    <w:qFormat/>
    <w:pPr>
      <w:keepNext/>
      <w:jc w:val="center"/>
      <w:outlineLvl w:val="3"/>
    </w:pPr>
    <w:rPr>
      <w:rFonts w:ascii="$Caslon" w:eastAsia="$Caslon" w:hAnsi="$Caslon" w:cs="$Caslon"/>
      <w:b/>
      <w:bCs/>
      <w:sz w:val="26"/>
      <w:szCs w:val="26"/>
    </w:rPr>
  </w:style>
  <w:style w:type="paragraph" w:styleId="Heading5">
    <w:name w:val="heading 5"/>
    <w:basedOn w:val="Normal"/>
    <w:next w:val="Normal"/>
    <w:link w:val="Heading5Char1"/>
    <w:uiPriority w:val="9"/>
    <w:semiHidden/>
    <w:unhideWhenUsed/>
    <w:qFormat/>
    <w:pPr>
      <w:keepNext/>
      <w:jc w:val="center"/>
      <w:outlineLvl w:val="4"/>
    </w:pPr>
    <w:rPr>
      <w:rFonts w:ascii="$Caslon" w:eastAsia="$Caslon" w:hAnsi="$Caslon" w:cs="$Caslon"/>
      <w:sz w:val="24"/>
      <w:szCs w:val="24"/>
    </w:rPr>
  </w:style>
  <w:style w:type="paragraph" w:styleId="Heading6">
    <w:name w:val="heading 6"/>
    <w:basedOn w:val="Normal"/>
    <w:next w:val="Normal"/>
    <w:link w:val="Heading6Char1"/>
    <w:uiPriority w:val="9"/>
    <w:semiHidden/>
    <w:unhideWhenUsed/>
    <w:qFormat/>
    <w:pPr>
      <w:keepNext/>
      <w:jc w:val="center"/>
      <w:outlineLvl w:val="5"/>
    </w:pPr>
    <w:rPr>
      <w:rFonts w:ascii="$Caslon" w:eastAsia="$Caslon" w:hAnsi="$Caslon" w:cs="$Caslon"/>
      <w:b/>
      <w:bCs/>
      <w:sz w:val="22"/>
      <w:szCs w:val="22"/>
    </w:rPr>
  </w:style>
  <w:style w:type="paragraph" w:styleId="Heading7">
    <w:name w:val="heading 7"/>
    <w:basedOn w:val="Normal"/>
    <w:next w:val="Normal"/>
    <w:link w:val="Heading7Char1"/>
    <w:qFormat/>
    <w:pPr>
      <w:keepNext/>
      <w:jc w:val="center"/>
      <w:outlineLvl w:val="6"/>
    </w:pPr>
    <w:rPr>
      <w:rFonts w:ascii="Garamond" w:hAnsi="Garamond"/>
      <w:b/>
      <w:sz w:val="28"/>
    </w:rPr>
  </w:style>
  <w:style w:type="paragraph" w:styleId="Heading8">
    <w:name w:val="heading 8"/>
    <w:basedOn w:val="Normal"/>
    <w:next w:val="Normal"/>
    <w:link w:val="Heading8Char1"/>
    <w:qFormat/>
    <w:pPr>
      <w:keepNext/>
      <w:jc w:val="center"/>
      <w:outlineLvl w:val="7"/>
    </w:pPr>
    <w:rPr>
      <w:rFonts w:ascii="$Caslon" w:hAnsi="$Caslon"/>
      <w:b/>
      <w:sz w:val="24"/>
    </w:rPr>
  </w:style>
  <w:style w:type="paragraph" w:styleId="Heading9">
    <w:name w:val="heading 9"/>
    <w:basedOn w:val="Normal"/>
    <w:next w:val="Normal"/>
    <w:link w:val="Heading9Char1"/>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1"/>
    <w:uiPriority w:val="10"/>
    <w:qFormat/>
    <w:pPr>
      <w:spacing w:before="300" w:after="200"/>
    </w:pPr>
    <w:rPr>
      <w:sz w:val="48"/>
      <w:szCs w:val="48"/>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table" w:customStyle="1" w:styleId="TableGridLight1">
    <w:name w:val="Table Grid Light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
    <w:name w:val="Grid Table 1 Light - Accent 21"/>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
    <w:name w:val="Grid Table 1 Light - Accent 31"/>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
    <w:name w:val="Grid Table 1 Light - Accent 41"/>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
    <w:name w:val="Grid Table 1 Light - Accent 51"/>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
    <w:name w:val="Grid Table 1 Light - Accent 61"/>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1">
    <w:name w:val="Grid Table 2 - Accent 21"/>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1">
    <w:name w:val="Grid Table 2 - Accent 31"/>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1">
    <w:name w:val="Grid Table 2 - Accent 41"/>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1">
    <w:name w:val="Grid Table 2 - Accent 51"/>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1">
    <w:name w:val="Grid Table 2 - Accent 61"/>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1">
    <w:name w:val="Grid Table 3 - Accent 21"/>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1">
    <w:name w:val="Grid Table 3 - Accent 31"/>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1">
    <w:name w:val="Grid Table 3 - Accent 41"/>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1">
    <w:name w:val="Grid Table 3 - Accent 51"/>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1">
    <w:name w:val="Grid Table 3 - Accent 61"/>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1">
    <w:name w:val="Grid Table 4 - Accent 21"/>
    <w:basedOn w:val="Table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1">
    <w:name w:val="Grid Table 4 - Accent 31"/>
    <w:basedOn w:val="Table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1">
    <w:name w:val="Grid Table 4 - Accent 41"/>
    <w:basedOn w:val="Table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1">
    <w:name w:val="Grid Table 4 - Accent 51"/>
    <w:basedOn w:val="Table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1">
    <w:name w:val="Grid Table 4 - Accent 61"/>
    <w:basedOn w:val="Table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21">
    <w:name w:val="Grid Table 5 Dark - Accent 2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1">
    <w:name w:val="Grid Table 5 Dark - Accent 3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51">
    <w:name w:val="Grid Table 5 Dark - Accent 5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1">
    <w:name w:val="Grid Table 5 Dark - Accent 6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
    <w:name w:val="Grid Table 6 Colorful - Accent 21"/>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
    <w:name w:val="Grid Table 6 Colorful - Accent 31"/>
    <w:basedOn w:val="Table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
    <w:name w:val="Grid Table 6 Colorful - Accent 41"/>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
    <w:name w:val="Grid Table 6 Colorful - Accent 51"/>
    <w:basedOn w:val="Table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
    <w:name w:val="Grid Table 6 Colorful - Accent 61"/>
    <w:basedOn w:val="Table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
    <w:name w:val="Grid Table 7 Colorful - Accent 21"/>
    <w:basedOn w:val="Table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
    <w:name w:val="Grid Table 7 Colorful - Accent 31"/>
    <w:basedOn w:val="Table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
    <w:name w:val="Grid Table 7 Colorful - Accent 41"/>
    <w:basedOn w:val="Table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
    <w:name w:val="Grid Table 7 Colorful - Accent 51"/>
    <w:basedOn w:val="Table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
    <w:name w:val="Grid Table 7 Colorful - Accent 61"/>
    <w:basedOn w:val="Table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1">
    <w:name w:val="List Table 1 Light - Accent 2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1">
    <w:name w:val="List Table 1 Light - Accent 3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1">
    <w:name w:val="List Table 1 Light - Accent 4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1">
    <w:name w:val="List Table 1 Light - Accent 5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1">
    <w:name w:val="List Table 1 Light - Accent 6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1">
    <w:name w:val="List Table 2 - Accent 21"/>
    <w:basedOn w:val="Table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1">
    <w:name w:val="List Table 2 - Accent 31"/>
    <w:basedOn w:val="Table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1">
    <w:name w:val="List Table 2 - Accent 41"/>
    <w:basedOn w:val="Table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1">
    <w:name w:val="List Table 2 - Accent 51"/>
    <w:basedOn w:val="Table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1">
    <w:name w:val="List Table 2 - Accent 61"/>
    <w:basedOn w:val="Table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
    <w:name w:val="List Table 3 - Accent 21"/>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
    <w:name w:val="List Table 3 - Accent 31"/>
    <w:basedOn w:val="Table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
    <w:name w:val="List Table 3 - Accent 41"/>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
    <w:name w:val="List Table 3 - Accent 51"/>
    <w:basedOn w:val="Table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
    <w:name w:val="List Table 3 - Accent 61"/>
    <w:basedOn w:val="Table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1">
    <w:name w:val="List Table 4 - Accent 21"/>
    <w:basedOn w:val="Table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1">
    <w:name w:val="List Table 4 - Accent 31"/>
    <w:basedOn w:val="Table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1">
    <w:name w:val="List Table 4 - Accent 41"/>
    <w:basedOn w:val="Table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1">
    <w:name w:val="List Table 4 - Accent 51"/>
    <w:basedOn w:val="Table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1">
    <w:name w:val="List Table 4 - Accent 61"/>
    <w:basedOn w:val="Table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1">
    <w:name w:val="List Table 5 Dark - Accent 21"/>
    <w:basedOn w:val="Table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1">
    <w:name w:val="List Table 5 Dark - Accent 31"/>
    <w:basedOn w:val="Table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1">
    <w:name w:val="List Table 5 Dark - Accent 41"/>
    <w:basedOn w:val="Table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1">
    <w:name w:val="List Table 5 Dark - Accent 51"/>
    <w:basedOn w:val="Table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1">
    <w:name w:val="List Table 5 Dark - Accent 61"/>
    <w:basedOn w:val="Table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
    <w:name w:val="List Table 6 Colorful - Accent 21"/>
    <w:basedOn w:val="Table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
    <w:name w:val="List Table 6 Colorful - Accent 31"/>
    <w:basedOn w:val="Table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
    <w:name w:val="List Table 6 Colorful - Accent 41"/>
    <w:basedOn w:val="Table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
    <w:name w:val="List Table 6 Colorful - Accent 51"/>
    <w:basedOn w:val="Table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
    <w:name w:val="List Table 6 Colorful - Accent 61"/>
    <w:basedOn w:val="Table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
    <w:name w:val="List Table 7 Colorful - Accent 21"/>
    <w:basedOn w:val="Table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
    <w:name w:val="List Table 7 Colorful - Accent 31"/>
    <w:basedOn w:val="Table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
    <w:name w:val="List Table 7 Colorful - Accent 41"/>
    <w:basedOn w:val="Table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
    <w:name w:val="List Table 7 Colorful - Accent 51"/>
    <w:basedOn w:val="Table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
    <w:name w:val="List Table 7 Colorful - Accent 61"/>
    <w:basedOn w:val="Table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1">
    <w:name w:val="Heading 1 Char1"/>
    <w:basedOn w:val="DefaultParagraphFont"/>
    <w:link w:val="Heading1"/>
    <w:uiPriority w:val="9"/>
    <w:rPr>
      <w:rFonts w:ascii="Arial" w:eastAsia="Arial" w:hAnsi="Arial" w:cs="Arial"/>
      <w:sz w:val="40"/>
      <w:szCs w:val="40"/>
    </w:rPr>
  </w:style>
  <w:style w:type="character" w:customStyle="1" w:styleId="Heading2Char1">
    <w:name w:val="Heading 2 Char1"/>
    <w:basedOn w:val="DefaultParagraphFont"/>
    <w:link w:val="Heading2"/>
    <w:uiPriority w:val="9"/>
    <w:rPr>
      <w:rFonts w:ascii="Arial" w:eastAsia="Arial" w:hAnsi="Arial" w:cs="Arial"/>
      <w:sz w:val="34"/>
    </w:rPr>
  </w:style>
  <w:style w:type="character" w:customStyle="1" w:styleId="Heading3Char1">
    <w:name w:val="Heading 3 Char1"/>
    <w:basedOn w:val="DefaultParagraphFont"/>
    <w:link w:val="Heading3"/>
    <w:uiPriority w:val="9"/>
    <w:rPr>
      <w:rFonts w:ascii="Arial" w:eastAsia="Arial" w:hAnsi="Arial" w:cs="Arial"/>
      <w:sz w:val="30"/>
      <w:szCs w:val="30"/>
    </w:rPr>
  </w:style>
  <w:style w:type="character" w:customStyle="1" w:styleId="Heading4Char1">
    <w:name w:val="Heading 4 Char1"/>
    <w:basedOn w:val="DefaultParagraphFont"/>
    <w:link w:val="Heading4"/>
    <w:uiPriority w:val="9"/>
    <w:rPr>
      <w:rFonts w:ascii="Arial" w:eastAsia="Arial" w:hAnsi="Arial" w:cs="Arial"/>
      <w:b/>
      <w:bCs/>
      <w:sz w:val="26"/>
      <w:szCs w:val="26"/>
    </w:rPr>
  </w:style>
  <w:style w:type="character" w:customStyle="1" w:styleId="Heading5Char1">
    <w:name w:val="Heading 5 Char1"/>
    <w:basedOn w:val="DefaultParagraphFont"/>
    <w:link w:val="Heading5"/>
    <w:uiPriority w:val="9"/>
    <w:rPr>
      <w:rFonts w:ascii="Arial" w:eastAsia="Arial" w:hAnsi="Arial" w:cs="Arial"/>
      <w:b/>
      <w:bCs/>
      <w:sz w:val="24"/>
      <w:szCs w:val="24"/>
    </w:rPr>
  </w:style>
  <w:style w:type="character" w:customStyle="1" w:styleId="Heading6Char1">
    <w:name w:val="Heading 6 Char1"/>
    <w:basedOn w:val="DefaultParagraphFont"/>
    <w:link w:val="Heading6"/>
    <w:uiPriority w:val="9"/>
    <w:rPr>
      <w:rFonts w:ascii="Arial" w:eastAsia="Arial" w:hAnsi="Arial" w:cs="Arial"/>
      <w:b/>
      <w:bCs/>
      <w:sz w:val="22"/>
      <w:szCs w:val="22"/>
    </w:rPr>
  </w:style>
  <w:style w:type="character" w:customStyle="1" w:styleId="Heading7Char1">
    <w:name w:val="Heading 7 Char1"/>
    <w:basedOn w:val="DefaultParagraphFont"/>
    <w:link w:val="Heading7"/>
    <w:uiPriority w:val="9"/>
    <w:rPr>
      <w:rFonts w:ascii="Arial" w:eastAsia="Arial" w:hAnsi="Arial" w:cs="Arial"/>
      <w:b/>
      <w:bCs/>
      <w:i/>
      <w:iCs/>
      <w:sz w:val="22"/>
      <w:szCs w:val="22"/>
    </w:rPr>
  </w:style>
  <w:style w:type="character" w:customStyle="1" w:styleId="Heading8Char1">
    <w:name w:val="Heading 8 Char1"/>
    <w:basedOn w:val="DefaultParagraphFont"/>
    <w:link w:val="Heading8"/>
    <w:uiPriority w:val="9"/>
    <w:rPr>
      <w:rFonts w:ascii="Arial" w:eastAsia="Arial" w:hAnsi="Arial" w:cs="Arial"/>
      <w:i/>
      <w:iCs/>
      <w:sz w:val="22"/>
      <w:szCs w:val="22"/>
    </w:rPr>
  </w:style>
  <w:style w:type="character" w:customStyle="1" w:styleId="Heading9Char1">
    <w:name w:val="Heading 9 Char1"/>
    <w:basedOn w:val="DefaultParagraphFont"/>
    <w:link w:val="Heading9"/>
    <w:uiPriority w:val="9"/>
    <w:rPr>
      <w:rFonts w:ascii="Arial" w:eastAsia="Arial" w:hAnsi="Arial" w:cs="Arial"/>
      <w:i/>
      <w:iCs/>
      <w:sz w:val="21"/>
      <w:szCs w:val="21"/>
    </w:rPr>
  </w:style>
  <w:style w:type="paragraph" w:styleId="NoSpacing">
    <w:name w:val="No Spacing"/>
    <w:uiPriority w:val="1"/>
    <w:qFormat/>
  </w:style>
  <w:style w:type="character" w:customStyle="1" w:styleId="TitleChar1">
    <w:name w:val="Title Char1"/>
    <w:basedOn w:val="DefaultParagraphFont"/>
    <w:link w:val="Title"/>
    <w:uiPriority w:val="10"/>
    <w:rPr>
      <w:sz w:val="48"/>
      <w:szCs w:val="48"/>
    </w:rPr>
  </w:style>
  <w:style w:type="character" w:customStyle="1" w:styleId="SubtitleChar1">
    <w:name w:val="Subtitle Char1"/>
    <w:basedOn w:val="DefaultParagraphFont"/>
    <w:link w:val="Subtitle"/>
    <w:uiPriority w:val="11"/>
    <w:rPr>
      <w:sz w:val="24"/>
      <w:szCs w:val="24"/>
    </w:rPr>
  </w:style>
  <w:style w:type="paragraph" w:styleId="Quote">
    <w:name w:val="Quote"/>
    <w:basedOn w:val="Normal"/>
    <w:next w:val="Normal"/>
    <w:link w:val="QuoteChar1"/>
    <w:uiPriority w:val="29"/>
    <w:qFormat/>
    <w:pPr>
      <w:ind w:left="720" w:right="720"/>
    </w:pPr>
    <w:rPr>
      <w:i/>
    </w:rPr>
  </w:style>
  <w:style w:type="character" w:customStyle="1" w:styleId="QuoteChar1">
    <w:name w:val="Quote Char1"/>
    <w:link w:val="Quote"/>
    <w:uiPriority w:val="29"/>
    <w:rPr>
      <w:i/>
    </w:rPr>
  </w:style>
  <w:style w:type="paragraph" w:styleId="IntenseQuote">
    <w:name w:val="Intense Quote"/>
    <w:basedOn w:val="Normal"/>
    <w:next w:val="Normal"/>
    <w:link w:val="IntenseQuoteChar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1">
    <w:name w:val="Intense Quote Char1"/>
    <w:link w:val="IntenseQuote"/>
    <w:uiPriority w:val="30"/>
    <w:rPr>
      <w:i/>
    </w:rPr>
  </w:style>
  <w:style w:type="paragraph" w:styleId="Caption">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10">
    <w:name w:val="Table Grid Light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1">
    <w:name w:val="Plain Table 1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1">
    <w:name w:val="Plain Table 21"/>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1">
    <w:name w:val="Plain Table 31"/>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1">
    <w:name w:val="Plain Table 41"/>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1">
    <w:name w:val="Plain Table 51"/>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1">
    <w:name w:val="Grid Table 1 Light1"/>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0">
    <w:name w:val="Grid Table 1 Light - Accent 1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0">
    <w:name w:val="Grid Table 1 Light - Accent 21"/>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0">
    <w:name w:val="Grid Table 1 Light - Accent 31"/>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0">
    <w:name w:val="Grid Table 1 Light - Accent 41"/>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0">
    <w:name w:val="Grid Table 1 Light - Accent 51"/>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0">
    <w:name w:val="Grid Table 1 Light - Accent 61"/>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1">
    <w:name w:val="Grid Table 21"/>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0">
    <w:name w:val="Grid Table 2 - Accent 1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10">
    <w:name w:val="Grid Table 2 - Accent 21"/>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10">
    <w:name w:val="Grid Table 2 - Accent 31"/>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10">
    <w:name w:val="Grid Table 2 - Accent 41"/>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10">
    <w:name w:val="Grid Table 2 - Accent 51"/>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10">
    <w:name w:val="Grid Table 2 - Accent 61"/>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1">
    <w:name w:val="Grid Table 31"/>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0">
    <w:name w:val="Grid Table 3 - Accent 1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10">
    <w:name w:val="Grid Table 3 - Accent 21"/>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10">
    <w:name w:val="Grid Table 3 - Accent 31"/>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10">
    <w:name w:val="Grid Table 3 - Accent 41"/>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10">
    <w:name w:val="Grid Table 3 - Accent 51"/>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10">
    <w:name w:val="Grid Table 3 - Accent 61"/>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1">
    <w:name w:val="Grid Table 41"/>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0">
    <w:name w:val="Grid Table 4 - Accent 11"/>
    <w:basedOn w:val="Table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10">
    <w:name w:val="Grid Table 4 - Accent 21"/>
    <w:basedOn w:val="Table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10">
    <w:name w:val="Grid Table 4 - Accent 31"/>
    <w:basedOn w:val="Table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10">
    <w:name w:val="Grid Table 4 - Accent 41"/>
    <w:basedOn w:val="Table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10">
    <w:name w:val="Grid Table 4 - Accent 51"/>
    <w:basedOn w:val="Table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10">
    <w:name w:val="Grid Table 4 - Accent 61"/>
    <w:basedOn w:val="Table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1">
    <w:name w:val="Grid Table 5 Dark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10">
    <w:name w:val="Grid Table 5 Dark - Accent 2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10">
    <w:name w:val="Grid Table 5 Dark - Accent 3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10">
    <w:name w:val="Grid Table 5 Dark - Accent 5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10">
    <w:name w:val="Grid Table 5 Dark - Accent 6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1">
    <w:name w:val="Grid Table 6 Colorful1"/>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0">
    <w:name w:val="Grid Table 6 Colorful - Accent 11"/>
    <w:basedOn w:val="Table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0">
    <w:name w:val="Grid Table 6 Colorful - Accent 21"/>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0">
    <w:name w:val="Grid Table 6 Colorful - Accent 31"/>
    <w:basedOn w:val="Table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0">
    <w:name w:val="Grid Table 6 Colorful - Accent 41"/>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0">
    <w:name w:val="Grid Table 6 Colorful - Accent 51"/>
    <w:basedOn w:val="Table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0">
    <w:name w:val="Grid Table 6 Colorful - Accent 61"/>
    <w:basedOn w:val="Table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1">
    <w:name w:val="Grid Table 7 Colorful1"/>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0">
    <w:name w:val="Grid Table 7 Colorful - Accent 11"/>
    <w:basedOn w:val="Table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0">
    <w:name w:val="Grid Table 7 Colorful - Accent 21"/>
    <w:basedOn w:val="Table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0">
    <w:name w:val="Grid Table 7 Colorful - Accent 31"/>
    <w:basedOn w:val="Table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0">
    <w:name w:val="Grid Table 7 Colorful - Accent 41"/>
    <w:basedOn w:val="Table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0">
    <w:name w:val="Grid Table 7 Colorful - Accent 51"/>
    <w:basedOn w:val="Table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0">
    <w:name w:val="Grid Table 7 Colorful - Accent 61"/>
    <w:basedOn w:val="Table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1">
    <w:name w:val="List Table 1 Light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0">
    <w:name w:val="List Table 1 Light - Accent 1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10">
    <w:name w:val="List Table 1 Light - Accent 2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10">
    <w:name w:val="List Table 1 Light - Accent 3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10">
    <w:name w:val="List Table 1 Light - Accent 4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10">
    <w:name w:val="List Table 1 Light - Accent 5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10">
    <w:name w:val="List Table 1 Light - Accent 6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1">
    <w:name w:val="List Table 21"/>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0">
    <w:name w:val="List Table 2 - Accent 11"/>
    <w:basedOn w:val="Table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10">
    <w:name w:val="List Table 2 - Accent 21"/>
    <w:basedOn w:val="Table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10">
    <w:name w:val="List Table 2 - Accent 31"/>
    <w:basedOn w:val="Table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10">
    <w:name w:val="List Table 2 - Accent 41"/>
    <w:basedOn w:val="Table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10">
    <w:name w:val="List Table 2 - Accent 51"/>
    <w:basedOn w:val="Table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10">
    <w:name w:val="List Table 2 - Accent 61"/>
    <w:basedOn w:val="Table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1">
    <w:name w:val="List Table 31"/>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0">
    <w:name w:val="List Table 3 - Accent 11"/>
    <w:basedOn w:val="Table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0">
    <w:name w:val="List Table 3 - Accent 21"/>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0">
    <w:name w:val="List Table 3 - Accent 31"/>
    <w:basedOn w:val="Table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0">
    <w:name w:val="List Table 3 - Accent 41"/>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0">
    <w:name w:val="List Table 3 - Accent 51"/>
    <w:basedOn w:val="Table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0">
    <w:name w:val="List Table 3 - Accent 61"/>
    <w:basedOn w:val="Table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1">
    <w:name w:val="List Table 41"/>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0">
    <w:name w:val="List Table 4 - Accent 11"/>
    <w:basedOn w:val="Table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10">
    <w:name w:val="List Table 4 - Accent 21"/>
    <w:basedOn w:val="Table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10">
    <w:name w:val="List Table 4 - Accent 31"/>
    <w:basedOn w:val="Table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10">
    <w:name w:val="List Table 4 - Accent 41"/>
    <w:basedOn w:val="Table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10">
    <w:name w:val="List Table 4 - Accent 51"/>
    <w:basedOn w:val="Table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10">
    <w:name w:val="List Table 4 - Accent 61"/>
    <w:basedOn w:val="Table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1">
    <w:name w:val="List Table 5 Dark1"/>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0">
    <w:name w:val="List Table 5 Dark - Accent 11"/>
    <w:basedOn w:val="Table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10">
    <w:name w:val="List Table 5 Dark - Accent 21"/>
    <w:basedOn w:val="Table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10">
    <w:name w:val="List Table 5 Dark - Accent 31"/>
    <w:basedOn w:val="Table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10">
    <w:name w:val="List Table 5 Dark - Accent 41"/>
    <w:basedOn w:val="Table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10">
    <w:name w:val="List Table 5 Dark - Accent 51"/>
    <w:basedOn w:val="Table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10">
    <w:name w:val="List Table 5 Dark - Accent 61"/>
    <w:basedOn w:val="Table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1">
    <w:name w:val="List Table 6 Colorful1"/>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0">
    <w:name w:val="List Table 6 Colorful - Accent 11"/>
    <w:basedOn w:val="Table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0">
    <w:name w:val="List Table 6 Colorful - Accent 21"/>
    <w:basedOn w:val="Table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0">
    <w:name w:val="List Table 6 Colorful - Accent 31"/>
    <w:basedOn w:val="Table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0">
    <w:name w:val="List Table 6 Colorful - Accent 41"/>
    <w:basedOn w:val="Table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0">
    <w:name w:val="List Table 6 Colorful - Accent 51"/>
    <w:basedOn w:val="Table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0">
    <w:name w:val="List Table 6 Colorful - Accent 61"/>
    <w:basedOn w:val="Table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1">
    <w:name w:val="List Table 7 Colorful1"/>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0">
    <w:name w:val="List Table 7 Colorful - Accent 11"/>
    <w:basedOn w:val="Table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0">
    <w:name w:val="List Table 7 Colorful - Accent 21"/>
    <w:basedOn w:val="Table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0">
    <w:name w:val="List Table 7 Colorful - Accent 31"/>
    <w:basedOn w:val="Table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0">
    <w:name w:val="List Table 7 Colorful - Accent 41"/>
    <w:basedOn w:val="Table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0">
    <w:name w:val="List Table 7 Colorful - Accent 51"/>
    <w:basedOn w:val="Table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0">
    <w:name w:val="List Table 7 Colorful - Accent 61"/>
    <w:basedOn w:val="Table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rPr>
      <w:color w:val="404040"/>
      <w:lang w:val="ro-RO" w:eastAsia="ro-RO"/>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lang w:val="ro-RO" w:eastAsia="ro-RO"/>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rPr>
      <w:color w:val="404040"/>
      <w:lang w:val="ro-RO" w:eastAsia="ro-RO"/>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rPr>
      <w:color w:val="404040"/>
      <w:lang w:val="ro-RO" w:eastAsia="ro-RO"/>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rPr>
      <w:color w:val="404040"/>
      <w:lang w:val="ro-RO" w:eastAsia="ro-RO"/>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rPr>
      <w:color w:val="404040"/>
      <w:lang w:val="ro-RO" w:eastAsia="ro-RO"/>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rPr>
      <w:color w:val="404040"/>
      <w:lang w:val="ro-RO" w:eastAsia="ro-RO"/>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ootnoteText">
    <w:name w:val="footnote text"/>
    <w:basedOn w:val="Normal"/>
    <w:link w:val="FootnoteTextChar1"/>
    <w:uiPriority w:val="99"/>
    <w:semiHidden/>
    <w:unhideWhenUsed/>
    <w:pPr>
      <w:spacing w:after="40"/>
    </w:pPr>
    <w:rPr>
      <w:sz w:val="18"/>
    </w:rPr>
  </w:style>
  <w:style w:type="character" w:customStyle="1" w:styleId="FootnoteTextChar1">
    <w:name w:val="Footnote Text Char1"/>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1"/>
    <w:uiPriority w:val="99"/>
    <w:semiHidden/>
    <w:unhideWhenUsed/>
  </w:style>
  <w:style w:type="character" w:customStyle="1" w:styleId="EndnoteTextChar1">
    <w:name w:val="Endnote Text Char1"/>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ind w:firstLine="0"/>
    </w:pPr>
  </w:style>
  <w:style w:type="paragraph" w:styleId="TOC2">
    <w:name w:val="toc 2"/>
    <w:basedOn w:val="Normal"/>
    <w:next w:val="Normal"/>
    <w:uiPriority w:val="39"/>
    <w:unhideWhenUsed/>
    <w:pPr>
      <w:spacing w:after="57"/>
      <w:ind w:left="283" w:firstLine="0"/>
    </w:pPr>
  </w:style>
  <w:style w:type="paragraph" w:styleId="TOC3">
    <w:name w:val="toc 3"/>
    <w:basedOn w:val="Normal"/>
    <w:next w:val="Normal"/>
    <w:uiPriority w:val="39"/>
    <w:unhideWhenUsed/>
    <w:pPr>
      <w:spacing w:after="57"/>
      <w:ind w:left="567" w:firstLine="0"/>
    </w:pPr>
  </w:style>
  <w:style w:type="paragraph" w:styleId="TOC4">
    <w:name w:val="toc 4"/>
    <w:basedOn w:val="Normal"/>
    <w:next w:val="Normal"/>
    <w:uiPriority w:val="39"/>
    <w:unhideWhenUsed/>
    <w:pPr>
      <w:spacing w:after="57"/>
      <w:ind w:left="850" w:firstLine="0"/>
    </w:pPr>
  </w:style>
  <w:style w:type="paragraph" w:styleId="TOC5">
    <w:name w:val="toc 5"/>
    <w:basedOn w:val="Normal"/>
    <w:next w:val="Normal"/>
    <w:uiPriority w:val="39"/>
    <w:unhideWhenUsed/>
    <w:pPr>
      <w:spacing w:after="57"/>
      <w:ind w:left="1134" w:firstLine="0"/>
    </w:pPr>
  </w:style>
  <w:style w:type="paragraph" w:styleId="TOC6">
    <w:name w:val="toc 6"/>
    <w:basedOn w:val="Normal"/>
    <w:next w:val="Normal"/>
    <w:uiPriority w:val="39"/>
    <w:unhideWhenUsed/>
    <w:pPr>
      <w:spacing w:after="57"/>
      <w:ind w:left="1417" w:firstLine="0"/>
    </w:pPr>
  </w:style>
  <w:style w:type="paragraph" w:styleId="TOC7">
    <w:name w:val="toc 7"/>
    <w:basedOn w:val="Normal"/>
    <w:next w:val="Normal"/>
    <w:uiPriority w:val="39"/>
    <w:unhideWhenUsed/>
    <w:pPr>
      <w:spacing w:after="57"/>
      <w:ind w:left="1701" w:firstLine="0"/>
    </w:pPr>
  </w:style>
  <w:style w:type="paragraph" w:styleId="TOC8">
    <w:name w:val="toc 8"/>
    <w:basedOn w:val="Normal"/>
    <w:next w:val="Normal"/>
    <w:uiPriority w:val="39"/>
    <w:unhideWhenUsed/>
    <w:pPr>
      <w:spacing w:after="57"/>
      <w:ind w:left="1984" w:firstLine="0"/>
    </w:pPr>
  </w:style>
  <w:style w:type="paragraph" w:styleId="TOC9">
    <w:name w:val="toc 9"/>
    <w:basedOn w:val="Normal"/>
    <w:next w:val="Normal"/>
    <w:uiPriority w:val="39"/>
    <w:unhideWhenUsed/>
    <w:pPr>
      <w:spacing w:after="57"/>
      <w:ind w:left="2268" w:firstLine="0"/>
    </w:pPr>
  </w:style>
  <w:style w:type="paragraph" w:styleId="TOCHeading">
    <w:name w:val="TOC Heading"/>
    <w:uiPriority w:val="39"/>
    <w:unhideWhenUsed/>
  </w:style>
  <w:style w:type="paragraph" w:styleId="TableofFigures">
    <w:name w:val="table of figures"/>
    <w:basedOn w:val="Normal"/>
    <w:next w:val="Normal"/>
    <w:uiPriority w:val="99"/>
    <w:unhideWhenUsed/>
  </w:style>
  <w:style w:type="paragraph" w:styleId="BalloonText">
    <w:name w:val="Balloon Text"/>
    <w:basedOn w:val="Normal"/>
    <w:link w:val="BalloonTextChar"/>
    <w:uiPriority w:val="99"/>
    <w:rPr>
      <w:rFonts w:ascii="Tahoma" w:hAnsi="Tahoma"/>
      <w:sz w:val="16"/>
      <w:szCs w:val="16"/>
    </w:rPr>
  </w:style>
  <w:style w:type="character" w:customStyle="1" w:styleId="BalloonTextChar">
    <w:name w:val="Balloon Text Char"/>
    <w:link w:val="BalloonText"/>
    <w:uiPriority w:val="99"/>
    <w:rPr>
      <w:rFonts w:ascii="Tahoma" w:hAnsi="Tahoma" w:cs="Tahoma"/>
      <w:sz w:val="16"/>
      <w:szCs w:val="16"/>
      <w:lang w:val="en-US" w:eastAsia="en-US"/>
    </w:rPr>
  </w:style>
  <w:style w:type="paragraph" w:customStyle="1" w:styleId="CharChar">
    <w:name w:val="Знак Знак Char Char Знак"/>
    <w:basedOn w:val="Normal"/>
    <w:pPr>
      <w:spacing w:after="160" w:line="240" w:lineRule="exact"/>
      <w:ind w:firstLine="0"/>
      <w:jc w:val="left"/>
    </w:pPr>
    <w:rPr>
      <w:rFonts w:ascii="Arial" w:eastAsia="Batang" w:hAnsi="Arial" w:cs="Arial"/>
    </w:rPr>
  </w:style>
  <w:style w:type="paragraph" w:styleId="NormalWeb">
    <w:name w:val="Normal (Web)"/>
    <w:basedOn w:val="Normal"/>
    <w:uiPriority w:val="99"/>
    <w:unhideWhenUsed/>
    <w:pPr>
      <w:ind w:firstLine="567"/>
    </w:pPr>
    <w:rPr>
      <w:sz w:val="24"/>
      <w:szCs w:val="24"/>
      <w:lang w:val="ru-RU" w:eastAsia="ru-RU"/>
    </w:rPr>
  </w:style>
  <w:style w:type="paragraph" w:customStyle="1" w:styleId="cn">
    <w:name w:val="cn"/>
    <w:basedOn w:val="Normal"/>
    <w:pPr>
      <w:ind w:firstLine="0"/>
      <w:jc w:val="center"/>
    </w:pPr>
    <w:rPr>
      <w:sz w:val="24"/>
      <w:szCs w:val="24"/>
      <w:lang w:val="ru-RU" w:eastAsia="ru-RU"/>
    </w:rPr>
  </w:style>
  <w:style w:type="paragraph" w:customStyle="1" w:styleId="cb">
    <w:name w:val="cb"/>
    <w:basedOn w:val="Normal"/>
    <w:uiPriority w:val="99"/>
    <w:semiHidden/>
    <w:pPr>
      <w:ind w:firstLine="0"/>
      <w:jc w:val="center"/>
    </w:pPr>
    <w:rPr>
      <w:b/>
      <w:bCs/>
      <w:sz w:val="24"/>
      <w:szCs w:val="24"/>
      <w:lang w:val="ru-RU" w:eastAsia="ru-RU"/>
    </w:rPr>
  </w:style>
  <w:style w:type="paragraph" w:styleId="Header">
    <w:name w:val="header"/>
    <w:basedOn w:val="Normal"/>
    <w:link w:val="HeaderChar1"/>
    <w:pPr>
      <w:tabs>
        <w:tab w:val="center" w:pos="4677"/>
        <w:tab w:val="right" w:pos="9355"/>
      </w:tabs>
    </w:pPr>
  </w:style>
  <w:style w:type="character" w:customStyle="1" w:styleId="HeaderChar1">
    <w:name w:val="Header Char1"/>
    <w:link w:val="Header"/>
    <w:uiPriority w:val="99"/>
    <w:rPr>
      <w:lang w:val="en-US" w:eastAsia="en-US"/>
    </w:rPr>
  </w:style>
  <w:style w:type="paragraph" w:styleId="Footer">
    <w:name w:val="footer"/>
    <w:basedOn w:val="Normal"/>
    <w:link w:val="FooterChar1"/>
    <w:pPr>
      <w:tabs>
        <w:tab w:val="center" w:pos="4677"/>
        <w:tab w:val="right" w:pos="9355"/>
      </w:tabs>
    </w:pPr>
  </w:style>
  <w:style w:type="character" w:customStyle="1" w:styleId="FooterChar1">
    <w:name w:val="Footer Char1"/>
    <w:link w:val="Footer"/>
    <w:uiPriority w:val="99"/>
    <w:rPr>
      <w:lang w:val="en-US" w:eastAsia="en-US"/>
    </w:rPr>
  </w:style>
  <w:style w:type="table" w:styleId="TableGrid">
    <w:name w:val="Table Grid"/>
    <w:basedOn w:val="TableNormal"/>
    <w:uiPriority w:val="59"/>
    <w:rPr>
      <w:rFonts w:ascii="Calibri" w:eastAsia="Calibri" w:hAnsi="Calibri"/>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ews">
    <w:name w:val="news"/>
    <w:basedOn w:val="Normal"/>
    <w:pPr>
      <w:ind w:firstLine="0"/>
      <w:jc w:val="left"/>
    </w:pPr>
    <w:rPr>
      <w:rFonts w:ascii="Arial" w:hAnsi="Arial" w:cs="Arial"/>
      <w:lang w:val="ru-RU" w:eastAsia="ru-RU"/>
    </w:rPr>
  </w:style>
  <w:style w:type="table" w:customStyle="1" w:styleId="GrilTabel1">
    <w:name w:val="Grilă Tabel1"/>
    <w:basedOn w:val="TableNormal"/>
    <w:next w:val="TableGrid"/>
    <w:uiPriority w:val="59"/>
    <w:rPr>
      <w:rFonts w:ascii="Calibri" w:eastAsia="Calibri" w:hAnsi="Calibri"/>
      <w:sz w:val="22"/>
      <w:szCs w:val="22"/>
      <w:lang w:val="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pPr>
      <w:ind w:left="720"/>
      <w:contextualSpacing/>
    </w:pPr>
  </w:style>
  <w:style w:type="numbering" w:customStyle="1" w:styleId="FrListare1">
    <w:name w:val="Fără Listare1"/>
    <w:next w:val="NoList"/>
    <w:semiHidden/>
  </w:style>
  <w:style w:type="character" w:styleId="PageNumber">
    <w:name w:val="page number"/>
    <w:basedOn w:val="DefaultParagraphFont"/>
  </w:style>
  <w:style w:type="paragraph" w:customStyle="1" w:styleId="tt">
    <w:name w:val="tt"/>
    <w:basedOn w:val="Normal"/>
    <w:pPr>
      <w:ind w:firstLine="0"/>
      <w:jc w:val="center"/>
    </w:pPr>
    <w:rPr>
      <w:b/>
      <w:bCs/>
      <w:sz w:val="24"/>
      <w:szCs w:val="24"/>
      <w:lang w:val="ru-RU" w:eastAsia="ru-RU"/>
    </w:rPr>
  </w:style>
  <w:style w:type="paragraph" w:customStyle="1" w:styleId="CharChar0">
    <w:name w:val="Char Char Знак Знак"/>
    <w:basedOn w:val="Normal"/>
    <w:pPr>
      <w:spacing w:after="160" w:line="240" w:lineRule="exact"/>
      <w:ind w:firstLine="0"/>
      <w:jc w:val="left"/>
    </w:pPr>
    <w:rPr>
      <w:rFonts w:ascii="Arial" w:eastAsia="Batang" w:hAnsi="Arial" w:cs="Arial"/>
    </w:rPr>
  </w:style>
  <w:style w:type="character" w:customStyle="1" w:styleId="docheader1">
    <w:name w:val="doc_header1"/>
    <w:rPr>
      <w:rFonts w:ascii="Times New Roman" w:hAnsi="Times New Roman" w:cs="Times New Roman" w:hint="default"/>
      <w:b/>
      <w:bCs/>
      <w:color w:val="000000"/>
      <w:sz w:val="24"/>
      <w:szCs w:val="24"/>
    </w:rPr>
  </w:style>
  <w:style w:type="character" w:styleId="Strong">
    <w:name w:val="Strong"/>
    <w:uiPriority w:val="22"/>
    <w:qFormat/>
    <w:rPr>
      <w:b/>
      <w:bCs/>
    </w:rPr>
  </w:style>
  <w:style w:type="character" w:customStyle="1" w:styleId="docsign11">
    <w:name w:val="doc_sign11"/>
    <w:rPr>
      <w:rFonts w:ascii="Times New Roman" w:hAnsi="Times New Roman" w:cs="Times New Roman" w:hint="default"/>
      <w:b/>
      <w:bCs/>
      <w:color w:val="000000"/>
      <w:sz w:val="22"/>
      <w:szCs w:val="22"/>
    </w:rPr>
  </w:style>
  <w:style w:type="character" w:customStyle="1" w:styleId="sttart">
    <w:name w:val="st_tart"/>
    <w:basedOn w:val="DefaultParagraphFont"/>
  </w:style>
  <w:style w:type="character" w:customStyle="1" w:styleId="tal1">
    <w:name w:val="tal1"/>
  </w:style>
  <w:style w:type="table" w:customStyle="1" w:styleId="GrilTabel2">
    <w:name w:val="Grilă Tabel2"/>
    <w:basedOn w:val="TableNormal"/>
    <w:next w:val="TableGrid"/>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justify">
    <w:name w:val="justify"/>
    <w:basedOn w:val="Normal"/>
    <w:pPr>
      <w:spacing w:before="100" w:beforeAutospacing="1" w:after="100" w:afterAutospacing="1"/>
      <w:ind w:firstLine="200"/>
    </w:pPr>
    <w:rPr>
      <w:rFonts w:ascii="Verdana" w:hAnsi="Verdana"/>
      <w:color w:val="033778"/>
      <w:sz w:val="21"/>
      <w:szCs w:val="21"/>
      <w:lang w:eastAsia="zh-CN"/>
    </w:rPr>
  </w:style>
  <w:style w:type="character" w:customStyle="1" w:styleId="def">
    <w:name w:val="def"/>
  </w:style>
  <w:style w:type="paragraph" w:customStyle="1" w:styleId="cnam1">
    <w:name w:val="cnam1"/>
    <w:basedOn w:val="Normal"/>
    <w:pPr>
      <w:spacing w:before="100" w:beforeAutospacing="1" w:after="100" w:afterAutospacing="1"/>
      <w:ind w:firstLine="0"/>
      <w:jc w:val="left"/>
    </w:pPr>
    <w:rPr>
      <w:color w:val="2D2D2D"/>
      <w:sz w:val="29"/>
      <w:szCs w:val="29"/>
      <w:lang w:eastAsia="zh-CN"/>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pPr>
      <w:ind w:firstLine="0"/>
      <w:jc w:val="left"/>
    </w:pPr>
    <w:rPr>
      <w:lang w:val="ro-RO" w:eastAsia="ru-RU"/>
    </w:rPr>
  </w:style>
  <w:style w:type="character" w:customStyle="1" w:styleId="CommentTextChar">
    <w:name w:val="Comment Text Char"/>
    <w:basedOn w:val="DefaultParagraphFont"/>
    <w:link w:val="CommentText"/>
    <w:uiPriority w:val="99"/>
    <w:rPr>
      <w:lang w:val="ro-RO"/>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lang w:val="ro-RO"/>
    </w:rPr>
  </w:style>
  <w:style w:type="character" w:customStyle="1" w:styleId="apple-converted-space">
    <w:name w:val="apple-converted-space"/>
  </w:style>
  <w:style w:type="character" w:customStyle="1" w:styleId="docheader">
    <w:name w:val="doc_header"/>
  </w:style>
  <w:style w:type="paragraph" w:customStyle="1" w:styleId="Style2">
    <w:name w:val="Style2"/>
    <w:basedOn w:val="Normal"/>
    <w:uiPriority w:val="99"/>
    <w:pPr>
      <w:widowControl w:val="0"/>
      <w:spacing w:line="373" w:lineRule="exact"/>
      <w:ind w:firstLine="696"/>
    </w:pPr>
    <w:rPr>
      <w:rFonts w:eastAsiaTheme="minorEastAsia"/>
      <w:sz w:val="24"/>
      <w:szCs w:val="24"/>
      <w:lang w:val="ru-RU" w:eastAsia="ru-RU"/>
    </w:rPr>
  </w:style>
  <w:style w:type="paragraph" w:customStyle="1" w:styleId="Style8">
    <w:name w:val="Style8"/>
    <w:basedOn w:val="Normal"/>
    <w:uiPriority w:val="99"/>
    <w:pPr>
      <w:widowControl w:val="0"/>
      <w:spacing w:line="317" w:lineRule="exact"/>
      <w:ind w:firstLine="0"/>
      <w:jc w:val="left"/>
    </w:pPr>
    <w:rPr>
      <w:rFonts w:eastAsiaTheme="minorEastAsia"/>
      <w:sz w:val="24"/>
      <w:szCs w:val="24"/>
      <w:lang w:val="ru-RU" w:eastAsia="ru-RU"/>
    </w:rPr>
  </w:style>
  <w:style w:type="paragraph" w:customStyle="1" w:styleId="Style9">
    <w:name w:val="Style9"/>
    <w:basedOn w:val="Normal"/>
    <w:uiPriority w:val="99"/>
    <w:pPr>
      <w:widowControl w:val="0"/>
      <w:spacing w:line="326" w:lineRule="exact"/>
      <w:ind w:firstLine="398"/>
      <w:jc w:val="left"/>
    </w:pPr>
    <w:rPr>
      <w:rFonts w:eastAsiaTheme="minorEastAsia"/>
      <w:sz w:val="24"/>
      <w:szCs w:val="24"/>
      <w:lang w:val="ru-RU" w:eastAsia="ru-RU"/>
    </w:rPr>
  </w:style>
  <w:style w:type="character" w:customStyle="1" w:styleId="FontStyle12">
    <w:name w:val="Font Style12"/>
    <w:basedOn w:val="DefaultParagraphFont"/>
    <w:uiPriority w:val="99"/>
    <w:rPr>
      <w:rFonts w:ascii="Times New Roman" w:hAnsi="Times New Roman" w:cs="Times New Roman"/>
      <w:sz w:val="24"/>
      <w:szCs w:val="24"/>
    </w:rPr>
  </w:style>
  <w:style w:type="character" w:styleId="Hyperlink">
    <w:name w:val="Hyperlink"/>
    <w:basedOn w:val="DefaultParagraphFont"/>
    <w:uiPriority w:val="99"/>
    <w:rPr>
      <w:color w:val="0000FF"/>
      <w:u w:val="single"/>
    </w:rPr>
  </w:style>
  <w:style w:type="paragraph" w:customStyle="1" w:styleId="cp">
    <w:name w:val="cp"/>
    <w:basedOn w:val="Normal"/>
    <w:pPr>
      <w:spacing w:before="100" w:beforeAutospacing="1" w:after="100" w:afterAutospacing="1"/>
      <w:ind w:firstLine="0"/>
      <w:jc w:val="left"/>
    </w:pPr>
    <w:rPr>
      <w:sz w:val="24"/>
      <w:szCs w:val="24"/>
      <w:lang w:val="ru-RU" w:eastAsia="ru-RU"/>
    </w:rPr>
  </w:style>
  <w:style w:type="character" w:customStyle="1" w:styleId="object">
    <w:name w:val="object"/>
    <w:basedOn w:val="DefaultParagraphFont"/>
  </w:style>
  <w:style w:type="paragraph" w:styleId="HTMLPreformatted">
    <w:name w:val="HTML Preformatted"/>
    <w:basedOn w:val="Normal"/>
    <w:link w:val="HTMLPreformattedChar"/>
    <w:uiPriority w:val="99"/>
    <w:unhideWhenUsed/>
    <w:pPr>
      <w:ind w:firstLine="0"/>
      <w:jc w:val="left"/>
    </w:pPr>
    <w:rPr>
      <w:rFonts w:ascii="Consolas" w:hAnsi="Consolas"/>
    </w:rPr>
  </w:style>
  <w:style w:type="character" w:customStyle="1" w:styleId="HTMLPreformattedChar">
    <w:name w:val="HTML Preformatted Char"/>
    <w:basedOn w:val="DefaultParagraphFont"/>
    <w:link w:val="HTMLPreformatted"/>
    <w:uiPriority w:val="99"/>
    <w:rPr>
      <w:rFonts w:ascii="Consolas" w:hAnsi="Consolas"/>
      <w:lang w:val="en-US" w:eastAsia="en-US"/>
    </w:rPr>
  </w:style>
  <w:style w:type="character" w:styleId="PlaceholderText">
    <w:name w:val="Placeholder Text"/>
    <w:basedOn w:val="DefaultParagraphFont"/>
    <w:uiPriority w:val="99"/>
    <w:semiHidden/>
    <w:rPr>
      <w:color w:val="808080"/>
    </w:rPr>
  </w:style>
  <w:style w:type="paragraph" w:styleId="Revision">
    <w:name w:val="Revision"/>
    <w:hidden/>
    <w:uiPriority w:val="99"/>
    <w:semiHidden/>
    <w:pPr>
      <w:ind w:firstLine="0"/>
      <w:jc w:val="left"/>
    </w:pPr>
    <w:rPr>
      <w:lang w:val="en-US"/>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UnresolvedMention2">
    <w:name w:val="Unresolved Mention2"/>
    <w:basedOn w:val="DefaultParagraphFont"/>
    <w:uiPriority w:val="99"/>
    <w:semiHidden/>
    <w:unhideWhenUsed/>
    <w:rsid w:val="009A5379"/>
    <w:rPr>
      <w:color w:val="605E5C"/>
      <w:shd w:val="clear" w:color="auto" w:fill="E1DFDD"/>
    </w:rPr>
  </w:style>
  <w:style w:type="character" w:styleId="FollowedHyperlink">
    <w:name w:val="FollowedHyperlink"/>
    <w:basedOn w:val="DefaultParagraphFont"/>
    <w:uiPriority w:val="99"/>
    <w:semiHidden/>
    <w:unhideWhenUsed/>
    <w:rsid w:val="00744000"/>
    <w:rPr>
      <w:color w:val="800080" w:themeColor="followedHyperlink"/>
      <w:u w:val="single"/>
    </w:rPr>
  </w:style>
  <w:style w:type="character" w:customStyle="1" w:styleId="ListParagraphChar">
    <w:name w:val="List Paragraph Char"/>
    <w:basedOn w:val="DefaultParagraphFont"/>
    <w:link w:val="ListParagraph"/>
    <w:uiPriority w:val="34"/>
    <w:locked/>
    <w:rsid w:val="00EA1325"/>
    <w:rPr>
      <w:lang w:val="en-US" w:eastAsia="en-US"/>
    </w:rPr>
  </w:style>
  <w:style w:type="character" w:styleId="UnresolvedMention">
    <w:name w:val="Unresolved Mention"/>
    <w:basedOn w:val="DefaultParagraphFont"/>
    <w:uiPriority w:val="99"/>
    <w:semiHidden/>
    <w:unhideWhenUsed/>
    <w:rsid w:val="00B45EF6"/>
    <w:rPr>
      <w:color w:val="605E5C"/>
      <w:shd w:val="clear" w:color="auto" w:fill="E1DFDD"/>
    </w:rPr>
  </w:style>
  <w:style w:type="table" w:customStyle="1" w:styleId="a">
    <w:basedOn w:val="TableNormal"/>
    <w:rPr>
      <w:rFonts w:ascii="Calibri" w:eastAsia="Calibri" w:hAnsi="Calibri" w:cs="Calibri"/>
    </w:rPr>
    <w:tblPr>
      <w:tblStyleRowBandSize w:val="1"/>
      <w:tblStyleColBandSize w:val="1"/>
    </w:tblPr>
  </w:style>
  <w:style w:type="table" w:customStyle="1" w:styleId="a0">
    <w:basedOn w:val="TableNormal"/>
    <w:rPr>
      <w:rFonts w:ascii="Calibri" w:eastAsia="Calibri" w:hAnsi="Calibri" w:cs="Calibri"/>
    </w:rPr>
    <w:tblPr>
      <w:tblStyleRowBandSize w:val="1"/>
      <w:tblStyleColBandSize w:val="1"/>
    </w:tblPr>
  </w:style>
  <w:style w:type="table" w:customStyle="1" w:styleId="a1">
    <w:basedOn w:val="TableNormal"/>
    <w:rPr>
      <w:rFonts w:ascii="Calibri" w:eastAsia="Calibri" w:hAnsi="Calibri" w:cs="Calibri"/>
    </w:rPr>
    <w:tblPr>
      <w:tblStyleRowBandSize w:val="1"/>
      <w:tblStyleColBandSize w:val="1"/>
    </w:tblPr>
  </w:style>
  <w:style w:type="paragraph" w:styleId="Subtitle">
    <w:name w:val="Subtitle"/>
    <w:basedOn w:val="Normal"/>
    <w:next w:val="Normal"/>
    <w:link w:val="SubtitleChar1"/>
    <w:uiPriority w:val="11"/>
    <w:qFormat/>
    <w:pPr>
      <w:spacing w:before="200" w:after="200"/>
    </w:pPr>
    <w:rPr>
      <w:sz w:val="24"/>
      <w:szCs w:val="24"/>
    </w:rPr>
  </w:style>
  <w:style w:type="table" w:customStyle="1" w:styleId="a2">
    <w:basedOn w:val="TableNormal"/>
    <w:rPr>
      <w:rFonts w:ascii="Calibri" w:eastAsia="Calibri" w:hAnsi="Calibri" w:cs="Calibri"/>
    </w:rPr>
    <w:tblPr>
      <w:tblStyleRowBandSize w:val="1"/>
      <w:tblStyleColBandSize w:val="1"/>
    </w:tblPr>
  </w:style>
  <w:style w:type="table" w:customStyle="1" w:styleId="a3">
    <w:basedOn w:val="TableNormal"/>
    <w:rPr>
      <w:rFonts w:ascii="Calibri" w:eastAsia="Calibri" w:hAnsi="Calibri" w:cs="Calibri"/>
    </w:rPr>
    <w:tblPr>
      <w:tblStyleRowBandSize w:val="1"/>
      <w:tblStyleColBandSize w:val="1"/>
    </w:tblPr>
  </w:style>
  <w:style w:type="table" w:customStyle="1" w:styleId="a4">
    <w:basedOn w:val="TableNormal"/>
    <w:rPr>
      <w:rFonts w:ascii="Calibri" w:eastAsia="Calibri" w:hAnsi="Calibri" w:cs="Calibri"/>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mec.gov.md"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aria-victoria.prepeleac@mec.gov.md" TargetMode="External"/><Relationship Id="rId4" Type="http://schemas.openxmlformats.org/officeDocument/2006/relationships/settings" Target="settings.xml"/><Relationship Id="rId9" Type="http://schemas.openxmlformats.org/officeDocument/2006/relationships/hyperlink" Target="https://particip.gov.md/ro/document/stages/*/15770"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KtXjzcgVxOjW2tYYeAwLFVEP6w==">CgMxLjA4AHIhMVJCaTliVFlfZ1kxQ25UbjRUOUlUVjhKWEgyRV80WlhJ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2753</Words>
  <Characters>15697</Characters>
  <Application>Microsoft Office Word</Application>
  <DocSecurity>0</DocSecurity>
  <Lines>130</Lines>
  <Paragraphs>36</Paragraphs>
  <ScaleCrop>false</ScaleCrop>
  <Company/>
  <LinksUpToDate>false</LinksUpToDate>
  <CharactersWithSpaces>18414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lll</dc:creator>
  <cp:lastModifiedBy>MEC</cp:lastModifiedBy>
  <cp:revision>3</cp:revision>
  <dcterms:created xsi:type="dcterms:W3CDTF">2026-02-05T12:50:00Z</dcterms:created>
  <dcterms:modified xsi:type="dcterms:W3CDTF">2026-03-05T12:11:00Z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0x010100DB3619079C70BA4C8A987488329513F90014B383F883BBE84C9A1272D50E465059</vt:lpwstr>
  </property>
  <property fmtid="{D5CDD505-2E9C-101B-9397-08002B2CF9AE}" pid="3" name="Tipul documentului">
    <vt:lpwstr>Aviz</vt:lpwstr>
  </property>
</Properties>
</file>