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17146" w14:textId="77777777" w:rsidR="001A3AF3" w:rsidRDefault="001A3AF3">
      <w:pPr>
        <w:pBdr>
          <w:top w:val="none" w:sz="0" w:space="0" w:color="000000"/>
          <w:left w:val="none" w:sz="0" w:space="0" w:color="000000"/>
          <w:bottom w:val="none" w:sz="0" w:space="0" w:color="000000"/>
          <w:right w:val="none" w:sz="0" w:space="0" w:color="000000"/>
        </w:pBdr>
        <w:tabs>
          <w:tab w:val="left" w:pos="884"/>
          <w:tab w:val="left" w:pos="1196"/>
        </w:tabs>
        <w:ind w:firstLine="0"/>
        <w:jc w:val="center"/>
        <w:rPr>
          <w:sz w:val="24"/>
          <w:szCs w:val="24"/>
        </w:rPr>
      </w:pPr>
    </w:p>
    <w:p w14:paraId="41A34BFE" w14:textId="77777777" w:rsidR="001A3AF3" w:rsidRDefault="00000000">
      <w:pPr>
        <w:pBdr>
          <w:top w:val="none" w:sz="0" w:space="0" w:color="000000"/>
          <w:left w:val="none" w:sz="0" w:space="0" w:color="000000"/>
          <w:bottom w:val="none" w:sz="0" w:space="0" w:color="000000"/>
          <w:right w:val="none" w:sz="0" w:space="0" w:color="000000"/>
        </w:pBdr>
        <w:tabs>
          <w:tab w:val="left" w:pos="884"/>
          <w:tab w:val="left" w:pos="1196"/>
        </w:tabs>
        <w:ind w:firstLine="0"/>
        <w:jc w:val="center"/>
        <w:rPr>
          <w:sz w:val="24"/>
          <w:szCs w:val="24"/>
        </w:rPr>
      </w:pPr>
      <w:r>
        <w:rPr>
          <w:b/>
          <w:bCs/>
          <w:sz w:val="24"/>
          <w:szCs w:val="24"/>
        </w:rPr>
        <w:t>SINTEZA</w:t>
      </w:r>
    </w:p>
    <w:p w14:paraId="30A726A4" w14:textId="77777777" w:rsidR="001A3AF3" w:rsidRDefault="00000000">
      <w:pPr>
        <w:pBdr>
          <w:top w:val="none" w:sz="0" w:space="0" w:color="000000"/>
          <w:left w:val="none" w:sz="0" w:space="0" w:color="000000"/>
          <w:bottom w:val="none" w:sz="0" w:space="0" w:color="000000"/>
          <w:right w:val="none" w:sz="0" w:space="0" w:color="000000"/>
        </w:pBdr>
        <w:tabs>
          <w:tab w:val="left" w:pos="884"/>
          <w:tab w:val="left" w:pos="1196"/>
        </w:tabs>
        <w:ind w:firstLine="0"/>
        <w:jc w:val="center"/>
        <w:rPr>
          <w:sz w:val="24"/>
          <w:szCs w:val="24"/>
        </w:rPr>
      </w:pPr>
      <w:r>
        <w:rPr>
          <w:b/>
          <w:bCs/>
          <w:sz w:val="24"/>
          <w:szCs w:val="24"/>
        </w:rPr>
        <w:t>la proiectul</w:t>
      </w:r>
      <w:r>
        <w:rPr>
          <w:sz w:val="24"/>
          <w:szCs w:val="24"/>
        </w:rPr>
        <w:t xml:space="preserve"> </w:t>
      </w:r>
      <w:r>
        <w:rPr>
          <w:b/>
          <w:bCs/>
          <w:sz w:val="24"/>
          <w:szCs w:val="24"/>
        </w:rPr>
        <w:t>Hotărârii de Guvern privind stabilirea cuantumului salariului minim pe țară pentru anul 2026</w:t>
      </w:r>
    </w:p>
    <w:p w14:paraId="1782337A" w14:textId="77777777" w:rsidR="001A3AF3" w:rsidRDefault="00000000">
      <w:pPr>
        <w:pBdr>
          <w:top w:val="none" w:sz="0" w:space="0" w:color="000000"/>
          <w:left w:val="none" w:sz="0" w:space="0" w:color="000000"/>
          <w:bottom w:val="none" w:sz="0" w:space="0" w:color="000000"/>
          <w:right w:val="none" w:sz="0" w:space="0" w:color="000000"/>
        </w:pBdr>
        <w:tabs>
          <w:tab w:val="left" w:pos="884"/>
          <w:tab w:val="left" w:pos="1196"/>
        </w:tabs>
        <w:rPr>
          <w:sz w:val="24"/>
          <w:szCs w:val="24"/>
        </w:rPr>
      </w:pPr>
      <w:r>
        <w:rPr>
          <w:b/>
          <w:bCs/>
          <w:sz w:val="24"/>
          <w:szCs w:val="24"/>
        </w:rPr>
        <w:t xml:space="preserve"> </w:t>
      </w:r>
    </w:p>
    <w:tbl>
      <w:tblPr>
        <w:tblStyle w:val="a5"/>
        <w:tblW w:w="14550" w:type="dxa"/>
        <w:tblInd w:w="-1003" w:type="dxa"/>
        <w:tblBorders>
          <w:top w:val="nil"/>
          <w:left w:val="nil"/>
          <w:bottom w:val="nil"/>
          <w:right w:val="nil"/>
          <w:insideH w:val="nil"/>
          <w:insideV w:val="nil"/>
        </w:tblBorders>
        <w:tblLayout w:type="fixed"/>
        <w:tblLook w:val="0400" w:firstRow="0" w:lastRow="0" w:firstColumn="0" w:lastColumn="0" w:noHBand="0" w:noVBand="1"/>
      </w:tblPr>
      <w:tblGrid>
        <w:gridCol w:w="2265"/>
        <w:gridCol w:w="5910"/>
        <w:gridCol w:w="120"/>
        <w:gridCol w:w="6255"/>
      </w:tblGrid>
      <w:tr w:rsidR="001A3AF3" w14:paraId="771D8586"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FD9740"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Participantul la avizare, consultare publică, expertizare</w:t>
            </w:r>
          </w:p>
        </w:tc>
        <w:tc>
          <w:tcPr>
            <w:tcW w:w="591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3A05A7A" w14:textId="77777777" w:rsidR="001A3AF3" w:rsidRDefault="00000000">
            <w:pPr>
              <w:pBdr>
                <w:top w:val="none" w:sz="0" w:space="0" w:color="000000"/>
                <w:left w:val="none" w:sz="0" w:space="0" w:color="000000"/>
                <w:bottom w:val="none" w:sz="0" w:space="0" w:color="000000"/>
                <w:right w:val="none" w:sz="0" w:space="0" w:color="000000"/>
              </w:pBdr>
              <w:tabs>
                <w:tab w:val="left" w:pos="884"/>
                <w:tab w:val="left" w:pos="1196"/>
              </w:tabs>
              <w:ind w:firstLine="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Conținutul obiecției,</w:t>
            </w:r>
          </w:p>
          <w:p w14:paraId="29BBC746"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propunerii, recomandării, concluziei</w:t>
            </w:r>
          </w:p>
        </w:tc>
        <w:tc>
          <w:tcPr>
            <w:tcW w:w="6375"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3D890D0" w14:textId="77777777" w:rsidR="001A3AF3" w:rsidRDefault="00000000">
            <w:pPr>
              <w:pBdr>
                <w:top w:val="none" w:sz="0" w:space="0" w:color="000000"/>
                <w:left w:val="none" w:sz="0" w:space="0" w:color="000000"/>
                <w:bottom w:val="none" w:sz="0" w:space="0" w:color="000000"/>
                <w:right w:val="none" w:sz="0" w:space="0" w:color="000000"/>
              </w:pBdr>
              <w:tabs>
                <w:tab w:val="left" w:pos="884"/>
                <w:tab w:val="left" w:pos="1196"/>
              </w:tabs>
              <w:ind w:firstLine="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Argumentarea</w:t>
            </w:r>
          </w:p>
          <w:p w14:paraId="463840DF"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autorului proiectului</w:t>
            </w:r>
          </w:p>
        </w:tc>
      </w:tr>
      <w:tr w:rsidR="001A3AF3" w14:paraId="68368720" w14:textId="77777777">
        <w:tc>
          <w:tcPr>
            <w:tcW w:w="14550"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2984FB4"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Avizare și consultare publică</w:t>
            </w:r>
          </w:p>
        </w:tc>
      </w:tr>
      <w:tr w:rsidR="001A3AF3" w14:paraId="2BD615DD" w14:textId="77777777">
        <w:tc>
          <w:tcPr>
            <w:tcW w:w="22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EEAD58F"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Ministerul Dezvoltării Economice și Digitalizării</w:t>
            </w:r>
          </w:p>
          <w:p w14:paraId="620F76E2"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Nr. 03-3377 </w:t>
            </w:r>
          </w:p>
          <w:p w14:paraId="0650B531"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din 27.11.2025</w:t>
            </w:r>
          </w:p>
        </w:tc>
        <w:tc>
          <w:tcPr>
            <w:tcW w:w="5910" w:type="dxa"/>
            <w:tcBorders>
              <w:top w:val="nil"/>
              <w:left w:val="nil"/>
              <w:bottom w:val="single" w:sz="8" w:space="0" w:color="000000"/>
              <w:right w:val="single" w:sz="8" w:space="0" w:color="000000"/>
            </w:tcBorders>
            <w:tcMar>
              <w:top w:w="0" w:type="dxa"/>
              <w:left w:w="108" w:type="dxa"/>
              <w:bottom w:w="0" w:type="dxa"/>
              <w:right w:w="108" w:type="dxa"/>
            </w:tcMar>
          </w:tcPr>
          <w:p w14:paraId="6143BA4B" w14:textId="77777777" w:rsidR="001A3AF3" w:rsidRDefault="00000000">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Lipsa de obiecții și propuneri.</w:t>
            </w:r>
          </w:p>
        </w:tc>
        <w:tc>
          <w:tcPr>
            <w:tcW w:w="6375" w:type="dxa"/>
            <w:gridSpan w:val="2"/>
            <w:tcBorders>
              <w:top w:val="nil"/>
              <w:left w:val="nil"/>
              <w:bottom w:val="single" w:sz="8" w:space="0" w:color="000000"/>
              <w:right w:val="single" w:sz="8" w:space="0" w:color="000000"/>
            </w:tcBorders>
            <w:tcMar>
              <w:top w:w="0" w:type="dxa"/>
              <w:left w:w="108" w:type="dxa"/>
              <w:bottom w:w="0" w:type="dxa"/>
              <w:right w:w="108" w:type="dxa"/>
            </w:tcMar>
          </w:tcPr>
          <w:p w14:paraId="7E4EB080" w14:textId="77777777" w:rsidR="001A3AF3" w:rsidRDefault="00000000">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Am luat act</w:t>
            </w:r>
            <w:r>
              <w:rPr>
                <w:rFonts w:ascii="Times New Roman" w:eastAsia="Times New Roman" w:hAnsi="Times New Roman" w:cs="Times New Roman"/>
                <w:sz w:val="24"/>
                <w:szCs w:val="24"/>
              </w:rPr>
              <w:t xml:space="preserve"> </w:t>
            </w:r>
          </w:p>
        </w:tc>
      </w:tr>
      <w:tr w:rsidR="001A3AF3" w14:paraId="4B4E6265" w14:textId="77777777">
        <w:tc>
          <w:tcPr>
            <w:tcW w:w="22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118066"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Ministerul Energiei</w:t>
            </w:r>
          </w:p>
          <w:p w14:paraId="6D779CF9"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Nr. 05-2997 </w:t>
            </w:r>
          </w:p>
          <w:p w14:paraId="20CDE715"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din 26.11.2025</w:t>
            </w:r>
          </w:p>
        </w:tc>
        <w:tc>
          <w:tcPr>
            <w:tcW w:w="5910" w:type="dxa"/>
            <w:tcBorders>
              <w:top w:val="nil"/>
              <w:left w:val="nil"/>
              <w:bottom w:val="single" w:sz="8" w:space="0" w:color="000000"/>
              <w:right w:val="single" w:sz="8" w:space="0" w:color="000000"/>
            </w:tcBorders>
            <w:tcMar>
              <w:top w:w="0" w:type="dxa"/>
              <w:left w:w="108" w:type="dxa"/>
              <w:bottom w:w="0" w:type="dxa"/>
              <w:right w:w="108" w:type="dxa"/>
            </w:tcMar>
          </w:tcPr>
          <w:p w14:paraId="1626D664" w14:textId="77777777" w:rsidR="001A3AF3" w:rsidRDefault="00000000">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Lipsa propunerilor și/sau obiecțiilor.</w:t>
            </w:r>
          </w:p>
        </w:tc>
        <w:tc>
          <w:tcPr>
            <w:tcW w:w="6375" w:type="dxa"/>
            <w:gridSpan w:val="2"/>
            <w:tcBorders>
              <w:top w:val="nil"/>
              <w:left w:val="nil"/>
              <w:bottom w:val="single" w:sz="8" w:space="0" w:color="000000"/>
              <w:right w:val="single" w:sz="8" w:space="0" w:color="000000"/>
            </w:tcBorders>
            <w:tcMar>
              <w:top w:w="0" w:type="dxa"/>
              <w:left w:w="108" w:type="dxa"/>
              <w:bottom w:w="0" w:type="dxa"/>
              <w:right w:w="108" w:type="dxa"/>
            </w:tcMar>
          </w:tcPr>
          <w:p w14:paraId="6AFB71EC" w14:textId="77777777" w:rsidR="001A3AF3" w:rsidRDefault="00000000">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 luat act</w:t>
            </w:r>
          </w:p>
        </w:tc>
      </w:tr>
      <w:tr w:rsidR="001A3AF3" w14:paraId="7D99A6DC" w14:textId="77777777">
        <w:trPr>
          <w:trHeight w:val="240"/>
        </w:trPr>
        <w:tc>
          <w:tcPr>
            <w:tcW w:w="2265"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92199AE"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Ministerul Finanțelor</w:t>
            </w:r>
          </w:p>
          <w:p w14:paraId="39116BA6"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Nr.08-03-680/1685 din 01.12.2025</w:t>
            </w:r>
          </w:p>
        </w:tc>
        <w:tc>
          <w:tcPr>
            <w:tcW w:w="5910" w:type="dxa"/>
            <w:tcBorders>
              <w:top w:val="nil"/>
              <w:left w:val="nil"/>
              <w:bottom w:val="single" w:sz="8" w:space="0" w:color="000000"/>
              <w:right w:val="single" w:sz="8" w:space="0" w:color="000000"/>
            </w:tcBorders>
            <w:tcMar>
              <w:top w:w="0" w:type="dxa"/>
              <w:left w:w="108" w:type="dxa"/>
              <w:bottom w:w="0" w:type="dxa"/>
              <w:right w:w="108" w:type="dxa"/>
            </w:tcMar>
          </w:tcPr>
          <w:p w14:paraId="6C5B8510"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indicația Cancelariei de Stat nr. DGPŞG-1596-18-69-177 din 24.11.2025, Ministerul Finanțelor a examinat proiectul de hotărâre privind stabilirea cuantumului salariului minim pe țară pentru anul 2026 (număr unic 915/MMPS/2025) și, comunică lipsă de propuneri și obiecții. </w:t>
            </w:r>
          </w:p>
        </w:tc>
        <w:tc>
          <w:tcPr>
            <w:tcW w:w="6375" w:type="dxa"/>
            <w:gridSpan w:val="2"/>
            <w:tcBorders>
              <w:top w:val="nil"/>
              <w:left w:val="nil"/>
              <w:bottom w:val="single" w:sz="8" w:space="0" w:color="000000"/>
              <w:right w:val="single" w:sz="8" w:space="0" w:color="000000"/>
            </w:tcBorders>
            <w:tcMar>
              <w:top w:w="0" w:type="dxa"/>
              <w:left w:w="108" w:type="dxa"/>
              <w:bottom w:w="0" w:type="dxa"/>
              <w:right w:w="108" w:type="dxa"/>
            </w:tcMar>
          </w:tcPr>
          <w:p w14:paraId="0E0C94C7" w14:textId="77777777" w:rsidR="001A3AF3" w:rsidRDefault="00000000">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 luat act</w:t>
            </w:r>
          </w:p>
          <w:p w14:paraId="13B44161" w14:textId="77777777" w:rsidR="001A3AF3" w:rsidRDefault="001A3AF3">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p>
          <w:p w14:paraId="053CEABA" w14:textId="77777777" w:rsidR="001A3AF3" w:rsidRDefault="001A3AF3">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p>
          <w:p w14:paraId="0D0595CC" w14:textId="77777777" w:rsidR="001A3AF3" w:rsidRDefault="001A3AF3">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p>
          <w:p w14:paraId="2A507DBD" w14:textId="77777777" w:rsidR="001A3AF3" w:rsidRDefault="001A3AF3">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4"/>
                <w:szCs w:val="24"/>
              </w:rPr>
            </w:pPr>
          </w:p>
          <w:p w14:paraId="6CF49233" w14:textId="77777777" w:rsidR="001A3AF3" w:rsidRDefault="001A3AF3">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4"/>
                <w:szCs w:val="24"/>
              </w:rPr>
            </w:pPr>
          </w:p>
        </w:tc>
      </w:tr>
      <w:tr w:rsidR="001A3AF3" w14:paraId="1DAA99E5" w14:textId="77777777">
        <w:trPr>
          <w:trHeight w:val="240"/>
        </w:trPr>
        <w:tc>
          <w:tcPr>
            <w:tcW w:w="2265"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AA33B57" w14:textId="77777777" w:rsidR="001A3AF3" w:rsidRDefault="001A3AF3">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b/>
                <w:bCs/>
                <w:sz w:val="24"/>
                <w:szCs w:val="24"/>
              </w:rPr>
            </w:pPr>
          </w:p>
        </w:tc>
        <w:tc>
          <w:tcPr>
            <w:tcW w:w="5910" w:type="dxa"/>
            <w:tcBorders>
              <w:top w:val="nil"/>
              <w:left w:val="nil"/>
              <w:bottom w:val="single" w:sz="8" w:space="0" w:color="000000"/>
              <w:right w:val="single" w:sz="8" w:space="0" w:color="000000"/>
            </w:tcBorders>
            <w:tcMar>
              <w:top w:w="0" w:type="dxa"/>
              <w:left w:w="108" w:type="dxa"/>
              <w:bottom w:w="0" w:type="dxa"/>
              <w:right w:w="108" w:type="dxa"/>
            </w:tcMar>
          </w:tcPr>
          <w:p w14:paraId="33281DFF"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Totodată cu referire la compartimentul 4.2 din Nota de Fundamentare ,,Impactul financiar și argumentarea costurilor estimative”, se menționează că, ținând cont de noile măsuri salariale promovate de Ministerul Finanțelor în procesul de elaborare a proiectului Legii bugetului de stat pentru anul 2026, pornind de la estimările adiționale realizate, costul estimativ al majorării cuantumului salariului minim pe țară, aferente plăților compensatorii, precum și plățile tangențiale personalului din cadrul </w:t>
            </w:r>
            <w:r>
              <w:rPr>
                <w:rFonts w:ascii="Times New Roman" w:eastAsia="Times New Roman" w:hAnsi="Times New Roman" w:cs="Times New Roman"/>
                <w:sz w:val="24"/>
                <w:szCs w:val="24"/>
              </w:rPr>
              <w:lastRenderedPageBreak/>
              <w:t>instituțiilor de învățământ care funcționează în regim de autogestiune financiar-economică, se estimează la 471,7 mil lei. În acest sens, compartimentul 4.2 din Nota de Fundamentare urmează a fi ajustat conform celor menționate supra.</w:t>
            </w:r>
          </w:p>
        </w:tc>
        <w:tc>
          <w:tcPr>
            <w:tcW w:w="6375" w:type="dxa"/>
            <w:gridSpan w:val="2"/>
            <w:tcBorders>
              <w:top w:val="nil"/>
              <w:left w:val="nil"/>
              <w:bottom w:val="single" w:sz="8" w:space="0" w:color="000000"/>
              <w:right w:val="single" w:sz="8" w:space="0" w:color="000000"/>
            </w:tcBorders>
            <w:tcMar>
              <w:top w:w="0" w:type="dxa"/>
              <w:left w:w="108" w:type="dxa"/>
              <w:bottom w:w="0" w:type="dxa"/>
              <w:right w:w="108" w:type="dxa"/>
            </w:tcMar>
          </w:tcPr>
          <w:p w14:paraId="25138B9E" w14:textId="77777777" w:rsidR="001A3AF3" w:rsidRDefault="00000000">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Se acceptă.</w:t>
            </w:r>
          </w:p>
          <w:p w14:paraId="79DFE6EA" w14:textId="77777777" w:rsidR="001A3AF3" w:rsidRDefault="00000000">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Au fost operate modificări în Nota de Fundamentare.</w:t>
            </w:r>
          </w:p>
        </w:tc>
      </w:tr>
      <w:tr w:rsidR="001A3AF3" w14:paraId="4F25298D" w14:textId="77777777">
        <w:tc>
          <w:tcPr>
            <w:tcW w:w="22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4DE9579"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Biroul Național de Statistică</w:t>
            </w:r>
          </w:p>
          <w:p w14:paraId="5A190E09"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Nr. 19-06/48 </w:t>
            </w:r>
          </w:p>
          <w:p w14:paraId="0E3C4943"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din 30.11.2025</w:t>
            </w:r>
          </w:p>
        </w:tc>
        <w:tc>
          <w:tcPr>
            <w:tcW w:w="5910" w:type="dxa"/>
            <w:tcBorders>
              <w:top w:val="nil"/>
              <w:left w:val="nil"/>
              <w:bottom w:val="single" w:sz="8" w:space="0" w:color="000000"/>
              <w:right w:val="single" w:sz="8" w:space="0" w:color="000000"/>
            </w:tcBorders>
            <w:tcMar>
              <w:top w:w="0" w:type="dxa"/>
              <w:left w:w="108" w:type="dxa"/>
              <w:bottom w:w="0" w:type="dxa"/>
              <w:right w:w="108" w:type="dxa"/>
            </w:tcMar>
          </w:tcPr>
          <w:p w14:paraId="39D34896" w14:textId="77777777" w:rsidR="001A3AF3" w:rsidRDefault="00000000">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Lipsa de obiecții și propuneri.</w:t>
            </w:r>
          </w:p>
        </w:tc>
        <w:tc>
          <w:tcPr>
            <w:tcW w:w="6375" w:type="dxa"/>
            <w:gridSpan w:val="2"/>
            <w:tcBorders>
              <w:top w:val="nil"/>
              <w:left w:val="nil"/>
              <w:bottom w:val="single" w:sz="8" w:space="0" w:color="000000"/>
              <w:right w:val="single" w:sz="8" w:space="0" w:color="000000"/>
            </w:tcBorders>
            <w:tcMar>
              <w:top w:w="0" w:type="dxa"/>
              <w:left w:w="108" w:type="dxa"/>
              <w:bottom w:w="0" w:type="dxa"/>
              <w:right w:w="108" w:type="dxa"/>
            </w:tcMar>
          </w:tcPr>
          <w:p w14:paraId="799473A3" w14:textId="77777777" w:rsidR="001A3AF3" w:rsidRDefault="00000000">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 luat act</w:t>
            </w:r>
          </w:p>
        </w:tc>
      </w:tr>
      <w:tr w:rsidR="001A3AF3" w14:paraId="7AAEC61C" w14:textId="77777777">
        <w:trPr>
          <w:trHeight w:val="240"/>
        </w:trPr>
        <w:tc>
          <w:tcPr>
            <w:tcW w:w="2265"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FB7F172"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Confederația Națională a Sindicatelor din Moldova</w:t>
            </w:r>
          </w:p>
          <w:p w14:paraId="2EB6797B"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Nr. 03-02/676 </w:t>
            </w:r>
          </w:p>
          <w:p w14:paraId="295F4012"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din 28.11.2025</w:t>
            </w:r>
          </w:p>
        </w:tc>
        <w:tc>
          <w:tcPr>
            <w:tcW w:w="5910" w:type="dxa"/>
            <w:tcBorders>
              <w:top w:val="nil"/>
              <w:left w:val="nil"/>
              <w:bottom w:val="single" w:sz="8" w:space="0" w:color="000000"/>
              <w:right w:val="single" w:sz="8" w:space="0" w:color="000000"/>
            </w:tcBorders>
            <w:tcMar>
              <w:top w:w="0" w:type="dxa"/>
              <w:left w:w="108" w:type="dxa"/>
              <w:bottom w:w="0" w:type="dxa"/>
              <w:right w:w="108" w:type="dxa"/>
            </w:tcMar>
          </w:tcPr>
          <w:p w14:paraId="4629CAF4"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Constatăm că propunerea de stabilire, începând cu 1 ianuarie 2026, a salariului minim în mărime de 6300 lei nu asigură un trai decent pentru salariați şi nici nu contribuie la eficientizarea cheltuielilor bugetului public național pe termen mediu şi lung. </w:t>
            </w:r>
          </w:p>
        </w:tc>
        <w:tc>
          <w:tcPr>
            <w:tcW w:w="6375" w:type="dxa"/>
            <w:gridSpan w:val="2"/>
            <w:tcBorders>
              <w:top w:val="nil"/>
              <w:left w:val="nil"/>
              <w:bottom w:val="single" w:sz="8" w:space="0" w:color="000000"/>
              <w:right w:val="single" w:sz="8" w:space="0" w:color="000000"/>
            </w:tcBorders>
            <w:tcMar>
              <w:top w:w="0" w:type="dxa"/>
              <w:left w:w="108" w:type="dxa"/>
              <w:bottom w:w="0" w:type="dxa"/>
              <w:right w:w="108" w:type="dxa"/>
            </w:tcMar>
          </w:tcPr>
          <w:p w14:paraId="4C5BD95E" w14:textId="77777777" w:rsidR="001A3AF3" w:rsidRDefault="00000000">
            <w:pPr>
              <w:spacing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Nu se acceptă. </w:t>
            </w:r>
            <w:r>
              <w:rPr>
                <w:rFonts w:ascii="Times New Roman" w:eastAsia="Times New Roman" w:hAnsi="Times New Roman" w:cs="Times New Roman"/>
                <w:sz w:val="24"/>
                <w:szCs w:val="24"/>
              </w:rPr>
              <w:t>Propunerea de stabilire a salariului minim în cuantum de 6300 lei pentru anul 2026 urmărește respectarea criteriilor prevăzute la art. 3 alin. (2) din Legea nr. 1432/2000, conform cărora valoarea salariului minim se determină în funcție de condițiile economice concrete, nivelul salariului mediu pe economie și rata prognozată a inflației. Din această perspectivă, nivelul propus reprezintă o ajustare realizată într-un mod sustenabil, ținând cont de necesitățile salariaților, de evoluția situației economice și bugetare și de impactul financiar aferent. De asemenea, propunerea corespunde obiectivului asumat de Guvern de a majora etapizat salariul minim până la atingerea nivelului de 10 000 lei, în conformitate cu Programul de activitate al Guvernului, asigurând astfel o creștere predictibilă și echilibrată.</w:t>
            </w:r>
          </w:p>
        </w:tc>
      </w:tr>
      <w:tr w:rsidR="001A3AF3" w14:paraId="36283C84" w14:textId="77777777">
        <w:trPr>
          <w:trHeight w:val="240"/>
        </w:trPr>
        <w:tc>
          <w:tcPr>
            <w:tcW w:w="2265"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DF30DA5" w14:textId="77777777" w:rsidR="001A3AF3" w:rsidRDefault="001A3AF3">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sz w:val="24"/>
                <w:szCs w:val="24"/>
              </w:rPr>
            </w:pPr>
          </w:p>
        </w:tc>
        <w:tc>
          <w:tcPr>
            <w:tcW w:w="5910" w:type="dxa"/>
            <w:tcBorders>
              <w:top w:val="nil"/>
              <w:left w:val="nil"/>
              <w:bottom w:val="single" w:sz="8" w:space="0" w:color="000000"/>
              <w:right w:val="single" w:sz="8" w:space="0" w:color="000000"/>
            </w:tcBorders>
            <w:tcMar>
              <w:top w:w="0" w:type="dxa"/>
              <w:left w:w="108" w:type="dxa"/>
              <w:bottom w:w="0" w:type="dxa"/>
              <w:right w:w="108" w:type="dxa"/>
            </w:tcMar>
          </w:tcPr>
          <w:p w14:paraId="105F34F5"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Considerăm că majorarea salariului minim trebuie analizată nu doar prin prisma cheltuielilor bugetului de stat, ci şi din perspectiva reducerii sărăciei monetare în rândul salariaților, </w:t>
            </w:r>
            <w:proofErr w:type="spellStart"/>
            <w:r>
              <w:rPr>
                <w:rFonts w:ascii="Times New Roman" w:eastAsia="Times New Roman" w:hAnsi="Times New Roman" w:cs="Times New Roman"/>
                <w:sz w:val="24"/>
                <w:szCs w:val="24"/>
              </w:rPr>
              <w:t>creşterii</w:t>
            </w:r>
            <w:proofErr w:type="spellEnd"/>
            <w:r>
              <w:rPr>
                <w:rFonts w:ascii="Times New Roman" w:eastAsia="Times New Roman" w:hAnsi="Times New Roman" w:cs="Times New Roman"/>
                <w:sz w:val="24"/>
                <w:szCs w:val="24"/>
              </w:rPr>
              <w:t xml:space="preserve"> încasărilor la componentele bugetului public național, ceea ce ar diminua considerabil povara asupra bugetului de stat pentru finanțarea diferenței până la pensia minimă pentru limită de vârstă şi va reduce deficitul </w:t>
            </w:r>
            <w:r>
              <w:rPr>
                <w:rFonts w:ascii="Times New Roman" w:eastAsia="Times New Roman" w:hAnsi="Times New Roman" w:cs="Times New Roman"/>
                <w:sz w:val="24"/>
                <w:szCs w:val="24"/>
              </w:rPr>
              <w:lastRenderedPageBreak/>
              <w:t>bugetului asigurărilor sociale de stat, precum şi va spori veniturile proprii ale fondurilor asigurării obligatorii de asistență medicală. Concomitent, un salariu minim adecvat va contribui la reducerea dependenței salariaților şi familiilor acestora de plățile de asistență socială şi, totodată, la stimularea consumului populației.</w:t>
            </w:r>
          </w:p>
          <w:p w14:paraId="2F7F4F74" w14:textId="77777777" w:rsidR="001A3AF3" w:rsidRDefault="001A3AF3">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p>
          <w:p w14:paraId="4217F4AD" w14:textId="77777777" w:rsidR="001A3AF3" w:rsidRDefault="001A3AF3">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p>
          <w:p w14:paraId="2C125B07"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După cum am menționat în demersurile anterioare, salariul minim reprezintă un instrument esențial pentru reducerea sărăciei. Considerăm că acesta trebuie să acopere cel puţin minimul de existență pentru un adult şi un copil aflat la întreținere. În varianta propusă de Ministerul Muncii şi Protecției Sociale, salariul minim net va constitui 5045 lei şi va acoperi doar 80,2% din valoarea acestui indicator.</w:t>
            </w:r>
          </w:p>
          <w:p w14:paraId="573AEEA3" w14:textId="77777777" w:rsidR="001A3AF3" w:rsidRDefault="001A3AF3">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p>
          <w:p w14:paraId="0AE1CDEB" w14:textId="77777777" w:rsidR="001A3AF3" w:rsidRDefault="001A3AF3">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p>
          <w:p w14:paraId="13A556AA" w14:textId="77777777" w:rsidR="001A3AF3" w:rsidRDefault="001A3AF3">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p>
          <w:p w14:paraId="48FA6444" w14:textId="77777777" w:rsidR="001A3AF3" w:rsidRDefault="001A3AF3">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p>
          <w:p w14:paraId="48E55A7F" w14:textId="77777777" w:rsidR="001A3AF3" w:rsidRDefault="001A3AF3">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p>
          <w:p w14:paraId="21CD9327" w14:textId="77777777" w:rsidR="001A3AF3" w:rsidRDefault="001A3AF3">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p>
          <w:p w14:paraId="669310EA" w14:textId="77777777" w:rsidR="001A3AF3" w:rsidRDefault="001A3AF3">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p>
          <w:p w14:paraId="32FCC15E" w14:textId="77777777" w:rsidR="001A3AF3" w:rsidRDefault="001A3AF3">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p>
          <w:p w14:paraId="2592FD41" w14:textId="77777777" w:rsidR="001A3AF3" w:rsidRDefault="001A3AF3">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p>
          <w:p w14:paraId="130A72BE" w14:textId="77777777" w:rsidR="001A3AF3" w:rsidRDefault="001A3AF3">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4"/>
                <w:szCs w:val="24"/>
              </w:rPr>
            </w:pPr>
          </w:p>
        </w:tc>
        <w:tc>
          <w:tcPr>
            <w:tcW w:w="6375" w:type="dxa"/>
            <w:gridSpan w:val="2"/>
            <w:tcBorders>
              <w:top w:val="nil"/>
              <w:left w:val="nil"/>
              <w:bottom w:val="single" w:sz="8" w:space="0" w:color="000000"/>
              <w:right w:val="single" w:sz="8" w:space="0" w:color="000000"/>
            </w:tcBorders>
            <w:tcMar>
              <w:top w:w="0" w:type="dxa"/>
              <w:left w:w="108" w:type="dxa"/>
              <w:bottom w:w="0" w:type="dxa"/>
              <w:right w:w="108" w:type="dxa"/>
            </w:tcMar>
          </w:tcPr>
          <w:p w14:paraId="12E0AB7B" w14:textId="77777777" w:rsidR="001A3AF3" w:rsidRDefault="00000000">
            <w:pPr>
              <w:ind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Nu se acceptă.</w:t>
            </w:r>
            <w:r>
              <w:rPr>
                <w:rFonts w:ascii="Times New Roman" w:eastAsia="Times New Roman" w:hAnsi="Times New Roman" w:cs="Times New Roman"/>
                <w:sz w:val="24"/>
                <w:szCs w:val="24"/>
              </w:rPr>
              <w:t xml:space="preserve"> Majorarea salariului minim pentru anul 2026 în cuantum de 6300 lei reflectă o ajustare realizată în mod sustenabil, raportată la situația economică și bugetară actuală și la impactul financiar asociat. Subliniem că, în ultimii ani, salariul minim a înregistrat o creștere accelerată, iar începând cu 2023 acesta a fost unificat pentru sectorul real și cel bugetar, în concordanță cu prevederile Directivei (UE) 2022/2041. Pentru </w:t>
            </w:r>
            <w:r>
              <w:rPr>
                <w:rFonts w:ascii="Times New Roman" w:eastAsia="Times New Roman" w:hAnsi="Times New Roman" w:cs="Times New Roman"/>
                <w:sz w:val="24"/>
                <w:szCs w:val="24"/>
              </w:rPr>
              <w:lastRenderedPageBreak/>
              <w:t>anul 2026, nivelul propus de 6300 lei reprezintă o creștere de aproximativ +15% față de 2025 și o majorare totală de circa +115% comparativ cu anul 2021.</w:t>
            </w:r>
          </w:p>
          <w:p w14:paraId="501F59F6" w14:textId="77777777" w:rsidR="001A3AF3" w:rsidRDefault="00000000">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Reamintim că salariul minim pe țară reprezintă mărimea minimă a retribuției pentru o muncă simplă, necalificată, sub care angajatorul nu este în drept să plătească. Stabilirea acestuia trebuie să țină cont de capacitățile economice ale statului și de principiul creșterii progresive a nivelului de trai, aspecte confirmate și de jurisprudența Curții Constituționale, care statuează că art. 47 alin.(1) din Constituție admite realizarea graduală a standardului de trai decent (HCC nr. 12 din 16 iunie 2022, §49). În consecință, orice ajustare suplimentară a cadrului normativ necesită o analiză prealabilă riguroasă, în limitele posibilităților </w:t>
            </w:r>
            <w:proofErr w:type="spellStart"/>
            <w:r>
              <w:rPr>
                <w:rFonts w:ascii="Times New Roman" w:eastAsia="Times New Roman" w:hAnsi="Times New Roman" w:cs="Times New Roman"/>
                <w:sz w:val="24"/>
                <w:szCs w:val="24"/>
              </w:rPr>
              <w:t>economico</w:t>
            </w:r>
            <w:proofErr w:type="spellEnd"/>
            <w:r>
              <w:rPr>
                <w:rFonts w:ascii="Times New Roman" w:eastAsia="Times New Roman" w:hAnsi="Times New Roman" w:cs="Times New Roman"/>
                <w:sz w:val="24"/>
                <w:szCs w:val="24"/>
              </w:rPr>
              <w:t>-financiare ale statului, înainte de a putea fi avute în vedere eventuale modificări legislative.</w:t>
            </w:r>
          </w:p>
          <w:p w14:paraId="5DCB08C2" w14:textId="77777777" w:rsidR="001A3AF3" w:rsidRDefault="00000000">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Totodată, menționăm că Guvernul implementează în mod constant măsuri complementare de protecție socială, inclusiv monetare, orientate către diverse grupuri de populație și servicii, cu scopul de a consolida bunăstarea cetățenilor Republicii Moldova.</w:t>
            </w:r>
          </w:p>
          <w:p w14:paraId="511BE4E0" w14:textId="77777777" w:rsidR="001A3AF3" w:rsidRDefault="00000000">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Având în vedere cele menționate, MMPS își exprimă deschiderea pentru continuarea dialogului instituțional și reiterează importanța fundamentării salariului minim pe criterii economice obiective, precum și necesitatea promovării negocierilor colective la nivel de ramură și de unitate.</w:t>
            </w:r>
          </w:p>
        </w:tc>
      </w:tr>
      <w:tr w:rsidR="001A3AF3" w14:paraId="7A4A8EB2" w14:textId="77777777" w:rsidTr="00D01D18">
        <w:trPr>
          <w:trHeight w:val="3802"/>
        </w:trPr>
        <w:tc>
          <w:tcPr>
            <w:tcW w:w="2265"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0A6774F" w14:textId="77777777" w:rsidR="001A3AF3" w:rsidRDefault="001A3AF3">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b/>
                <w:bCs/>
                <w:sz w:val="24"/>
                <w:szCs w:val="24"/>
              </w:rPr>
            </w:pPr>
          </w:p>
        </w:tc>
        <w:tc>
          <w:tcPr>
            <w:tcW w:w="5910" w:type="dxa"/>
            <w:tcBorders>
              <w:top w:val="nil"/>
              <w:left w:val="nil"/>
              <w:bottom w:val="single" w:sz="8" w:space="0" w:color="000000"/>
              <w:right w:val="single" w:sz="8" w:space="0" w:color="000000"/>
            </w:tcBorders>
            <w:tcMar>
              <w:top w:w="0" w:type="dxa"/>
              <w:left w:w="108" w:type="dxa"/>
              <w:bottom w:w="0" w:type="dxa"/>
              <w:right w:w="108" w:type="dxa"/>
            </w:tcMar>
          </w:tcPr>
          <w:p w14:paraId="4D3BE5FE"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Totodată, un salariu minim insuficient nu stimulează încadrarea în câmpul muncii a </w:t>
            </w:r>
            <w:proofErr w:type="spellStart"/>
            <w:r>
              <w:rPr>
                <w:rFonts w:ascii="Times New Roman" w:eastAsia="Times New Roman" w:hAnsi="Times New Roman" w:cs="Times New Roman"/>
                <w:sz w:val="24"/>
                <w:szCs w:val="24"/>
              </w:rPr>
              <w:t>şomerilor</w:t>
            </w:r>
            <w:proofErr w:type="spellEnd"/>
            <w:r>
              <w:rPr>
                <w:rFonts w:ascii="Times New Roman" w:eastAsia="Times New Roman" w:hAnsi="Times New Roman" w:cs="Times New Roman"/>
                <w:sz w:val="24"/>
                <w:szCs w:val="24"/>
              </w:rPr>
              <w:t>, mai ales în condițiile în care, potrivit datelor Agenției Naționale pentru Ocuparea Forței de Muncă, în anul 2024, 61,8% dintre persoanele aflate în evidență nu dețin o calificare profesională, având doar studii primare, gimnaziale sau liceale şi în aceste condiții, multe dintre aceste persoane vor prefera să beneficieze de ajutor social, iar, la atingerea vârstei de pensionare, nu vor întruni condițiile necesare pentru stabilirea unei pensii. Astfel, statul va fi nevoit să aloce surse suplimentare din bugetul de stat pentru acordarea alocației pentru persoanele vârstnice.</w:t>
            </w:r>
          </w:p>
        </w:tc>
        <w:tc>
          <w:tcPr>
            <w:tcW w:w="6375" w:type="dxa"/>
            <w:gridSpan w:val="2"/>
            <w:tcBorders>
              <w:top w:val="nil"/>
              <w:left w:val="nil"/>
              <w:bottom w:val="single" w:sz="8" w:space="0" w:color="000000"/>
              <w:right w:val="single" w:sz="8" w:space="0" w:color="000000"/>
            </w:tcBorders>
            <w:tcMar>
              <w:top w:w="0" w:type="dxa"/>
              <w:left w:w="108" w:type="dxa"/>
              <w:bottom w:w="0" w:type="dxa"/>
              <w:right w:w="108" w:type="dxa"/>
            </w:tcMar>
          </w:tcPr>
          <w:p w14:paraId="0DF32861" w14:textId="77777777" w:rsidR="001A3AF3" w:rsidRDefault="00000000">
            <w:pPr>
              <w:spacing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Nu se acceptă.</w:t>
            </w:r>
            <w:r>
              <w:rPr>
                <w:rFonts w:ascii="Times New Roman" w:eastAsia="Times New Roman" w:hAnsi="Times New Roman" w:cs="Times New Roman"/>
                <w:sz w:val="24"/>
                <w:szCs w:val="24"/>
              </w:rPr>
              <w:t xml:space="preserve"> Abordarea MMPS este una integrată, orientată atât spre creșterea graduală și sustenabilă a salariului minim, cât și spre îmbunătățirea competențelor profesionale ale șomerilor prin implementarea măsurilor active de ocupare.</w:t>
            </w:r>
          </w:p>
          <w:p w14:paraId="4460C251" w14:textId="4AEB7F3B" w:rsidR="001A3AF3" w:rsidRDefault="00000000">
            <w:pPr>
              <w:pBdr>
                <w:top w:val="none" w:sz="0" w:space="0" w:color="000000"/>
                <w:left w:val="none" w:sz="0" w:space="0" w:color="000000"/>
                <w:bottom w:val="none" w:sz="0" w:space="0" w:color="000000"/>
                <w:right w:val="none" w:sz="0" w:space="0" w:color="000000"/>
              </w:pBdr>
              <w:shd w:val="clear" w:color="auto" w:fill="FFFFFF"/>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Datele Agenției Naționale pentru Ocuparea Forței de Muncă confirmă că serviciile și măsurile active de ocupare a forței de muncă generează rezultate. De la începutul anului 2025, 20 mii de persoane au fost plasate în câmpul muncii.</w:t>
            </w:r>
          </w:p>
          <w:p w14:paraId="4F0B764A" w14:textId="77777777" w:rsidR="001A3AF3" w:rsidRDefault="00000000">
            <w:pPr>
              <w:pBdr>
                <w:top w:val="none" w:sz="0" w:space="0" w:color="000000"/>
                <w:left w:val="none" w:sz="0" w:space="0" w:color="000000"/>
                <w:bottom w:val="none" w:sz="0" w:space="0" w:color="000000"/>
                <w:right w:val="none" w:sz="0" w:space="0" w:color="000000"/>
              </w:pBdr>
              <w:shd w:val="clear" w:color="auto" w:fill="FFFFFF"/>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Cât privește calitatea locurilor de munca prezentate de către angajatorii, ANOFM depune efort de a stimula angajatorii de a declara locurile de munca formale, cu scopul formalizării plăților salariale și evitării declarării nivelului minim de salarizare. </w:t>
            </w:r>
          </w:p>
          <w:p w14:paraId="05C5DF0F" w14:textId="77777777" w:rsidR="001A3AF3" w:rsidRDefault="00000000">
            <w:pPr>
              <w:pBdr>
                <w:top w:val="none" w:sz="0" w:space="0" w:color="000000"/>
                <w:left w:val="none" w:sz="0" w:space="0" w:color="000000"/>
                <w:bottom w:val="none" w:sz="0" w:space="0" w:color="000000"/>
                <w:right w:val="none" w:sz="0" w:space="0" w:color="000000"/>
              </w:pBdr>
              <w:shd w:val="clear" w:color="auto" w:fill="FFFFFF"/>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Subsidiar, se va nota că în baza </w:t>
            </w:r>
            <w:r>
              <w:rPr>
                <w:rFonts w:ascii="Times New Roman" w:eastAsia="Times New Roman" w:hAnsi="Times New Roman" w:cs="Times New Roman"/>
                <w:i/>
                <w:iCs/>
                <w:sz w:val="24"/>
                <w:szCs w:val="24"/>
              </w:rPr>
              <w:t>Legii 133/2008 cu privire la ajutorul social</w:t>
            </w:r>
            <w:r>
              <w:rPr>
                <w:rFonts w:ascii="Times New Roman" w:eastAsia="Times New Roman" w:hAnsi="Times New Roman" w:cs="Times New Roman"/>
                <w:sz w:val="24"/>
                <w:szCs w:val="24"/>
              </w:rPr>
              <w:t xml:space="preserve"> și </w:t>
            </w:r>
            <w:r>
              <w:rPr>
                <w:rFonts w:ascii="Times New Roman" w:eastAsia="Times New Roman" w:hAnsi="Times New Roman" w:cs="Times New Roman"/>
                <w:i/>
                <w:iCs/>
                <w:sz w:val="24"/>
                <w:szCs w:val="24"/>
              </w:rPr>
              <w:t>Hotărârii Guvernului nr. 1167/2008 pentru aprobarea Regulamentului cu privire la modul de stabilire și plată a ajutorului social</w:t>
            </w:r>
            <w:r>
              <w:rPr>
                <w:rFonts w:ascii="Times New Roman" w:eastAsia="Times New Roman" w:hAnsi="Times New Roman" w:cs="Times New Roman"/>
                <w:sz w:val="24"/>
                <w:szCs w:val="24"/>
              </w:rPr>
              <w:t xml:space="preserve">, programul de ajutor social are drept scop asigurarea unui venit lunar minim garantat pentru familiile defavorizate prin acordarea unei prestației stabilite în conformitate cu evaluarea venitului global mediu lunar al fiecărei familii și cu nevoia acesteia de </w:t>
            </w:r>
            <w:proofErr w:type="spellStart"/>
            <w:r>
              <w:rPr>
                <w:rFonts w:ascii="Times New Roman" w:eastAsia="Times New Roman" w:hAnsi="Times New Roman" w:cs="Times New Roman"/>
                <w:sz w:val="24"/>
                <w:szCs w:val="24"/>
              </w:rPr>
              <w:t>asistenţă</w:t>
            </w:r>
            <w:proofErr w:type="spellEnd"/>
            <w:r>
              <w:rPr>
                <w:rFonts w:ascii="Times New Roman" w:eastAsia="Times New Roman" w:hAnsi="Times New Roman" w:cs="Times New Roman"/>
                <w:sz w:val="24"/>
                <w:szCs w:val="24"/>
              </w:rPr>
              <w:t xml:space="preserve"> socială.</w:t>
            </w:r>
          </w:p>
          <w:p w14:paraId="130B04B0" w14:textId="77777777" w:rsidR="001A3AF3" w:rsidRDefault="00000000">
            <w:pPr>
              <w:pBdr>
                <w:top w:val="none" w:sz="0" w:space="0" w:color="000000"/>
                <w:left w:val="none" w:sz="0" w:space="0" w:color="000000"/>
                <w:bottom w:val="none" w:sz="0" w:space="0" w:color="000000"/>
                <w:right w:val="none" w:sz="0" w:space="0" w:color="000000"/>
              </w:pBdr>
              <w:shd w:val="clear" w:color="auto" w:fill="FFFFFF"/>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Acest mecanism are un caracter strict țintit și condiționat, orientat spre protejarea minimului de trai al persoanelor aflate în situații de vulnerabilitate obiectivă.</w:t>
            </w:r>
          </w:p>
          <w:p w14:paraId="28BF9D4B" w14:textId="77777777" w:rsidR="001A3AF3" w:rsidRDefault="00000000">
            <w:pPr>
              <w:pBdr>
                <w:top w:val="none" w:sz="0" w:space="0" w:color="000000"/>
                <w:left w:val="none" w:sz="0" w:space="0" w:color="000000"/>
                <w:bottom w:val="none" w:sz="0" w:space="0" w:color="000000"/>
                <w:right w:val="none" w:sz="0" w:space="0" w:color="000000"/>
              </w:pBdr>
              <w:shd w:val="clear" w:color="auto" w:fill="FFFFFF"/>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Condițiile de acordare a ajutorului social prevăd că membrii familiei adulții, care solicită ajutor trebuie să se încadreze într-una din situațiile de vulnerabilitate stabilite în conformitate cu prevederilor </w:t>
            </w:r>
            <w:r>
              <w:rPr>
                <w:rFonts w:ascii="Times New Roman" w:eastAsia="Times New Roman" w:hAnsi="Times New Roman" w:cs="Times New Roman"/>
                <w:i/>
                <w:iCs/>
                <w:sz w:val="24"/>
                <w:szCs w:val="24"/>
              </w:rPr>
              <w:t>articolului 5 din Legea nr. 133/2008.</w:t>
            </w:r>
            <w:r>
              <w:rPr>
                <w:rFonts w:ascii="Times New Roman" w:eastAsia="Times New Roman" w:hAnsi="Times New Roman" w:cs="Times New Roman"/>
                <w:sz w:val="24"/>
                <w:szCs w:val="24"/>
              </w:rPr>
              <w:t xml:space="preserve"> Astfel, de dreptul la ajutor social beneficiază familiile defavorizate în cazul în care toți membrii adulți ai acesteia sunt șomeri înregistrați la </w:t>
            </w:r>
            <w:r>
              <w:rPr>
                <w:rFonts w:ascii="Times New Roman" w:eastAsia="Times New Roman" w:hAnsi="Times New Roman" w:cs="Times New Roman"/>
                <w:sz w:val="24"/>
                <w:szCs w:val="24"/>
              </w:rPr>
              <w:lastRenderedPageBreak/>
              <w:t>agenția teritorială pentru ocuparea forței de muncă și nu refuză participarea la activitățile de interes comunitar (</w:t>
            </w:r>
            <w:r>
              <w:rPr>
                <w:rFonts w:ascii="Times New Roman" w:eastAsia="Times New Roman" w:hAnsi="Times New Roman" w:cs="Times New Roman"/>
                <w:i/>
                <w:iCs/>
                <w:sz w:val="24"/>
                <w:szCs w:val="24"/>
              </w:rPr>
              <w:t>art. 5 lit. c) din Legea nr. 133/2008</w:t>
            </w:r>
            <w:r>
              <w:rPr>
                <w:rFonts w:ascii="Times New Roman" w:eastAsia="Times New Roman" w:hAnsi="Times New Roman" w:cs="Times New Roman"/>
                <w:sz w:val="24"/>
                <w:szCs w:val="24"/>
              </w:rPr>
              <w:t xml:space="preserve">). </w:t>
            </w:r>
          </w:p>
          <w:p w14:paraId="5A02196A" w14:textId="77777777" w:rsidR="001A3AF3" w:rsidRDefault="00000000">
            <w:pPr>
              <w:pBdr>
                <w:top w:val="none" w:sz="0" w:space="0" w:color="000000"/>
                <w:left w:val="none" w:sz="0" w:space="0" w:color="000000"/>
                <w:bottom w:val="none" w:sz="0" w:space="0" w:color="000000"/>
                <w:right w:val="none" w:sz="0" w:space="0" w:color="000000"/>
              </w:pBdr>
              <w:shd w:val="clear" w:color="auto" w:fill="FFFFFF"/>
              <w:ind w:firstLine="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Hotărârea Guvernului nr. 1167/2008 pentru aprobarea Regulamentului cu privire la modul de stabilire și plată a ajutorului social</w:t>
            </w:r>
            <w:r>
              <w:rPr>
                <w:rFonts w:ascii="Times New Roman" w:eastAsia="Times New Roman" w:hAnsi="Times New Roman" w:cs="Times New Roman"/>
                <w:sz w:val="24"/>
                <w:szCs w:val="24"/>
              </w:rPr>
              <w:t xml:space="preserve"> definește clar „familie defavorizată” pe baza veniturilor totale și bunăstării familiei, nu pe baza educației, calificării profesionale sau potențialului de a munci.</w:t>
            </w:r>
          </w:p>
          <w:p w14:paraId="1D95E92D" w14:textId="77777777" w:rsidR="001A3AF3" w:rsidRDefault="00000000">
            <w:pPr>
              <w:pBdr>
                <w:top w:val="none" w:sz="0" w:space="0" w:color="000000"/>
                <w:left w:val="none" w:sz="0" w:space="0" w:color="000000"/>
                <w:bottom w:val="none" w:sz="0" w:space="0" w:color="000000"/>
                <w:right w:val="none" w:sz="0" w:space="0" w:color="000000"/>
              </w:pBdr>
              <w:shd w:val="clear" w:color="auto" w:fill="FFFFFF"/>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Prin urmare, simpla lipsă a unei calificări nu constituie temei de eligibilitate și nu generează un drept automat la ajutor social, contrar percepției potrivit căreia un salariu minim insuficient ar descuraja persoanele fără studii în încadrarea în câmpul muncii.</w:t>
            </w:r>
          </w:p>
          <w:p w14:paraId="1B1F2BE1" w14:textId="77777777" w:rsidR="001A3AF3" w:rsidRDefault="00000000">
            <w:pPr>
              <w:pBdr>
                <w:top w:val="none" w:sz="0" w:space="0" w:color="000000"/>
                <w:left w:val="none" w:sz="0" w:space="0" w:color="000000"/>
                <w:bottom w:val="none" w:sz="0" w:space="0" w:color="000000"/>
                <w:right w:val="none" w:sz="0" w:space="0" w:color="000000"/>
              </w:pBdr>
              <w:shd w:val="clear" w:color="auto" w:fill="FFFFFF"/>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 sens, ajutorul social este o măsură de asistență socială temporară, ce oferă asistență/sprijin familiei/persoanei defavorizate și nu este considerat un drept de venit pe termen nelimitat.</w:t>
            </w:r>
            <w:r>
              <w:rPr>
                <w:rFonts w:ascii="Times New Roman" w:eastAsia="Times New Roman" w:hAnsi="Times New Roman" w:cs="Times New Roman"/>
                <w:sz w:val="24"/>
                <w:szCs w:val="24"/>
              </w:rPr>
              <w:br/>
              <w:t xml:space="preserve">Obiectivul programului este protejarea persoanelor aflate în vulnerabilitate până la restabilirea capacității de </w:t>
            </w:r>
            <w:proofErr w:type="spellStart"/>
            <w:r>
              <w:rPr>
                <w:rFonts w:ascii="Times New Roman" w:eastAsia="Times New Roman" w:hAnsi="Times New Roman" w:cs="Times New Roman"/>
                <w:sz w:val="24"/>
                <w:szCs w:val="24"/>
              </w:rPr>
              <w:t>autosusținere</w:t>
            </w:r>
            <w:proofErr w:type="spellEnd"/>
            <w:r>
              <w:rPr>
                <w:rFonts w:ascii="Times New Roman" w:eastAsia="Times New Roman" w:hAnsi="Times New Roman" w:cs="Times New Roman"/>
                <w:sz w:val="24"/>
                <w:szCs w:val="24"/>
              </w:rPr>
              <w:t>, inclusiv prin măsuri complementare de activare pe piața muncii. Programul nu are ca scop și nici ca efect crearea unei dependențe de prestații sociale, dimpotrivă, condiționalitatea de activare – inclusiv obligația șomerilor de a participa la măsuri de ocupare și la activități de interes comunitar – este expres prevăzută în legislație pentru a stimula reintegrarea în muncă și a preveni pasivitatea.</w:t>
            </w:r>
          </w:p>
          <w:p w14:paraId="15E329FD" w14:textId="77777777" w:rsidR="001A3AF3" w:rsidRDefault="00000000">
            <w:pPr>
              <w:pBdr>
                <w:top w:val="none" w:sz="0" w:space="0" w:color="000000"/>
                <w:left w:val="none" w:sz="0" w:space="0" w:color="000000"/>
                <w:bottom w:val="none" w:sz="0" w:space="0" w:color="000000"/>
                <w:right w:val="none" w:sz="0" w:space="0" w:color="000000"/>
              </w:pBdr>
              <w:shd w:val="clear" w:color="auto" w:fill="FFFFFF"/>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Conform datelor administrative disponibile pentru situația din luna septembrie 2025, doar 2,62% dintre familiile beneficiare ale ajutorului social aveau în componență membri șomeri, iar durata medie de aflare a unui șomer în program este de aproximativ 4 luni, ceea ce confirmă caracterul temporar al prestației și respinge ipoteza existenței unui stimulent negativ semnificativ privind angajarea. Datele existente arată că nivelul salariului </w:t>
            </w:r>
            <w:r>
              <w:rPr>
                <w:rFonts w:ascii="Times New Roman" w:eastAsia="Times New Roman" w:hAnsi="Times New Roman" w:cs="Times New Roman"/>
                <w:sz w:val="24"/>
                <w:szCs w:val="24"/>
              </w:rPr>
              <w:lastRenderedPageBreak/>
              <w:t>minim nu constituie un factor determinant în accesarea programului de ajutor social, eligibilitatea fiind condiționată de criterii obiective, iar participarea persoanelor apte de muncă la măsuri active fiind obligatorie.</w:t>
            </w:r>
          </w:p>
          <w:p w14:paraId="46CE7AD1" w14:textId="77777777" w:rsidR="001A3AF3" w:rsidRDefault="00000000">
            <w:pPr>
              <w:pBdr>
                <w:top w:val="none" w:sz="0" w:space="0" w:color="000000"/>
                <w:left w:val="none" w:sz="0" w:space="0" w:color="000000"/>
                <w:bottom w:val="none" w:sz="0" w:space="0" w:color="000000"/>
                <w:right w:val="none" w:sz="0" w:space="0" w:color="000000"/>
              </w:pBdr>
              <w:shd w:val="clear" w:color="auto" w:fill="FFFFFF"/>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Prin urmare, argumentul potrivit căruia un salariu minim insuficient ar genera migrarea persoanelor inactive sau fără calificare către ajutorul social nu se confirmă prin prisma cadrului normativ și a datelor de monitorizare a prestației. Sistemul de ajutor social este conceput pentru a răspunde nevoilor reale ale familiilor defavorizate și pentru a oferi o plasă de siguranță temporară, menținând totodată stimulentele necesare pentru participarea pe piața muncii și pentru acumularea stagiului asigurat necesar stabilirii ulterioare a pensiei.</w:t>
            </w:r>
          </w:p>
        </w:tc>
      </w:tr>
      <w:tr w:rsidR="001A3AF3" w14:paraId="443CF91B" w14:textId="77777777">
        <w:trPr>
          <w:trHeight w:val="240"/>
        </w:trPr>
        <w:tc>
          <w:tcPr>
            <w:tcW w:w="2265"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9513CA6" w14:textId="77777777" w:rsidR="001A3AF3" w:rsidRDefault="001A3AF3">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b/>
                <w:bCs/>
                <w:sz w:val="24"/>
                <w:szCs w:val="24"/>
              </w:rPr>
            </w:pPr>
          </w:p>
        </w:tc>
        <w:tc>
          <w:tcPr>
            <w:tcW w:w="5910" w:type="dxa"/>
            <w:tcBorders>
              <w:top w:val="nil"/>
              <w:left w:val="nil"/>
              <w:bottom w:val="single" w:sz="8" w:space="0" w:color="000000"/>
              <w:right w:val="single" w:sz="8" w:space="0" w:color="000000"/>
            </w:tcBorders>
            <w:tcMar>
              <w:top w:w="0" w:type="dxa"/>
              <w:left w:w="108" w:type="dxa"/>
              <w:bottom w:w="0" w:type="dxa"/>
              <w:right w:w="108" w:type="dxa"/>
            </w:tcMar>
          </w:tcPr>
          <w:p w14:paraId="5C907B0E"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Reiterăm că salariul minim propus, în cuantum de 6300 lei, nu permite calcularea unei pensii minime pentru limită de vârstă. În aceste condiții, bugetul de stat va trebui să transfere suplimentar 386,32 lei lunar per persoană pentru acordarea pensiei minime în cazul unui stagiu de cotizare de 34 de ani, sau 139 de lei în cazul unui stagiu de cotizare de 40 de ani. Menționăm că, în anul 2024, bugetul de stat a transferat către bugetul asigurărilor sociale de stat 2,5 miliarde lei pentru acoperirea diferenței până la pensia minimă, iar pentru anul curent aceste cheltuieli au fost majorate cu peste 90 milioane de lei.</w:t>
            </w:r>
          </w:p>
        </w:tc>
        <w:tc>
          <w:tcPr>
            <w:tcW w:w="6375" w:type="dxa"/>
            <w:gridSpan w:val="2"/>
            <w:tcBorders>
              <w:top w:val="nil"/>
              <w:left w:val="nil"/>
              <w:bottom w:val="single" w:sz="8" w:space="0" w:color="000000"/>
              <w:right w:val="single" w:sz="8" w:space="0" w:color="000000"/>
            </w:tcBorders>
            <w:tcMar>
              <w:top w:w="0" w:type="dxa"/>
              <w:left w:w="108" w:type="dxa"/>
              <w:bottom w:w="0" w:type="dxa"/>
              <w:right w:w="108" w:type="dxa"/>
            </w:tcMar>
          </w:tcPr>
          <w:p w14:paraId="2DCD9E41" w14:textId="77777777" w:rsidR="001A3AF3" w:rsidRDefault="00000000">
            <w:pPr>
              <w:pBdr>
                <w:top w:val="none" w:sz="0" w:space="0" w:color="000000"/>
                <w:left w:val="none" w:sz="0" w:space="0" w:color="000000"/>
                <w:bottom w:val="none" w:sz="0" w:space="0" w:color="000000"/>
                <w:right w:val="none" w:sz="0" w:space="0" w:color="000000"/>
              </w:pBdr>
              <w:spacing w:before="240" w:after="240"/>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 se acceptă.</w:t>
            </w:r>
            <w:r>
              <w:rPr>
                <w:rFonts w:ascii="Times New Roman" w:eastAsia="Times New Roman" w:hAnsi="Times New Roman" w:cs="Times New Roman"/>
                <w:sz w:val="24"/>
                <w:szCs w:val="24"/>
              </w:rPr>
              <w:t xml:space="preserve"> Nivelul salariului minim nu are ca finalitate directă asigurarea unui cuantum al pensiei minime pentru limită de vârstă, deoarece sistemul de pensionare se bazează pe un ansamblu de parametri </w:t>
            </w:r>
            <w:proofErr w:type="spellStart"/>
            <w:r>
              <w:rPr>
                <w:rFonts w:ascii="Times New Roman" w:eastAsia="Times New Roman" w:hAnsi="Times New Roman" w:cs="Times New Roman"/>
                <w:sz w:val="24"/>
                <w:szCs w:val="24"/>
              </w:rPr>
              <w:t>economico</w:t>
            </w:r>
            <w:proofErr w:type="spellEnd"/>
            <w:r>
              <w:rPr>
                <w:rFonts w:ascii="Times New Roman" w:eastAsia="Times New Roman" w:hAnsi="Times New Roman" w:cs="Times New Roman"/>
                <w:sz w:val="24"/>
                <w:szCs w:val="24"/>
              </w:rPr>
              <w:t xml:space="preserve">-financiari și resursele disponibile în bugetul asigurărilor sociale de stat. În prezent, pensia se determină în dependență de durata stagiului de cotizare și venitul realizat după 01.01.1999, care este actualizat reieșind din creșterea salariului mediu lunar pe țară pentru anul precedent anului de pensionare. Orice diferență între pensia calculată și pensia minimă este acoperită integral din bugetul public național. În acest context, cuantumul salariului minim nu reprezintă factorul definitoriu care poate influența indirect și pe termen lung baza de calcul a pensiilor. </w:t>
            </w:r>
          </w:p>
        </w:tc>
      </w:tr>
      <w:tr w:rsidR="001A3AF3" w14:paraId="13E70AB7" w14:textId="77777777">
        <w:trPr>
          <w:trHeight w:val="240"/>
        </w:trPr>
        <w:tc>
          <w:tcPr>
            <w:tcW w:w="2265"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22D6450" w14:textId="77777777" w:rsidR="001A3AF3" w:rsidRDefault="001A3AF3">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b/>
                <w:bCs/>
                <w:sz w:val="24"/>
                <w:szCs w:val="24"/>
              </w:rPr>
            </w:pPr>
          </w:p>
        </w:tc>
        <w:tc>
          <w:tcPr>
            <w:tcW w:w="5910" w:type="dxa"/>
            <w:tcBorders>
              <w:top w:val="nil"/>
              <w:left w:val="nil"/>
              <w:bottom w:val="single" w:sz="8" w:space="0" w:color="000000"/>
              <w:right w:val="single" w:sz="8" w:space="0" w:color="000000"/>
            </w:tcBorders>
            <w:tcMar>
              <w:top w:w="0" w:type="dxa"/>
              <w:left w:w="108" w:type="dxa"/>
              <w:bottom w:w="0" w:type="dxa"/>
              <w:right w:w="108" w:type="dxa"/>
            </w:tcMar>
          </w:tcPr>
          <w:p w14:paraId="526E334B"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Atragem atenția că Directiva 2022/2041 privind salariile minime adecvate în Uniunea Europeană, pe care Republica Moldova s-a angajat să o transpună, stabileşte că </w:t>
            </w:r>
            <w:r>
              <w:rPr>
                <w:rFonts w:ascii="Times New Roman" w:eastAsia="Times New Roman" w:hAnsi="Times New Roman" w:cs="Times New Roman"/>
                <w:sz w:val="24"/>
                <w:szCs w:val="24"/>
              </w:rPr>
              <w:lastRenderedPageBreak/>
              <w:t>statele membre folosesc valori de referință orientative pentru a ghida evaluarea gradului de adecvare a salariilor minime legale, cum ar fi 60% din salariul median brut şi 50% din salariul mediu brut şi/sau valori de referință orientative utilizate la nivel național. Astfel, în cazul stabilirii salariului minim în mărime de 6300 de lei, raportul dintre salariul minim pe țară şi salariul mediu lunar pe economie, prognozat pentru anul precedent va constitui 39,1%, fiind în descreștere față de raportul pentru anul curent cu 1,4 puncte procentuale şi cu 3,6 puncte procentuale față de cel din anul 2024. Prin urmare, constatăm că reexaminarea propusă a salariului minim nu asigură un salariu adecvat conform standardelor UE.</w:t>
            </w:r>
          </w:p>
        </w:tc>
        <w:tc>
          <w:tcPr>
            <w:tcW w:w="6375" w:type="dxa"/>
            <w:gridSpan w:val="2"/>
            <w:tcBorders>
              <w:top w:val="nil"/>
              <w:left w:val="nil"/>
              <w:bottom w:val="single" w:sz="8" w:space="0" w:color="000000"/>
              <w:right w:val="single" w:sz="8" w:space="0" w:color="000000"/>
            </w:tcBorders>
            <w:tcMar>
              <w:top w:w="0" w:type="dxa"/>
              <w:left w:w="108" w:type="dxa"/>
              <w:bottom w:w="0" w:type="dxa"/>
              <w:right w:w="108" w:type="dxa"/>
            </w:tcMar>
          </w:tcPr>
          <w:p w14:paraId="68B2A32E" w14:textId="77777777" w:rsidR="001A3AF3" w:rsidRDefault="00000000">
            <w:pPr>
              <w:spacing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Nu se acceptă</w:t>
            </w:r>
            <w:r>
              <w:rPr>
                <w:rFonts w:ascii="Times New Roman" w:eastAsia="Times New Roman" w:hAnsi="Times New Roman" w:cs="Times New Roman"/>
                <w:sz w:val="24"/>
                <w:szCs w:val="24"/>
              </w:rPr>
              <w:t xml:space="preserve">, se menționează că valorile de referință orientative pentru a ghida evaluarea gradului de adecvare a salariilor minime sunt considerate repere posibile, și nu poartă </w:t>
            </w:r>
            <w:r>
              <w:rPr>
                <w:rFonts w:ascii="Times New Roman" w:eastAsia="Times New Roman" w:hAnsi="Times New Roman" w:cs="Times New Roman"/>
                <w:sz w:val="24"/>
                <w:szCs w:val="24"/>
              </w:rPr>
              <w:lastRenderedPageBreak/>
              <w:t xml:space="preserve">un caracter obligatoriu, astfel încât statele membre le pot utiliza în mod flexibil. </w:t>
            </w:r>
          </w:p>
          <w:p w14:paraId="282AFADF" w14:textId="77777777" w:rsidR="001A3AF3" w:rsidRDefault="00000000">
            <w:pPr>
              <w:spacing w:line="276" w:lineRule="auto"/>
              <w:ind w:firstLine="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În consecință, se dispune aplicarea Directivei în forma sa revizuită, fără aceste elemente prescriptive, în particular cu respectarea cadrului normativ național.</w:t>
            </w:r>
          </w:p>
        </w:tc>
      </w:tr>
      <w:tr w:rsidR="001A3AF3" w14:paraId="5AA8A847" w14:textId="77777777">
        <w:trPr>
          <w:trHeight w:val="240"/>
        </w:trPr>
        <w:tc>
          <w:tcPr>
            <w:tcW w:w="2265"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192CFD2" w14:textId="77777777" w:rsidR="001A3AF3" w:rsidRDefault="001A3AF3">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b/>
                <w:bCs/>
                <w:sz w:val="24"/>
                <w:szCs w:val="24"/>
              </w:rPr>
            </w:pPr>
          </w:p>
        </w:tc>
        <w:tc>
          <w:tcPr>
            <w:tcW w:w="5910" w:type="dxa"/>
            <w:tcBorders>
              <w:top w:val="nil"/>
              <w:left w:val="nil"/>
              <w:bottom w:val="single" w:sz="8" w:space="0" w:color="000000"/>
              <w:right w:val="single" w:sz="8" w:space="0" w:color="000000"/>
            </w:tcBorders>
            <w:tcMar>
              <w:top w:w="0" w:type="dxa"/>
              <w:left w:w="108" w:type="dxa"/>
              <w:bottom w:w="0" w:type="dxa"/>
              <w:right w:w="108" w:type="dxa"/>
            </w:tcMar>
          </w:tcPr>
          <w:p w14:paraId="183B6DC1" w14:textId="77777777" w:rsidR="001A3AF3" w:rsidRDefault="00000000">
            <w:pPr>
              <w:pBdr>
                <w:top w:val="none" w:sz="0" w:space="0" w:color="000000"/>
                <w:left w:val="none" w:sz="0" w:space="0" w:color="000000"/>
                <w:bottom w:val="none" w:sz="0" w:space="0" w:color="000000"/>
                <w:right w:val="none" w:sz="0" w:space="0" w:color="000000"/>
              </w:pBdr>
              <w:ind w:left="90" w:firstLine="630"/>
              <w:rPr>
                <w:rFonts w:ascii="Times New Roman" w:eastAsia="Times New Roman" w:hAnsi="Times New Roman" w:cs="Times New Roman"/>
                <w:sz w:val="24"/>
                <w:szCs w:val="24"/>
              </w:rPr>
            </w:pPr>
            <w:r>
              <w:rPr>
                <w:rFonts w:ascii="Times New Roman" w:eastAsia="Times New Roman" w:hAnsi="Times New Roman" w:cs="Times New Roman"/>
                <w:sz w:val="24"/>
                <w:szCs w:val="24"/>
              </w:rPr>
              <w:t>CNSM este convinsă că ajustarea salariului minim reprezintă o măsură esențială pentru reducerea sărăciei în rândul salariaților, prevenirea exodului forței de muncă şi stimularea consumului, contribuind astfel la sporirea veniturilor în toate componentele bugetului public național.</w:t>
            </w:r>
          </w:p>
          <w:p w14:paraId="3AEE3D03" w14:textId="77777777" w:rsidR="001A3AF3" w:rsidRDefault="001A3AF3">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p>
          <w:p w14:paraId="60A762E5" w14:textId="77777777" w:rsidR="001A3AF3" w:rsidRDefault="001A3AF3">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p>
        </w:tc>
        <w:tc>
          <w:tcPr>
            <w:tcW w:w="6375" w:type="dxa"/>
            <w:gridSpan w:val="2"/>
            <w:tcBorders>
              <w:top w:val="nil"/>
              <w:left w:val="nil"/>
              <w:bottom w:val="single" w:sz="8" w:space="0" w:color="000000"/>
              <w:right w:val="single" w:sz="8" w:space="0" w:color="000000"/>
            </w:tcBorders>
            <w:tcMar>
              <w:top w:w="0" w:type="dxa"/>
              <w:left w:w="108" w:type="dxa"/>
              <w:bottom w:w="0" w:type="dxa"/>
              <w:right w:w="108" w:type="dxa"/>
            </w:tcMar>
          </w:tcPr>
          <w:p w14:paraId="1089DDFC" w14:textId="77777777" w:rsidR="001A3AF3" w:rsidRDefault="00000000">
            <w:pPr>
              <w:spacing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Nu se acceptă</w:t>
            </w:r>
            <w:r>
              <w:rPr>
                <w:rFonts w:ascii="Times New Roman" w:eastAsia="Times New Roman" w:hAnsi="Times New Roman" w:cs="Times New Roman"/>
                <w:sz w:val="24"/>
                <w:szCs w:val="24"/>
              </w:rPr>
              <w:t xml:space="preserve">, în raport cu afirmația potrivit căreia ajustarea salariului minim ar reprezenta o măsură esențială nu doar pentru reducerea sărăciei în rândul salariaților și prevenirea exodului forței de muncă, </w:t>
            </w:r>
            <w:r>
              <w:rPr>
                <w:rFonts w:ascii="Times New Roman" w:eastAsia="Times New Roman" w:hAnsi="Times New Roman" w:cs="Times New Roman"/>
                <w:b/>
                <w:bCs/>
                <w:sz w:val="24"/>
                <w:szCs w:val="24"/>
              </w:rPr>
              <w:t>ci și pentru sporirea veniturilor în toate componentele bugetului public național</w:t>
            </w:r>
            <w:r>
              <w:rPr>
                <w:rFonts w:ascii="Times New Roman" w:eastAsia="Times New Roman" w:hAnsi="Times New Roman" w:cs="Times New Roman"/>
                <w:sz w:val="24"/>
                <w:szCs w:val="24"/>
              </w:rPr>
              <w:t>, considerăm necesară următoarea clarificare.</w:t>
            </w:r>
          </w:p>
          <w:p w14:paraId="1415CA84" w14:textId="77777777" w:rsidR="001A3AF3" w:rsidRDefault="00000000">
            <w:pPr>
              <w:spacing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Obiectivul fundamental al politicii privind salariul minim nu poate fi creșterea veniturilor bugetare.</w:t>
            </w:r>
            <w:r>
              <w:rPr>
                <w:rFonts w:ascii="Times New Roman" w:eastAsia="Times New Roman" w:hAnsi="Times New Roman" w:cs="Times New Roman"/>
                <w:sz w:val="24"/>
                <w:szCs w:val="24"/>
              </w:rPr>
              <w:br/>
              <w:t>Conform principiilor economice și sociale general acceptate, precum și cadrului normativ aplicabil, salariul minim are un rol eminamente social și de protecție a salariaților, vizând asigurarea unui nivel de trai decent, prevenirea sărăciei în muncă, creșterea atractivității pieței muncii și consolidarea sustenabilității economice, atât în sectorul privat, cât și în cel public.</w:t>
            </w:r>
          </w:p>
          <w:p w14:paraId="2306E5BF" w14:textId="77777777" w:rsidR="001A3AF3" w:rsidRDefault="00000000">
            <w:pPr>
              <w:spacing w:line="276" w:lineRule="auto"/>
              <w:ind w:firstLine="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De aceea, orice argumentare a ajustării salariului minim trebuie să se bazeze exclusiv pe criterii precum: sustenabilitatea salarială în economie; capacitatea reală de plată a angajatorilor; evoluția </w:t>
            </w:r>
            <w:r>
              <w:rPr>
                <w:rFonts w:ascii="Times New Roman" w:eastAsia="Times New Roman" w:hAnsi="Times New Roman" w:cs="Times New Roman"/>
                <w:sz w:val="24"/>
                <w:szCs w:val="24"/>
              </w:rPr>
              <w:lastRenderedPageBreak/>
              <w:t xml:space="preserve">costului vieții și </w:t>
            </w:r>
            <w:r>
              <w:rPr>
                <w:rFonts w:ascii="Times New Roman" w:eastAsia="Times New Roman" w:hAnsi="Times New Roman" w:cs="Times New Roman"/>
                <w:b/>
                <w:bCs/>
                <w:sz w:val="24"/>
                <w:szCs w:val="24"/>
              </w:rPr>
              <w:t>productivității</w:t>
            </w:r>
            <w:r>
              <w:rPr>
                <w:rFonts w:ascii="Times New Roman" w:eastAsia="Times New Roman" w:hAnsi="Times New Roman" w:cs="Times New Roman"/>
                <w:sz w:val="24"/>
                <w:szCs w:val="24"/>
              </w:rPr>
              <w:t>; nevoia de menținere a forței de muncă și de asigurare a bunăstării salariaților.</w:t>
            </w:r>
            <w:r>
              <w:rPr>
                <w:rFonts w:ascii="Times New Roman" w:eastAsia="Times New Roman" w:hAnsi="Times New Roman" w:cs="Times New Roman"/>
                <w:sz w:val="24"/>
                <w:szCs w:val="24"/>
              </w:rPr>
              <w:br/>
              <w:t>Eventualele efecte secundare ale creșterii salariului minim asupra veniturilor bugetare, prin creșterea contribuțiilor nu pot constitui scop al măsurii, ci doar consecințe indirecte. A fundamenta decizia pe considerente fiscale ar reprezenta o deturnare a rolului salariului minim și ar afecta echilibrul politicilor salariale.</w:t>
            </w:r>
          </w:p>
        </w:tc>
      </w:tr>
      <w:tr w:rsidR="001A3AF3" w14:paraId="244F1A92" w14:textId="77777777">
        <w:trPr>
          <w:trHeight w:val="240"/>
        </w:trPr>
        <w:tc>
          <w:tcPr>
            <w:tcW w:w="2265"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34C881C" w14:textId="77777777" w:rsidR="001A3AF3" w:rsidRDefault="001A3AF3">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b/>
                <w:bCs/>
                <w:sz w:val="24"/>
                <w:szCs w:val="24"/>
              </w:rPr>
            </w:pPr>
          </w:p>
        </w:tc>
        <w:tc>
          <w:tcPr>
            <w:tcW w:w="5910" w:type="dxa"/>
            <w:tcBorders>
              <w:top w:val="nil"/>
              <w:left w:val="nil"/>
              <w:bottom w:val="single" w:sz="8" w:space="0" w:color="000000"/>
              <w:right w:val="single" w:sz="8" w:space="0" w:color="000000"/>
            </w:tcBorders>
            <w:tcMar>
              <w:top w:w="0" w:type="dxa"/>
              <w:left w:w="108" w:type="dxa"/>
              <w:bottom w:w="0" w:type="dxa"/>
              <w:right w:w="108" w:type="dxa"/>
            </w:tcMar>
          </w:tcPr>
          <w:p w14:paraId="7A0E4541"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w:t>
            </w:r>
            <w:proofErr w:type="spellStart"/>
            <w:r>
              <w:rPr>
                <w:rFonts w:ascii="Times New Roman" w:eastAsia="Times New Roman" w:hAnsi="Times New Roman" w:cs="Times New Roman"/>
                <w:sz w:val="24"/>
                <w:szCs w:val="24"/>
              </w:rPr>
              <w:t>acelaşi</w:t>
            </w:r>
            <w:proofErr w:type="spellEnd"/>
            <w:r>
              <w:rPr>
                <w:rFonts w:ascii="Times New Roman" w:eastAsia="Times New Roman" w:hAnsi="Times New Roman" w:cs="Times New Roman"/>
                <w:sz w:val="24"/>
                <w:szCs w:val="24"/>
              </w:rPr>
              <w:t xml:space="preserve"> context, CNSM insistă ca proiectul Hotărârii Guvernului privind salariul minim pe țară pentru anul 2026 să fie examinat în cadrul următoarei </w:t>
            </w:r>
            <w:proofErr w:type="spellStart"/>
            <w:r>
              <w:rPr>
                <w:rFonts w:ascii="Times New Roman" w:eastAsia="Times New Roman" w:hAnsi="Times New Roman" w:cs="Times New Roman"/>
                <w:sz w:val="24"/>
                <w:szCs w:val="24"/>
              </w:rPr>
              <w:t>şedințe</w:t>
            </w:r>
            <w:proofErr w:type="spellEnd"/>
            <w:r>
              <w:rPr>
                <w:rFonts w:ascii="Times New Roman" w:eastAsia="Times New Roman" w:hAnsi="Times New Roman" w:cs="Times New Roman"/>
                <w:sz w:val="24"/>
                <w:szCs w:val="24"/>
              </w:rPr>
              <w:t xml:space="preserve"> a Comisiei naționale pentru consultări şi negocieri colective, înainte de aprobarea lui în </w:t>
            </w:r>
            <w:proofErr w:type="spellStart"/>
            <w:r>
              <w:rPr>
                <w:rFonts w:ascii="Times New Roman" w:eastAsia="Times New Roman" w:hAnsi="Times New Roman" w:cs="Times New Roman"/>
                <w:sz w:val="24"/>
                <w:szCs w:val="24"/>
              </w:rPr>
              <w:t>şedința</w:t>
            </w:r>
            <w:proofErr w:type="spellEnd"/>
            <w:r>
              <w:rPr>
                <w:rFonts w:ascii="Times New Roman" w:eastAsia="Times New Roman" w:hAnsi="Times New Roman" w:cs="Times New Roman"/>
                <w:sz w:val="24"/>
                <w:szCs w:val="24"/>
              </w:rPr>
              <w:t xml:space="preserve"> Guvernului, în vederea respectării cadrului legal în vigoare, în special a prevederilor art. 5 alin. (3) din Legea nr. 245/2006 privind organizarea şi funcționarea Comisiei naționale pentru consultări și negocieri colective şi a comisiilor de ramură şi teritoriale.</w:t>
            </w:r>
          </w:p>
        </w:tc>
        <w:tc>
          <w:tcPr>
            <w:tcW w:w="6375" w:type="dxa"/>
            <w:gridSpan w:val="2"/>
            <w:tcBorders>
              <w:top w:val="nil"/>
              <w:left w:val="nil"/>
              <w:bottom w:val="single" w:sz="8" w:space="0" w:color="000000"/>
              <w:right w:val="single" w:sz="8" w:space="0" w:color="000000"/>
            </w:tcBorders>
            <w:tcMar>
              <w:top w:w="0" w:type="dxa"/>
              <w:left w:w="108" w:type="dxa"/>
              <w:bottom w:w="0" w:type="dxa"/>
              <w:right w:w="108" w:type="dxa"/>
            </w:tcMar>
          </w:tcPr>
          <w:p w14:paraId="1083B977" w14:textId="77777777" w:rsidR="001A3AF3" w:rsidRDefault="00000000">
            <w:pPr>
              <w:spacing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 acceptă</w:t>
            </w:r>
            <w:r>
              <w:rPr>
                <w:rFonts w:ascii="Times New Roman" w:eastAsia="Times New Roman" w:hAnsi="Times New Roman" w:cs="Times New Roman"/>
                <w:sz w:val="24"/>
                <w:szCs w:val="24"/>
              </w:rPr>
              <w:t>, după caz, conform calendarului convocării ședințelor CNCNC.</w:t>
            </w:r>
          </w:p>
          <w:p w14:paraId="286EBE9B" w14:textId="77777777" w:rsidR="001A3AF3" w:rsidRDefault="00000000">
            <w:pPr>
              <w:spacing w:line="276" w:lineRule="auto"/>
              <w:ind w:firstLine="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Or, subiectul privind salariul minim pe țară se examinează din oficiu la fiecare ședință CNCNC.</w:t>
            </w:r>
          </w:p>
          <w:p w14:paraId="3B9318E0" w14:textId="77777777" w:rsidR="001A3AF3" w:rsidRDefault="001A3AF3">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i/>
                <w:iCs/>
                <w:sz w:val="24"/>
                <w:szCs w:val="24"/>
              </w:rPr>
            </w:pPr>
          </w:p>
          <w:p w14:paraId="152E17AE" w14:textId="77777777" w:rsidR="001A3AF3" w:rsidRDefault="001A3AF3">
            <w:pPr>
              <w:spacing w:line="276" w:lineRule="auto"/>
              <w:ind w:firstLine="0"/>
              <w:rPr>
                <w:rFonts w:ascii="Times New Roman" w:eastAsia="Times New Roman" w:hAnsi="Times New Roman" w:cs="Times New Roman"/>
                <w:b/>
                <w:bCs/>
                <w:sz w:val="24"/>
                <w:szCs w:val="24"/>
              </w:rPr>
            </w:pPr>
          </w:p>
        </w:tc>
      </w:tr>
      <w:tr w:rsidR="001A3AF3" w14:paraId="4F0890D4" w14:textId="77777777">
        <w:tc>
          <w:tcPr>
            <w:tcW w:w="22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9BB1AE6"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Confederația Națională a Patronatului din Republica Moldova</w:t>
            </w:r>
          </w:p>
          <w:p w14:paraId="6A03A472"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 05/1-73 din 01.12.2025</w:t>
            </w:r>
          </w:p>
        </w:tc>
        <w:tc>
          <w:tcPr>
            <w:tcW w:w="5910" w:type="dxa"/>
            <w:tcBorders>
              <w:top w:val="nil"/>
              <w:left w:val="nil"/>
              <w:bottom w:val="single" w:sz="8" w:space="0" w:color="000000"/>
              <w:right w:val="single" w:sz="8" w:space="0" w:color="000000"/>
            </w:tcBorders>
            <w:tcMar>
              <w:top w:w="0" w:type="dxa"/>
              <w:left w:w="108" w:type="dxa"/>
              <w:bottom w:w="0" w:type="dxa"/>
              <w:right w:w="108" w:type="dxa"/>
            </w:tcMar>
          </w:tcPr>
          <w:p w14:paraId="28C8A0C7"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Lipsă de obiecții.</w:t>
            </w:r>
          </w:p>
        </w:tc>
        <w:tc>
          <w:tcPr>
            <w:tcW w:w="6375" w:type="dxa"/>
            <w:gridSpan w:val="2"/>
            <w:tcBorders>
              <w:top w:val="nil"/>
              <w:left w:val="nil"/>
              <w:bottom w:val="single" w:sz="8" w:space="0" w:color="000000"/>
              <w:right w:val="single" w:sz="8" w:space="0" w:color="000000"/>
            </w:tcBorders>
            <w:tcMar>
              <w:top w:w="0" w:type="dxa"/>
              <w:left w:w="108" w:type="dxa"/>
              <w:bottom w:w="0" w:type="dxa"/>
              <w:right w:w="108" w:type="dxa"/>
            </w:tcMar>
          </w:tcPr>
          <w:p w14:paraId="33CCB355"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 luat act</w:t>
            </w:r>
          </w:p>
        </w:tc>
      </w:tr>
      <w:tr w:rsidR="001A3AF3" w14:paraId="6D021525" w14:textId="77777777">
        <w:tc>
          <w:tcPr>
            <w:tcW w:w="14550"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6A903C3"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Expertizare</w:t>
            </w:r>
          </w:p>
        </w:tc>
      </w:tr>
      <w:tr w:rsidR="001A3AF3" w14:paraId="5ACBD627" w14:textId="77777777">
        <w:trPr>
          <w:trHeight w:val="240"/>
        </w:trPr>
        <w:tc>
          <w:tcPr>
            <w:tcW w:w="2265"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F22D52"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Ministerul Justiției</w:t>
            </w:r>
            <w:r>
              <w:rPr>
                <w:rFonts w:ascii="Times New Roman" w:eastAsia="Times New Roman" w:hAnsi="Times New Roman" w:cs="Times New Roman"/>
                <w:sz w:val="24"/>
                <w:szCs w:val="24"/>
              </w:rPr>
              <w:br/>
              <w:t>Nr. 04/2-11801 din 03.12.2025</w:t>
            </w:r>
          </w:p>
          <w:p w14:paraId="7CC16672"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030" w:type="dxa"/>
            <w:gridSpan w:val="2"/>
            <w:tcBorders>
              <w:top w:val="nil"/>
              <w:left w:val="nil"/>
              <w:bottom w:val="single" w:sz="8" w:space="0" w:color="000000"/>
              <w:right w:val="single" w:sz="8" w:space="0" w:color="000000"/>
            </w:tcBorders>
            <w:tcMar>
              <w:top w:w="0" w:type="dxa"/>
              <w:left w:w="108" w:type="dxa"/>
              <w:bottom w:w="0" w:type="dxa"/>
              <w:right w:w="108" w:type="dxa"/>
            </w:tcMar>
          </w:tcPr>
          <w:p w14:paraId="22842471"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Urmare examinării proiectului hotărârii Guvernului privind stabilirea cuantumului salariului minim pe țară pentru anul 2026 (număr unic 915/MMPS/2025), comunicăm următoarele. </w:t>
            </w:r>
          </w:p>
          <w:p w14:paraId="4276D4CC"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 aspectul </w:t>
            </w:r>
            <w:proofErr w:type="spellStart"/>
            <w:r>
              <w:rPr>
                <w:rFonts w:ascii="Times New Roman" w:eastAsia="Times New Roman" w:hAnsi="Times New Roman" w:cs="Times New Roman"/>
                <w:sz w:val="24"/>
                <w:szCs w:val="24"/>
              </w:rPr>
              <w:t>intenţiei</w:t>
            </w:r>
            <w:proofErr w:type="spellEnd"/>
            <w:r>
              <w:rPr>
                <w:rFonts w:ascii="Times New Roman" w:eastAsia="Times New Roman" w:hAnsi="Times New Roman" w:cs="Times New Roman"/>
                <w:sz w:val="24"/>
                <w:szCs w:val="24"/>
              </w:rPr>
              <w:t xml:space="preserve"> de reglementare, potrivit notei de fundamentare, proiectul de act normativ a fost elaborat </w:t>
            </w:r>
            <w:r>
              <w:rPr>
                <w:rFonts w:ascii="Times New Roman" w:eastAsia="Times New Roman" w:hAnsi="Times New Roman" w:cs="Times New Roman"/>
                <w:sz w:val="24"/>
                <w:szCs w:val="24"/>
              </w:rPr>
              <w:lastRenderedPageBreak/>
              <w:t xml:space="preserve">întru realizarea prevederilor Legii nr. 1432/2000 privind modul de stabilire și reexaminare a salariului minim și în conformitate cu acordul atins între partenerii sociali, şi propune stabilirea cuantumului salariului minim pe țară pentru anul 2026 în mărime de 6300 lei. </w:t>
            </w:r>
          </w:p>
          <w:p w14:paraId="63CE7677"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Raţionamentele</w:t>
            </w:r>
            <w:proofErr w:type="spellEnd"/>
            <w:r>
              <w:rPr>
                <w:rFonts w:ascii="Times New Roman" w:eastAsia="Times New Roman" w:hAnsi="Times New Roman" w:cs="Times New Roman"/>
                <w:sz w:val="24"/>
                <w:szCs w:val="24"/>
              </w:rPr>
              <w:t xml:space="preserve"> expuse de </w:t>
            </w:r>
            <w:proofErr w:type="spellStart"/>
            <w:r>
              <w:rPr>
                <w:rFonts w:ascii="Times New Roman" w:eastAsia="Times New Roman" w:hAnsi="Times New Roman" w:cs="Times New Roman"/>
                <w:sz w:val="24"/>
                <w:szCs w:val="24"/>
              </w:rPr>
              <w:t>iniţiator</w:t>
            </w:r>
            <w:proofErr w:type="spellEnd"/>
            <w:r>
              <w:rPr>
                <w:rFonts w:ascii="Times New Roman" w:eastAsia="Times New Roman" w:hAnsi="Times New Roman" w:cs="Times New Roman"/>
                <w:sz w:val="24"/>
                <w:szCs w:val="24"/>
              </w:rPr>
              <w:t xml:space="preserve"> în notă reflectă motivul şi </w:t>
            </w:r>
            <w:proofErr w:type="spellStart"/>
            <w:r>
              <w:rPr>
                <w:rFonts w:ascii="Times New Roman" w:eastAsia="Times New Roman" w:hAnsi="Times New Roman" w:cs="Times New Roman"/>
                <w:sz w:val="24"/>
                <w:szCs w:val="24"/>
              </w:rPr>
              <w:t>cerinţele</w:t>
            </w:r>
            <w:proofErr w:type="spellEnd"/>
            <w:r>
              <w:rPr>
                <w:rFonts w:ascii="Times New Roman" w:eastAsia="Times New Roman" w:hAnsi="Times New Roman" w:cs="Times New Roman"/>
                <w:sz w:val="24"/>
                <w:szCs w:val="24"/>
              </w:rPr>
              <w:t xml:space="preserve"> care au impus </w:t>
            </w:r>
            <w:proofErr w:type="spellStart"/>
            <w:r>
              <w:rPr>
                <w:rFonts w:ascii="Times New Roman" w:eastAsia="Times New Roman" w:hAnsi="Times New Roman" w:cs="Times New Roman"/>
                <w:sz w:val="24"/>
                <w:szCs w:val="24"/>
              </w:rPr>
              <w:t>intervenţia</w:t>
            </w:r>
            <w:proofErr w:type="spellEnd"/>
            <w:r>
              <w:rPr>
                <w:rFonts w:ascii="Times New Roman" w:eastAsia="Times New Roman" w:hAnsi="Times New Roman" w:cs="Times New Roman"/>
                <w:sz w:val="24"/>
                <w:szCs w:val="24"/>
              </w:rPr>
              <w:t xml:space="preserve"> normativă, autorul a argumentat inclusiv fundamentarea economică financiară a proiectului. </w:t>
            </w:r>
            <w:proofErr w:type="spellStart"/>
            <w:r>
              <w:rPr>
                <w:rFonts w:ascii="Times New Roman" w:eastAsia="Times New Roman" w:hAnsi="Times New Roman" w:cs="Times New Roman"/>
                <w:sz w:val="24"/>
                <w:szCs w:val="24"/>
              </w:rPr>
              <w:t>Obiecţii</w:t>
            </w:r>
            <w:proofErr w:type="spellEnd"/>
            <w:r>
              <w:rPr>
                <w:rFonts w:ascii="Times New Roman" w:eastAsia="Times New Roman" w:hAnsi="Times New Roman" w:cs="Times New Roman"/>
                <w:sz w:val="24"/>
                <w:szCs w:val="24"/>
              </w:rPr>
              <w:t xml:space="preserve"> de ordin conceptual nu avem de formulat. </w:t>
            </w:r>
          </w:p>
        </w:tc>
        <w:tc>
          <w:tcPr>
            <w:tcW w:w="6255" w:type="dxa"/>
            <w:tcBorders>
              <w:top w:val="nil"/>
              <w:left w:val="nil"/>
              <w:bottom w:val="single" w:sz="8" w:space="0" w:color="000000"/>
              <w:right w:val="single" w:sz="8" w:space="0" w:color="000000"/>
            </w:tcBorders>
            <w:tcMar>
              <w:top w:w="0" w:type="dxa"/>
              <w:left w:w="108" w:type="dxa"/>
              <w:bottom w:w="0" w:type="dxa"/>
              <w:right w:w="108" w:type="dxa"/>
            </w:tcMar>
          </w:tcPr>
          <w:p w14:paraId="02A3A3B4"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Am luat act </w:t>
            </w:r>
          </w:p>
        </w:tc>
      </w:tr>
      <w:tr w:rsidR="001A3AF3" w14:paraId="19C34BE7" w14:textId="77777777">
        <w:trPr>
          <w:trHeight w:val="240"/>
        </w:trPr>
        <w:tc>
          <w:tcPr>
            <w:tcW w:w="2265"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E384FD" w14:textId="77777777" w:rsidR="001A3AF3" w:rsidRDefault="001A3AF3">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4"/>
                <w:szCs w:val="24"/>
              </w:rPr>
            </w:pPr>
          </w:p>
        </w:tc>
        <w:tc>
          <w:tcPr>
            <w:tcW w:w="6030" w:type="dxa"/>
            <w:gridSpan w:val="2"/>
            <w:tcBorders>
              <w:top w:val="nil"/>
              <w:left w:val="nil"/>
              <w:bottom w:val="single" w:sz="8" w:space="0" w:color="000000"/>
              <w:right w:val="single" w:sz="8" w:space="0" w:color="000000"/>
            </w:tcBorders>
            <w:tcMar>
              <w:top w:w="0" w:type="dxa"/>
              <w:left w:w="108" w:type="dxa"/>
              <w:bottom w:w="0" w:type="dxa"/>
              <w:right w:w="108" w:type="dxa"/>
            </w:tcMar>
          </w:tcPr>
          <w:p w14:paraId="2B71C131"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Totodată, nu se consideră oportună abrogarea Hotărârii Guvernului nr. 846/2024 privind stabilirea cuantumului salariului minim pe țară pentru anul 2025, deoarece este un act cu caracter temporar. </w:t>
            </w:r>
          </w:p>
          <w:p w14:paraId="460D4220"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Drept exemplu pot fi aduse alte acte normative care se aprobă anual, cele precedente nefiind abrogate (hotărârile Guvernului privind aprobarea cuantumului salariului mediu lunar pe economie, legile bugetelor). </w:t>
            </w:r>
          </w:p>
        </w:tc>
        <w:tc>
          <w:tcPr>
            <w:tcW w:w="6255" w:type="dxa"/>
            <w:tcBorders>
              <w:top w:val="nil"/>
              <w:left w:val="nil"/>
              <w:bottom w:val="single" w:sz="8" w:space="0" w:color="000000"/>
              <w:right w:val="single" w:sz="8" w:space="0" w:color="000000"/>
            </w:tcBorders>
            <w:tcMar>
              <w:top w:w="0" w:type="dxa"/>
              <w:left w:w="108" w:type="dxa"/>
              <w:bottom w:w="0" w:type="dxa"/>
              <w:right w:w="108" w:type="dxa"/>
            </w:tcMar>
          </w:tcPr>
          <w:p w14:paraId="05AEB0DA"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 acceptă </w:t>
            </w:r>
          </w:p>
        </w:tc>
      </w:tr>
      <w:tr w:rsidR="001A3AF3" w14:paraId="13AF9C78" w14:textId="77777777">
        <w:trPr>
          <w:trHeight w:val="240"/>
        </w:trPr>
        <w:tc>
          <w:tcPr>
            <w:tcW w:w="2265"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44392F0" w14:textId="77777777" w:rsidR="001A3AF3" w:rsidRDefault="001A3AF3">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4"/>
                <w:szCs w:val="24"/>
              </w:rPr>
            </w:pPr>
          </w:p>
        </w:tc>
        <w:tc>
          <w:tcPr>
            <w:tcW w:w="6030" w:type="dxa"/>
            <w:gridSpan w:val="2"/>
            <w:tcBorders>
              <w:top w:val="nil"/>
              <w:left w:val="nil"/>
              <w:bottom w:val="single" w:sz="8" w:space="0" w:color="000000"/>
              <w:right w:val="single" w:sz="8" w:space="0" w:color="000000"/>
            </w:tcBorders>
            <w:tcMar>
              <w:top w:w="0" w:type="dxa"/>
              <w:left w:w="108" w:type="dxa"/>
              <w:bottom w:w="0" w:type="dxa"/>
              <w:right w:w="108" w:type="dxa"/>
            </w:tcMar>
          </w:tcPr>
          <w:p w14:paraId="5F68FFF7"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Adițional, în formula de atestare a autenticității actului normativ, cuvântul „Ministra” se va substitui cu cuvântul „Ministrul”, conform Decretului Președintelui Republicii Moldova de numire.  </w:t>
            </w:r>
          </w:p>
        </w:tc>
        <w:tc>
          <w:tcPr>
            <w:tcW w:w="6255" w:type="dxa"/>
            <w:tcBorders>
              <w:top w:val="nil"/>
              <w:left w:val="nil"/>
              <w:bottom w:val="single" w:sz="8" w:space="0" w:color="000000"/>
              <w:right w:val="single" w:sz="8" w:space="0" w:color="000000"/>
            </w:tcBorders>
            <w:tcMar>
              <w:top w:w="0" w:type="dxa"/>
              <w:left w:w="108" w:type="dxa"/>
              <w:bottom w:w="0" w:type="dxa"/>
              <w:right w:w="108" w:type="dxa"/>
            </w:tcMar>
          </w:tcPr>
          <w:p w14:paraId="5A308D75"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 acceptă </w:t>
            </w:r>
          </w:p>
        </w:tc>
      </w:tr>
      <w:tr w:rsidR="001A3AF3" w14:paraId="11972DBD" w14:textId="77777777">
        <w:trPr>
          <w:trHeight w:val="240"/>
        </w:trPr>
        <w:tc>
          <w:tcPr>
            <w:tcW w:w="22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3126EB3"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Centrul Național Anticorupție</w:t>
            </w:r>
          </w:p>
          <w:p w14:paraId="052DB155" w14:textId="77777777" w:rsidR="001A3AF3" w:rsidRDefault="00000000">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 06/2/21783 din 04.12.2025</w:t>
            </w:r>
          </w:p>
        </w:tc>
        <w:tc>
          <w:tcPr>
            <w:tcW w:w="6030" w:type="dxa"/>
            <w:gridSpan w:val="2"/>
            <w:tcBorders>
              <w:top w:val="nil"/>
              <w:left w:val="nil"/>
              <w:bottom w:val="single" w:sz="8" w:space="0" w:color="000000"/>
              <w:right w:val="single" w:sz="8" w:space="0" w:color="000000"/>
            </w:tcBorders>
            <w:tcMar>
              <w:top w:w="0" w:type="dxa"/>
              <w:left w:w="108" w:type="dxa"/>
              <w:bottom w:w="0" w:type="dxa"/>
              <w:right w:w="108" w:type="dxa"/>
            </w:tcMar>
          </w:tcPr>
          <w:p w14:paraId="44F8B75C"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Proiectul hotărârii Guvernului „Privind stabilirea cuantumului salariului minim pe țară pentru anul 2026” a fost elaborat de către Ministerul Muncii și Protecției Sociale. Autorul a prezentat Sinteza avizelor parvenite în cadrul procesului de consultare publică a proiectului de către autoritățile responsabile de implementarea prevederilor </w:t>
            </w:r>
            <w:proofErr w:type="spellStart"/>
            <w:r>
              <w:rPr>
                <w:rFonts w:ascii="Times New Roman" w:eastAsia="Times New Roman" w:hAnsi="Times New Roman" w:cs="Times New Roman"/>
                <w:sz w:val="24"/>
                <w:szCs w:val="24"/>
              </w:rPr>
              <w:t>conţinute</w:t>
            </w:r>
            <w:proofErr w:type="spellEnd"/>
            <w:r>
              <w:rPr>
                <w:rFonts w:ascii="Times New Roman" w:eastAsia="Times New Roman" w:hAnsi="Times New Roman" w:cs="Times New Roman"/>
                <w:sz w:val="24"/>
                <w:szCs w:val="24"/>
              </w:rPr>
              <w:t xml:space="preserve"> în proiect/instituţiilor interesate, fapt ce denotă aspectul definitivat al acestuia și întrunirea condițiilor stabilite de prevederile art.36 al Legii nr.100/2017, coroborat </w:t>
            </w:r>
            <w:r>
              <w:rPr>
                <w:rFonts w:ascii="Times New Roman" w:eastAsia="Times New Roman" w:hAnsi="Times New Roman" w:cs="Times New Roman"/>
                <w:sz w:val="24"/>
                <w:szCs w:val="24"/>
              </w:rPr>
              <w:lastRenderedPageBreak/>
              <w:t xml:space="preserve">cu art.28 al Legii nr.82/2017 - pentru efectuarea expertizei anticorupție. </w:t>
            </w:r>
          </w:p>
          <w:p w14:paraId="149F2814"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procesul de promovare a proiectului, au fost respectate rigorile de asigurare a </w:t>
            </w:r>
            <w:proofErr w:type="spellStart"/>
            <w:r>
              <w:rPr>
                <w:rFonts w:ascii="Times New Roman" w:eastAsia="Times New Roman" w:hAnsi="Times New Roman" w:cs="Times New Roman"/>
                <w:sz w:val="24"/>
                <w:szCs w:val="24"/>
              </w:rPr>
              <w:t>transparenţei</w:t>
            </w:r>
            <w:proofErr w:type="spellEnd"/>
            <w:r>
              <w:rPr>
                <w:rFonts w:ascii="Times New Roman" w:eastAsia="Times New Roman" w:hAnsi="Times New Roman" w:cs="Times New Roman"/>
                <w:sz w:val="24"/>
                <w:szCs w:val="24"/>
              </w:rPr>
              <w:t xml:space="preserve"> decizionale statuate de prevederile art.8 </w:t>
            </w:r>
            <w:proofErr w:type="spellStart"/>
            <w:r>
              <w:rPr>
                <w:rFonts w:ascii="Times New Roman" w:eastAsia="Times New Roman" w:hAnsi="Times New Roman" w:cs="Times New Roman"/>
                <w:sz w:val="24"/>
                <w:szCs w:val="24"/>
              </w:rPr>
              <w:t>lit.a</w:t>
            </w:r>
            <w:proofErr w:type="spellEnd"/>
            <w:r>
              <w:rPr>
                <w:rFonts w:ascii="Times New Roman" w:eastAsia="Times New Roman" w:hAnsi="Times New Roman" w:cs="Times New Roman"/>
                <w:sz w:val="24"/>
                <w:szCs w:val="24"/>
              </w:rPr>
              <w:t xml:space="preserve">)-d) al Legii nr. 239-XVI din 13 noiembrie 2008 privind </w:t>
            </w:r>
            <w:proofErr w:type="spellStart"/>
            <w:r>
              <w:rPr>
                <w:rFonts w:ascii="Times New Roman" w:eastAsia="Times New Roman" w:hAnsi="Times New Roman" w:cs="Times New Roman"/>
                <w:sz w:val="24"/>
                <w:szCs w:val="24"/>
              </w:rPr>
              <w:t>transparenţa</w:t>
            </w:r>
            <w:proofErr w:type="spellEnd"/>
            <w:r>
              <w:rPr>
                <w:rFonts w:ascii="Times New Roman" w:eastAsia="Times New Roman" w:hAnsi="Times New Roman" w:cs="Times New Roman"/>
                <w:sz w:val="24"/>
                <w:szCs w:val="24"/>
              </w:rPr>
              <w:t xml:space="preserve"> în procesul decizional. </w:t>
            </w:r>
          </w:p>
          <w:p w14:paraId="38D15112"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de fundamentare a proiectului a fost întocmită cu respectarea exigențelor de tehnică legislativă statuate de prevederile art.30 </w:t>
            </w:r>
            <w:proofErr w:type="spellStart"/>
            <w:r>
              <w:rPr>
                <w:rFonts w:ascii="Times New Roman" w:eastAsia="Times New Roman" w:hAnsi="Times New Roman" w:cs="Times New Roman"/>
                <w:sz w:val="24"/>
                <w:szCs w:val="24"/>
              </w:rPr>
              <w:t>lit.a</w:t>
            </w:r>
            <w:proofErr w:type="spellEnd"/>
            <w:r>
              <w:rPr>
                <w:rFonts w:ascii="Times New Roman" w:eastAsia="Times New Roman" w:hAnsi="Times New Roman" w:cs="Times New Roman"/>
                <w:sz w:val="24"/>
                <w:szCs w:val="24"/>
              </w:rPr>
              <w:t xml:space="preserve">)-f) al Legii cu privire la actele normative nr.100 din 22 decembrie 2017. </w:t>
            </w:r>
          </w:p>
          <w:p w14:paraId="511FF628"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Implementarea prevederilor propuse, poate contribui la realizarea interesului public vizat de proiect, fapt care nu este în detrimentul interesului public general (în sensul prevăzut în Legea </w:t>
            </w:r>
            <w:proofErr w:type="spellStart"/>
            <w:r>
              <w:rPr>
                <w:rFonts w:ascii="Times New Roman" w:eastAsia="Times New Roman" w:hAnsi="Times New Roman" w:cs="Times New Roman"/>
                <w:sz w:val="24"/>
                <w:szCs w:val="24"/>
              </w:rPr>
              <w:t>integrităţii</w:t>
            </w:r>
            <w:proofErr w:type="spellEnd"/>
            <w:r>
              <w:rPr>
                <w:rFonts w:ascii="Times New Roman" w:eastAsia="Times New Roman" w:hAnsi="Times New Roman" w:cs="Times New Roman"/>
                <w:sz w:val="24"/>
                <w:szCs w:val="24"/>
              </w:rPr>
              <w:t xml:space="preserve"> nr. 82 din 25 mai 2017).</w:t>
            </w:r>
          </w:p>
        </w:tc>
        <w:tc>
          <w:tcPr>
            <w:tcW w:w="6255" w:type="dxa"/>
            <w:tcBorders>
              <w:top w:val="nil"/>
              <w:left w:val="nil"/>
              <w:bottom w:val="single" w:sz="8" w:space="0" w:color="000000"/>
              <w:right w:val="single" w:sz="8" w:space="0" w:color="000000"/>
            </w:tcBorders>
            <w:tcMar>
              <w:top w:w="0" w:type="dxa"/>
              <w:left w:w="108" w:type="dxa"/>
              <w:bottom w:w="0" w:type="dxa"/>
              <w:right w:w="108" w:type="dxa"/>
            </w:tcMar>
          </w:tcPr>
          <w:p w14:paraId="52333578" w14:textId="77777777" w:rsidR="001A3AF3" w:rsidRDefault="00000000">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Am luat act</w:t>
            </w:r>
          </w:p>
        </w:tc>
      </w:tr>
    </w:tbl>
    <w:p w14:paraId="6FC269C6" w14:textId="77777777" w:rsidR="001A3AF3" w:rsidRDefault="001A3AF3">
      <w:pPr>
        <w:pBdr>
          <w:top w:val="none" w:sz="0" w:space="0" w:color="000000"/>
          <w:left w:val="none" w:sz="0" w:space="0" w:color="000000"/>
          <w:bottom w:val="none" w:sz="0" w:space="0" w:color="000000"/>
          <w:right w:val="none" w:sz="0" w:space="0" w:color="000000"/>
        </w:pBdr>
        <w:tabs>
          <w:tab w:val="left" w:pos="884"/>
          <w:tab w:val="left" w:pos="1134"/>
          <w:tab w:val="left" w:pos="1196"/>
        </w:tabs>
        <w:ind w:firstLine="0"/>
        <w:jc w:val="center"/>
        <w:rPr>
          <w:sz w:val="24"/>
          <w:szCs w:val="24"/>
        </w:rPr>
      </w:pPr>
    </w:p>
    <w:sectPr w:rsidR="001A3AF3">
      <w:headerReference w:type="default" r:id="rId6"/>
      <w:headerReference w:type="first" r:id="rId7"/>
      <w:pgSz w:w="16840" w:h="11907" w:orient="landscape"/>
      <w:pgMar w:top="1418" w:right="567" w:bottom="1418" w:left="1985"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8D548" w14:textId="77777777" w:rsidR="00A94307" w:rsidRDefault="00A94307">
      <w:r>
        <w:separator/>
      </w:r>
    </w:p>
  </w:endnote>
  <w:endnote w:type="continuationSeparator" w:id="0">
    <w:p w14:paraId="069B0443" w14:textId="77777777" w:rsidR="00A94307" w:rsidRDefault="00A94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 Benguiat_Bold">
    <w:altName w:val="Impact"/>
    <w:charset w:val="00"/>
    <w:family w:val="auto"/>
    <w:pitch w:val="default"/>
  </w:font>
  <w:font w:name="$Caslon">
    <w:altName w:val="Century Gothic"/>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E492BEB3-C977-49B6-8994-69E27C97E869}"/>
  </w:font>
  <w:font w:name="Cambria">
    <w:panose1 w:val="02040503050406030204"/>
    <w:charset w:val="00"/>
    <w:family w:val="roman"/>
    <w:pitch w:val="variable"/>
    <w:sig w:usb0="E00006FF" w:usb1="420024FF" w:usb2="02000000" w:usb3="00000000" w:csb0="0000019F" w:csb1="00000000"/>
    <w:embedRegular r:id="rId2" w:fontKey="{2BA13FF8-775B-4522-A46D-77DFAB9749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B6A2E" w14:textId="77777777" w:rsidR="00A94307" w:rsidRDefault="00A94307">
      <w:r>
        <w:separator/>
      </w:r>
    </w:p>
  </w:footnote>
  <w:footnote w:type="continuationSeparator" w:id="0">
    <w:p w14:paraId="25A29231" w14:textId="77777777" w:rsidR="00A94307" w:rsidRDefault="00A943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5EB0B" w14:textId="77777777" w:rsidR="001A3AF3" w:rsidRDefault="00000000">
    <w:pPr>
      <w:pBdr>
        <w:top w:val="nil"/>
        <w:left w:val="nil"/>
        <w:bottom w:val="nil"/>
        <w:right w:val="nil"/>
        <w:between w:val="nil"/>
      </w:pBdr>
      <w:tabs>
        <w:tab w:val="center" w:pos="4677"/>
        <w:tab w:val="right" w:pos="9355"/>
      </w:tabs>
      <w:ind w:firstLine="0"/>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01D18">
      <w:rPr>
        <w:noProof/>
        <w:color w:val="000000"/>
        <w:sz w:val="28"/>
        <w:szCs w:val="28"/>
      </w:rPr>
      <w:t>2</w:t>
    </w:r>
    <w:r>
      <w:rPr>
        <w:color w:val="000000"/>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D367B" w14:textId="77777777" w:rsidR="001A3AF3" w:rsidRDefault="001A3AF3">
    <w:pPr>
      <w:pBdr>
        <w:top w:val="nil"/>
        <w:left w:val="nil"/>
        <w:bottom w:val="nil"/>
        <w:right w:val="nil"/>
        <w:between w:val="nil"/>
      </w:pBdr>
      <w:tabs>
        <w:tab w:val="center" w:pos="4677"/>
        <w:tab w:val="right" w:pos="9355"/>
      </w:tabs>
      <w:ind w:firstLine="0"/>
      <w:rPr>
        <w:color w:val="00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AF3"/>
    <w:rsid w:val="001A3AF3"/>
    <w:rsid w:val="00206D01"/>
    <w:rsid w:val="00763B92"/>
    <w:rsid w:val="009721C1"/>
    <w:rsid w:val="00A94307"/>
    <w:rsid w:val="00B917D7"/>
    <w:rsid w:val="00D01D18"/>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90392"/>
  <w15:docId w15:val="{C964D095-EAD8-44DF-9137-C984F82F9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 w:eastAsia="ro-MD"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before="240" w:after="60"/>
      <w:outlineLvl w:val="0"/>
    </w:pPr>
    <w:rPr>
      <w:rFonts w:ascii="Arial" w:eastAsia="Arial" w:hAnsi="Arial" w:cs="Arial"/>
      <w:b/>
      <w:bCs/>
      <w:sz w:val="28"/>
      <w:szCs w:val="28"/>
    </w:rPr>
  </w:style>
  <w:style w:type="paragraph" w:styleId="2">
    <w:name w:val="heading 2"/>
    <w:basedOn w:val="a"/>
    <w:next w:val="a"/>
    <w:uiPriority w:val="9"/>
    <w:semiHidden/>
    <w:unhideWhenUsed/>
    <w:qFormat/>
    <w:pPr>
      <w:keepNext/>
      <w:jc w:val="center"/>
      <w:outlineLvl w:val="1"/>
    </w:pPr>
    <w:rPr>
      <w:rFonts w:ascii="$ Benguiat_Bold" w:eastAsia="$ Benguiat_Bold" w:hAnsi="$ Benguiat_Bold" w:cs="$ Benguiat_Bold"/>
      <w:b/>
      <w:bCs/>
      <w:sz w:val="132"/>
      <w:szCs w:val="132"/>
    </w:rPr>
  </w:style>
  <w:style w:type="paragraph" w:styleId="3">
    <w:name w:val="heading 3"/>
    <w:basedOn w:val="a"/>
    <w:next w:val="a"/>
    <w:uiPriority w:val="9"/>
    <w:semiHidden/>
    <w:unhideWhenUsed/>
    <w:qFormat/>
    <w:pPr>
      <w:keepNext/>
      <w:jc w:val="center"/>
      <w:outlineLvl w:val="2"/>
    </w:pPr>
    <w:rPr>
      <w:rFonts w:ascii="$Caslon" w:eastAsia="$Caslon" w:hAnsi="$Caslon" w:cs="$Caslon"/>
      <w:b/>
      <w:bCs/>
    </w:rPr>
  </w:style>
  <w:style w:type="paragraph" w:styleId="4">
    <w:name w:val="heading 4"/>
    <w:basedOn w:val="a"/>
    <w:next w:val="a"/>
    <w:uiPriority w:val="9"/>
    <w:semiHidden/>
    <w:unhideWhenUsed/>
    <w:qFormat/>
    <w:pPr>
      <w:keepNext/>
      <w:jc w:val="center"/>
      <w:outlineLvl w:val="3"/>
    </w:pPr>
    <w:rPr>
      <w:rFonts w:ascii="$Caslon" w:eastAsia="$Caslon" w:hAnsi="$Caslon" w:cs="$Caslon"/>
      <w:b/>
      <w:bCs/>
      <w:sz w:val="26"/>
      <w:szCs w:val="26"/>
    </w:rPr>
  </w:style>
  <w:style w:type="paragraph" w:styleId="5">
    <w:name w:val="heading 5"/>
    <w:basedOn w:val="a"/>
    <w:next w:val="a"/>
    <w:uiPriority w:val="9"/>
    <w:semiHidden/>
    <w:unhideWhenUsed/>
    <w:qFormat/>
    <w:pPr>
      <w:keepNext/>
      <w:jc w:val="center"/>
      <w:outlineLvl w:val="4"/>
    </w:pPr>
    <w:rPr>
      <w:rFonts w:ascii="$Caslon" w:eastAsia="$Caslon" w:hAnsi="$Caslon" w:cs="$Caslon"/>
      <w:sz w:val="24"/>
      <w:szCs w:val="24"/>
    </w:rPr>
  </w:style>
  <w:style w:type="paragraph" w:styleId="6">
    <w:name w:val="heading 6"/>
    <w:basedOn w:val="a"/>
    <w:next w:val="a"/>
    <w:uiPriority w:val="9"/>
    <w:semiHidden/>
    <w:unhideWhenUsed/>
    <w:qFormat/>
    <w:pPr>
      <w:keepNext/>
      <w:jc w:val="center"/>
      <w:outlineLvl w:val="5"/>
    </w:pPr>
    <w:rPr>
      <w:rFonts w:ascii="$Caslon" w:eastAsia="$Caslon" w:hAnsi="$Caslon" w:cs="$Caslo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300" w:after="200"/>
    </w:pPr>
    <w:rPr>
      <w:sz w:val="48"/>
      <w:szCs w:val="48"/>
    </w:rPr>
  </w:style>
  <w:style w:type="paragraph" w:styleId="a4">
    <w:name w:val="Subtitle"/>
    <w:basedOn w:val="a"/>
    <w:next w:val="a"/>
    <w:uiPriority w:val="11"/>
    <w:qFormat/>
    <w:pPr>
      <w:spacing w:before="200" w:after="200"/>
    </w:pPr>
    <w:rPr>
      <w:sz w:val="24"/>
      <w:szCs w:val="24"/>
    </w:rPr>
  </w:style>
  <w:style w:type="table" w:customStyle="1" w:styleId="a5">
    <w:basedOn w:val="TableNormal"/>
    <w:rPr>
      <w:rFonts w:ascii="Calibri" w:eastAsia="Calibri" w:hAnsi="Calibri" w:cs="Calibri"/>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2842</Words>
  <Characters>16487</Characters>
  <Application>Microsoft Office Word</Application>
  <DocSecurity>0</DocSecurity>
  <Lines>137</Lines>
  <Paragraphs>38</Paragraphs>
  <ScaleCrop>false</ScaleCrop>
  <Company/>
  <LinksUpToDate>false</LinksUpToDate>
  <CharactersWithSpaces>19291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Scurtu</dc:creator>
  <cp:lastModifiedBy>Direcția Politici în Domeniul Raporturi de Muncă</cp:lastModifiedBy>
  <cp:revision>2</cp:revision>
  <dcterms:created xsi:type="dcterms:W3CDTF">2026-02-11T15:07:00Z</dcterms:created>
  <dcterms:modified xsi:type="dcterms:W3CDTF">2026-02-11T15:07:00Z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0x010100DB3619079C70BA4C8A987488329513F90014B383F883BBE84C9A1272D50E465059</vt:lpwstr>
  </property>
  <property fmtid="{D5CDD505-2E9C-101B-9397-08002B2CF9AE}" pid="3" name="Tipul documentului">
    <vt:lpwstr>Aviz</vt:lpwstr>
  </property>
</Properties>
</file>