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31F" w:rsidRPr="008C40D5" w:rsidRDefault="0043631F" w:rsidP="0043631F">
      <w:pPr>
        <w:spacing w:after="0" w:line="276" w:lineRule="auto"/>
        <w:contextualSpacing/>
        <w:jc w:val="right"/>
        <w:rPr>
          <w:rFonts w:ascii="Times New Roman" w:hAnsi="Times New Roman" w:cs="Times New Roman"/>
          <w:b/>
          <w:sz w:val="28"/>
          <w:szCs w:val="28"/>
          <w:lang w:val="ro-MD"/>
        </w:rPr>
      </w:pPr>
      <w:r w:rsidRPr="008C40D5">
        <w:rPr>
          <w:rFonts w:ascii="Times New Roman" w:hAnsi="Times New Roman" w:cs="Times New Roman"/>
          <w:b/>
          <w:sz w:val="28"/>
          <w:szCs w:val="28"/>
          <w:lang w:val="ro-MD"/>
        </w:rPr>
        <w:t>Proiect „UE”</w:t>
      </w:r>
    </w:p>
    <w:tbl>
      <w:tblPr>
        <w:tblW w:w="4774" w:type="pct"/>
        <w:tblInd w:w="426" w:type="dxa"/>
        <w:tblLook w:val="04A0" w:firstRow="1" w:lastRow="0" w:firstColumn="1" w:lastColumn="0" w:noHBand="0" w:noVBand="1"/>
      </w:tblPr>
      <w:tblGrid>
        <w:gridCol w:w="8981"/>
      </w:tblGrid>
      <w:tr w:rsidR="0043631F" w:rsidRPr="008C40D5" w:rsidTr="00427724">
        <w:tc>
          <w:tcPr>
            <w:tcW w:w="5000" w:type="pct"/>
          </w:tcPr>
          <w:p w:rsidR="0043631F" w:rsidRPr="008C40D5" w:rsidRDefault="0043631F" w:rsidP="00427724">
            <w:pPr>
              <w:spacing w:line="276" w:lineRule="auto"/>
              <w:contextualSpacing/>
              <w:rPr>
                <w:rFonts w:ascii="Times New Roman" w:hAnsi="Times New Roman" w:cs="Times New Roman"/>
                <w:sz w:val="24"/>
                <w:szCs w:val="24"/>
                <w:lang w:val="ro-MD"/>
              </w:rPr>
            </w:pPr>
            <w:r w:rsidRPr="008C40D5">
              <w:rPr>
                <w:rFonts w:ascii="Times New Roman" w:hAnsi="Times New Roman" w:cs="Times New Roman"/>
                <w:noProof/>
                <w:sz w:val="24"/>
                <w:szCs w:val="24"/>
                <w:lang w:val="ro-MD"/>
              </w:rPr>
              <w:drawing>
                <wp:anchor distT="0" distB="0" distL="114300" distR="114300" simplePos="0" relativeHeight="251659264" behindDoc="0" locked="0" layoutInCell="0" allowOverlap="1" wp14:anchorId="746FE537" wp14:editId="03B97182">
                  <wp:simplePos x="0" y="0"/>
                  <wp:positionH relativeFrom="column">
                    <wp:align>center</wp:align>
                  </wp:positionH>
                  <wp:positionV relativeFrom="line">
                    <wp:align>top</wp:align>
                  </wp:positionV>
                  <wp:extent cx="752400" cy="860400"/>
                  <wp:effectExtent l="0" t="0" r="0" b="0"/>
                  <wp:wrapNone/>
                  <wp:docPr id="2" name="Picture 2" descr="O imagine care conține schiță, desen, clipart, Schiț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 imagine care conține schiță, desen, clipart, Schiță&#10;&#10;Conținutul generat de inteligența artificială poate fi inco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631F" w:rsidRPr="008C40D5" w:rsidRDefault="0043631F" w:rsidP="00427724">
            <w:pPr>
              <w:spacing w:line="276" w:lineRule="auto"/>
              <w:contextualSpacing/>
              <w:rPr>
                <w:rFonts w:ascii="Times New Roman" w:hAnsi="Times New Roman" w:cs="Times New Roman"/>
                <w:sz w:val="24"/>
                <w:szCs w:val="24"/>
                <w:lang w:val="ro-MD"/>
              </w:rPr>
            </w:pPr>
          </w:p>
          <w:p w:rsidR="0043631F" w:rsidRPr="008C40D5" w:rsidRDefault="0043631F" w:rsidP="00427724">
            <w:pPr>
              <w:spacing w:line="276" w:lineRule="auto"/>
              <w:contextualSpacing/>
              <w:rPr>
                <w:rFonts w:ascii="Times New Roman" w:hAnsi="Times New Roman" w:cs="Times New Roman"/>
                <w:sz w:val="24"/>
                <w:szCs w:val="24"/>
                <w:lang w:val="ro-MD"/>
              </w:rPr>
            </w:pPr>
          </w:p>
          <w:p w:rsidR="0043631F" w:rsidRPr="008C40D5" w:rsidRDefault="0043631F" w:rsidP="00427724">
            <w:pPr>
              <w:spacing w:line="276" w:lineRule="auto"/>
              <w:contextualSpacing/>
              <w:rPr>
                <w:rFonts w:ascii="Times New Roman" w:hAnsi="Times New Roman" w:cs="Times New Roman"/>
                <w:sz w:val="24"/>
                <w:szCs w:val="24"/>
                <w:lang w:val="ro-MD"/>
              </w:rPr>
            </w:pPr>
          </w:p>
          <w:p w:rsidR="0043631F" w:rsidRPr="008C40D5" w:rsidRDefault="0043631F" w:rsidP="00427724">
            <w:pPr>
              <w:spacing w:line="276" w:lineRule="auto"/>
              <w:contextualSpacing/>
              <w:rPr>
                <w:rFonts w:ascii="Times New Roman" w:hAnsi="Times New Roman" w:cs="Times New Roman"/>
                <w:sz w:val="24"/>
                <w:szCs w:val="24"/>
                <w:lang w:val="ro-MD"/>
              </w:rPr>
            </w:pPr>
          </w:p>
        </w:tc>
      </w:tr>
      <w:tr w:rsidR="0043631F" w:rsidRPr="008C40D5" w:rsidTr="00427724">
        <w:tc>
          <w:tcPr>
            <w:tcW w:w="5000" w:type="pct"/>
          </w:tcPr>
          <w:p w:rsidR="0043631F" w:rsidRPr="008C40D5" w:rsidRDefault="0043631F" w:rsidP="00427724">
            <w:pPr>
              <w:pStyle w:val="Titlu8"/>
              <w:spacing w:line="276" w:lineRule="auto"/>
              <w:contextualSpacing/>
              <w:rPr>
                <w:rFonts w:ascii="Times New Roman" w:hAnsi="Times New Roman" w:cs="Times New Roman"/>
                <w:i w:val="0"/>
                <w:iCs w:val="0"/>
                <w:color w:val="auto"/>
                <w:sz w:val="10"/>
                <w:lang w:val="ro-MD"/>
              </w:rPr>
            </w:pPr>
          </w:p>
          <w:p w:rsidR="0043631F" w:rsidRPr="008C40D5" w:rsidRDefault="0043631F" w:rsidP="00427724">
            <w:pPr>
              <w:pStyle w:val="Titlu8"/>
              <w:spacing w:line="276" w:lineRule="auto"/>
              <w:contextualSpacing/>
              <w:jc w:val="center"/>
              <w:rPr>
                <w:rFonts w:ascii="Times New Roman" w:hAnsi="Times New Roman" w:cs="Times New Roman"/>
                <w:i w:val="0"/>
                <w:iCs w:val="0"/>
                <w:color w:val="auto"/>
                <w:spacing w:val="20"/>
                <w:sz w:val="40"/>
                <w:szCs w:val="40"/>
                <w:lang w:val="ro-MD"/>
              </w:rPr>
            </w:pPr>
            <w:r w:rsidRPr="008C40D5">
              <w:rPr>
                <w:rFonts w:ascii="Times New Roman" w:hAnsi="Times New Roman" w:cs="Times New Roman"/>
                <w:i w:val="0"/>
                <w:iCs w:val="0"/>
                <w:color w:val="auto"/>
                <w:spacing w:val="20"/>
                <w:sz w:val="40"/>
                <w:szCs w:val="40"/>
                <w:lang w:val="ro-MD"/>
              </w:rPr>
              <w:t>GUVERNUL  REPUBLICII  MOLDOVA</w:t>
            </w:r>
          </w:p>
          <w:p w:rsidR="0043631F" w:rsidRPr="008C40D5" w:rsidRDefault="0043631F" w:rsidP="00427724">
            <w:pPr>
              <w:spacing w:line="276" w:lineRule="auto"/>
              <w:contextualSpacing/>
              <w:jc w:val="center"/>
              <w:rPr>
                <w:rFonts w:ascii="Times New Roman" w:hAnsi="Times New Roman" w:cs="Times New Roman"/>
                <w:lang w:val="ro-MD"/>
              </w:rPr>
            </w:pPr>
          </w:p>
          <w:p w:rsidR="0043631F" w:rsidRPr="008C40D5" w:rsidRDefault="0043631F" w:rsidP="00427724">
            <w:pPr>
              <w:pStyle w:val="Titlu8"/>
              <w:spacing w:line="276" w:lineRule="auto"/>
              <w:contextualSpacing/>
              <w:jc w:val="center"/>
              <w:rPr>
                <w:rFonts w:ascii="Times New Roman" w:hAnsi="Times New Roman" w:cs="Times New Roman"/>
                <w:i w:val="0"/>
                <w:iCs w:val="0"/>
                <w:color w:val="auto"/>
                <w:sz w:val="34"/>
                <w:szCs w:val="34"/>
                <w:lang w:val="ro-MD"/>
              </w:rPr>
            </w:pPr>
            <w:r w:rsidRPr="008C40D5">
              <w:rPr>
                <w:rFonts w:ascii="Times New Roman" w:hAnsi="Times New Roman" w:cs="Times New Roman"/>
                <w:i w:val="0"/>
                <w:iCs w:val="0"/>
                <w:color w:val="auto"/>
                <w:spacing w:val="40"/>
                <w:sz w:val="32"/>
                <w:szCs w:val="32"/>
                <w:lang w:val="ro-MD"/>
              </w:rPr>
              <w:t>HOTĂRÂRE</w:t>
            </w:r>
            <w:r w:rsidRPr="008C40D5">
              <w:rPr>
                <w:rFonts w:ascii="Times New Roman" w:hAnsi="Times New Roman" w:cs="Times New Roman"/>
                <w:i w:val="0"/>
                <w:iCs w:val="0"/>
                <w:color w:val="auto"/>
                <w:sz w:val="34"/>
                <w:szCs w:val="34"/>
                <w:lang w:val="ro-MD"/>
              </w:rPr>
              <w:t xml:space="preserve"> </w:t>
            </w:r>
            <w:r w:rsidRPr="008C40D5">
              <w:rPr>
                <w:rFonts w:ascii="Times New Roman" w:hAnsi="Times New Roman" w:cs="Times New Roman"/>
                <w:i w:val="0"/>
                <w:iCs w:val="0"/>
                <w:color w:val="auto"/>
                <w:sz w:val="32"/>
                <w:szCs w:val="32"/>
                <w:lang w:val="ro-MD"/>
              </w:rPr>
              <w:t>nr. ____</w:t>
            </w:r>
          </w:p>
          <w:p w:rsidR="0043631F" w:rsidRPr="008C40D5" w:rsidRDefault="0043631F" w:rsidP="00427724">
            <w:pPr>
              <w:spacing w:line="276" w:lineRule="auto"/>
              <w:contextualSpacing/>
              <w:jc w:val="center"/>
              <w:rPr>
                <w:rFonts w:ascii="Times New Roman" w:hAnsi="Times New Roman" w:cs="Times New Roman"/>
                <w:lang w:val="ro-MD"/>
              </w:rPr>
            </w:pPr>
          </w:p>
          <w:p w:rsidR="0043631F" w:rsidRPr="008C40D5" w:rsidRDefault="0043631F" w:rsidP="00427724">
            <w:pPr>
              <w:spacing w:line="276" w:lineRule="auto"/>
              <w:contextualSpacing/>
              <w:jc w:val="center"/>
              <w:rPr>
                <w:rFonts w:ascii="Times New Roman" w:hAnsi="Times New Roman" w:cs="Times New Roman"/>
                <w:b/>
                <w:sz w:val="28"/>
                <w:szCs w:val="28"/>
                <w:lang w:val="ro-MD"/>
              </w:rPr>
            </w:pPr>
            <w:r w:rsidRPr="008C40D5">
              <w:rPr>
                <w:rFonts w:ascii="Times New Roman" w:hAnsi="Times New Roman" w:cs="Times New Roman"/>
                <w:b/>
                <w:sz w:val="28"/>
                <w:szCs w:val="28"/>
                <w:u w:val="single"/>
                <w:lang w:val="ro-MD"/>
              </w:rPr>
              <w:t>din                                        2025</w:t>
            </w:r>
          </w:p>
          <w:p w:rsidR="0043631F" w:rsidRPr="008C40D5" w:rsidRDefault="0043631F" w:rsidP="00427724">
            <w:pPr>
              <w:spacing w:line="276" w:lineRule="auto"/>
              <w:contextualSpacing/>
              <w:jc w:val="center"/>
              <w:rPr>
                <w:rFonts w:ascii="Times New Roman" w:hAnsi="Times New Roman" w:cs="Times New Roman"/>
                <w:b/>
                <w:sz w:val="24"/>
                <w:szCs w:val="24"/>
                <w:lang w:val="ro-MD"/>
              </w:rPr>
            </w:pPr>
            <w:r w:rsidRPr="008C40D5">
              <w:rPr>
                <w:rFonts w:ascii="Times New Roman" w:hAnsi="Times New Roman" w:cs="Times New Roman"/>
                <w:b/>
                <w:sz w:val="24"/>
                <w:szCs w:val="24"/>
                <w:lang w:val="ro-MD"/>
              </w:rPr>
              <w:t>Chișinău</w:t>
            </w:r>
          </w:p>
          <w:p w:rsidR="0043631F" w:rsidRPr="008C40D5" w:rsidRDefault="0043631F" w:rsidP="00427724">
            <w:pPr>
              <w:spacing w:line="276" w:lineRule="auto"/>
              <w:contextualSpacing/>
              <w:jc w:val="center"/>
              <w:rPr>
                <w:rFonts w:ascii="Times New Roman" w:hAnsi="Times New Roman" w:cs="Times New Roman"/>
                <w:noProof/>
                <w:lang w:val="ro-MD" w:eastAsia="ro-RO"/>
              </w:rPr>
            </w:pPr>
          </w:p>
        </w:tc>
      </w:tr>
    </w:tbl>
    <w:p w:rsidR="0084338B" w:rsidRPr="008C40D5" w:rsidRDefault="0043631F" w:rsidP="0084338B">
      <w:pPr>
        <w:jc w:val="center"/>
        <w:rPr>
          <w:rFonts w:ascii="Times New Roman" w:hAnsi="Times New Roman" w:cs="Times New Roman"/>
          <w:b/>
          <w:bCs/>
          <w:sz w:val="28"/>
          <w:szCs w:val="28"/>
          <w:lang w:val="ro-MD"/>
        </w:rPr>
      </w:pPr>
      <w:r w:rsidRPr="008C40D5">
        <w:rPr>
          <w:rFonts w:ascii="Times New Roman" w:hAnsi="Times New Roman" w:cs="Times New Roman"/>
          <w:b/>
          <w:bCs/>
          <w:sz w:val="28"/>
          <w:szCs w:val="28"/>
          <w:lang w:val="ro-MD"/>
        </w:rPr>
        <w:t xml:space="preserve">privind modificarea Hotărârii  Guvernului nr. </w:t>
      </w:r>
      <w:r>
        <w:rPr>
          <w:rFonts w:ascii="Times New Roman" w:hAnsi="Times New Roman" w:cs="Times New Roman"/>
          <w:b/>
          <w:bCs/>
          <w:sz w:val="28"/>
          <w:szCs w:val="28"/>
          <w:lang w:val="ro-MD"/>
        </w:rPr>
        <w:t>686</w:t>
      </w:r>
      <w:r w:rsidRPr="008C40D5">
        <w:rPr>
          <w:rFonts w:ascii="Times New Roman" w:hAnsi="Times New Roman" w:cs="Times New Roman"/>
          <w:b/>
          <w:bCs/>
          <w:sz w:val="28"/>
          <w:szCs w:val="28"/>
          <w:lang w:val="ro-MD"/>
        </w:rPr>
        <w:t>/20</w:t>
      </w:r>
      <w:r>
        <w:rPr>
          <w:rFonts w:ascii="Times New Roman" w:hAnsi="Times New Roman" w:cs="Times New Roman"/>
          <w:b/>
          <w:bCs/>
          <w:sz w:val="28"/>
          <w:szCs w:val="28"/>
          <w:lang w:val="ro-MD"/>
        </w:rPr>
        <w:t>12</w:t>
      </w:r>
      <w:r w:rsidRPr="008C40D5">
        <w:rPr>
          <w:rFonts w:ascii="Times New Roman" w:hAnsi="Times New Roman" w:cs="Times New Roman"/>
          <w:b/>
          <w:bCs/>
          <w:sz w:val="28"/>
          <w:szCs w:val="28"/>
          <w:lang w:val="ro-MD"/>
        </w:rPr>
        <w:t xml:space="preserve"> </w:t>
      </w:r>
      <w:r w:rsidRPr="0043631F">
        <w:rPr>
          <w:rFonts w:ascii="Times New Roman" w:hAnsi="Times New Roman" w:cs="Times New Roman"/>
          <w:b/>
          <w:bCs/>
          <w:sz w:val="28"/>
          <w:szCs w:val="28"/>
          <w:lang w:val="ro-MD"/>
        </w:rPr>
        <w:t>cu privire la aprobarea metode</w:t>
      </w:r>
      <w:r w:rsidR="0084338B">
        <w:rPr>
          <w:rFonts w:ascii="Times New Roman" w:hAnsi="Times New Roman" w:cs="Times New Roman"/>
          <w:b/>
          <w:bCs/>
          <w:sz w:val="28"/>
          <w:szCs w:val="28"/>
          <w:lang w:val="ro-MD"/>
        </w:rPr>
        <w:t>lor</w:t>
      </w:r>
      <w:r w:rsidRPr="0043631F">
        <w:rPr>
          <w:rFonts w:ascii="Times New Roman" w:hAnsi="Times New Roman" w:cs="Times New Roman"/>
          <w:b/>
          <w:bCs/>
          <w:sz w:val="28"/>
          <w:szCs w:val="28"/>
          <w:lang w:val="ro-MD"/>
        </w:rPr>
        <w:t xml:space="preserve"> de analiză pentru controlul </w:t>
      </w:r>
      <w:r w:rsidR="008E283B" w:rsidRPr="008E283B">
        <w:rPr>
          <w:rFonts w:ascii="Times New Roman" w:hAnsi="Times New Roman" w:cs="Times New Roman"/>
          <w:b/>
          <w:bCs/>
          <w:sz w:val="28"/>
          <w:szCs w:val="28"/>
          <w:lang w:val="ro-MD"/>
        </w:rPr>
        <w:t>nutreţurilor</w:t>
      </w:r>
    </w:p>
    <w:p w:rsidR="0043631F" w:rsidRDefault="0043631F" w:rsidP="0043631F">
      <w:pPr>
        <w:tabs>
          <w:tab w:val="left" w:pos="1560"/>
        </w:tabs>
        <w:spacing w:after="0" w:line="240" w:lineRule="auto"/>
        <w:ind w:firstLine="709"/>
        <w:contextualSpacing/>
        <w:jc w:val="both"/>
        <w:rPr>
          <w:rFonts w:ascii="Times New Roman" w:hAnsi="Times New Roman" w:cs="Times New Roman"/>
          <w:b/>
          <w:sz w:val="28"/>
          <w:szCs w:val="28"/>
          <w:lang w:val="ro-MD"/>
        </w:rPr>
      </w:pPr>
    </w:p>
    <w:p w:rsidR="0043631F" w:rsidRDefault="0043631F" w:rsidP="0043631F">
      <w:pPr>
        <w:tabs>
          <w:tab w:val="left" w:pos="1560"/>
        </w:tabs>
        <w:spacing w:after="0" w:line="240" w:lineRule="auto"/>
        <w:ind w:firstLine="709"/>
        <w:contextualSpacing/>
        <w:jc w:val="both"/>
        <w:rPr>
          <w:rFonts w:ascii="Times New Roman" w:hAnsi="Times New Roman" w:cs="Times New Roman"/>
          <w:b/>
          <w:sz w:val="28"/>
          <w:szCs w:val="28"/>
          <w:lang w:val="ro-MD"/>
        </w:rPr>
      </w:pPr>
      <w:r w:rsidRPr="008C40D5">
        <w:rPr>
          <w:rFonts w:ascii="Times New Roman" w:hAnsi="Times New Roman" w:cs="Times New Roman"/>
          <w:b/>
          <w:sz w:val="28"/>
          <w:szCs w:val="28"/>
          <w:lang w:val="ro-MD"/>
        </w:rPr>
        <w:t xml:space="preserve">Guvernul HOTĂRĂȘTE: </w:t>
      </w:r>
    </w:p>
    <w:p w:rsidR="007D4459" w:rsidRDefault="007D4459" w:rsidP="0043631F">
      <w:pPr>
        <w:tabs>
          <w:tab w:val="left" w:pos="1560"/>
        </w:tabs>
        <w:spacing w:after="0" w:line="240" w:lineRule="auto"/>
        <w:ind w:firstLine="709"/>
        <w:contextualSpacing/>
        <w:jc w:val="both"/>
        <w:rPr>
          <w:rFonts w:ascii="Times New Roman" w:hAnsi="Times New Roman" w:cs="Times New Roman"/>
          <w:b/>
          <w:sz w:val="28"/>
          <w:szCs w:val="28"/>
          <w:lang w:val="ro-MD"/>
        </w:rPr>
      </w:pPr>
    </w:p>
    <w:p w:rsidR="007D4459" w:rsidRPr="007D4459" w:rsidRDefault="007D4459" w:rsidP="0043631F">
      <w:pPr>
        <w:tabs>
          <w:tab w:val="left" w:pos="1560"/>
        </w:tabs>
        <w:spacing w:after="0" w:line="240" w:lineRule="auto"/>
        <w:ind w:firstLine="709"/>
        <w:contextualSpacing/>
        <w:jc w:val="both"/>
        <w:rPr>
          <w:rFonts w:ascii="Times New Roman" w:hAnsi="Times New Roman" w:cs="Times New Roman"/>
          <w:sz w:val="28"/>
          <w:szCs w:val="28"/>
          <w:lang w:val="ro-MD"/>
        </w:rPr>
      </w:pPr>
      <w:r w:rsidRPr="007D4459">
        <w:rPr>
          <w:rFonts w:ascii="Times New Roman" w:hAnsi="Times New Roman" w:cs="Times New Roman"/>
          <w:sz w:val="28"/>
          <w:szCs w:val="28"/>
          <w:lang w:val="ro-MD"/>
        </w:rPr>
        <w:t>Prezenta hotărâre transpune Regulamentul (CE) nr. 152/2009 al Comisiei din 27 ianuarie 2009 de stabilire a metodelor de eșantionare și analiză pentru controlul oficial al furajelor, CELEX: 32009R0152, publicat în Jurnalul Oficial al Uniunii Europene seria L nr. 54 din 26 februarie 2009</w:t>
      </w:r>
      <w:r>
        <w:rPr>
          <w:rFonts w:ascii="Times New Roman" w:hAnsi="Times New Roman" w:cs="Times New Roman"/>
          <w:sz w:val="28"/>
          <w:szCs w:val="28"/>
          <w:lang w:val="ro-MD"/>
        </w:rPr>
        <w:t xml:space="preserve"> așa cum a fost ultima dată modificat</w:t>
      </w:r>
      <w:bookmarkStart w:id="0" w:name="_GoBack"/>
      <w:bookmarkEnd w:id="0"/>
      <w:r w:rsidRPr="007D4459">
        <w:rPr>
          <w:rFonts w:ascii="Times New Roman" w:hAnsi="Times New Roman" w:cs="Times New Roman"/>
          <w:sz w:val="28"/>
          <w:szCs w:val="28"/>
          <w:lang w:val="ro-MD"/>
        </w:rPr>
        <w:t>.</w:t>
      </w:r>
    </w:p>
    <w:p w:rsidR="0043631F" w:rsidRPr="008C40D5" w:rsidRDefault="0043631F" w:rsidP="0043631F">
      <w:pPr>
        <w:tabs>
          <w:tab w:val="left" w:pos="1560"/>
        </w:tabs>
        <w:spacing w:after="0" w:line="240" w:lineRule="auto"/>
        <w:ind w:firstLine="709"/>
        <w:contextualSpacing/>
        <w:jc w:val="both"/>
        <w:rPr>
          <w:rFonts w:ascii="Times New Roman" w:hAnsi="Times New Roman" w:cs="Times New Roman"/>
          <w:b/>
          <w:sz w:val="28"/>
          <w:szCs w:val="28"/>
          <w:lang w:val="ro-MD"/>
        </w:rPr>
      </w:pPr>
    </w:p>
    <w:p w:rsidR="007A6330" w:rsidRPr="002B4F90" w:rsidRDefault="0043631F" w:rsidP="007A6330">
      <w:pPr>
        <w:pStyle w:val="pb"/>
        <w:numPr>
          <w:ilvl w:val="0"/>
          <w:numId w:val="2"/>
        </w:numPr>
        <w:shd w:val="clear" w:color="auto" w:fill="FFFFFF"/>
        <w:tabs>
          <w:tab w:val="left" w:pos="993"/>
          <w:tab w:val="left" w:pos="1418"/>
          <w:tab w:val="left" w:pos="1560"/>
        </w:tabs>
        <w:spacing w:before="0" w:beforeAutospacing="0" w:after="0" w:afterAutospacing="0"/>
        <w:ind w:left="0" w:firstLine="709"/>
        <w:contextualSpacing/>
        <w:jc w:val="both"/>
        <w:rPr>
          <w:color w:val="000000" w:themeColor="text1"/>
          <w:sz w:val="28"/>
          <w:szCs w:val="28"/>
          <w:lang w:val="ro-MD"/>
        </w:rPr>
      </w:pPr>
      <w:r w:rsidRPr="007A6330">
        <w:rPr>
          <w:bCs/>
          <w:sz w:val="28"/>
          <w:szCs w:val="28"/>
          <w:lang w:val="ro-MD"/>
        </w:rPr>
        <w:t xml:space="preserve">Hotărârea Guvernului nr. </w:t>
      </w:r>
      <w:r w:rsidR="00731939" w:rsidRPr="007A6330">
        <w:rPr>
          <w:bCs/>
          <w:sz w:val="28"/>
          <w:szCs w:val="28"/>
          <w:lang w:val="ro-MD"/>
        </w:rPr>
        <w:t>686</w:t>
      </w:r>
      <w:r w:rsidRPr="007A6330">
        <w:rPr>
          <w:bCs/>
          <w:sz w:val="28"/>
          <w:szCs w:val="28"/>
          <w:lang w:val="ro-MD"/>
        </w:rPr>
        <w:t>/20</w:t>
      </w:r>
      <w:r w:rsidR="00731939" w:rsidRPr="007A6330">
        <w:rPr>
          <w:bCs/>
          <w:sz w:val="28"/>
          <w:szCs w:val="28"/>
          <w:lang w:val="ro-MD"/>
        </w:rPr>
        <w:t>12</w:t>
      </w:r>
      <w:r w:rsidRPr="007A6330">
        <w:rPr>
          <w:bCs/>
          <w:sz w:val="28"/>
          <w:szCs w:val="28"/>
          <w:lang w:val="ro-MD"/>
        </w:rPr>
        <w:t xml:space="preserve"> </w:t>
      </w:r>
      <w:r w:rsidR="0084338B" w:rsidRPr="007A6330">
        <w:rPr>
          <w:bCs/>
          <w:sz w:val="28"/>
          <w:szCs w:val="28"/>
          <w:lang w:val="ro-MD"/>
        </w:rPr>
        <w:t>cu privire la aprobarea metodelor de analiză pentru controlul oficial al furajelor</w:t>
      </w:r>
      <w:r w:rsidR="0084338B" w:rsidRPr="007A6330">
        <w:rPr>
          <w:rFonts w:eastAsiaTheme="minorHAnsi"/>
          <w:bCs/>
          <w:sz w:val="28"/>
          <w:szCs w:val="28"/>
          <w:lang w:val="ro-MD"/>
        </w:rPr>
        <w:t xml:space="preserve"> </w:t>
      </w:r>
      <w:r w:rsidRPr="007A6330">
        <w:rPr>
          <w:rFonts w:eastAsiaTheme="minorHAnsi"/>
          <w:sz w:val="28"/>
          <w:szCs w:val="28"/>
          <w:lang w:val="ro-MD"/>
        </w:rPr>
        <w:t>(Monitorul Oficial al Republicii Moldova, 20</w:t>
      </w:r>
      <w:r w:rsidR="0084338B" w:rsidRPr="007A6330">
        <w:rPr>
          <w:rFonts w:eastAsiaTheme="minorHAnsi"/>
          <w:sz w:val="28"/>
          <w:szCs w:val="28"/>
          <w:lang w:val="ro-MD"/>
        </w:rPr>
        <w:t>12</w:t>
      </w:r>
      <w:r w:rsidRPr="007A6330">
        <w:rPr>
          <w:rFonts w:eastAsiaTheme="minorHAnsi"/>
          <w:sz w:val="28"/>
          <w:szCs w:val="28"/>
          <w:lang w:val="ro-MD"/>
        </w:rPr>
        <w:t>, nr. 1</w:t>
      </w:r>
      <w:r w:rsidR="0084338B" w:rsidRPr="007A6330">
        <w:rPr>
          <w:rFonts w:eastAsiaTheme="minorHAnsi"/>
          <w:sz w:val="28"/>
          <w:szCs w:val="28"/>
          <w:lang w:val="ro-MD"/>
        </w:rPr>
        <w:t>98</w:t>
      </w:r>
      <w:r w:rsidRPr="007A6330">
        <w:rPr>
          <w:rFonts w:eastAsiaTheme="minorHAnsi"/>
          <w:sz w:val="28"/>
          <w:szCs w:val="28"/>
          <w:lang w:val="ro-MD"/>
        </w:rPr>
        <w:t>-</w:t>
      </w:r>
      <w:r w:rsidR="0084338B" w:rsidRPr="007A6330">
        <w:rPr>
          <w:rFonts w:eastAsiaTheme="minorHAnsi"/>
          <w:sz w:val="28"/>
          <w:szCs w:val="28"/>
          <w:lang w:val="ro-MD"/>
        </w:rPr>
        <w:t>204</w:t>
      </w:r>
      <w:r w:rsidRPr="007A6330">
        <w:rPr>
          <w:rFonts w:eastAsiaTheme="minorHAnsi"/>
          <w:sz w:val="28"/>
          <w:szCs w:val="28"/>
          <w:lang w:val="ro-MD"/>
        </w:rPr>
        <w:t xml:space="preserve"> art. </w:t>
      </w:r>
      <w:r w:rsidR="0084338B" w:rsidRPr="007A6330">
        <w:rPr>
          <w:rFonts w:eastAsiaTheme="minorHAnsi"/>
          <w:sz w:val="28"/>
          <w:szCs w:val="28"/>
          <w:lang w:val="ro-MD"/>
        </w:rPr>
        <w:t>741</w:t>
      </w:r>
      <w:r w:rsidRPr="007A6330">
        <w:rPr>
          <w:rFonts w:eastAsiaTheme="minorHAnsi"/>
          <w:sz w:val="28"/>
          <w:szCs w:val="28"/>
          <w:lang w:val="ro-MD"/>
        </w:rPr>
        <w:t>)</w:t>
      </w:r>
      <w:r w:rsidR="0084338B" w:rsidRPr="007A6330">
        <w:rPr>
          <w:rFonts w:eastAsiaTheme="minorHAnsi"/>
          <w:sz w:val="28"/>
          <w:szCs w:val="28"/>
          <w:lang w:val="ro-MD"/>
        </w:rPr>
        <w:t>, cu modificările ulterioare</w:t>
      </w:r>
      <w:r w:rsidR="007A6330">
        <w:rPr>
          <w:sz w:val="28"/>
          <w:szCs w:val="28"/>
          <w:lang w:val="ro-MD"/>
        </w:rPr>
        <w:t>,</w:t>
      </w:r>
      <w:r w:rsidR="007A6330" w:rsidRPr="002B4F90">
        <w:rPr>
          <w:bCs/>
          <w:color w:val="000000" w:themeColor="text1"/>
          <w:sz w:val="28"/>
          <w:szCs w:val="28"/>
          <w:lang w:val="ro-MD"/>
        </w:rPr>
        <w:t xml:space="preserve"> </w:t>
      </w:r>
      <w:r w:rsidR="007A6330" w:rsidRPr="002B4F90">
        <w:rPr>
          <w:color w:val="000000" w:themeColor="text1"/>
          <w:sz w:val="28"/>
          <w:szCs w:val="28"/>
          <w:lang w:val="ro-MD"/>
        </w:rPr>
        <w:t xml:space="preserve">se modifică după cum urmează: </w:t>
      </w:r>
    </w:p>
    <w:p w:rsidR="007A6330" w:rsidRPr="002B4F90" w:rsidRDefault="007A6330" w:rsidP="007A6330">
      <w:pPr>
        <w:pStyle w:val="pb"/>
        <w:numPr>
          <w:ilvl w:val="1"/>
          <w:numId w:val="5"/>
        </w:numPr>
        <w:shd w:val="clear" w:color="auto" w:fill="FFFFFF"/>
        <w:tabs>
          <w:tab w:val="left" w:pos="993"/>
          <w:tab w:val="left" w:pos="1418"/>
          <w:tab w:val="left" w:pos="1560"/>
        </w:tabs>
        <w:spacing w:before="0" w:beforeAutospacing="0" w:after="0" w:afterAutospacing="0"/>
        <w:contextualSpacing/>
        <w:jc w:val="both"/>
        <w:rPr>
          <w:color w:val="000000" w:themeColor="text1"/>
          <w:sz w:val="28"/>
          <w:szCs w:val="28"/>
          <w:lang w:val="ro-MD"/>
        </w:rPr>
      </w:pPr>
      <w:r w:rsidRPr="002B4F90">
        <w:rPr>
          <w:color w:val="000000" w:themeColor="text1"/>
          <w:sz w:val="28"/>
          <w:szCs w:val="28"/>
          <w:lang w:val="ro-MD"/>
        </w:rPr>
        <w:t>î</w:t>
      </w:r>
      <w:r w:rsidRPr="002B4F90">
        <w:rPr>
          <w:color w:val="000000" w:themeColor="text1"/>
          <w:sz w:val="28"/>
          <w:szCs w:val="28"/>
          <w:lang w:val="ro-RO"/>
        </w:rPr>
        <w:t>n hotărâre:</w:t>
      </w:r>
    </w:p>
    <w:p w:rsidR="008E283B" w:rsidRPr="008E283B" w:rsidRDefault="007A6330" w:rsidP="008E283B">
      <w:pPr>
        <w:pStyle w:val="pb"/>
        <w:numPr>
          <w:ilvl w:val="2"/>
          <w:numId w:val="6"/>
        </w:numPr>
        <w:shd w:val="clear" w:color="auto" w:fill="FFFFFF"/>
        <w:tabs>
          <w:tab w:val="left" w:pos="993"/>
          <w:tab w:val="left" w:pos="1418"/>
          <w:tab w:val="left" w:pos="1560"/>
        </w:tabs>
        <w:spacing w:before="0" w:beforeAutospacing="0" w:after="0" w:afterAutospacing="0"/>
        <w:contextualSpacing/>
        <w:jc w:val="both"/>
        <w:rPr>
          <w:color w:val="000000" w:themeColor="text1"/>
          <w:sz w:val="28"/>
          <w:szCs w:val="28"/>
          <w:lang w:val="ro-MD"/>
        </w:rPr>
      </w:pPr>
      <w:r w:rsidRPr="002B4F90">
        <w:rPr>
          <w:color w:val="000000" w:themeColor="text1"/>
          <w:sz w:val="28"/>
          <w:szCs w:val="28"/>
          <w:lang w:val="ro-RO"/>
        </w:rPr>
        <w:t xml:space="preserve">în denumire și </w:t>
      </w:r>
      <w:r>
        <w:rPr>
          <w:color w:val="000000" w:themeColor="text1"/>
          <w:sz w:val="28"/>
          <w:szCs w:val="28"/>
          <w:lang w:val="ro-RO"/>
        </w:rPr>
        <w:t>pe</w:t>
      </w:r>
      <w:r w:rsidRPr="002B4F90">
        <w:rPr>
          <w:color w:val="000000" w:themeColor="text1"/>
          <w:sz w:val="28"/>
          <w:szCs w:val="28"/>
          <w:lang w:val="ro-RO"/>
        </w:rPr>
        <w:t xml:space="preserve"> tot </w:t>
      </w:r>
      <w:r>
        <w:rPr>
          <w:color w:val="000000" w:themeColor="text1"/>
          <w:sz w:val="28"/>
          <w:szCs w:val="28"/>
          <w:lang w:val="ro-RO"/>
        </w:rPr>
        <w:t xml:space="preserve">parcursul </w:t>
      </w:r>
      <w:r w:rsidRPr="002B4F90">
        <w:rPr>
          <w:color w:val="000000" w:themeColor="text1"/>
          <w:sz w:val="28"/>
          <w:szCs w:val="28"/>
          <w:lang w:val="ro-RO"/>
        </w:rPr>
        <w:t>textul, textul „</w:t>
      </w:r>
      <w:r w:rsidR="008E283B" w:rsidRPr="008E283B">
        <w:rPr>
          <w:color w:val="000000" w:themeColor="text1"/>
          <w:sz w:val="28"/>
          <w:szCs w:val="28"/>
          <w:lang w:val="ro-RO"/>
        </w:rPr>
        <w:t>controlul nutreţurilor</w:t>
      </w:r>
      <w:r w:rsidRPr="002B4F90">
        <w:rPr>
          <w:color w:val="000000" w:themeColor="text1"/>
          <w:sz w:val="28"/>
          <w:szCs w:val="28"/>
          <w:lang w:val="ro-RO"/>
        </w:rPr>
        <w:t xml:space="preserve">” la orice formă gramaticală </w:t>
      </w:r>
      <w:bookmarkStart w:id="1" w:name="_Hlk220334557"/>
      <w:r w:rsidRPr="002B4F90">
        <w:rPr>
          <w:color w:val="000000" w:themeColor="text1"/>
          <w:sz w:val="28"/>
          <w:szCs w:val="28"/>
          <w:lang w:val="ro-RO"/>
        </w:rPr>
        <w:t xml:space="preserve">se substituie </w:t>
      </w:r>
      <w:bookmarkEnd w:id="1"/>
      <w:r w:rsidRPr="002B4F90">
        <w:rPr>
          <w:color w:val="000000" w:themeColor="text1"/>
          <w:sz w:val="28"/>
          <w:szCs w:val="28"/>
          <w:lang w:val="ro-RO"/>
        </w:rPr>
        <w:t xml:space="preserve">cu </w:t>
      </w:r>
      <w:r>
        <w:rPr>
          <w:color w:val="000000" w:themeColor="text1"/>
          <w:sz w:val="28"/>
          <w:szCs w:val="28"/>
          <w:lang w:val="ro-RO"/>
        </w:rPr>
        <w:t>cuvintele</w:t>
      </w:r>
      <w:r w:rsidRPr="002B4F90">
        <w:rPr>
          <w:color w:val="000000" w:themeColor="text1"/>
          <w:sz w:val="28"/>
          <w:szCs w:val="28"/>
          <w:lang w:val="ro-RO"/>
        </w:rPr>
        <w:t xml:space="preserve"> „</w:t>
      </w:r>
      <w:r w:rsidR="008E283B" w:rsidRPr="008E283B">
        <w:rPr>
          <w:color w:val="000000" w:themeColor="text1"/>
          <w:sz w:val="28"/>
          <w:szCs w:val="28"/>
          <w:lang w:val="ro-RO"/>
        </w:rPr>
        <w:t>controlul oficial al furajelor</w:t>
      </w:r>
      <w:r w:rsidRPr="002B4F90">
        <w:rPr>
          <w:color w:val="000000" w:themeColor="text1"/>
          <w:sz w:val="28"/>
          <w:szCs w:val="28"/>
          <w:lang w:val="ro-RO"/>
        </w:rPr>
        <w:t>” la forma gramaticală  corespunzătoare.</w:t>
      </w:r>
    </w:p>
    <w:p w:rsidR="00D53E32" w:rsidRPr="00A5101F" w:rsidRDefault="008E283B" w:rsidP="008E283B">
      <w:pPr>
        <w:pStyle w:val="oj-hd-date"/>
        <w:numPr>
          <w:ilvl w:val="1"/>
          <w:numId w:val="5"/>
        </w:numPr>
        <w:tabs>
          <w:tab w:val="left" w:pos="1560"/>
        </w:tabs>
        <w:spacing w:after="0"/>
        <w:contextualSpacing/>
        <w:jc w:val="both"/>
        <w:rPr>
          <w:sz w:val="28"/>
          <w:szCs w:val="28"/>
          <w:shd w:val="clear" w:color="auto" w:fill="FFFFFF"/>
          <w:lang w:val="ro-RO"/>
        </w:rPr>
      </w:pPr>
      <w:r w:rsidRPr="008E283B">
        <w:rPr>
          <w:sz w:val="28"/>
          <w:szCs w:val="28"/>
          <w:shd w:val="clear" w:color="auto" w:fill="FFFFFF"/>
          <w:lang w:val="ro-RO"/>
        </w:rPr>
        <w:t xml:space="preserve">punctul 1, se substituie </w:t>
      </w:r>
      <w:r>
        <w:rPr>
          <w:sz w:val="28"/>
          <w:szCs w:val="28"/>
          <w:shd w:val="clear" w:color="auto" w:fill="FFFFFF"/>
          <w:lang w:val="ro-RO"/>
        </w:rPr>
        <w:t xml:space="preserve">și </w:t>
      </w:r>
      <w:r w:rsidRPr="008E283B">
        <w:rPr>
          <w:sz w:val="28"/>
          <w:szCs w:val="28"/>
          <w:shd w:val="clear" w:color="auto" w:fill="FFFFFF"/>
          <w:lang w:val="ro-RO"/>
        </w:rPr>
        <w:t>va avea următorul cuprins:</w:t>
      </w:r>
    </w:p>
    <w:p w:rsidR="006D52A2" w:rsidRDefault="008E283B" w:rsidP="00792A2D">
      <w:pPr>
        <w:pStyle w:val="oj-hd-date"/>
        <w:tabs>
          <w:tab w:val="left" w:pos="1560"/>
        </w:tabs>
        <w:spacing w:after="0"/>
        <w:contextualSpacing/>
        <w:jc w:val="both"/>
        <w:rPr>
          <w:sz w:val="28"/>
          <w:szCs w:val="28"/>
          <w:shd w:val="clear" w:color="auto" w:fill="FFFFFF"/>
          <w:lang w:val="ro-RO"/>
        </w:rPr>
      </w:pPr>
      <w:r>
        <w:rPr>
          <w:sz w:val="28"/>
          <w:szCs w:val="28"/>
          <w:shd w:val="clear" w:color="auto" w:fill="FFFFFF"/>
        </w:rPr>
        <w:t xml:space="preserve">“ </w:t>
      </w:r>
      <w:r w:rsidR="00A5101F" w:rsidRPr="00A5101F">
        <w:rPr>
          <w:sz w:val="28"/>
          <w:szCs w:val="28"/>
          <w:shd w:val="clear" w:color="auto" w:fill="FFFFFF"/>
          <w:lang w:val="ro-RO"/>
        </w:rPr>
        <w:t xml:space="preserve">Metodele de eşantionare pentru controlul oficial al </w:t>
      </w:r>
      <w:r w:rsidR="00D53E32">
        <w:rPr>
          <w:sz w:val="28"/>
          <w:szCs w:val="28"/>
          <w:shd w:val="clear" w:color="auto" w:fill="FFFFFF"/>
          <w:lang w:val="ro-RO"/>
        </w:rPr>
        <w:t>furajelor</w:t>
      </w:r>
      <w:r w:rsidR="00A5101F" w:rsidRPr="00A5101F">
        <w:rPr>
          <w:sz w:val="28"/>
          <w:szCs w:val="28"/>
          <w:shd w:val="clear" w:color="auto" w:fill="FFFFFF"/>
          <w:lang w:val="ro-RO"/>
        </w:rPr>
        <w:t>, în vederea determinării constituenţilor, inclusiv materialelor care conțin, constau sau s</w:t>
      </w:r>
      <w:r w:rsidR="00D53E32">
        <w:rPr>
          <w:sz w:val="28"/>
          <w:szCs w:val="28"/>
          <w:shd w:val="clear" w:color="auto" w:fill="FFFFFF"/>
          <w:lang w:val="ro-RO"/>
        </w:rPr>
        <w:t>u</w:t>
      </w:r>
      <w:r w:rsidR="00A5101F" w:rsidRPr="00A5101F">
        <w:rPr>
          <w:sz w:val="28"/>
          <w:szCs w:val="28"/>
          <w:shd w:val="clear" w:color="auto" w:fill="FFFFFF"/>
          <w:lang w:val="ro-RO"/>
        </w:rPr>
        <w:t>nt produse din organisme modificate genetic</w:t>
      </w:r>
      <w:r w:rsidR="00D53E32">
        <w:rPr>
          <w:sz w:val="28"/>
          <w:szCs w:val="28"/>
          <w:shd w:val="clear" w:color="auto" w:fill="FFFFFF"/>
          <w:lang w:val="ro-RO"/>
        </w:rPr>
        <w:t xml:space="preserve"> </w:t>
      </w:r>
      <w:r w:rsidR="00D53E32" w:rsidRPr="00D53E32">
        <w:rPr>
          <w:sz w:val="28"/>
          <w:szCs w:val="28"/>
          <w:shd w:val="clear" w:color="auto" w:fill="FFFFFF"/>
          <w:lang w:val="ro-RO"/>
        </w:rPr>
        <w:t>(OMG)</w:t>
      </w:r>
      <w:r w:rsidR="00A5101F" w:rsidRPr="00A5101F">
        <w:rPr>
          <w:sz w:val="28"/>
          <w:szCs w:val="28"/>
          <w:shd w:val="clear" w:color="auto" w:fill="FFFFFF"/>
          <w:lang w:val="ro-RO"/>
        </w:rPr>
        <w:t xml:space="preserve">, a aditivilor pentru hrana animalelor, </w:t>
      </w:r>
      <w:r w:rsidR="00D53E32">
        <w:rPr>
          <w:sz w:val="28"/>
          <w:szCs w:val="28"/>
          <w:shd w:val="clear" w:color="auto" w:fill="FFFFFF"/>
          <w:lang w:val="ro-RO"/>
        </w:rPr>
        <w:t xml:space="preserve">a </w:t>
      </w:r>
      <w:r w:rsidR="00A5101F" w:rsidRPr="00A5101F">
        <w:rPr>
          <w:sz w:val="28"/>
          <w:szCs w:val="28"/>
          <w:shd w:val="clear" w:color="auto" w:fill="FFFFFF"/>
          <w:lang w:val="ro-RO"/>
        </w:rPr>
        <w:t>substanţelor nedorite şi a reziduurilor de pesticide</w:t>
      </w:r>
      <w:r w:rsidR="003F202B" w:rsidRPr="003F202B">
        <w:t xml:space="preserve"> </w:t>
      </w:r>
      <w:r w:rsidR="003F202B" w:rsidRPr="003F202B">
        <w:rPr>
          <w:sz w:val="28"/>
          <w:szCs w:val="28"/>
          <w:shd w:val="clear" w:color="auto" w:fill="FFFFFF"/>
          <w:lang w:val="ro-RO"/>
        </w:rPr>
        <w:t xml:space="preserve">astfel cum sunt definite </w:t>
      </w:r>
      <w:r w:rsidR="00EB3C62">
        <w:rPr>
          <w:sz w:val="28"/>
          <w:szCs w:val="28"/>
          <w:shd w:val="clear" w:color="auto" w:fill="FFFFFF"/>
          <w:lang w:val="ro-RO"/>
        </w:rPr>
        <w:t>la</w:t>
      </w:r>
      <w:r w:rsidR="003F202B" w:rsidRPr="003F202B">
        <w:rPr>
          <w:sz w:val="28"/>
          <w:szCs w:val="28"/>
          <w:shd w:val="clear" w:color="auto" w:fill="FFFFFF"/>
          <w:lang w:val="ro-RO"/>
        </w:rPr>
        <w:t xml:space="preserve">  </w:t>
      </w:r>
      <w:bookmarkStart w:id="2" w:name="_Hlk220330758"/>
      <w:r w:rsidR="003F202B" w:rsidRPr="003F202B">
        <w:rPr>
          <w:sz w:val="28"/>
          <w:szCs w:val="28"/>
          <w:shd w:val="clear" w:color="auto" w:fill="FFFFFF"/>
          <w:lang w:val="ro-RO"/>
        </w:rPr>
        <w:t>Cerințel</w:t>
      </w:r>
      <w:r w:rsidR="009E48B2">
        <w:rPr>
          <w:sz w:val="28"/>
          <w:szCs w:val="28"/>
          <w:shd w:val="clear" w:color="auto" w:fill="FFFFFF"/>
          <w:lang w:val="ro-RO"/>
        </w:rPr>
        <w:t>e</w:t>
      </w:r>
      <w:r w:rsidR="003F202B" w:rsidRPr="003F202B">
        <w:rPr>
          <w:sz w:val="28"/>
          <w:szCs w:val="28"/>
          <w:shd w:val="clear" w:color="auto" w:fill="FFFFFF"/>
          <w:lang w:val="ro-RO"/>
        </w:rPr>
        <w:t xml:space="preserve"> sanitar-veterinare față de hrana pentru animale</w:t>
      </w:r>
      <w:r w:rsidR="00A5101F" w:rsidRPr="00A5101F">
        <w:rPr>
          <w:sz w:val="28"/>
          <w:szCs w:val="28"/>
          <w:shd w:val="clear" w:color="auto" w:fill="FFFFFF"/>
          <w:lang w:val="ro-RO"/>
        </w:rPr>
        <w:t>,</w:t>
      </w:r>
      <w:r w:rsidR="00195D0F">
        <w:rPr>
          <w:sz w:val="28"/>
          <w:szCs w:val="28"/>
          <w:shd w:val="clear" w:color="auto" w:fill="FFFFFF"/>
          <w:lang w:val="ro-RO"/>
        </w:rPr>
        <w:t xml:space="preserve"> </w:t>
      </w:r>
      <w:r w:rsidR="009E48B2">
        <w:rPr>
          <w:sz w:val="28"/>
          <w:szCs w:val="28"/>
          <w:shd w:val="clear" w:color="auto" w:fill="FFFFFF"/>
          <w:lang w:val="ro-RO"/>
        </w:rPr>
        <w:t>aprobate prin</w:t>
      </w:r>
      <w:r w:rsidR="00195D0F">
        <w:rPr>
          <w:sz w:val="28"/>
          <w:szCs w:val="28"/>
          <w:shd w:val="clear" w:color="auto" w:fill="FFFFFF"/>
          <w:lang w:val="ro-RO"/>
        </w:rPr>
        <w:t xml:space="preserve"> </w:t>
      </w:r>
      <w:r w:rsidR="00195D0F" w:rsidRPr="00195D0F">
        <w:rPr>
          <w:sz w:val="28"/>
          <w:szCs w:val="28"/>
          <w:shd w:val="clear" w:color="auto" w:fill="FFFFFF"/>
          <w:lang w:val="ro-RO"/>
        </w:rPr>
        <w:lastRenderedPageBreak/>
        <w:t>Hotărârea Guvernului nr.910/2020</w:t>
      </w:r>
      <w:bookmarkEnd w:id="2"/>
      <w:r w:rsidR="00195D0F">
        <w:rPr>
          <w:sz w:val="28"/>
          <w:szCs w:val="28"/>
          <w:shd w:val="clear" w:color="auto" w:fill="FFFFFF"/>
          <w:lang w:val="ro-RO"/>
        </w:rPr>
        <w:t>,</w:t>
      </w:r>
      <w:r w:rsidR="00A5101F" w:rsidRPr="00A5101F">
        <w:rPr>
          <w:sz w:val="28"/>
          <w:szCs w:val="28"/>
          <w:shd w:val="clear" w:color="auto" w:fill="FFFFFF"/>
          <w:lang w:val="ro-RO"/>
        </w:rPr>
        <w:t xml:space="preserve"> conform anexei nr. </w:t>
      </w:r>
      <w:r w:rsidR="003F202B">
        <w:rPr>
          <w:sz w:val="28"/>
          <w:szCs w:val="28"/>
          <w:shd w:val="clear" w:color="auto" w:fill="FFFFFF"/>
          <w:lang w:val="ro-RO"/>
        </w:rPr>
        <w:t>1</w:t>
      </w:r>
      <w:r w:rsidR="003F202B" w:rsidRPr="003F202B">
        <w:rPr>
          <w:sz w:val="28"/>
          <w:szCs w:val="28"/>
          <w:shd w:val="clear" w:color="auto" w:fill="FFFFFF"/>
          <w:lang w:val="ro-RO"/>
        </w:rPr>
        <w:t>, cu excepția eșantionării pentru controlul contaminării microbiologice</w:t>
      </w:r>
      <w:r w:rsidR="003F202B">
        <w:rPr>
          <w:sz w:val="28"/>
          <w:szCs w:val="28"/>
          <w:shd w:val="clear" w:color="auto" w:fill="FFFFFF"/>
          <w:lang w:val="ro-RO"/>
        </w:rPr>
        <w:t>.</w:t>
      </w:r>
    </w:p>
    <w:p w:rsidR="003F202B" w:rsidRPr="00427724" w:rsidRDefault="003F202B" w:rsidP="00792A2D">
      <w:pPr>
        <w:pStyle w:val="oj-hd-date"/>
        <w:tabs>
          <w:tab w:val="left" w:pos="1560"/>
        </w:tabs>
        <w:spacing w:after="0"/>
        <w:contextualSpacing/>
        <w:jc w:val="both"/>
        <w:rPr>
          <w:sz w:val="28"/>
          <w:szCs w:val="28"/>
          <w:shd w:val="clear" w:color="auto" w:fill="FFFFFF"/>
          <w:lang w:val="ro-MD"/>
        </w:rPr>
      </w:pPr>
      <w:r w:rsidRPr="00427724">
        <w:rPr>
          <w:sz w:val="28"/>
          <w:szCs w:val="28"/>
          <w:shd w:val="clear" w:color="auto" w:fill="FFFFFF"/>
          <w:lang w:val="ro-MD"/>
        </w:rPr>
        <w:t xml:space="preserve">Metoda de eșantionare stabilită în anexa </w:t>
      </w:r>
      <w:r>
        <w:rPr>
          <w:sz w:val="28"/>
          <w:szCs w:val="28"/>
          <w:shd w:val="clear" w:color="auto" w:fill="FFFFFF"/>
          <w:lang w:val="ro-MD"/>
        </w:rPr>
        <w:t>nr.1</w:t>
      </w:r>
      <w:r w:rsidRPr="00427724">
        <w:rPr>
          <w:sz w:val="28"/>
          <w:szCs w:val="28"/>
          <w:shd w:val="clear" w:color="auto" w:fill="FFFFFF"/>
          <w:lang w:val="ro-MD"/>
        </w:rPr>
        <w:t xml:space="preserve"> se aplică pentru controlul furajelor în ceea ce privește determinarea reziduurilor de pesticide</w:t>
      </w:r>
      <w:r w:rsidR="006D52A2" w:rsidRPr="006D52A2">
        <w:t xml:space="preserve"> </w:t>
      </w:r>
      <w:r w:rsidR="006D52A2" w:rsidRPr="006D52A2">
        <w:rPr>
          <w:sz w:val="28"/>
          <w:szCs w:val="28"/>
          <w:shd w:val="clear" w:color="auto" w:fill="FFFFFF"/>
          <w:lang w:val="ro-MD"/>
        </w:rPr>
        <w:t>astfel cum sunt definite în</w:t>
      </w:r>
      <w:r w:rsidR="006D52A2">
        <w:rPr>
          <w:sz w:val="28"/>
          <w:szCs w:val="28"/>
          <w:shd w:val="clear" w:color="auto" w:fill="FFFFFF"/>
          <w:lang w:val="ro-MD"/>
        </w:rPr>
        <w:t xml:space="preserve"> </w:t>
      </w:r>
      <w:r w:rsidR="00792A2D" w:rsidRPr="00792A2D">
        <w:rPr>
          <w:sz w:val="28"/>
          <w:szCs w:val="28"/>
          <w:shd w:val="clear" w:color="auto" w:fill="FFFFFF"/>
          <w:lang w:val="ro-MD"/>
        </w:rPr>
        <w:t>Regulamentul sanitar</w:t>
      </w:r>
      <w:r w:rsidR="00792A2D">
        <w:rPr>
          <w:sz w:val="28"/>
          <w:szCs w:val="28"/>
          <w:shd w:val="clear" w:color="auto" w:fill="FFFFFF"/>
          <w:lang w:val="ro-MD"/>
        </w:rPr>
        <w:t xml:space="preserve"> </w:t>
      </w:r>
      <w:r w:rsidR="00792A2D" w:rsidRPr="00792A2D">
        <w:rPr>
          <w:sz w:val="28"/>
          <w:szCs w:val="28"/>
          <w:shd w:val="clear" w:color="auto" w:fill="FFFFFF"/>
          <w:lang w:val="ro-MD"/>
        </w:rPr>
        <w:t>privind limitele maxime de reziduuri de pesticide</w:t>
      </w:r>
      <w:r w:rsidR="00792A2D">
        <w:rPr>
          <w:sz w:val="28"/>
          <w:szCs w:val="28"/>
          <w:shd w:val="clear" w:color="auto" w:fill="FFFFFF"/>
          <w:lang w:val="ro-MD"/>
        </w:rPr>
        <w:t xml:space="preserve"> </w:t>
      </w:r>
      <w:r w:rsidR="00792A2D" w:rsidRPr="00792A2D">
        <w:rPr>
          <w:sz w:val="28"/>
          <w:szCs w:val="28"/>
          <w:shd w:val="clear" w:color="auto" w:fill="FFFFFF"/>
          <w:lang w:val="ro-MD"/>
        </w:rPr>
        <w:t>din sau de pe produse alimentare și hrană de origine</w:t>
      </w:r>
      <w:r w:rsidR="00195D0F">
        <w:rPr>
          <w:sz w:val="28"/>
          <w:szCs w:val="28"/>
          <w:shd w:val="clear" w:color="auto" w:fill="FFFFFF"/>
          <w:lang w:val="ro-MD"/>
        </w:rPr>
        <w:t xml:space="preserve"> </w:t>
      </w:r>
      <w:r w:rsidR="00792A2D" w:rsidRPr="00792A2D">
        <w:rPr>
          <w:sz w:val="28"/>
          <w:szCs w:val="28"/>
          <w:shd w:val="clear" w:color="auto" w:fill="FFFFFF"/>
          <w:lang w:val="ro-MD"/>
        </w:rPr>
        <w:t>vegetală și animală pentru animale</w:t>
      </w:r>
      <w:r w:rsidR="00195D0F">
        <w:rPr>
          <w:sz w:val="28"/>
          <w:szCs w:val="28"/>
          <w:shd w:val="clear" w:color="auto" w:fill="FFFFFF"/>
          <w:lang w:val="ro-MD"/>
        </w:rPr>
        <w:t xml:space="preserve">, </w:t>
      </w:r>
      <w:r w:rsidR="009E48B2">
        <w:rPr>
          <w:sz w:val="28"/>
          <w:szCs w:val="28"/>
          <w:shd w:val="clear" w:color="auto" w:fill="FFFFFF"/>
          <w:lang w:val="ro-MD"/>
        </w:rPr>
        <w:t>aprobate prin</w:t>
      </w:r>
      <w:r w:rsidR="00195D0F">
        <w:rPr>
          <w:sz w:val="28"/>
          <w:szCs w:val="28"/>
          <w:shd w:val="clear" w:color="auto" w:fill="FFFFFF"/>
          <w:lang w:val="ro-MD"/>
        </w:rPr>
        <w:t xml:space="preserve"> </w:t>
      </w:r>
      <w:r w:rsidR="00195D0F" w:rsidRPr="00195D0F">
        <w:rPr>
          <w:sz w:val="28"/>
          <w:szCs w:val="28"/>
          <w:shd w:val="clear" w:color="auto" w:fill="FFFFFF"/>
          <w:lang w:val="ro-MD"/>
        </w:rPr>
        <w:t>H</w:t>
      </w:r>
      <w:r w:rsidR="00195D0F">
        <w:rPr>
          <w:sz w:val="28"/>
          <w:szCs w:val="28"/>
          <w:shd w:val="clear" w:color="auto" w:fill="FFFFFF"/>
          <w:lang w:val="ro-MD"/>
        </w:rPr>
        <w:t>otărârii</w:t>
      </w:r>
      <w:r w:rsidR="00195D0F" w:rsidRPr="00195D0F">
        <w:rPr>
          <w:sz w:val="28"/>
          <w:szCs w:val="28"/>
          <w:shd w:val="clear" w:color="auto" w:fill="FFFFFF"/>
          <w:lang w:val="ro-MD"/>
        </w:rPr>
        <w:t xml:space="preserve"> Guvernului nr. 867/2023</w:t>
      </w:r>
      <w:r w:rsidR="006D52A2">
        <w:rPr>
          <w:sz w:val="28"/>
          <w:szCs w:val="28"/>
          <w:shd w:val="clear" w:color="auto" w:fill="FFFFFF"/>
          <w:lang w:val="ro-MD"/>
        </w:rPr>
        <w:t>.</w:t>
      </w:r>
    </w:p>
    <w:p w:rsidR="003F202B" w:rsidRPr="00427724" w:rsidRDefault="003F202B" w:rsidP="003F202B">
      <w:pPr>
        <w:pStyle w:val="oj-hd-date"/>
        <w:tabs>
          <w:tab w:val="left" w:pos="1560"/>
        </w:tabs>
        <w:spacing w:after="0"/>
        <w:contextualSpacing/>
        <w:jc w:val="both"/>
        <w:rPr>
          <w:sz w:val="28"/>
          <w:szCs w:val="28"/>
          <w:shd w:val="clear" w:color="auto" w:fill="FFFFFF"/>
          <w:lang w:val="ro-MD"/>
        </w:rPr>
      </w:pPr>
    </w:p>
    <w:p w:rsidR="00A5101F" w:rsidRPr="00A5101F" w:rsidRDefault="00A5101F" w:rsidP="006D52A2">
      <w:pPr>
        <w:pStyle w:val="oj-hd-date"/>
        <w:tabs>
          <w:tab w:val="left" w:pos="1560"/>
        </w:tabs>
        <w:spacing w:after="0"/>
        <w:contextualSpacing/>
        <w:jc w:val="both"/>
        <w:rPr>
          <w:sz w:val="28"/>
          <w:szCs w:val="28"/>
          <w:shd w:val="clear" w:color="auto" w:fill="FFFFFF"/>
          <w:lang w:val="ro-RO"/>
        </w:rPr>
      </w:pPr>
      <w:r w:rsidRPr="00A5101F">
        <w:rPr>
          <w:sz w:val="28"/>
          <w:szCs w:val="28"/>
          <w:shd w:val="clear" w:color="auto" w:fill="FFFFFF"/>
          <w:lang w:val="ro-RO"/>
        </w:rPr>
        <w:t>Metodele de preparare a eşantioanelor pentru analiză şi exprimarea rezultatelor, conform anexei nr. 2;</w:t>
      </w:r>
    </w:p>
    <w:p w:rsidR="006D52A2" w:rsidRDefault="006D52A2" w:rsidP="006D52A2">
      <w:pPr>
        <w:pStyle w:val="oj-hd-date"/>
        <w:tabs>
          <w:tab w:val="left" w:pos="1560"/>
        </w:tabs>
        <w:spacing w:after="0"/>
        <w:contextualSpacing/>
        <w:jc w:val="both"/>
        <w:rPr>
          <w:sz w:val="28"/>
          <w:szCs w:val="28"/>
          <w:shd w:val="clear" w:color="auto" w:fill="FFFFFF"/>
          <w:lang w:val="ro-RO"/>
        </w:rPr>
      </w:pPr>
    </w:p>
    <w:p w:rsidR="00A5101F" w:rsidRDefault="00A5101F" w:rsidP="006D52A2">
      <w:pPr>
        <w:pStyle w:val="oj-hd-date"/>
        <w:tabs>
          <w:tab w:val="left" w:pos="1560"/>
        </w:tabs>
        <w:spacing w:after="0"/>
        <w:contextualSpacing/>
        <w:jc w:val="both"/>
        <w:rPr>
          <w:sz w:val="28"/>
          <w:szCs w:val="28"/>
          <w:shd w:val="clear" w:color="auto" w:fill="FFFFFF"/>
          <w:lang w:val="ro-RO"/>
        </w:rPr>
      </w:pPr>
      <w:r w:rsidRPr="00970194">
        <w:rPr>
          <w:sz w:val="28"/>
          <w:szCs w:val="28"/>
          <w:shd w:val="clear" w:color="auto" w:fill="FFFFFF"/>
          <w:lang w:val="ro-RO"/>
        </w:rPr>
        <w:t>Metodele de analiză privind controlul compoziției materiilor prime pentru furaje și a furajelor combinate</w:t>
      </w:r>
      <w:r w:rsidRPr="00A5101F">
        <w:rPr>
          <w:sz w:val="28"/>
          <w:szCs w:val="28"/>
          <w:shd w:val="clear" w:color="auto" w:fill="FFFFFF"/>
          <w:lang w:val="ro-RO"/>
        </w:rPr>
        <w:t xml:space="preserve">, conform anexei nr. </w:t>
      </w:r>
      <w:r w:rsidR="006D52A2">
        <w:rPr>
          <w:sz w:val="28"/>
          <w:szCs w:val="28"/>
          <w:shd w:val="clear" w:color="auto" w:fill="FFFFFF"/>
          <w:lang w:val="ro-RO"/>
        </w:rPr>
        <w:t>3</w:t>
      </w:r>
    </w:p>
    <w:p w:rsidR="006D52A2" w:rsidRDefault="006D52A2" w:rsidP="006D52A2">
      <w:pPr>
        <w:pStyle w:val="oj-hd-date"/>
        <w:tabs>
          <w:tab w:val="left" w:pos="1560"/>
        </w:tabs>
        <w:spacing w:after="0"/>
        <w:contextualSpacing/>
        <w:jc w:val="both"/>
        <w:rPr>
          <w:sz w:val="28"/>
          <w:szCs w:val="28"/>
          <w:shd w:val="clear" w:color="auto" w:fill="FFFFFF"/>
          <w:lang w:val="ro-RO"/>
        </w:rPr>
      </w:pPr>
    </w:p>
    <w:p w:rsidR="004B5AAE" w:rsidRDefault="00A5101F" w:rsidP="006D52A2">
      <w:pPr>
        <w:pStyle w:val="oj-hd-date"/>
        <w:tabs>
          <w:tab w:val="left" w:pos="1560"/>
        </w:tabs>
        <w:spacing w:after="0"/>
        <w:contextualSpacing/>
        <w:jc w:val="both"/>
        <w:rPr>
          <w:sz w:val="28"/>
          <w:szCs w:val="28"/>
          <w:shd w:val="clear" w:color="auto" w:fill="FFFFFF"/>
          <w:lang w:val="ro-RO"/>
        </w:rPr>
      </w:pPr>
      <w:r w:rsidRPr="00A5101F">
        <w:rPr>
          <w:sz w:val="28"/>
          <w:szCs w:val="28"/>
          <w:shd w:val="clear" w:color="auto" w:fill="FFFFFF"/>
          <w:lang w:val="ro-RO"/>
        </w:rPr>
        <w:t xml:space="preserve">Metodele de analiză pentru controlul nivelului de aditivi autorizați în furaje, conform anexei nr. </w:t>
      </w:r>
      <w:r w:rsidR="006D52A2">
        <w:rPr>
          <w:sz w:val="28"/>
          <w:szCs w:val="28"/>
          <w:shd w:val="clear" w:color="auto" w:fill="FFFFFF"/>
          <w:lang w:val="ro-RO"/>
        </w:rPr>
        <w:t>4</w:t>
      </w:r>
      <w:r w:rsidRPr="00A5101F">
        <w:rPr>
          <w:sz w:val="28"/>
          <w:szCs w:val="28"/>
          <w:shd w:val="clear" w:color="auto" w:fill="FFFFFF"/>
          <w:lang w:val="ro-RO"/>
        </w:rPr>
        <w:t>;</w:t>
      </w:r>
    </w:p>
    <w:p w:rsidR="006D52A2" w:rsidRDefault="006D52A2" w:rsidP="006D52A2">
      <w:pPr>
        <w:pStyle w:val="oj-hd-date"/>
        <w:tabs>
          <w:tab w:val="left" w:pos="1560"/>
        </w:tabs>
        <w:spacing w:after="0"/>
        <w:contextualSpacing/>
        <w:jc w:val="both"/>
        <w:rPr>
          <w:sz w:val="28"/>
          <w:szCs w:val="28"/>
          <w:shd w:val="clear" w:color="auto" w:fill="FFFFFF"/>
          <w:lang w:val="ro-RO"/>
        </w:rPr>
      </w:pPr>
    </w:p>
    <w:p w:rsidR="004B5AAE" w:rsidRDefault="00A5101F" w:rsidP="006D52A2">
      <w:pPr>
        <w:pStyle w:val="oj-hd-date"/>
        <w:tabs>
          <w:tab w:val="left" w:pos="1560"/>
        </w:tabs>
        <w:spacing w:after="0"/>
        <w:contextualSpacing/>
        <w:jc w:val="both"/>
        <w:rPr>
          <w:sz w:val="28"/>
          <w:szCs w:val="28"/>
          <w:shd w:val="clear" w:color="auto" w:fill="FFFFFF"/>
          <w:lang w:val="ro-RO"/>
        </w:rPr>
      </w:pPr>
      <w:r w:rsidRPr="004B5AAE">
        <w:rPr>
          <w:sz w:val="28"/>
          <w:szCs w:val="28"/>
          <w:shd w:val="clear" w:color="auto" w:fill="FFFFFF"/>
          <w:lang w:val="ro-RO"/>
        </w:rPr>
        <w:t xml:space="preserve">Metodele de analiză pentru controlul substanţelor nedorite în </w:t>
      </w:r>
      <w:r w:rsidR="004B5AAE" w:rsidRPr="004B5AAE">
        <w:rPr>
          <w:sz w:val="28"/>
          <w:szCs w:val="28"/>
          <w:shd w:val="clear" w:color="auto" w:fill="FFFFFF"/>
          <w:lang w:val="ro-RO"/>
        </w:rPr>
        <w:t>furaje</w:t>
      </w:r>
      <w:r w:rsidRPr="004B5AAE">
        <w:rPr>
          <w:sz w:val="28"/>
          <w:szCs w:val="28"/>
          <w:shd w:val="clear" w:color="auto" w:fill="FFFFFF"/>
          <w:lang w:val="ro-RO"/>
        </w:rPr>
        <w:t>, conform anexei nr.</w:t>
      </w:r>
      <w:r w:rsidR="004B5AAE" w:rsidRPr="004B5AAE">
        <w:rPr>
          <w:sz w:val="28"/>
          <w:szCs w:val="28"/>
          <w:shd w:val="clear" w:color="auto" w:fill="FFFFFF"/>
          <w:lang w:val="ro-RO"/>
        </w:rPr>
        <w:t xml:space="preserve"> </w:t>
      </w:r>
      <w:r w:rsidR="006D52A2">
        <w:rPr>
          <w:sz w:val="28"/>
          <w:szCs w:val="28"/>
          <w:shd w:val="clear" w:color="auto" w:fill="FFFFFF"/>
          <w:lang w:val="ro-RO"/>
        </w:rPr>
        <w:t>5</w:t>
      </w:r>
      <w:r w:rsidRPr="004B5AAE">
        <w:rPr>
          <w:sz w:val="28"/>
          <w:szCs w:val="28"/>
          <w:shd w:val="clear" w:color="auto" w:fill="FFFFFF"/>
          <w:lang w:val="ro-RO"/>
        </w:rPr>
        <w:t>;</w:t>
      </w:r>
    </w:p>
    <w:p w:rsidR="006D52A2" w:rsidRDefault="006D52A2" w:rsidP="006D52A2">
      <w:pPr>
        <w:pStyle w:val="oj-hd-date"/>
        <w:tabs>
          <w:tab w:val="left" w:pos="1560"/>
        </w:tabs>
        <w:spacing w:after="0"/>
        <w:contextualSpacing/>
        <w:jc w:val="both"/>
        <w:rPr>
          <w:sz w:val="28"/>
          <w:szCs w:val="28"/>
          <w:shd w:val="clear" w:color="auto" w:fill="FFFFFF"/>
          <w:lang w:val="ro-RO"/>
        </w:rPr>
      </w:pPr>
    </w:p>
    <w:p w:rsidR="004B5AAE" w:rsidRDefault="00A5101F" w:rsidP="006D52A2">
      <w:pPr>
        <w:pStyle w:val="oj-hd-date"/>
        <w:tabs>
          <w:tab w:val="left" w:pos="1560"/>
        </w:tabs>
        <w:spacing w:after="0"/>
        <w:contextualSpacing/>
        <w:jc w:val="both"/>
        <w:rPr>
          <w:sz w:val="28"/>
          <w:szCs w:val="28"/>
          <w:shd w:val="clear" w:color="auto" w:fill="FFFFFF"/>
          <w:lang w:val="ro-RO"/>
        </w:rPr>
      </w:pPr>
      <w:r w:rsidRPr="004B5AAE">
        <w:rPr>
          <w:sz w:val="28"/>
          <w:szCs w:val="28"/>
          <w:shd w:val="clear" w:color="auto" w:fill="FFFFFF"/>
          <w:lang w:val="ro-RO"/>
        </w:rPr>
        <w:t xml:space="preserve">Metodele de analiză privind determinarea constituenţilor de origine animală pentru controlul oficial al </w:t>
      </w:r>
      <w:r w:rsidR="004B5AAE" w:rsidRPr="004B5AAE">
        <w:rPr>
          <w:sz w:val="28"/>
          <w:szCs w:val="28"/>
          <w:shd w:val="clear" w:color="auto" w:fill="FFFFFF"/>
          <w:lang w:val="ro-RO"/>
        </w:rPr>
        <w:t>furajelor</w:t>
      </w:r>
      <w:r w:rsidRPr="004B5AAE">
        <w:rPr>
          <w:sz w:val="28"/>
          <w:szCs w:val="28"/>
          <w:shd w:val="clear" w:color="auto" w:fill="FFFFFF"/>
          <w:lang w:val="ro-RO"/>
        </w:rPr>
        <w:t>, conform anexei nr.</w:t>
      </w:r>
      <w:r w:rsidR="006D52A2">
        <w:rPr>
          <w:sz w:val="28"/>
          <w:szCs w:val="28"/>
          <w:shd w:val="clear" w:color="auto" w:fill="FFFFFF"/>
          <w:lang w:val="ro-RO"/>
        </w:rPr>
        <w:t>6</w:t>
      </w:r>
      <w:r w:rsidRPr="004B5AAE">
        <w:rPr>
          <w:sz w:val="28"/>
          <w:szCs w:val="28"/>
          <w:shd w:val="clear" w:color="auto" w:fill="FFFFFF"/>
          <w:lang w:val="ro-RO"/>
        </w:rPr>
        <w:t xml:space="preserve"> ;</w:t>
      </w:r>
    </w:p>
    <w:p w:rsidR="006D52A2" w:rsidRDefault="006D52A2" w:rsidP="006D52A2">
      <w:pPr>
        <w:pStyle w:val="oj-hd-date"/>
        <w:tabs>
          <w:tab w:val="left" w:pos="1560"/>
        </w:tabs>
        <w:spacing w:after="0"/>
        <w:contextualSpacing/>
        <w:jc w:val="both"/>
        <w:rPr>
          <w:sz w:val="28"/>
          <w:szCs w:val="28"/>
          <w:shd w:val="clear" w:color="auto" w:fill="FFFFFF"/>
          <w:lang w:val="ro-RO"/>
        </w:rPr>
      </w:pPr>
    </w:p>
    <w:p w:rsidR="00714139" w:rsidRDefault="00A5101F" w:rsidP="006D52A2">
      <w:pPr>
        <w:pStyle w:val="oj-hd-date"/>
        <w:tabs>
          <w:tab w:val="left" w:pos="1560"/>
        </w:tabs>
        <w:spacing w:after="0"/>
        <w:contextualSpacing/>
        <w:jc w:val="both"/>
        <w:rPr>
          <w:sz w:val="28"/>
          <w:szCs w:val="28"/>
          <w:shd w:val="clear" w:color="auto" w:fill="FFFFFF"/>
          <w:lang w:val="ro-RO"/>
        </w:rPr>
      </w:pPr>
      <w:r w:rsidRPr="004B5AAE">
        <w:rPr>
          <w:sz w:val="28"/>
          <w:szCs w:val="28"/>
          <w:shd w:val="clear" w:color="auto" w:fill="FFFFFF"/>
          <w:lang w:val="ro-RO"/>
        </w:rPr>
        <w:t xml:space="preserve">Metodele de determinare a valorii energetice a </w:t>
      </w:r>
      <w:r w:rsidR="004B5AAE">
        <w:rPr>
          <w:sz w:val="28"/>
          <w:szCs w:val="28"/>
          <w:shd w:val="clear" w:color="auto" w:fill="FFFFFF"/>
          <w:lang w:val="ro-RO"/>
        </w:rPr>
        <w:t>furajelor</w:t>
      </w:r>
      <w:r w:rsidRPr="004B5AAE">
        <w:rPr>
          <w:sz w:val="28"/>
          <w:szCs w:val="28"/>
          <w:shd w:val="clear" w:color="auto" w:fill="FFFFFF"/>
          <w:lang w:val="ro-RO"/>
        </w:rPr>
        <w:t xml:space="preserve"> combinate pentru păsările de crescătorie, conform anexei nr. </w:t>
      </w:r>
      <w:r w:rsidR="004B5AAE">
        <w:rPr>
          <w:sz w:val="28"/>
          <w:szCs w:val="28"/>
          <w:shd w:val="clear" w:color="auto" w:fill="FFFFFF"/>
          <w:lang w:val="ro-RO"/>
        </w:rPr>
        <w:t>7</w:t>
      </w:r>
      <w:r w:rsidRPr="004B5AAE">
        <w:rPr>
          <w:sz w:val="28"/>
          <w:szCs w:val="28"/>
          <w:shd w:val="clear" w:color="auto" w:fill="FFFFFF"/>
          <w:lang w:val="ro-RO"/>
        </w:rPr>
        <w:t>.</w:t>
      </w:r>
      <w:r w:rsidR="008E283B">
        <w:rPr>
          <w:sz w:val="28"/>
          <w:szCs w:val="28"/>
          <w:shd w:val="clear" w:color="auto" w:fill="FFFFFF"/>
          <w:lang w:val="ro-RO"/>
        </w:rPr>
        <w:t>”</w:t>
      </w:r>
    </w:p>
    <w:p w:rsidR="008E283B" w:rsidRDefault="008E283B" w:rsidP="006D52A2">
      <w:pPr>
        <w:pStyle w:val="oj-hd-date"/>
        <w:tabs>
          <w:tab w:val="left" w:pos="1560"/>
        </w:tabs>
        <w:spacing w:after="0"/>
        <w:contextualSpacing/>
        <w:jc w:val="both"/>
        <w:rPr>
          <w:sz w:val="28"/>
          <w:szCs w:val="28"/>
          <w:shd w:val="clear" w:color="auto" w:fill="FFFFFF"/>
          <w:lang w:val="ro-RO"/>
        </w:rPr>
      </w:pPr>
    </w:p>
    <w:p w:rsidR="008E283B" w:rsidRPr="000D7F92" w:rsidRDefault="000D7F92" w:rsidP="000D7F92">
      <w:pPr>
        <w:pStyle w:val="oj-hd-date"/>
        <w:numPr>
          <w:ilvl w:val="0"/>
          <w:numId w:val="5"/>
        </w:numPr>
        <w:tabs>
          <w:tab w:val="left" w:pos="1560"/>
        </w:tabs>
        <w:spacing w:before="0" w:beforeAutospacing="0" w:after="0" w:afterAutospacing="0"/>
        <w:contextualSpacing/>
        <w:jc w:val="both"/>
        <w:rPr>
          <w:sz w:val="28"/>
          <w:szCs w:val="28"/>
          <w:shd w:val="clear" w:color="auto" w:fill="FFFFFF"/>
          <w:lang w:val="ro-MD"/>
        </w:rPr>
      </w:pPr>
      <w:r>
        <w:rPr>
          <w:color w:val="000000" w:themeColor="text1"/>
          <w:sz w:val="28"/>
          <w:szCs w:val="28"/>
          <w:shd w:val="clear" w:color="auto" w:fill="FFFFFF"/>
          <w:lang w:val="ro-MD"/>
        </w:rPr>
        <w:t>Anexele la hotărâ</w:t>
      </w:r>
      <w:r>
        <w:rPr>
          <w:sz w:val="28"/>
          <w:szCs w:val="28"/>
          <w:shd w:val="clear" w:color="auto" w:fill="FFFFFF"/>
          <w:lang w:val="ro-MD"/>
        </w:rPr>
        <w:t>re se substituie și se</w:t>
      </w:r>
      <w:r w:rsidR="008E283B" w:rsidRPr="000D7F92">
        <w:rPr>
          <w:sz w:val="28"/>
          <w:szCs w:val="28"/>
          <w:shd w:val="clear" w:color="auto" w:fill="FFFFFF"/>
          <w:lang w:val="ro-MD"/>
        </w:rPr>
        <w:t xml:space="preserve"> completează cu </w:t>
      </w:r>
      <w:r>
        <w:rPr>
          <w:sz w:val="28"/>
          <w:szCs w:val="28"/>
          <w:shd w:val="clear" w:color="auto" w:fill="FFFFFF"/>
          <w:lang w:val="ro-MD"/>
        </w:rPr>
        <w:t>7</w:t>
      </w:r>
      <w:r w:rsidR="008E283B" w:rsidRPr="000D7F92">
        <w:rPr>
          <w:sz w:val="28"/>
          <w:szCs w:val="28"/>
          <w:shd w:val="clear" w:color="auto" w:fill="FFFFFF"/>
          <w:lang w:val="ro-MD"/>
        </w:rPr>
        <w:t xml:space="preserve"> anex</w:t>
      </w:r>
      <w:r>
        <w:rPr>
          <w:sz w:val="28"/>
          <w:szCs w:val="28"/>
          <w:shd w:val="clear" w:color="auto" w:fill="FFFFFF"/>
          <w:lang w:val="ro-MD"/>
        </w:rPr>
        <w:t>e</w:t>
      </w:r>
      <w:r w:rsidR="008E283B" w:rsidRPr="000D7F92">
        <w:rPr>
          <w:sz w:val="28"/>
          <w:szCs w:val="28"/>
          <w:shd w:val="clear" w:color="auto" w:fill="FFFFFF"/>
          <w:lang w:val="ro-MD"/>
        </w:rPr>
        <w:t xml:space="preserve"> cu următorul cuprins:.</w:t>
      </w:r>
    </w:p>
    <w:p w:rsidR="0043631F" w:rsidRPr="008C40D5" w:rsidRDefault="0043631F" w:rsidP="00D6664B">
      <w:pPr>
        <w:spacing w:after="0"/>
        <w:rPr>
          <w:rFonts w:ascii="Times New Roman" w:hAnsi="Times New Roman" w:cs="Times New Roman"/>
          <w:sz w:val="28"/>
          <w:szCs w:val="28"/>
          <w:lang w:val="ro-MD"/>
        </w:rPr>
      </w:pPr>
    </w:p>
    <w:p w:rsidR="0043631F" w:rsidRDefault="0043631F" w:rsidP="0043631F">
      <w:pPr>
        <w:spacing w:after="0"/>
        <w:jc w:val="right"/>
        <w:rPr>
          <w:rFonts w:ascii="Times New Roman" w:hAnsi="Times New Roman" w:cs="Times New Roman"/>
          <w:sz w:val="28"/>
          <w:szCs w:val="28"/>
          <w:lang w:val="ro-MD"/>
        </w:rPr>
      </w:pPr>
      <w:bookmarkStart w:id="3" w:name="_Hlk220060873"/>
      <w:r w:rsidRPr="008C40D5">
        <w:rPr>
          <w:rFonts w:ascii="Times New Roman" w:hAnsi="Times New Roman" w:cs="Times New Roman"/>
          <w:sz w:val="28"/>
          <w:szCs w:val="28"/>
          <w:lang w:val="ro-MD"/>
        </w:rPr>
        <w:t xml:space="preserve">Anexă </w:t>
      </w:r>
      <w:r w:rsidR="000F430C">
        <w:rPr>
          <w:rFonts w:ascii="Times New Roman" w:hAnsi="Times New Roman" w:cs="Times New Roman"/>
          <w:sz w:val="28"/>
          <w:szCs w:val="28"/>
          <w:lang w:val="ro-MD"/>
        </w:rPr>
        <w:t>nr.1</w:t>
      </w:r>
    </w:p>
    <w:p w:rsidR="00701055" w:rsidRPr="00701055" w:rsidRDefault="00701055" w:rsidP="00701055">
      <w:pPr>
        <w:spacing w:after="0"/>
        <w:jc w:val="right"/>
        <w:rPr>
          <w:rFonts w:ascii="Times New Roman" w:hAnsi="Times New Roman" w:cs="Times New Roman"/>
          <w:bCs/>
          <w:sz w:val="28"/>
          <w:szCs w:val="28"/>
          <w:lang w:val="ro-RO"/>
        </w:rPr>
      </w:pPr>
      <w:bookmarkStart w:id="4" w:name="_Hlk220419476"/>
      <w:bookmarkEnd w:id="3"/>
      <w:r w:rsidRPr="00701055">
        <w:rPr>
          <w:rFonts w:ascii="Times New Roman" w:hAnsi="Times New Roman" w:cs="Times New Roman"/>
          <w:bCs/>
          <w:sz w:val="28"/>
          <w:szCs w:val="28"/>
          <w:lang w:val="ro-RO"/>
        </w:rPr>
        <w:t>la Hotăr</w:t>
      </w:r>
      <w:r>
        <w:rPr>
          <w:rFonts w:ascii="Times New Roman" w:hAnsi="Times New Roman" w:cs="Times New Roman"/>
          <w:bCs/>
          <w:sz w:val="28"/>
          <w:szCs w:val="28"/>
          <w:lang w:val="ro-RO"/>
        </w:rPr>
        <w:t>â</w:t>
      </w:r>
      <w:r w:rsidRPr="00701055">
        <w:rPr>
          <w:rFonts w:ascii="Times New Roman" w:hAnsi="Times New Roman" w:cs="Times New Roman"/>
          <w:bCs/>
          <w:sz w:val="28"/>
          <w:szCs w:val="28"/>
          <w:lang w:val="ro-RO"/>
        </w:rPr>
        <w:t>rea Guvernului nr.686</w:t>
      </w:r>
      <w:r>
        <w:rPr>
          <w:rFonts w:ascii="Times New Roman" w:hAnsi="Times New Roman" w:cs="Times New Roman"/>
          <w:bCs/>
          <w:sz w:val="28"/>
          <w:szCs w:val="28"/>
          <w:lang w:val="ro-RO"/>
        </w:rPr>
        <w:t>/</w:t>
      </w:r>
      <w:r w:rsidRPr="00701055">
        <w:rPr>
          <w:rFonts w:ascii="Times New Roman" w:hAnsi="Times New Roman" w:cs="Times New Roman"/>
          <w:bCs/>
          <w:sz w:val="28"/>
          <w:szCs w:val="28"/>
          <w:lang w:val="ro-RO"/>
        </w:rPr>
        <w:t>2012</w:t>
      </w:r>
    </w:p>
    <w:bookmarkEnd w:id="4"/>
    <w:p w:rsidR="00427724" w:rsidRPr="00701055" w:rsidRDefault="00427724" w:rsidP="00970194">
      <w:pPr>
        <w:spacing w:after="0"/>
        <w:jc w:val="right"/>
        <w:rPr>
          <w:rFonts w:ascii="Times New Roman" w:hAnsi="Times New Roman" w:cs="Times New Roman"/>
          <w:bCs/>
          <w:sz w:val="28"/>
          <w:szCs w:val="28"/>
          <w:lang w:val="ro-RO"/>
        </w:rPr>
      </w:pPr>
    </w:p>
    <w:p w:rsidR="00970194" w:rsidRPr="00970194" w:rsidRDefault="00970194" w:rsidP="00970194">
      <w:pPr>
        <w:spacing w:after="0"/>
        <w:jc w:val="right"/>
        <w:rPr>
          <w:rFonts w:ascii="Times New Roman" w:hAnsi="Times New Roman" w:cs="Times New Roman"/>
          <w:bCs/>
          <w:sz w:val="28"/>
          <w:szCs w:val="28"/>
          <w:lang w:val="ro-MD"/>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EȘANTIONARE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SCOP ȘI DOMENIU DE APLICARE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destinate controlului oficial al furajelor se prelevează în conformitate cu metodele descrise în continuare. Eșantioanele astfel prelevate se consideră reprezentative pentru loturile eșantionate.</w:t>
      </w:r>
    </w:p>
    <w:p w:rsidR="00427724" w:rsidRPr="00427724" w:rsidRDefault="0098154A" w:rsidP="00C92906">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Scopul eșantionării reprezentative este de a obține o mică fracțiune dintr-un lot în așa fel încât determinarea oricărei caracteristici speciale a acestei fracțiuni va reprezenta valoarea medie a caracteristicii lotului. Lotul se eșantionează prin prelevarea în mod repetat de eșantioane elementare, la diferite poziții unice din lot. </w:t>
      </w:r>
      <w:r w:rsidR="00D20754">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Aceste eșantioane elementare sunt combinate prin amestecare pentru a forma un eșantion agregat pornind de la care sunt pregătite eșantioane finale reprezentative prin divizare reprezentativă.</w:t>
      </w:r>
    </w:p>
    <w:p w:rsidR="00427724" w:rsidRPr="00427724" w:rsidRDefault="00C9290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98154A">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printr-o inspecție vizuală sau pe baza altor informații relevante, porțiuni din furajele care urmează să fie eșantionate arată o diferență de calitate față de restul furajelor din același lot, aceste fragmente se separă de restul de furaje și se tratează ca sublot separat. În cazul în care nu este posibilă separarea furajului în subloturi separate, el se eșantionează ca un singur lot. În astfel de cazuri, se menționează acest fapt în raportul de eșantionare.</w:t>
      </w:r>
    </w:p>
    <w:p w:rsidR="00427724" w:rsidRPr="00E51E59"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E51E59">
        <w:rPr>
          <w:rFonts w:ascii="Times New Roman" w:hAnsi="Times New Roman" w:cs="Times New Roman"/>
          <w:sz w:val="28"/>
          <w:szCs w:val="28"/>
          <w:lang w:val="ro-RO"/>
        </w:rPr>
        <w:t>În cazul în care un furaj eșantionat în conformitate cu dispozițiile prezent</w:t>
      </w:r>
      <w:r w:rsidR="00796579" w:rsidRPr="00E51E59">
        <w:rPr>
          <w:rFonts w:ascii="Times New Roman" w:hAnsi="Times New Roman" w:cs="Times New Roman"/>
          <w:sz w:val="28"/>
          <w:szCs w:val="28"/>
          <w:lang w:val="ro-RO"/>
        </w:rPr>
        <w:t>ei</w:t>
      </w:r>
      <w:r w:rsidR="00427724" w:rsidRPr="00E51E59">
        <w:rPr>
          <w:rFonts w:ascii="Times New Roman" w:hAnsi="Times New Roman" w:cs="Times New Roman"/>
          <w:sz w:val="28"/>
          <w:szCs w:val="28"/>
          <w:lang w:val="ro-RO"/>
        </w:rPr>
        <w:t xml:space="preserve"> </w:t>
      </w:r>
      <w:r w:rsidR="00FE295C" w:rsidRPr="00E51E59">
        <w:rPr>
          <w:rFonts w:ascii="Times New Roman" w:hAnsi="Times New Roman" w:cs="Times New Roman"/>
          <w:sz w:val="28"/>
          <w:szCs w:val="28"/>
          <w:lang w:val="ro-RO"/>
        </w:rPr>
        <w:t xml:space="preserve">hotărâri </w:t>
      </w:r>
      <w:r w:rsidR="00427724" w:rsidRPr="00E51E59">
        <w:rPr>
          <w:rFonts w:ascii="Times New Roman" w:hAnsi="Times New Roman" w:cs="Times New Roman"/>
          <w:sz w:val="28"/>
          <w:szCs w:val="28"/>
          <w:lang w:val="ro-RO"/>
        </w:rPr>
        <w:t xml:space="preserve">este identificat ca neîndeplinind cerințele </w:t>
      </w:r>
      <w:r w:rsidR="00796579" w:rsidRPr="00E51E59">
        <w:rPr>
          <w:rFonts w:ascii="Times New Roman" w:hAnsi="Times New Roman" w:cs="Times New Roman"/>
          <w:sz w:val="28"/>
          <w:szCs w:val="28"/>
          <w:lang w:val="ro-RO"/>
        </w:rPr>
        <w:t>ei</w:t>
      </w:r>
      <w:r w:rsidR="00427724" w:rsidRPr="00E51E59">
        <w:rPr>
          <w:rFonts w:ascii="Times New Roman" w:hAnsi="Times New Roman" w:cs="Times New Roman"/>
          <w:sz w:val="28"/>
          <w:szCs w:val="28"/>
          <w:lang w:val="ro-RO"/>
        </w:rPr>
        <w:t xml:space="preserve"> și face parte dintr-un lot de furaje din aceeași clasă sau având aceeași descriere, se presupune că rezultatele sunt valabile pentru toate furajele din acel lot, cu excepția cazului în care, în urma unei evaluări detaliate, nu există nicio dovadă că restul lotului nu satisface cerințele </w:t>
      </w:r>
      <w:r w:rsidR="00796579" w:rsidRPr="00E51E59">
        <w:rPr>
          <w:rFonts w:ascii="Times New Roman" w:hAnsi="Times New Roman" w:cs="Times New Roman"/>
          <w:sz w:val="28"/>
          <w:szCs w:val="28"/>
          <w:lang w:val="ro-RO"/>
        </w:rPr>
        <w:t>din prezenta anexă</w:t>
      </w:r>
      <w:r w:rsidR="00427724" w:rsidRPr="00E51E59">
        <w:rPr>
          <w:rFonts w:ascii="Times New Roman" w:hAnsi="Times New Roman" w:cs="Times New Roman"/>
          <w:sz w:val="28"/>
          <w:szCs w:val="28"/>
          <w:lang w:val="ro-RO"/>
        </w:rPr>
        <w:t>.</w:t>
      </w:r>
    </w:p>
    <w:p w:rsidR="00427724" w:rsidRPr="00427724" w:rsidRDefault="0098154A" w:rsidP="00E51E59">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E51E59">
        <w:rPr>
          <w:rFonts w:ascii="Times New Roman" w:hAnsi="Times New Roman" w:cs="Times New Roman"/>
          <w:sz w:val="28"/>
          <w:szCs w:val="28"/>
          <w:lang w:val="ro-RO"/>
        </w:rPr>
        <w:t xml:space="preserve">Eșantionarea poate include, de asemenea, furajele oferite spre vânzare de către operatorii din sectorul hranei pentru animale prin mijloace de comunicare la distanță în conformitate cu </w:t>
      </w:r>
      <w:r w:rsidR="00685005" w:rsidRPr="00E51E59">
        <w:rPr>
          <w:rFonts w:ascii="Times New Roman" w:hAnsi="Times New Roman" w:cs="Times New Roman"/>
          <w:sz w:val="28"/>
          <w:szCs w:val="28"/>
          <w:lang w:val="ro-RO"/>
        </w:rPr>
        <w:t>pct.22</w:t>
      </w:r>
      <w:r w:rsidR="00427724" w:rsidRPr="00E51E59">
        <w:rPr>
          <w:rFonts w:ascii="Times New Roman" w:hAnsi="Times New Roman" w:cs="Times New Roman"/>
          <w:sz w:val="28"/>
          <w:szCs w:val="28"/>
          <w:lang w:val="ro-RO"/>
        </w:rPr>
        <w:t xml:space="preserve"> </w:t>
      </w:r>
      <w:r w:rsidR="00E51E59" w:rsidRPr="00E51E59">
        <w:rPr>
          <w:rFonts w:ascii="Times New Roman" w:hAnsi="Times New Roman" w:cs="Times New Roman"/>
          <w:sz w:val="28"/>
          <w:szCs w:val="28"/>
          <w:lang w:val="ro-RO"/>
        </w:rPr>
        <w:t>la</w:t>
      </w:r>
      <w:r w:rsidR="00427724" w:rsidRPr="00E51E59">
        <w:rPr>
          <w:rFonts w:ascii="Times New Roman" w:hAnsi="Times New Roman" w:cs="Times New Roman"/>
          <w:sz w:val="28"/>
          <w:szCs w:val="28"/>
          <w:lang w:val="ro-RO"/>
        </w:rPr>
        <w:t xml:space="preserve"> </w:t>
      </w:r>
      <w:r w:rsidR="00E51E59" w:rsidRPr="00E51E59">
        <w:rPr>
          <w:rFonts w:ascii="Times New Roman" w:hAnsi="Times New Roman" w:cs="Times New Roman"/>
          <w:sz w:val="28"/>
          <w:szCs w:val="28"/>
          <w:lang w:val="ro-RO"/>
        </w:rPr>
        <w:t xml:space="preserve">Cerințele sanitar-veterinare față de hrana pentru animale, </w:t>
      </w:r>
      <w:r w:rsidR="00F6310E">
        <w:rPr>
          <w:rFonts w:ascii="Times New Roman" w:hAnsi="Times New Roman" w:cs="Times New Roman"/>
          <w:sz w:val="28"/>
          <w:szCs w:val="28"/>
          <w:lang w:val="ro-RO"/>
        </w:rPr>
        <w:t>aprobate prin</w:t>
      </w:r>
      <w:r w:rsidR="00E51E59" w:rsidRPr="00E51E59">
        <w:rPr>
          <w:rFonts w:ascii="Times New Roman" w:hAnsi="Times New Roman" w:cs="Times New Roman"/>
          <w:sz w:val="28"/>
          <w:szCs w:val="28"/>
          <w:lang w:val="ro-RO"/>
        </w:rPr>
        <w:t xml:space="preserve"> Hotărârii Guvernului nr.910/2020</w:t>
      </w:r>
      <w:r w:rsidR="00427724" w:rsidRPr="00E51E59">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Eșantionarea furajelor oferite spre vânzare prin mijloace de comunicare la distanță face, în principiu, obiectul punctelor prevăzute în prezenta anexă. Aspectele specifice ale eșantionării în cazul eșantioanelor din vânzare la distanță sunt descrise la punctul 11.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DEFINIȚII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r w:rsidR="0098154A">
        <w:rPr>
          <w:rFonts w:ascii="Times New Roman" w:hAnsi="Times New Roman" w:cs="Times New Roman"/>
          <w:sz w:val="28"/>
          <w:szCs w:val="28"/>
          <w:lang w:val="ro-RO"/>
        </w:rPr>
        <w:tab/>
      </w:r>
      <w:r w:rsidR="0098154A">
        <w:rPr>
          <w:rFonts w:ascii="Times New Roman" w:hAnsi="Times New Roman" w:cs="Times New Roman"/>
          <w:sz w:val="28"/>
          <w:szCs w:val="28"/>
          <w:lang w:val="ro-RO"/>
        </w:rPr>
        <w:tab/>
      </w:r>
      <w:r w:rsidRPr="00796579">
        <w:rPr>
          <w:rFonts w:ascii="Times New Roman" w:hAnsi="Times New Roman" w:cs="Times New Roman"/>
          <w:i/>
          <w:sz w:val="28"/>
          <w:szCs w:val="28"/>
          <w:lang w:val="ro-RO"/>
        </w:rPr>
        <w:t>Lot</w:t>
      </w:r>
      <w:r w:rsidR="00796579">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 xml:space="preserve"> o cantitate identificabilă de furaj având anumite caracteristici comune confirmate, precum originea, varietatea, tipul ambalajului, ambalatorul, expeditorul sau etichetarea și, în cazul unui proces de producție, o unitate de producție provenind dintr-o singură instalație care utilizează parametri de producție uniformi sau mai multe astfel de unități, dacă sunt produse în mod continuu și depozitate împreună.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Lot eșantionat</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un lot sau o parte identificată din lot sau sublot.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lastRenderedPageBreak/>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sigilat</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un eșantion sigilat astfel încât să se împiedice orice acces la eșantion fără a se distruge sau a se elimina sigiliul.</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elementar</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o cantitate prelevată dintr-un punct al lotului eșantionat.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agregat</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o combinație de eșantioane elementare prelevate din același lot eșantionat.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redus</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o parte dintr-un eșantion agregat, obținută din acesta printr-un proces de reducere reprezentativă.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final</w:t>
      </w:r>
      <w:r w:rsidR="005C7A18">
        <w:rPr>
          <w:rFonts w:ascii="Times New Roman" w:hAnsi="Times New Roman" w:cs="Times New Roman"/>
          <w:i/>
          <w:sz w:val="28"/>
          <w:szCs w:val="28"/>
          <w:lang w:val="ro-RO"/>
        </w:rPr>
        <w:t xml:space="preserve"> </w:t>
      </w:r>
      <w:r w:rsidR="005C7A18">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o parte din eșantionul agregat (amestecat), din eșantionul redus sau din eșantionul agregat omogenizat, în funcție de tipul de control (a se vedea punctul 9.4).</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de laborator</w:t>
      </w:r>
      <w:r w:rsidR="005C7A1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xml:space="preserve"> un eșantion destinat laboratorului (astfel cum este primit de laborator) și care poate fi eșantionul final, redus sau agregat.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i/>
          <w:sz w:val="28"/>
          <w:szCs w:val="28"/>
          <w:lang w:val="ro-RO"/>
        </w:rPr>
        <w:tab/>
      </w:r>
      <w:r>
        <w:rPr>
          <w:rFonts w:ascii="Times New Roman" w:hAnsi="Times New Roman" w:cs="Times New Roman"/>
          <w:i/>
          <w:sz w:val="28"/>
          <w:szCs w:val="28"/>
          <w:lang w:val="ro-RO"/>
        </w:rPr>
        <w:tab/>
      </w:r>
      <w:r w:rsidR="00427724" w:rsidRPr="005C7A18">
        <w:rPr>
          <w:rFonts w:ascii="Times New Roman" w:hAnsi="Times New Roman" w:cs="Times New Roman"/>
          <w:i/>
          <w:sz w:val="28"/>
          <w:szCs w:val="28"/>
          <w:lang w:val="ro-RO"/>
        </w:rPr>
        <w:t>Eșantion din vânzare la distanță</w:t>
      </w:r>
      <w:r w:rsidR="005C7A18">
        <w:rPr>
          <w:rFonts w:ascii="Times New Roman" w:hAnsi="Times New Roman" w:cs="Times New Roman"/>
          <w:i/>
          <w:sz w:val="28"/>
          <w:szCs w:val="28"/>
          <w:lang w:val="ro-RO"/>
        </w:rPr>
        <w:t xml:space="preserve"> </w:t>
      </w:r>
      <w:r w:rsidR="005C7A18">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un eșantion dintr-un lot de furaje oferite spre vânzare prin mijloace de comunicare la distanță.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DISPOZIȚII GENERALE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se prelevează de către personal autorizat în acest sens de către autoritatea competentă.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un eșantion din vânzare la distanță, o cantitate de furaj este solicitată operatorului din sectorul hranei pentru animale de către autoritatea competentă prin mijloace de comunicare la distanță.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trebuie să fie sigilat astfel încât să se împiedice orice acces la eșantion fără a se distruge sau a se elimina sigiliul.</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Marcajul sigiliului trebuie să poată fi identificat în mod clar și vizibil.</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Identificarea eșantionului: eșantionul trebuie să poarte un marcaj de neșters și trebuie să fie identificat astfel încât să existe o legătură lipsită de ambiguitate cu raportul de eșantionare.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Din fiecare eșantion agregat sau redus se prelevează următoarele eșantioane finale: unul pentru control (asigurarea respectării legislației) și unul pentru operatorul din sectorul hranei pentru animale (apărare). În final, poate fi prelevat încă un eșantion final pentru referință. În cazul în care eșantionul agregat complet se omogenizează, eșantioanele finale sunt prelevate din eșantionul agregat omogenizat, </w:t>
      </w:r>
      <w:r w:rsidR="00427724" w:rsidRPr="00427724">
        <w:rPr>
          <w:rFonts w:ascii="Times New Roman" w:hAnsi="Times New Roman" w:cs="Times New Roman"/>
          <w:sz w:val="28"/>
          <w:szCs w:val="28"/>
          <w:lang w:val="ro-RO"/>
        </w:rPr>
        <w:lastRenderedPageBreak/>
        <w:t>cu excepția cazului în care această procedură este contrară reglementărilor în ceea ce privește dreptul operatorului din sectorul hranei pentru animale.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conformitate </w:t>
      </w:r>
      <w:r w:rsidR="00427724" w:rsidRPr="000C0236">
        <w:rPr>
          <w:rFonts w:ascii="Times New Roman" w:hAnsi="Times New Roman" w:cs="Times New Roman"/>
          <w:sz w:val="28"/>
          <w:szCs w:val="28"/>
          <w:lang w:val="ro-RO"/>
        </w:rPr>
        <w:t>cu art</w:t>
      </w:r>
      <w:r w:rsidR="006B3608">
        <w:rPr>
          <w:rFonts w:ascii="Times New Roman" w:hAnsi="Times New Roman" w:cs="Times New Roman"/>
          <w:sz w:val="28"/>
          <w:szCs w:val="28"/>
          <w:lang w:val="ro-RO"/>
        </w:rPr>
        <w:t>.</w:t>
      </w:r>
      <w:r w:rsidR="00427724" w:rsidRPr="000C0236">
        <w:rPr>
          <w:rFonts w:ascii="Times New Roman" w:hAnsi="Times New Roman" w:cs="Times New Roman"/>
          <w:sz w:val="28"/>
          <w:szCs w:val="28"/>
          <w:lang w:val="ro-RO"/>
        </w:rPr>
        <w:t> 15 alin</w:t>
      </w:r>
      <w:r w:rsidR="006B3608">
        <w:rPr>
          <w:rFonts w:ascii="Times New Roman" w:hAnsi="Times New Roman" w:cs="Times New Roman"/>
          <w:sz w:val="28"/>
          <w:szCs w:val="28"/>
          <w:lang w:val="ro-RO"/>
        </w:rPr>
        <w:t>.</w:t>
      </w:r>
      <w:r w:rsidR="00427724" w:rsidRPr="000C0236">
        <w:rPr>
          <w:rFonts w:ascii="Times New Roman" w:hAnsi="Times New Roman" w:cs="Times New Roman"/>
          <w:sz w:val="28"/>
          <w:szCs w:val="28"/>
          <w:lang w:val="ro-RO"/>
        </w:rPr>
        <w:t xml:space="preserve"> (1) și (2) din </w:t>
      </w:r>
      <w:r w:rsidR="000C0236" w:rsidRPr="000C0236">
        <w:rPr>
          <w:rFonts w:ascii="Times New Roman" w:hAnsi="Times New Roman" w:cs="Times New Roman"/>
          <w:sz w:val="28"/>
          <w:szCs w:val="28"/>
          <w:lang w:val="ro-RO"/>
        </w:rPr>
        <w:t>Legea 82/2024 privind controalele oficiale în domeniul agroalimentar</w:t>
      </w:r>
      <w:r w:rsidR="00427724" w:rsidRPr="00427724">
        <w:rPr>
          <w:rFonts w:ascii="Times New Roman" w:hAnsi="Times New Roman" w:cs="Times New Roman"/>
          <w:sz w:val="28"/>
          <w:szCs w:val="28"/>
          <w:lang w:val="ro-RO"/>
        </w:rPr>
        <w:t>, atunci când acest lucru este necesar pentru efectuarea eșantionării oficiale, operatorii din sectorul hranei pentru animale, la cererea autorităților competente:</w:t>
      </w:r>
    </w:p>
    <w:p w:rsidR="00427724" w:rsidRPr="00427724" w:rsidRDefault="00C8479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acordă personalului autorităților competente acces la echipamentele aflate sub controlul lor, inclusiv, atunci când este necesar, pun la dispoziție echipament adecvat de eșantionare și echipamentul individual de protecție;</w:t>
      </w:r>
    </w:p>
    <w:p w:rsidR="00427724" w:rsidRPr="00427724" w:rsidRDefault="00C8479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 acordă asistență personalului autorităților competente și cooperează cu acesta pentru a permite eșantionarea, inclusiv punerea la dispoziția personalului autorităților competente a furajelor.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APARATURA</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4.1.   </w:t>
      </w:r>
      <w:r w:rsidRPr="00427724">
        <w:rPr>
          <w:rFonts w:ascii="Times New Roman" w:hAnsi="Times New Roman" w:cs="Times New Roman"/>
          <w:b/>
          <w:bCs/>
          <w:i/>
          <w:iCs/>
          <w:sz w:val="28"/>
          <w:szCs w:val="28"/>
          <w:lang w:val="ro-RO"/>
        </w:rPr>
        <w:t>Aparatura de prelevare de eșantioane trebuie să fie realizată din materiale care nu contaminează produsele de eșantionat. Aparatura care este destinată a fi utilizată de mai multe ori trebuie să fie ușor de curățat pentru a evita contaminarea încrucișată.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4.2.   </w:t>
      </w:r>
      <w:r w:rsidRPr="00427724">
        <w:rPr>
          <w:rFonts w:ascii="Times New Roman" w:hAnsi="Times New Roman" w:cs="Times New Roman"/>
          <w:b/>
          <w:bCs/>
          <w:i/>
          <w:iCs/>
          <w:sz w:val="28"/>
          <w:szCs w:val="28"/>
          <w:lang w:val="ro-RO"/>
        </w:rPr>
        <w:t> Aparatura recomandată pentru prelevarea eșantioanelor din furaje solide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4.2.1.    </w:t>
      </w:r>
      <w:r w:rsidRPr="00427724">
        <w:rPr>
          <w:rFonts w:ascii="Times New Roman" w:hAnsi="Times New Roman" w:cs="Times New Roman"/>
          <w:b/>
          <w:bCs/>
          <w:i/>
          <w:iCs/>
          <w:sz w:val="28"/>
          <w:szCs w:val="28"/>
          <w:lang w:val="ro-RO"/>
        </w:rPr>
        <w:t>Prelevarea manuală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w:t>
      </w:r>
      <w:r w:rsidR="00C84795">
        <w:rPr>
          <w:rFonts w:ascii="Times New Roman" w:hAnsi="Times New Roman" w:cs="Times New Roman"/>
          <w:sz w:val="28"/>
          <w:szCs w:val="28"/>
          <w:lang w:val="ro-RO"/>
        </w:rPr>
        <w:t>.1.1.</w:t>
      </w:r>
      <w:r w:rsidRPr="00427724">
        <w:rPr>
          <w:rFonts w:ascii="Times New Roman" w:hAnsi="Times New Roman" w:cs="Times New Roman"/>
          <w:sz w:val="28"/>
          <w:szCs w:val="28"/>
          <w:lang w:val="ro-RO"/>
        </w:rPr>
        <w:t> Lopată plată cu margini verticale.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4.2.1.2. Sondă de eșantionare cu o fantă lungă sau compartimentată. Dimensiunile sondei de eșantionare trebuie să fie adecvate caracteristicilor lotului eșantionat (adâncimea recipientului, dimensiunile sacului etc.) și dimensiunilor particulelor furajului.</w:t>
      </w:r>
    </w:p>
    <w:p w:rsidR="00427724" w:rsidRPr="00427724" w:rsidRDefault="005C7A18"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4.2.1.3 </w:t>
      </w:r>
      <w:r w:rsidR="00427724" w:rsidRPr="00427724">
        <w:rPr>
          <w:rFonts w:ascii="Times New Roman" w:hAnsi="Times New Roman" w:cs="Times New Roman"/>
          <w:sz w:val="28"/>
          <w:szCs w:val="28"/>
          <w:lang w:val="ro-RO"/>
        </w:rPr>
        <w:t>În cazul în care sonda de eșantionare are mai multe orificii, pentru a se asigura faptul că eșantionul este prelevat în diferite locuri de-a lungul sondei, orificiile ar trebui să fie separate prin compartimente sau orificii eșalonate secvențial.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4.2.2.    </w:t>
      </w:r>
      <w:r w:rsidRPr="00427724">
        <w:rPr>
          <w:rFonts w:ascii="Times New Roman" w:hAnsi="Times New Roman" w:cs="Times New Roman"/>
          <w:b/>
          <w:bCs/>
          <w:i/>
          <w:iCs/>
          <w:sz w:val="28"/>
          <w:szCs w:val="28"/>
          <w:lang w:val="ro-RO"/>
        </w:rPr>
        <w:t>Prelevarea mecanică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prelevarea de eșantioane din furajele în mișcare poate fi utilizată aparatură mecanică adecvată. Aparatul mecanic este considerat adecvat dacă cel puțin întreaga secțiune a fluxului este eșantionată.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Prelevarea de eșantioane din furajele în mișcare (la rate de debit ridicat) poate fi efectuată de prelevatoare automate.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4.2.3.    </w:t>
      </w:r>
      <w:r w:rsidRPr="00427724">
        <w:rPr>
          <w:rFonts w:ascii="Times New Roman" w:hAnsi="Times New Roman" w:cs="Times New Roman"/>
          <w:b/>
          <w:bCs/>
          <w:i/>
          <w:iCs/>
          <w:sz w:val="28"/>
          <w:szCs w:val="28"/>
          <w:lang w:val="ro-RO"/>
        </w:rPr>
        <w:t>Separator</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acest lucru este posibil și oportun, aparatura destinată divizării eșantionului în părți aproximativ egale trebuie să fie utilizată pentru prepararea eșantioanelor reduse în mod reprezentativ.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CERINȚE CANTITATIVE ÎN CEEA CE PRIVEȘTE NUMĂRUL DE EȘANTIOANE ELEMENTARE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Cerințele cantitative la punctele 5.1 și 5.2 în ceea ce privește numărul de eșantioane elementare sunt aplicabile pentru loturile eșantionate cu dimensiuni de până la maximum 500 de tone și care pot fi eșantionate în mod reprezentativ. Procedura de eșantionare descrisă este, de asemenea, valabilă pentru cantități mai mari decât dimensiunea maximă a lotului eșantionat cu condiția ca numărul maxim de eșantioane elementare indicate în următoarele tabele la punctele 5.1.1, 5.1.3 și 5.1.5 să fie ignorată, numărul de eșantioane elementare fiind determinat prin formula cu rădăcina pătrată prevăzută în partea corespunzătoare a procedurii (a se vedea punctul 5.3) și dimensiunea minimă a eșantionului agregat să fi crescut proporțional. Acest lucru nu împiedică împărțirea unui lot mare în subloturi mai mici și eșantionarea fiecărui sublot în conformitate cu procedura descrisă la punctele 5.1 și 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Dimensiunea lotului eșantionat trebuie să permită eșantionarea fiecăreia dintre părțile sale constituente.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Pentru loturile sau subloturile foarte mari (&gt; 500 de tone) și pentru loturile care sunt transportate sau depozitate în așa fel încât eșantionarea nu poate fi efectuată în conformitate cu procedura de eșantionare prevăzută la punctele 5.1 și 5.2 de la prezentul punct, trebuie aplicată procedura de eșantionare prevăzută la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eșantioanelor din vânzările la distanță, de obicei autoritatea competentă nu cunoaște dimensiunea lotului din care se solicită cantitatea. Prin urmare, procedura menționată la punctele 5.1 și 5.2 nu poate fi utilizată. În acest caz, se aplică procedura descrisă la punctul 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în care legislația impune operatorului din sectorul hranei pentru animale să se conformeze prezent</w:t>
      </w:r>
      <w:r w:rsidR="00967D3B">
        <w:rPr>
          <w:rFonts w:ascii="Times New Roman" w:hAnsi="Times New Roman" w:cs="Times New Roman"/>
          <w:sz w:val="28"/>
          <w:szCs w:val="28"/>
          <w:lang w:val="ro-RO"/>
        </w:rPr>
        <w:t>ei anexe</w:t>
      </w:r>
      <w:r w:rsidRPr="00427724">
        <w:rPr>
          <w:rFonts w:ascii="Times New Roman" w:hAnsi="Times New Roman" w:cs="Times New Roman"/>
          <w:sz w:val="28"/>
          <w:szCs w:val="28"/>
          <w:lang w:val="ro-RO"/>
        </w:rPr>
        <w:t xml:space="preserve"> în cadrul unui sistem de monitorizare obligatorie, operatorul din sectorul hranei pentru animale se poate abate de la cerințele cantitative </w:t>
      </w:r>
      <w:r w:rsidRPr="00427724">
        <w:rPr>
          <w:rFonts w:ascii="Times New Roman" w:hAnsi="Times New Roman" w:cs="Times New Roman"/>
          <w:sz w:val="28"/>
          <w:szCs w:val="28"/>
          <w:lang w:val="ro-RO"/>
        </w:rPr>
        <w:lastRenderedPageBreak/>
        <w:t>prevăzute la prezentul punct pentru a lua în considerare caracteristicile operaționale, cu condiția ca el să fi demonstrat, într-un mod satisfăcător pentru autoritatea competentă, echivalența procedurii de eșantionare în ceea ce privește reprezentativitatea și după autorizarea din partea autorității competente.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cazuri excepționale, dacă nu este posibil să se aplice metoda de eșantionare prevăzută în ceea ce privește cerințele cantitative din cauza unei deteriorări comerciale inacceptabile a lotului (din cauza formelor ambalajului, a mijlocului de transport, a modului de depozitare etc.), se poate aplica o metodă alternativă de eșantionare cu condiția ca aceasta să fie cât mai reprezentativă posibil și să fie descrisă și documentată integral.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5.1.   </w:t>
      </w:r>
      <w:r w:rsidRPr="00427724">
        <w:rPr>
          <w:rFonts w:ascii="Times New Roman" w:hAnsi="Times New Roman" w:cs="Times New Roman"/>
          <w:b/>
          <w:bCs/>
          <w:i/>
          <w:iCs/>
          <w:sz w:val="28"/>
          <w:szCs w:val="28"/>
          <w:lang w:val="ro-RO"/>
        </w:rPr>
        <w:t> Cerințe cantitative în ceea ce privește eșantioanele elementare legate de controlul substanțelor sau produselor uniform distribuite în furaje.</w:t>
      </w:r>
    </w:p>
    <w:p w:rsidR="00427724" w:rsidRPr="00F17A00"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5.1.1.    </w:t>
      </w:r>
      <w:r w:rsidRPr="00427724">
        <w:rPr>
          <w:rFonts w:ascii="Times New Roman" w:hAnsi="Times New Roman" w:cs="Times New Roman"/>
          <w:b/>
          <w:bCs/>
          <w:i/>
          <w:iCs/>
          <w:sz w:val="28"/>
          <w:szCs w:val="28"/>
          <w:lang w:val="ro-RO"/>
        </w:rPr>
        <w:t>Furaje vrac solide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669"/>
        <w:gridCol w:w="6721"/>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lotului eșantionat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Număr minim de eșantioane elementare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2,5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&gt; 2,5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înmulțit cu numărul de tone care compun lotul eșantionat) </w:t>
            </w:r>
            <w:hyperlink r:id="rId6" w:anchor="E0005"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până la 40 de eșantioane elementare</w:t>
            </w:r>
          </w:p>
        </w:tc>
      </w:tr>
      <w:tr w:rsidR="00427724" w:rsidRPr="00427724">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În cazul în care numărul obținut este o fracție, aceasta se rotunjește la numărul întreg imediat superior.</w:t>
            </w:r>
          </w:p>
        </w:tc>
      </w:tr>
    </w:tbl>
    <w:p w:rsidR="00F17A00" w:rsidRDefault="00F17A00" w:rsidP="00427724">
      <w:pPr>
        <w:tabs>
          <w:tab w:val="left" w:pos="210"/>
        </w:tabs>
        <w:jc w:val="both"/>
        <w:rPr>
          <w:rFonts w:ascii="Times New Roman" w:hAnsi="Times New Roman" w:cs="Times New Roman"/>
          <w:b/>
          <w:bCs/>
          <w:sz w:val="28"/>
          <w:szCs w:val="28"/>
          <w:lang w:val="ro-RO"/>
        </w:rPr>
      </w:pPr>
    </w:p>
    <w:p w:rsidR="00427724" w:rsidRPr="00F17A00"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5.1.2.    </w:t>
      </w:r>
      <w:r w:rsidRPr="00427724">
        <w:rPr>
          <w:rFonts w:ascii="Times New Roman" w:hAnsi="Times New Roman" w:cs="Times New Roman"/>
          <w:b/>
          <w:bCs/>
          <w:i/>
          <w:iCs/>
          <w:sz w:val="28"/>
          <w:szCs w:val="28"/>
          <w:lang w:val="ro-RO"/>
        </w:rPr>
        <w:t>Furaje vrac lichide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38"/>
        <w:gridCol w:w="5152"/>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lotului eșantionat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Număr minim de eșantioane elementare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2,5 tone sau ≤ 2 500 de litri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w:t>
            </w:r>
            <w:hyperlink r:id="rId7" w:anchor="E000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&gt; 2,5 tone sau &gt; 2 500 de litri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7  </w:t>
            </w:r>
            <w:hyperlink r:id="rId8" w:anchor="E000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În cazul în care nu este posibil să se obțină omogenizarea lichidului, numărul de eșantioane elementare trebuie mărit.</w:t>
            </w:r>
          </w:p>
        </w:tc>
      </w:tr>
    </w:tbl>
    <w:p w:rsidR="00F17A00" w:rsidRDefault="00F17A00"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5.1.3.    </w:t>
      </w:r>
      <w:r w:rsidRPr="00427724">
        <w:rPr>
          <w:rFonts w:ascii="Times New Roman" w:hAnsi="Times New Roman" w:cs="Times New Roman"/>
          <w:b/>
          <w:bCs/>
          <w:i/>
          <w:iCs/>
          <w:sz w:val="28"/>
          <w:szCs w:val="28"/>
          <w:lang w:val="ro-RO"/>
        </w:rPr>
        <w:t>Furaje ambalate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Furajele (solide și lichide) pot fi ambalate în pungi, saci, cutii de metal, cuve etc. care sunt menționate în următorul tabel ca unități. Unitățile mari (≥ 500 kg sau litri) trebuie să fie eșantionate în conformitate cu dispozițiile prevăzute pentru furaje vrac (a se vedea punctele 5.1.1 și 5.1.2)</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952"/>
        <w:gridCol w:w="6438"/>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lotului eșantionat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Număr minim de unități din care trebuie prelevat (cel puțin) un eșantion elementar </w:t>
            </w:r>
            <w:hyperlink r:id="rId9" w:anchor="E0007" w:history="1">
              <w:r w:rsidRPr="00427724">
                <w:rPr>
                  <w:rStyle w:val="Hyperlink"/>
                  <w:rFonts w:ascii="Times New Roman" w:hAnsi="Times New Roman" w:cs="Times New Roman"/>
                  <w:b/>
                  <w:bCs/>
                  <w:sz w:val="28"/>
                  <w:szCs w:val="28"/>
                  <w:lang w:val="ro-RO"/>
                </w:rPr>
                <w:t>(</w:t>
              </w:r>
              <w:r w:rsidRPr="00427724">
                <w:rPr>
                  <w:rStyle w:val="Hyperlink"/>
                  <w:rFonts w:ascii="Times New Roman" w:hAnsi="Times New Roman" w:cs="Times New Roman"/>
                  <w:b/>
                  <w:bCs/>
                  <w:sz w:val="28"/>
                  <w:szCs w:val="28"/>
                  <w:vertAlign w:val="superscript"/>
                  <w:lang w:val="ro-RO"/>
                </w:rPr>
                <w:t>*1</w:t>
              </w:r>
              <w:r w:rsidRPr="00427724">
                <w:rPr>
                  <w:rStyle w:val="Hyperlink"/>
                  <w:rFonts w:ascii="Times New Roman" w:hAnsi="Times New Roman" w:cs="Times New Roman"/>
                  <w:b/>
                  <w:bCs/>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1 -20 de unități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unitate </w:t>
            </w:r>
            <w:hyperlink r:id="rId10" w:anchor="E0008"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21 -150 de unități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unități </w:t>
            </w:r>
            <w:hyperlink r:id="rId11" w:anchor="E0008"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151 -400 de unități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unități </w:t>
            </w:r>
            <w:hyperlink r:id="rId12" w:anchor="E0008"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&gt; 400 de unități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¼ din √ (numărul de unități care compun lotul eșantionat) </w:t>
            </w:r>
            <w:hyperlink r:id="rId13" w:anchor="E0009"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*3</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până la 40 de unități</w:t>
            </w:r>
          </w:p>
        </w:tc>
      </w:tr>
      <w:tr w:rsidR="00427724" w:rsidRPr="00427724">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În cazul în care deschiderea unei unități ar putea afecta analiza (de exemplu, în cazul furajelor umede perisabile), un eșantion elementar va fi reprezentat de unitatea nedeschisă.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Pentru unitățile al căror conținut nu depășește 1 kg sau un litru, un eșantion elementar este reprezentat de conținutul unei unități originale.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*3</w:t>
            </w:r>
            <w:r w:rsidRPr="00427724">
              <w:rPr>
                <w:rFonts w:ascii="Times New Roman" w:hAnsi="Times New Roman" w:cs="Times New Roman"/>
                <w:sz w:val="28"/>
                <w:szCs w:val="28"/>
                <w:lang w:val="ro-RO"/>
              </w:rPr>
              <w:t>)   În cazul în care numărul obținut este o fracție, aceasta se rotunjește la numărul întreg imediat superior.</w:t>
            </w:r>
          </w:p>
        </w:tc>
      </w:tr>
    </w:tbl>
    <w:p w:rsidR="00F17A00" w:rsidRDefault="00F17A00" w:rsidP="00427724">
      <w:pPr>
        <w:tabs>
          <w:tab w:val="left" w:pos="210"/>
        </w:tabs>
        <w:jc w:val="both"/>
        <w:rPr>
          <w:rFonts w:ascii="Times New Roman" w:hAnsi="Times New Roman" w:cs="Times New Roman"/>
          <w:b/>
          <w:bCs/>
          <w:sz w:val="28"/>
          <w:szCs w:val="28"/>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5.1.4.    </w:t>
      </w:r>
      <w:r w:rsidRPr="00427724">
        <w:rPr>
          <w:rFonts w:ascii="Times New Roman" w:hAnsi="Times New Roman" w:cs="Times New Roman"/>
          <w:b/>
          <w:bCs/>
          <w:i/>
          <w:iCs/>
          <w:sz w:val="28"/>
          <w:szCs w:val="28"/>
          <w:lang w:val="ro-RO"/>
        </w:rPr>
        <w:t>Blocuri de furaje și brichete minerale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Minimum un bloc sau o brichetă trebuie eșantionat(ă) per lot eșantionat de 25 de unități, până la un maximum de patru blocuri sau brichete.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blocurilor sau brichetelor care nu cântăresc mai mult de 1 kg fiecare, un eșantion elementar este reprezentat de conținutul unui bloc sau al unei brichete.</w:t>
      </w:r>
    </w:p>
    <w:p w:rsidR="00427724" w:rsidRPr="005520F8"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5.1.5.    </w:t>
      </w:r>
      <w:r w:rsidRPr="00427724">
        <w:rPr>
          <w:rFonts w:ascii="Times New Roman" w:hAnsi="Times New Roman" w:cs="Times New Roman"/>
          <w:b/>
          <w:bCs/>
          <w:i/>
          <w:iCs/>
          <w:sz w:val="28"/>
          <w:szCs w:val="28"/>
          <w:lang w:val="ro-RO"/>
        </w:rPr>
        <w:t>Furaje grosiere/nutreț</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24"/>
        <w:gridCol w:w="6266"/>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lotului eșantionat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Număr minim de eșantioane elementare </w:t>
            </w:r>
            <w:hyperlink r:id="rId14" w:anchor="E0010" w:history="1">
              <w:r w:rsidRPr="00427724">
                <w:rPr>
                  <w:rStyle w:val="Hyperlink"/>
                  <w:rFonts w:ascii="Times New Roman" w:hAnsi="Times New Roman" w:cs="Times New Roman"/>
                  <w:b/>
                  <w:bCs/>
                  <w:sz w:val="28"/>
                  <w:szCs w:val="28"/>
                  <w:lang w:val="ro-RO"/>
                </w:rPr>
                <w:t>(</w:t>
              </w:r>
              <w:r w:rsidRPr="00427724">
                <w:rPr>
                  <w:rStyle w:val="Hyperlink"/>
                  <w:rFonts w:ascii="Times New Roman" w:hAnsi="Times New Roman" w:cs="Times New Roman"/>
                  <w:b/>
                  <w:bCs/>
                  <w:sz w:val="28"/>
                  <w:szCs w:val="28"/>
                  <w:vertAlign w:val="superscript"/>
                  <w:lang w:val="ro-RO"/>
                </w:rPr>
                <w:t>*1</w:t>
              </w:r>
              <w:r w:rsidRPr="00427724">
                <w:rPr>
                  <w:rStyle w:val="Hyperlink"/>
                  <w:rFonts w:ascii="Times New Roman" w:hAnsi="Times New Roman" w:cs="Times New Roman"/>
                  <w:b/>
                  <w:bCs/>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5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&gt; 5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 înmulțit cu numărul de tone care compun lotul eșantionat) </w:t>
            </w:r>
            <w:hyperlink r:id="rId15" w:anchor="E0011"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până la 40 de eșantioane elementare</w:t>
            </w:r>
          </w:p>
        </w:tc>
      </w:tr>
      <w:tr w:rsidR="00427724" w:rsidRPr="00427724">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Este recunoscut faptul că în anumite situații (de exemplu, furaje însilozate) nu este posibil să se preleveze eșantioanele elementare necesare, fără a cauza daune inacceptabile pentru lot. În astfel de situații se poate aplica o metodă alternativă de eșantionare, iar un ghid pentru eșantionarea unor astfel de loturi a fost elaborat și este disponibil la următorul link https://food.ec.europa.eu/system/files/2016-10/animal-feed-guidance_documents_691_2013_en.pdf</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În cazul în care numărul obținut este o fracție, aceasta se rotunjește la numărul întreg imediat superior.</w:t>
            </w:r>
          </w:p>
        </w:tc>
      </w:tr>
    </w:tbl>
    <w:p w:rsidR="0098154A" w:rsidRDefault="0098154A" w:rsidP="00427724">
      <w:pPr>
        <w:tabs>
          <w:tab w:val="left" w:pos="210"/>
        </w:tabs>
        <w:jc w:val="both"/>
        <w:rPr>
          <w:rFonts w:ascii="Times New Roman" w:hAnsi="Times New Roman" w:cs="Times New Roman"/>
          <w:i/>
          <w:iCs/>
          <w:sz w:val="28"/>
          <w:szCs w:val="28"/>
          <w:lang w:val="ro-RO"/>
        </w:rPr>
      </w:pP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5.2.   </w:t>
      </w:r>
      <w:r w:rsidRPr="00427724">
        <w:rPr>
          <w:rFonts w:ascii="Times New Roman" w:hAnsi="Times New Roman" w:cs="Times New Roman"/>
          <w:b/>
          <w:bCs/>
          <w:i/>
          <w:iCs/>
          <w:sz w:val="28"/>
          <w:szCs w:val="28"/>
          <w:lang w:val="ro-RO"/>
        </w:rPr>
        <w:t> Cerințe cantitative în ceea ce privește eșantioanele elementare legate de controlul constituenților sau substanțelor care pot fi distribuite neuniform în masa de furaje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Aceste cerințe cantitative în ceea ce privește eșantioanele elementare trebuie utilizate în următoarele situații: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controlul aflatoxinelor, al cornului-secarei, al altor micotoxine și impurități botanice dăunătoare în materiile prime furajere;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controlul contaminării încrucișate printr-un constituent, inclusiv material MG, sau substanță pentru care este preconizată o distribuție neuniformă în furaje.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autoritatea de control are serioase suspiciuni privind apariția unei astfel de distribuții neuniforme și în cazul unei contaminări încrucișate printr-un constituent sau printr-o substanță într-un furaj combinat, se pot aplica cerințele cantitative, astfel cum sunt prevăzute în următorul tabel.</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83"/>
        <w:gridCol w:w="6907"/>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lotului eșantionat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Număr minim de eșantioane elementare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80 de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se vedea cerințe cantitative de la punctul 5.1. Numărul de eșantioane elementare care trebuie prelevate trebuie să fie înmulțit cu 2,5.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80 de tone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100</w:t>
            </w:r>
          </w:p>
        </w:tc>
      </w:tr>
    </w:tbl>
    <w:p w:rsidR="005520F8" w:rsidRDefault="005520F8"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Cerințe cantitative în ceea ce privește eșantioanele elementare în cazul loturilor de dimensiuni foarte mari</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loturilor mari eșantionate (loturi eșantionate &gt; 500 de tone), numărul de eșantioane elementare care trebuie prelevate = 40 de eșantioane elementare + √ tone în ceea ce privește controlul substanțelor sau produselor distribuite uniform în masa de furaje sau 100 de eșantioane elementare + √ tone în ceea ce privește controlul constituenților sau substanțelor care pot fi distribuite neuniform în furaje.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CERINȚE CANTITATIVE ÎN CEEA CE PRIVEȘTE EȘANTIONUL AGREGAT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Este necesar un singur eșantion agregat per lot eșantionat.</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11"/>
        <w:gridCol w:w="3958"/>
        <w:gridCol w:w="4521"/>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Natura furajelor</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Dimensiunea minimă a eșantionului agregat </w:t>
            </w:r>
            <w:hyperlink r:id="rId16" w:anchor="E0012" w:history="1">
              <w:r w:rsidRPr="00427724">
                <w:rPr>
                  <w:rStyle w:val="Hyperlink"/>
                  <w:rFonts w:ascii="Times New Roman" w:hAnsi="Times New Roman" w:cs="Times New Roman"/>
                  <w:b/>
                  <w:bCs/>
                  <w:sz w:val="28"/>
                  <w:szCs w:val="28"/>
                  <w:lang w:val="ro-RO"/>
                </w:rPr>
                <w:t>(</w:t>
              </w:r>
              <w:r w:rsidRPr="00427724">
                <w:rPr>
                  <w:rStyle w:val="Hyperlink"/>
                  <w:rFonts w:ascii="Times New Roman" w:hAnsi="Times New Roman" w:cs="Times New Roman"/>
                  <w:b/>
                  <w:bCs/>
                  <w:sz w:val="28"/>
                  <w:szCs w:val="28"/>
                  <w:vertAlign w:val="superscript"/>
                  <w:lang w:val="ro-RO"/>
                </w:rPr>
                <w:t>*1</w:t>
              </w:r>
              <w:r w:rsidRPr="00427724">
                <w:rPr>
                  <w:rStyle w:val="Hyperlink"/>
                  <w:rFonts w:ascii="Times New Roman" w:hAnsi="Times New Roman" w:cs="Times New Roman"/>
                  <w:b/>
                  <w:bCs/>
                  <w:sz w:val="28"/>
                  <w:szCs w:val="28"/>
                  <w:lang w:val="ro-RO"/>
                </w:rPr>
                <w:t>)</w:t>
              </w:r>
            </w:hyperlink>
            <w:r w:rsidRPr="00427724">
              <w:rPr>
                <w:rFonts w:ascii="Times New Roman" w:hAnsi="Times New Roman" w:cs="Times New Roman"/>
                <w:b/>
                <w:bCs/>
                <w:sz w:val="28"/>
                <w:szCs w:val="28"/>
                <w:lang w:val="ro-RO"/>
              </w:rPr>
              <w:t> </w:t>
            </w:r>
            <w:hyperlink r:id="rId17" w:anchor="E0013" w:history="1">
              <w:r w:rsidRPr="00427724">
                <w:rPr>
                  <w:rStyle w:val="Hyperlink"/>
                  <w:rFonts w:ascii="Times New Roman" w:hAnsi="Times New Roman" w:cs="Times New Roman"/>
                  <w:b/>
                  <w:bCs/>
                  <w:sz w:val="28"/>
                  <w:szCs w:val="28"/>
                  <w:lang w:val="ro-RO"/>
                </w:rPr>
                <w:t>(</w:t>
              </w:r>
              <w:r w:rsidRPr="00427724">
                <w:rPr>
                  <w:rStyle w:val="Hyperlink"/>
                  <w:rFonts w:ascii="Times New Roman" w:hAnsi="Times New Roman" w:cs="Times New Roman"/>
                  <w:b/>
                  <w:bCs/>
                  <w:sz w:val="28"/>
                  <w:szCs w:val="28"/>
                  <w:vertAlign w:val="superscript"/>
                  <w:lang w:val="ro-RO"/>
                </w:rPr>
                <w:t>*2</w:t>
              </w:r>
              <w:r w:rsidRPr="00427724">
                <w:rPr>
                  <w:rStyle w:val="Hyperlink"/>
                  <w:rFonts w:ascii="Times New Roman" w:hAnsi="Times New Roman" w:cs="Times New Roman"/>
                  <w:b/>
                  <w:bCs/>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vrac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kg</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ambalate: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kg </w:t>
            </w:r>
            <w:hyperlink r:id="rId18" w:anchor="E0014"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*3</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lichide sau semilichide: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litri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Blocuri de furaje sau brichete minerale: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cântărind mai mult de 1 kg fiecare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kg</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cântărind cel mult 1 kg fiecare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a patru blocuri sau brichete originale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grosiere/nutreț</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kg </w:t>
            </w:r>
            <w:hyperlink r:id="rId19" w:anchor="E0015"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*4</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În cazul în furajele eșantionate au o valoare ridicată, se prelevează o cantitate mai mică de eșantion agregat cu condiția ca aceasta să fie descrisă și documentată în raportul de eșantionare.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xml:space="preserve">)   În conformitate </w:t>
            </w:r>
            <w:r w:rsidR="00465E74">
              <w:rPr>
                <w:rFonts w:ascii="Times New Roman" w:hAnsi="Times New Roman" w:cs="Times New Roman"/>
                <w:sz w:val="28"/>
                <w:szCs w:val="28"/>
                <w:lang w:val="ro-RO"/>
              </w:rPr>
              <w:t xml:space="preserve">cu </w:t>
            </w:r>
            <w:r w:rsidRPr="00427724">
              <w:rPr>
                <w:rFonts w:ascii="Times New Roman" w:hAnsi="Times New Roman" w:cs="Times New Roman"/>
                <w:sz w:val="28"/>
                <w:szCs w:val="28"/>
                <w:lang w:val="ro-RO"/>
              </w:rPr>
              <w:t>metode</w:t>
            </w:r>
            <w:r w:rsidR="00465E74">
              <w:rPr>
                <w:rFonts w:ascii="Times New Roman" w:hAnsi="Times New Roman" w:cs="Times New Roman"/>
                <w:sz w:val="28"/>
                <w:szCs w:val="28"/>
                <w:lang w:val="ro-RO"/>
              </w:rPr>
              <w:t>le</w:t>
            </w:r>
            <w:r w:rsidRPr="00427724">
              <w:rPr>
                <w:rFonts w:ascii="Times New Roman" w:hAnsi="Times New Roman" w:cs="Times New Roman"/>
                <w:sz w:val="28"/>
                <w:szCs w:val="28"/>
                <w:lang w:val="ro-RO"/>
              </w:rPr>
              <w:t xml:space="preserve"> de eșantionare și analiză pentru controlul oficial al furajelor în vederea detectării materialului modificat genetic pentru care o procedură de autorizare este în curs de desfășurare sau a cărui autorizare a expirat, </w:t>
            </w:r>
            <w:r w:rsidRPr="00427724">
              <w:rPr>
                <w:rFonts w:ascii="Times New Roman" w:hAnsi="Times New Roman" w:cs="Times New Roman"/>
                <w:sz w:val="28"/>
                <w:szCs w:val="28"/>
                <w:lang w:val="ro-RO"/>
              </w:rPr>
              <w:lastRenderedPageBreak/>
              <w:t>eșantionul agregat pentru controlul prezenței materialului modificat genetic trebuie să conțină cel puțin 35 000 de semințe/boabe. Aceasta înseamnă că pentru porumb dimensiunea eșantionului agregat trebuie să fie de cel puțin 10,5 kg și pentru soia de 7 kg. Pentru alte semințe și boabe, precum orzul, meiul, ovăzul, orezul, secara, grâul și semințele de rapiță, dimensiunea eșantionului agregat de 4 kg corespunde unui număr de peste 35 000 de semințe/boabe.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*3</w:t>
            </w:r>
            <w:r w:rsidRPr="00427724">
              <w:rPr>
                <w:rFonts w:ascii="Times New Roman" w:hAnsi="Times New Roman" w:cs="Times New Roman"/>
                <w:sz w:val="28"/>
                <w:szCs w:val="28"/>
                <w:lang w:val="ro-RO"/>
              </w:rPr>
              <w:t>)   În cazul furajelor ambalate, poate fi posibil, de asemenea, să nu se atingă dimensiunea de 4 kg pentru eșantionul agregat în funcție de dimensiunea unităților individuale.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*4</w:t>
            </w:r>
            <w:r w:rsidRPr="00427724">
              <w:rPr>
                <w:rFonts w:ascii="Times New Roman" w:hAnsi="Times New Roman" w:cs="Times New Roman"/>
                <w:sz w:val="28"/>
                <w:szCs w:val="28"/>
                <w:lang w:val="ro-RO"/>
              </w:rPr>
              <w:t>)   În cazul în care se referă la furajele grosiere sau la nutreț cu o densitate specifică redusă (de exemplu, fân, paie), eșantionul agregat trebuie să aibă o dimensiune minimă de 1 kg.</w:t>
            </w:r>
          </w:p>
        </w:tc>
      </w:tr>
    </w:tbl>
    <w:p w:rsidR="0012141D" w:rsidRDefault="0012141D"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CERINȚE CANTITATIVE ÎN CEEA CE PRIVEȘTE EȘANTIOANELE FINALE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Eșantioane finale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Este necesară analiza a cel puțin un eșantion final. Cantitatea din eșantionul final de analizat nu poate fi mai mică decât cantitățile de mai jos:</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29"/>
        <w:gridCol w:w="4361"/>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solide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500 g </w:t>
            </w:r>
            <w:hyperlink r:id="rId20" w:anchor="E001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w:t>
            </w:r>
            <w:hyperlink r:id="rId21" w:anchor="E0017"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w:t>
            </w:r>
            <w:hyperlink r:id="rId22" w:anchor="E0018"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*3</w:t>
              </w:r>
              <w:r w:rsidRPr="00427724">
                <w:rPr>
                  <w:rStyle w:val="Hyperlink"/>
                  <w:rFonts w:ascii="Times New Roman" w:hAnsi="Times New Roman" w:cs="Times New Roman"/>
                  <w:sz w:val="28"/>
                  <w:szCs w:val="28"/>
                  <w:lang w:val="ro-RO"/>
                </w:rPr>
                <w:t>)</w:t>
              </w:r>
            </w:hyperlink>
            <w:r w:rsidRPr="00427724">
              <w:rPr>
                <w:rFonts w:ascii="Times New Roman" w:hAnsi="Times New Roman" w:cs="Times New Roman"/>
                <w:sz w:val="28"/>
                <w:szCs w:val="28"/>
                <w:lang w:val="ro-RO"/>
              </w:rPr>
              <w:t> </w:t>
            </w:r>
            <w:hyperlink r:id="rId23" w:anchor="E0019"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*4</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lichide sau semilichide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500 ml </w:t>
            </w:r>
            <w:hyperlink r:id="rId24" w:anchor="E001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p>
        </w:tc>
      </w:tr>
      <w:tr w:rsidR="00427724" w:rsidRPr="00427724">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xml:space="preserve">) </w:t>
            </w:r>
            <w:r w:rsidR="00465E74">
              <w:rPr>
                <w:rFonts w:ascii="Times New Roman" w:hAnsi="Times New Roman" w:cs="Times New Roman"/>
                <w:sz w:val="28"/>
                <w:szCs w:val="28"/>
                <w:lang w:val="ro-RO"/>
              </w:rPr>
              <w:t>E</w:t>
            </w:r>
            <w:r w:rsidRPr="00427724">
              <w:rPr>
                <w:rFonts w:ascii="Times New Roman" w:hAnsi="Times New Roman" w:cs="Times New Roman"/>
                <w:sz w:val="28"/>
                <w:szCs w:val="28"/>
                <w:lang w:val="ro-RO"/>
              </w:rPr>
              <w:t>șantionul final pentru controlul prezenței materialului modificat genetic trebuie să conțină cel puțin 10 000 de semințe/boabe. Aceasta înseamnă că pentru porumb dimensiunea eșantionului final trebuie să fie de cel puțin 3 000 g și pentru soia de 2 000 g. Pentru alte semințe și boabe, precum orzul, meiul, ovăzul, orezul, secara, grâul și semințele de rapiță, dimensiunea eșantionului final de 500 g corespunde unui număr de peste 10 000 de semințe/boabe.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În cazul în care dimensiunea eșantionului agregat este semnificativ mai mică de 4 kg sau litri (a se vedea notele de subsol de la punctul 6), se poate preleva, de asemenea, o cantitate mai mică de eșantion final, cu condiția ca aceasta să fie descrisă și documentată în raportul de eșantionare.</w:t>
            </w:r>
          </w:p>
          <w:p w:rsidR="00465E74" w:rsidRDefault="00427724" w:rsidP="00465E7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w:t>
            </w:r>
            <w:r w:rsidRPr="00427724">
              <w:rPr>
                <w:rFonts w:ascii="Times New Roman" w:hAnsi="Times New Roman" w:cs="Times New Roman"/>
                <w:sz w:val="28"/>
                <w:szCs w:val="28"/>
                <w:vertAlign w:val="superscript"/>
                <w:lang w:val="ro-RO"/>
              </w:rPr>
              <w:t>*3</w:t>
            </w:r>
            <w:r w:rsidRPr="00427724">
              <w:rPr>
                <w:rFonts w:ascii="Times New Roman" w:hAnsi="Times New Roman" w:cs="Times New Roman"/>
                <w:sz w:val="28"/>
                <w:szCs w:val="28"/>
                <w:lang w:val="ro-RO"/>
              </w:rPr>
              <w:t xml:space="preserve">)   În cazul eșantionării leguminoaselor, boabelor de cereale și fructelor nucifere pentru determinarea reziduurilor de pesticide, dimensiunea minimă a eșantionului final este de 1 kg în conformitate cu </w:t>
            </w:r>
            <w:r w:rsidR="00465E74" w:rsidRPr="00465E74">
              <w:rPr>
                <w:rFonts w:ascii="Times New Roman" w:hAnsi="Times New Roman" w:cs="Times New Roman"/>
                <w:sz w:val="28"/>
                <w:szCs w:val="28"/>
                <w:lang w:val="ro-RO"/>
              </w:rPr>
              <w:t>Metodel</w:t>
            </w:r>
            <w:r w:rsidR="00465E74">
              <w:rPr>
                <w:rFonts w:ascii="Times New Roman" w:hAnsi="Times New Roman" w:cs="Times New Roman"/>
                <w:sz w:val="28"/>
                <w:szCs w:val="28"/>
                <w:lang w:val="ro-RO"/>
              </w:rPr>
              <w:t>e</w:t>
            </w:r>
            <w:r w:rsidR="00465E74" w:rsidRPr="00465E74">
              <w:rPr>
                <w:rFonts w:ascii="Times New Roman" w:hAnsi="Times New Roman" w:cs="Times New Roman"/>
                <w:sz w:val="28"/>
                <w:szCs w:val="28"/>
                <w:lang w:val="ro-RO"/>
              </w:rPr>
              <w:t xml:space="preserve"> de prelevare</w:t>
            </w:r>
            <w:r w:rsidR="00465E74">
              <w:rPr>
                <w:rFonts w:ascii="Times New Roman" w:hAnsi="Times New Roman" w:cs="Times New Roman"/>
                <w:sz w:val="28"/>
                <w:szCs w:val="28"/>
                <w:lang w:val="ro-RO"/>
              </w:rPr>
              <w:t xml:space="preserve"> </w:t>
            </w:r>
            <w:r w:rsidR="00465E74" w:rsidRPr="00465E74">
              <w:rPr>
                <w:rFonts w:ascii="Times New Roman" w:hAnsi="Times New Roman" w:cs="Times New Roman"/>
                <w:sz w:val="28"/>
                <w:szCs w:val="28"/>
                <w:lang w:val="ro-RO"/>
              </w:rPr>
              <w:t>a probelor pentru controlul oficial al reziduurilorde pesticide de pe şi din plante şi produse de</w:t>
            </w:r>
            <w:r w:rsidR="00465E74">
              <w:rPr>
                <w:rFonts w:ascii="Times New Roman" w:hAnsi="Times New Roman" w:cs="Times New Roman"/>
                <w:sz w:val="28"/>
                <w:szCs w:val="28"/>
                <w:lang w:val="ro-RO"/>
              </w:rPr>
              <w:t xml:space="preserve"> </w:t>
            </w:r>
            <w:r w:rsidR="00465E74" w:rsidRPr="00465E74">
              <w:rPr>
                <w:rFonts w:ascii="Times New Roman" w:hAnsi="Times New Roman" w:cs="Times New Roman"/>
                <w:sz w:val="28"/>
                <w:szCs w:val="28"/>
                <w:lang w:val="ro-RO"/>
              </w:rPr>
              <w:t>origine vegetală și animală</w:t>
            </w:r>
            <w:r w:rsidR="00465E74">
              <w:rPr>
                <w:rFonts w:ascii="Times New Roman" w:hAnsi="Times New Roman" w:cs="Times New Roman"/>
                <w:sz w:val="28"/>
                <w:szCs w:val="28"/>
                <w:lang w:val="ro-RO"/>
              </w:rPr>
              <w:t>, aprobate prin Hotărârea Guvernului nr.1004/2010.</w:t>
            </w:r>
          </w:p>
          <w:p w:rsidR="00427724" w:rsidRPr="00427724" w:rsidRDefault="00465E74" w:rsidP="00465E74">
            <w:pPr>
              <w:tabs>
                <w:tab w:val="left" w:pos="210"/>
              </w:tabs>
              <w:jc w:val="both"/>
              <w:rPr>
                <w:rFonts w:ascii="Times New Roman" w:hAnsi="Times New Roman" w:cs="Times New Roman"/>
                <w:sz w:val="28"/>
                <w:szCs w:val="28"/>
                <w:lang w:val="ro-RO"/>
              </w:rPr>
            </w:pPr>
            <w:r w:rsidRPr="00465E74">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w:t>
            </w:r>
            <w:r w:rsidR="00427724" w:rsidRPr="00427724">
              <w:rPr>
                <w:rFonts w:ascii="Times New Roman" w:hAnsi="Times New Roman" w:cs="Times New Roman"/>
                <w:sz w:val="28"/>
                <w:szCs w:val="28"/>
                <w:vertAlign w:val="superscript"/>
                <w:lang w:val="ro-RO"/>
              </w:rPr>
              <w:t>*4</w:t>
            </w:r>
            <w:r w:rsidR="00427724" w:rsidRPr="00427724">
              <w:rPr>
                <w:rFonts w:ascii="Times New Roman" w:hAnsi="Times New Roman" w:cs="Times New Roman"/>
                <w:sz w:val="28"/>
                <w:szCs w:val="28"/>
                <w:lang w:val="ro-RO"/>
              </w:rPr>
              <w:t>)   În cazul examinării prin inspecție vizuală sau prin microscopie, cantitatea eșantionului final pentru examinare este de 1 kg.</w:t>
            </w:r>
          </w:p>
        </w:tc>
      </w:tr>
    </w:tbl>
    <w:p w:rsidR="00EB383E" w:rsidRDefault="00EB383E"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METODA DE EȘANTIONARE PENTRU LOTURI FOARTE MARI SAU LOTURI DEPOZITATE SAU TRANSPORTATE ÎNTR-UN MOD CARE NU PERMITE EȘANTIONAREA ÎNTREGULUI LOT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8.1.   </w:t>
      </w:r>
      <w:r w:rsidRPr="00427724">
        <w:rPr>
          <w:rFonts w:ascii="Times New Roman" w:hAnsi="Times New Roman" w:cs="Times New Roman"/>
          <w:b/>
          <w:bCs/>
          <w:i/>
          <w:iCs/>
          <w:sz w:val="28"/>
          <w:szCs w:val="28"/>
          <w:lang w:val="ro-RO"/>
        </w:rPr>
        <w:t> Principii generale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modul de transport sau de depozitare a unui lot nu permite prelevarea de eșantioane elementare din întregul lot, eșantionarea unor astfel de loturi trebuie, de preferință, să fie efectuată atunci când lotul se află în flux.</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antrepozitelor mari destinate să stocheze furajele, operatorii trebuie să fie încurajați să instaleze echipamente în antrepozit care să permită eșantionarea (automată) a întregului lot stocat.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aplicării procedurilor de eșantionare prevăzute la prezentul punct, operatorul din sectorul hranei pentru animale sau reprezentantul său este informat cu privire la procedura de eșantionare. În cazul în care procedura de eșantionare este pusă sub semnul întrebării de către operatorul din sectorul hranei pentru animale sau de către reprezentantul acestuia, operatorul din sectorul hranei pentru animale sau reprezentantul acestuia va permite autorității competente să preleveze eșantioane din întregul lot pe cheltuiala sa.</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8.2.   </w:t>
      </w:r>
      <w:r w:rsidRPr="00427724">
        <w:rPr>
          <w:rFonts w:ascii="Times New Roman" w:hAnsi="Times New Roman" w:cs="Times New Roman"/>
          <w:b/>
          <w:bCs/>
          <w:i/>
          <w:iCs/>
          <w:sz w:val="28"/>
          <w:szCs w:val="28"/>
          <w:lang w:val="ro-RO"/>
        </w:rPr>
        <w:t> Loturile mari transportate pe cale navală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8.2.1.    </w:t>
      </w:r>
      <w:r w:rsidRPr="00427724">
        <w:rPr>
          <w:rFonts w:ascii="Times New Roman" w:hAnsi="Times New Roman" w:cs="Times New Roman"/>
          <w:b/>
          <w:bCs/>
          <w:i/>
          <w:iCs/>
          <w:sz w:val="28"/>
          <w:szCs w:val="28"/>
          <w:lang w:val="ro-RO"/>
        </w:rPr>
        <w:t>Eșantionarea dinamică a loturilor mari transportate pe cale navală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Eșantionarea loturilor mari în nave se efectuează de preferință în timp ce produsul este în flux (eșantionare dinamică).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Eșantionarea se face per stivă (entitate care poate fi separată fizic). Stivele sunt, totuși, golite parțial una după alta, astfel încât separarea fizică inițială nu mai există după transferul în instalațiile de depozitare. Prin urmare, eșantionarea poate fi </w:t>
      </w:r>
      <w:r w:rsidR="00427724" w:rsidRPr="00427724">
        <w:rPr>
          <w:rFonts w:ascii="Times New Roman" w:hAnsi="Times New Roman" w:cs="Times New Roman"/>
          <w:sz w:val="28"/>
          <w:szCs w:val="28"/>
          <w:lang w:val="ro-RO"/>
        </w:rPr>
        <w:lastRenderedPageBreak/>
        <w:t>efectuată în funcție de separarea fizică inițială sau în funcție de separarea după transferul în instalațiile de depozitare.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Descărcarea unei nave poate dura câteva zile. În mod normal, eșantionarea trebuie să fie efectuată la intervale de timp regulate pe întreaga durată a descărcării. Cu toate acestea, nu este întotdeauna posibil sau adecvat pentru un inspector oficial să fie prezent pentru eșantionare pe parcursul întregii operațiuni de descărcare. Prin urmare, se permite eșantionarea unei părți (lot eșantionat) din întregul lot. Numărul de eșantioane elementare este stabilit luând în considerare dimensiunea lotului eșantionat.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cazul eșantionării unei părți dintr-un lot de furaje din aceeași clasă sau având aceeași descriere și în cazul în care acea parte a lotului este identificată ca nesatisfăcând cerințele </w:t>
      </w:r>
      <w:r w:rsidR="00E05D41" w:rsidRPr="00E05D41">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 xml:space="preserve">, se presupune că rezultatele sunt valabile pentru toate furajele din acel lot, cu excepția cazului în care, în urma unei evaluări detaliate, nu există nicio dovadă că restul lotului nu satisface cerințele </w:t>
      </w:r>
      <w:r w:rsidR="00E05D41"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Chiar dacă eșantionul oficial este prelevat automat, prezența unui inspector este necesară. Cu toate acestea, în cazul în care se efectuează o prelevare automată cu parametri prestabiliți care nu pot fi schimbați în cursul eșantionării și eșantioanele elementare sunt colectate într-un recipient închis, împiedicând orice posibilă fraudă, prezența unui inspector este necesară numai la începutul eșantionării, de fiecare dată când recipientul în care se află eșantioanele trebuie să fie schimbat și la sfârșitul eșantionării.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8.2.2.    </w:t>
      </w:r>
      <w:r w:rsidRPr="00427724">
        <w:rPr>
          <w:rFonts w:ascii="Times New Roman" w:hAnsi="Times New Roman" w:cs="Times New Roman"/>
          <w:b/>
          <w:bCs/>
          <w:i/>
          <w:iCs/>
          <w:sz w:val="28"/>
          <w:szCs w:val="28"/>
          <w:lang w:val="ro-RO"/>
        </w:rPr>
        <w:t>Eșantionarea loturilor transportate pe cale navală prin eșantionare statică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eșantionarea se efectuează în mod static, trebuie aplicată aceeași procedură ca și cea prevăzută pentru spațiile de depozitare (silozuri) accesibile din partea de sus (a se vedea punctul 8.4.1).</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Eșantionarea trebuie să se efectueze pe partea accesibilă (de sus) din lot/stivă.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 xml:space="preserve">, se presupune că rezultatele sunt valabile pentru toate furajele din acel lot, cu excepția cazului în care, în urma unei evaluări detaliate, nu există nicio dovadă că restul lotului nu satisface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8.3.   </w:t>
      </w:r>
      <w:r w:rsidRPr="00427724">
        <w:rPr>
          <w:rFonts w:ascii="Times New Roman" w:hAnsi="Times New Roman" w:cs="Times New Roman"/>
          <w:b/>
          <w:bCs/>
          <w:i/>
          <w:iCs/>
          <w:sz w:val="28"/>
          <w:szCs w:val="28"/>
          <w:lang w:val="ro-RO"/>
        </w:rPr>
        <w:t> Eșantionarea loturilor mari depozitate în antrepozite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 xml:space="preserve">, se presupune că rezultatele sunt valabile pentru toate furajele din acel lot, cu excepția cazului în care, în urma unei evaluări detaliate, nu există nicio dovadă că restul lotului nu satisface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8.4.   </w:t>
      </w:r>
      <w:r w:rsidRPr="00427724">
        <w:rPr>
          <w:rFonts w:ascii="Times New Roman" w:hAnsi="Times New Roman" w:cs="Times New Roman"/>
          <w:b/>
          <w:bCs/>
          <w:i/>
          <w:iCs/>
          <w:sz w:val="28"/>
          <w:szCs w:val="28"/>
          <w:lang w:val="ro-RO"/>
        </w:rPr>
        <w:t> Prelevarea de eșantioane din spații de depozitare (silozuri)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8.4.1.    </w:t>
      </w:r>
      <w:r w:rsidRPr="00427724">
        <w:rPr>
          <w:rFonts w:ascii="Times New Roman" w:hAnsi="Times New Roman" w:cs="Times New Roman"/>
          <w:b/>
          <w:bCs/>
          <w:i/>
          <w:iCs/>
          <w:sz w:val="28"/>
          <w:szCs w:val="28"/>
          <w:lang w:val="ro-RO"/>
        </w:rPr>
        <w:t>Prelevarea de eșantioane din silozuri (ușor) accesibile din partea de sus</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Eșantionarea trebuie să se efectueze pe partea accesibilă a lotului. Numărul de eșantioane elementare este stabilit luând în considerare dimensiunea lotului eșantionat. În cazul eșantionării unei părți dintr-un lot de furaje din aceeași clasă sau având aceeași descriere și în cazul în care acea parte a lotului este identificată ca nesatisfăcând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 xml:space="preserve">, se presupune că rezultatele sunt valabile pentru toate furajele din acel lot, cu excepția cazului în care, în urma unei evaluări detaliate, nu există nicio dovadă că restul lotului nu satisface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8.4.2.    </w:t>
      </w:r>
      <w:r w:rsidRPr="00427724">
        <w:rPr>
          <w:rFonts w:ascii="Times New Roman" w:hAnsi="Times New Roman" w:cs="Times New Roman"/>
          <w:b/>
          <w:bCs/>
          <w:i/>
          <w:iCs/>
          <w:sz w:val="28"/>
          <w:szCs w:val="28"/>
          <w:lang w:val="ro-RO"/>
        </w:rPr>
        <w:t>Prelevarea de eșantioane din silozuri care nu sunt accesibile din partea de sus (silozuri închise)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8.4.2.1.   </w:t>
      </w:r>
      <w:r w:rsidRPr="00427724">
        <w:rPr>
          <w:rFonts w:ascii="Times New Roman" w:hAnsi="Times New Roman" w:cs="Times New Roman"/>
          <w:b/>
          <w:bCs/>
          <w:sz w:val="28"/>
          <w:szCs w:val="28"/>
          <w:lang w:val="ro-RO"/>
        </w:rPr>
        <w:t> Silozuri care nu sunt accesibile din partea de sus (silozuri închise) cu dimensiunea &gt; 100 de tone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Furajele depozitate în astfel de silozuri nu pot fi eșantionate în mod static. Prin urmare, în cazul în care furajele din siloz trebuie să fie eșantionate și nu există nicio posibilitate de a deplasa lotul, trebuie să se ajungă la un acord cu operatorul conform căruia acesta trebuie să informeze inspectorul cu privire la momentul în care silozul va fi descărcat pentru a permite eșantionarea atunci când furajul este în flux.</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8.4.2.2.   </w:t>
      </w:r>
      <w:r w:rsidRPr="00427724">
        <w:rPr>
          <w:rFonts w:ascii="Times New Roman" w:hAnsi="Times New Roman" w:cs="Times New Roman"/>
          <w:b/>
          <w:bCs/>
          <w:sz w:val="28"/>
          <w:szCs w:val="28"/>
          <w:lang w:val="ro-RO"/>
        </w:rPr>
        <w:t> Silozuri care nu sunt accesibile din partea de sus (silozuri închise) cu dimensiunea &lt; 100 de tone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Procedura de eșantionare implică introducerea într-un recipient a unei cantități de 50-100 kg și prelevarea eșantionului din aceasta. Dimensiunea eșantionului agregat corespunde cu întregul lot, iar numărul de eșantioane elementare este legat de cantitatea din siloz introdusă într-un recipient pentru eșantionare. În cazul eșantionării unei părți dintr-un lot de furaje din aceeași clasă sau având aceeași descriere și în cazul în care acea parte a lotului este identificată ca nesatisfăcând </w:t>
      </w:r>
      <w:r w:rsidR="00427724" w:rsidRPr="00427724">
        <w:rPr>
          <w:rFonts w:ascii="Times New Roman" w:hAnsi="Times New Roman" w:cs="Times New Roman"/>
          <w:sz w:val="28"/>
          <w:szCs w:val="28"/>
          <w:lang w:val="ro-RO"/>
        </w:rPr>
        <w:lastRenderedPageBreak/>
        <w:t xml:space="preserve">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 xml:space="preserve">, se presupune că rezultatele sunt valabile pentru toate furajele din acel lot, cu excepția cazului în care, în urma unei evaluări detaliate, nu există nicio dovadă că restul lotului nu satisface cerințele </w:t>
      </w:r>
      <w:r w:rsidR="00EC3425" w:rsidRPr="00EC3425">
        <w:rPr>
          <w:rFonts w:ascii="Times New Roman" w:hAnsi="Times New Roman" w:cs="Times New Roman"/>
          <w:sz w:val="28"/>
          <w:szCs w:val="28"/>
          <w:lang w:val="ro-RO"/>
        </w:rPr>
        <w:t>de siguranță</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8.5.   </w:t>
      </w:r>
      <w:r w:rsidRPr="00427724">
        <w:rPr>
          <w:rFonts w:ascii="Times New Roman" w:hAnsi="Times New Roman" w:cs="Times New Roman"/>
          <w:b/>
          <w:bCs/>
          <w:i/>
          <w:iCs/>
          <w:sz w:val="28"/>
          <w:szCs w:val="28"/>
          <w:lang w:val="ro-RO"/>
        </w:rPr>
        <w:t> Eșantionarea furajelor vrac în recipiente mari închise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Adesea, astfel de loturi pot fi eșantionate numai atunci când sunt descărcate. În anumite cazuri nu este posibil să se descarce loturile la punctul de import sau de control și, prin urmare, eșantionarea ar trebui să aibă loc atunci când aceste recipiente sunt descărcate.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   INSTRUCȚIUNI PENTRU PRELEVAREA, PREPARAREA ȘI AMBALAREA EȘANTIOANELOR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9.1.   </w:t>
      </w:r>
      <w:r w:rsidRPr="00427724">
        <w:rPr>
          <w:rFonts w:ascii="Times New Roman" w:hAnsi="Times New Roman" w:cs="Times New Roman"/>
          <w:b/>
          <w:bCs/>
          <w:i/>
          <w:iCs/>
          <w:sz w:val="28"/>
          <w:szCs w:val="28"/>
          <w:lang w:val="ro-RO"/>
        </w:rPr>
        <w:t> Generalități</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trebuie prelevate și preparate fără întârzieri inutile, luând în considerare precauțiile necesare pentru a garanta că produsul nu este nici modificat, nici contaminat. Instrumentele, suprafețele de lucru și recipientele destinate colectării de eșantioane trebuie să fie curate și uscate.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9.2.   </w:t>
      </w:r>
      <w:r w:rsidRPr="00427724">
        <w:rPr>
          <w:rFonts w:ascii="Times New Roman" w:hAnsi="Times New Roman" w:cs="Times New Roman"/>
          <w:b/>
          <w:bCs/>
          <w:i/>
          <w:iCs/>
          <w:sz w:val="28"/>
          <w:szCs w:val="28"/>
          <w:lang w:val="ro-RO"/>
        </w:rPr>
        <w:t> Eșantioane elementare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elementare trebuie prelevate în mod aleatoriu și distribuite uniform din întregul lot eșantionat, iar dimensiunile lor trebuie să fie aproximativ egale.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Dimensiunea eșantionului elementar este de cel puțin 100 de grame sau 25 de grame în cazul furajelor grosiere sau al nutrețului cu o densitate specifică redusă.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în conformitate cu normele pentru procedura de eșantionare stabilite la punctul 8, trebuie prelevate mai puțin de 40 de eșantioane elementare, dimensiunea eșantioanelor elementare se determină în funcție de dimensiunea necesară a eșantionului agregat (a se vedea punctul 6).</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eșantionării loturilor de dimensiuni reduse de furaje ambalate în cazul cărora, conform cerințelor cantitative, trebuie prelevat un număr limitat de eșantioane elementare, un eșantion elementar este reprezentat de conținutul unei unități originale al cărei conținut nu depășește 1 kg sau un litru.</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eșantionării furajelor ambalate compuse din unități mici (de exemplu, &lt; 250 g), dimensiunea eșantionului elementar depinde de dimensiunea unității.</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eșantioanelor din vânzările la distanță, dimensiunea eșantionului elementar depinde de dimensiunea unității și poate conține, de asemenea, mai puțin de 100 g sau 100 ml în cazuri individuale.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9.2.1.    </w:t>
      </w:r>
      <w:r w:rsidRPr="00427724">
        <w:rPr>
          <w:rFonts w:ascii="Times New Roman" w:hAnsi="Times New Roman" w:cs="Times New Roman"/>
          <w:b/>
          <w:bCs/>
          <w:i/>
          <w:iCs/>
          <w:sz w:val="28"/>
          <w:szCs w:val="28"/>
          <w:lang w:val="ro-RO"/>
        </w:rPr>
        <w:t>Furaje vrac</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caz, eșantionarea poate fi efectuată atunci când lotul eșantionat este în flux (încărcare sau descărcare).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9.2.2.    </w:t>
      </w:r>
      <w:r w:rsidRPr="00427724">
        <w:rPr>
          <w:rFonts w:ascii="Times New Roman" w:hAnsi="Times New Roman" w:cs="Times New Roman"/>
          <w:b/>
          <w:bCs/>
          <w:i/>
          <w:iCs/>
          <w:sz w:val="28"/>
          <w:szCs w:val="28"/>
          <w:lang w:val="ro-RO"/>
        </w:rPr>
        <w:t>Furaje ambalate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selectarea numărului necesar de unități pentru eșantionare, conform indicațiilor de la punctul 5, o parte a conținutului fiecărei unități se îndepărtează folosind o sondă sau o lopată. Dacă este necesar, eșantioanele se prelevează după ce unitățile au fost golite separat.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9.2.3.    </w:t>
      </w:r>
      <w:r w:rsidRPr="00427724">
        <w:rPr>
          <w:rFonts w:ascii="Times New Roman" w:hAnsi="Times New Roman" w:cs="Times New Roman"/>
          <w:b/>
          <w:bCs/>
          <w:i/>
          <w:iCs/>
          <w:sz w:val="28"/>
          <w:szCs w:val="28"/>
          <w:lang w:val="ro-RO"/>
        </w:rPr>
        <w:t>Furaje lichide sau semilichide, omogene sau omogenizabile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selectarea pentru eșantionare a numărului necesar de unități, în conformitate cu indicațiile de la punctul 5, conținutul se omogenizează, dacă este necesar, și se prelevează o cantitate din fiecare unitate.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elementare pot fi prelevate la descărcarea conținutului.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9.2.4.    </w:t>
      </w:r>
      <w:r w:rsidRPr="00427724">
        <w:rPr>
          <w:rFonts w:ascii="Times New Roman" w:hAnsi="Times New Roman" w:cs="Times New Roman"/>
          <w:b/>
          <w:bCs/>
          <w:i/>
          <w:iCs/>
          <w:sz w:val="28"/>
          <w:szCs w:val="28"/>
          <w:lang w:val="ro-RO"/>
        </w:rPr>
        <w:t>Furaje lichide sau semilichide, neomogenizabile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selectarea pentru eșantionare a numărului necesar de unități, în conformitate cu indicațiile de la punctul 5, se prelevează eșantioane de la diferite niveluri.</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se pot preleva și în timpul descărcării conținutului, dar primele fracțiuni se îndepărtează.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oricare dintre cazuri, volumul total prelevat nu trebuie să fie mai mic de 10 litri.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9.2.5.    </w:t>
      </w:r>
      <w:r w:rsidRPr="00427724">
        <w:rPr>
          <w:rFonts w:ascii="Times New Roman" w:hAnsi="Times New Roman" w:cs="Times New Roman"/>
          <w:b/>
          <w:bCs/>
          <w:i/>
          <w:iCs/>
          <w:sz w:val="28"/>
          <w:szCs w:val="28"/>
          <w:lang w:val="ro-RO"/>
        </w:rPr>
        <w:t>Blocuri de furaje și brichete minerale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selectarea pentru eșantionare a numărului necesar de blocuri sau brichete, conform indicațiilor de la punctul 5, se prelevează o parte din fiecare bloc sau brichetă. În cazul în care există suspiciuni legate de un bloc sau de o brichetă neomogen(ă), întregul bloc sau întreaga brichetă poate fi considerat(ă) ca eșantion.</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blocurilor sau brichetelor care nu cântăresc mai mult de 1 kg fiecare, un eșantion elementar este reprezentat de conținutul unui bloc sau al unei brichete.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9.3.   </w:t>
      </w:r>
      <w:r w:rsidRPr="00427724">
        <w:rPr>
          <w:rFonts w:ascii="Times New Roman" w:hAnsi="Times New Roman" w:cs="Times New Roman"/>
          <w:b/>
          <w:bCs/>
          <w:i/>
          <w:iCs/>
          <w:sz w:val="28"/>
          <w:szCs w:val="28"/>
          <w:lang w:val="ro-RO"/>
        </w:rPr>
        <w:t> Prepararea eșantioanelor agregat</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elementare se amestecă pentru a forma un singur eșantion agregat.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9.4.   </w:t>
      </w:r>
      <w:r w:rsidRPr="00427724">
        <w:rPr>
          <w:rFonts w:ascii="Times New Roman" w:hAnsi="Times New Roman" w:cs="Times New Roman"/>
          <w:b/>
          <w:bCs/>
          <w:i/>
          <w:iCs/>
          <w:sz w:val="28"/>
          <w:szCs w:val="28"/>
          <w:lang w:val="ro-RO"/>
        </w:rPr>
        <w:t> Prepararea eșantioanelor finale</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Materialul din eșantionul agregat se amestecă cu grijă.</w:t>
      </w:r>
    </w:p>
    <w:p w:rsidR="00427724" w:rsidRPr="00427724" w:rsidRDefault="0098154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Fiecare eșantion este introdus într-un recipient corespunzător. Se iau toate precauțiile necesare pentru evitarea oricărei modificări de compoziție a eșantionului, a contaminării sau a falsificării, care ar putea avea loc în timpul transportării sau depozitării.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9.4.1.    </w:t>
      </w:r>
      <w:r w:rsidRPr="00427724">
        <w:rPr>
          <w:rFonts w:ascii="Times New Roman" w:hAnsi="Times New Roman" w:cs="Times New Roman"/>
          <w:b/>
          <w:bCs/>
          <w:i/>
          <w:iCs/>
          <w:sz w:val="28"/>
          <w:szCs w:val="28"/>
          <w:lang w:val="ro-RO"/>
        </w:rPr>
        <w:t>Substanțe distribuite uniform</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controlului constituenților sau substanțelor uniform distribuite în întregul furaj, eșantionul agregat poate fi redus în mod reprezentativ la cel puțin 2,0 kg sau 2,0 l (eșantion redus), de preferință prin utilizarea fie a unui separator mecanic, fie a unui separator automat. Pentru controlul prezenței de reziduuri de pesticide în leguminoase, boabe de cereale și fructe nucifere, dimensiunea minimă a eșantionului redus este de 3 kg. În cazul în care natura furajului nu permite utilizarea unui separator sau separatorul nu este disponibil, eșantionul poate fi redus prin metoda sferturilor.</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eșantionul agregat sau din eșantioanele reduse se prelevează eșantioanele finale (pentru control, apărare și, eventual, referință) de o dimensiune aproximativ egală, în conformitate cu cerințele cantitative de la punctul 7.</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9.4.2.    </w:t>
      </w:r>
      <w:r w:rsidRPr="00427724">
        <w:rPr>
          <w:rFonts w:ascii="Times New Roman" w:hAnsi="Times New Roman" w:cs="Times New Roman"/>
          <w:b/>
          <w:bCs/>
          <w:i/>
          <w:iCs/>
          <w:sz w:val="28"/>
          <w:szCs w:val="28"/>
          <w:lang w:val="ro-RO"/>
        </w:rPr>
        <w:t>Substanțe distribuite neuniform</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controlului constituenților, inclusiv materialul modificat genetic sau substanțele care ar putea fi distribuite neuniform în furaje, eșantionul agregat trebuie să fie: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(i) complet omogenizat. Apoi, din eșantionul agregat omogenizat se prelevează eșantioanele finale (pentru control, apărare și, eventual, referință) de o dimensiune aproximativ egală, în conformitate cu cerințele cantitative de la punctul 7;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(ii) redus la cel puțin 2 kg sau 2 litri (</w:t>
      </w:r>
      <w:hyperlink r:id="rId25" w:anchor="E0022"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7</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 xml:space="preserve">) prin utilizarea unui separator mecanic sau automat. Numai în cazul în care natura furajului nu permite utilizarea unui separator, eșantionul poate, dacă este necesar, să fie redus prin metoda sferturilor. Pentru controlul prezenței materialului modificat genetic, eșantionul redus trebuie să conțină </w:t>
      </w:r>
      <w:r w:rsidRPr="00427724">
        <w:rPr>
          <w:rFonts w:ascii="Times New Roman" w:hAnsi="Times New Roman" w:cs="Times New Roman"/>
          <w:sz w:val="28"/>
          <w:szCs w:val="28"/>
          <w:lang w:val="ro-RO"/>
        </w:rPr>
        <w:lastRenderedPageBreak/>
        <w:t>cel puțin 35 000 de semințe/boabe pentru a permite obținerea eșantioanelor finale de cel puțin 10 000 de semințe pentru asigurarea respectării legislației, apărare și, eventual, referință [a se vedea nota de subsol (**) de la punctul 6 și nota de subsol (*) de la punctul 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Din eșantionul redus se prelevează eșantioanele finale de o dimensiune aproximativ egală, în conformitate cu cerințele cantitative de la punctul 7.</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9.5.   </w:t>
      </w:r>
      <w:r w:rsidRPr="00427724">
        <w:rPr>
          <w:rFonts w:ascii="Times New Roman" w:hAnsi="Times New Roman" w:cs="Times New Roman"/>
          <w:b/>
          <w:bCs/>
          <w:i/>
          <w:iCs/>
          <w:sz w:val="28"/>
          <w:szCs w:val="28"/>
          <w:lang w:val="ro-RO"/>
        </w:rPr>
        <w:t> Ambalarea eșantioanelor</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Recipientele sau ambalajele se sigilează și se etichetează astfel încât să nu poată fi deschise fără a deteriora sigiliul. Eticheta completă se încorporează în sigiliu. În mod alternativ, eșantionul poate fi pus într-un recipient care poate fi închis astfel încât să nu poată fi deschis fără a deteriora în mod ireversibil recipientul, evitând reutilizarea recipientului.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9.6.   </w:t>
      </w:r>
      <w:r w:rsidRPr="00427724">
        <w:rPr>
          <w:rFonts w:ascii="Times New Roman" w:hAnsi="Times New Roman" w:cs="Times New Roman"/>
          <w:b/>
          <w:bCs/>
          <w:i/>
          <w:iCs/>
          <w:sz w:val="28"/>
          <w:szCs w:val="28"/>
          <w:lang w:val="ro-RO"/>
        </w:rPr>
        <w:t> Expedierea eșantioanelor către laborator</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trebuie să fie trimis fără întârzieri inutile la laboratorul analitic desemnat, împreună cu informațiile necesare laborantului.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10.   PROCESUL-VERBAL DE EȘANTIONARE</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fiecare eșantion se întocmește un proces-verbal, care permite identificarea fără ambiguități a lotului eșantionat și a dimensiunii acestuia.</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Procesul-verbal trebuie să menționeze, de asemenea, orice abatere de la procedura de eșantionare, astfel cum se prevede în prezent</w:t>
      </w:r>
      <w:r w:rsidR="00967D3B">
        <w:rPr>
          <w:rFonts w:ascii="Times New Roman" w:hAnsi="Times New Roman" w:cs="Times New Roman"/>
          <w:sz w:val="28"/>
          <w:szCs w:val="28"/>
          <w:lang w:val="ro-RO"/>
        </w:rPr>
        <w:t>a anexă</w:t>
      </w:r>
      <w:r w:rsidR="00427724" w:rsidRPr="00427724">
        <w:rPr>
          <w:rFonts w:ascii="Times New Roman" w:hAnsi="Times New Roman" w:cs="Times New Roman"/>
          <w:sz w:val="28"/>
          <w:szCs w:val="28"/>
          <w:lang w:val="ro-RO"/>
        </w:rPr>
        <w:t>.</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Procesul-verbal trebuie pus atât la dispoziția laboratorului de control oficial, cât și la dispoziția operatorului din sectorul hranei pentru animale și/sau a laboratorului desemnat de operatorul din sectorul hranei pentru animale.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11.   EȘANTION DIN VÂNZARE LA DISTANȚĂ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Pentru un eșantion din vânzare la distanță, furajul se solicită operatorului din sectorul hranei pentru animale prin mijloace de comunicare la distanță. În acest caz, atunci când solicită furajul, autoritatea competentă nu trebuie să se identifice cu o identitate oficială operatorului din sectorul hranei pentru animale și poate utiliza o identitate falsă.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Eșantionul agregat și eșantioanele finale ale eșantionului din vânzarea la distanță trebuie prelevate imediat după primirea transportului de către persoane autorizate în </w:t>
      </w:r>
      <w:r w:rsidRPr="00427724">
        <w:rPr>
          <w:rFonts w:ascii="Times New Roman" w:hAnsi="Times New Roman" w:cs="Times New Roman"/>
          <w:sz w:val="28"/>
          <w:szCs w:val="28"/>
          <w:lang w:val="ro-RO"/>
        </w:rPr>
        <w:lastRenderedPageBreak/>
        <w:t>acest scop. Pentru generarea eșantionului agregat, trebuie prelevat un număr adecvat de eșantioane elementare aleatorii și uniform distribuite din cantitatea totală obținută și amestecate/omogenizate cu grijă, în conformitate, pe cât posibil, cu principiile stabilite la punctul 5 și la punctele 9.2 și 9.3. În cazul în care furajul este ambalat în unități individuale, trebuie să se obțină cel puțin 4 unități din care trebuie prelevat cel puțin un eșantion elementar. În cazul în care se demonstrează, de la caz la caz, că unitățile obținute provin din loturi diferite, numărul de unități care trebuie eșantionate trebuie redus și limitat la unitățile care provin din același lot. În cazul analizării eșantionului din vânzare la distanță pentru constituenți sau substanțe care sunt distribuite neuniform în furaje, numărul de eșantioane elementare trebuie să fie de cel puțin 2,5 ori mai mare decât cel al eșantioanelor analizate pentru substanțe distribuite uniform în furaj.</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eșantionul agregat se prelevează apoi eșantioanele finale corespunzătoare (pentru control, pentru apărare și, eventual, pentru referință) în conformitate, în măsura posibilului, cu principiile prevăzute la punctul 9.4, iar procesul-verbal de eșantionare indică faptul că eșantionul este un eșantion din vânzare la distanță. Autoritatea competentă informează imediat operatorul din sectorul hranei pentru animale cu privire la eșantionare. Operatorul din sectorul hranei pentru animale este, de asemenea, informat că un eșantion (pentru apărare) este păstrat, atunci când este posibil, la dispoziția sa de către autoritatea competentă, într-un loc specificat, în scopuri de apărare, sau este trimis operatorului din sectorul hranei pentru animale sau laboratorului desemnat de operatorul din sectorul hranei pentru animale în conformitate cu normele naționale în vigoare.</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eșantionul este trimis direct laboratorului oficial, eșantionul final trebuie preparat și sigilat în laborator de către persoane autorizate în acest scop sau în prezența unor persoane autorizate în acest scop. Procesul-verbal de eșantionare a eșantionului din vânzarea la distanță trebuie trimis imediat după formarea eșantioanelor finale autorității competente, care informează operatorul din sectorul hranei pentru animale cu privire la eșantionare.</w:t>
      </w:r>
    </w:p>
    <w:p w:rsidR="00427724" w:rsidRPr="00427724" w:rsidRDefault="0056062C"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consideră că respectiva cantitate furnizată autorității competente de către operatorul din sectorul hranei pentru animale reprezintă o parte dintr-un lot de hrană pentru animale din aceeași clasă sau cu aceeași descriere. În </w:t>
      </w:r>
      <w:r w:rsidR="00427724" w:rsidRPr="008445BA">
        <w:rPr>
          <w:rFonts w:ascii="Times New Roman" w:hAnsi="Times New Roman" w:cs="Times New Roman"/>
          <w:sz w:val="28"/>
          <w:szCs w:val="28"/>
          <w:lang w:val="ro-RO"/>
        </w:rPr>
        <w:t>conformitate cu art</w:t>
      </w:r>
      <w:r w:rsidR="008445BA" w:rsidRPr="008445BA">
        <w:rPr>
          <w:rFonts w:ascii="Times New Roman" w:hAnsi="Times New Roman" w:cs="Times New Roman"/>
          <w:sz w:val="28"/>
          <w:szCs w:val="28"/>
          <w:lang w:val="ro-RO"/>
        </w:rPr>
        <w:t>.9 la</w:t>
      </w:r>
      <w:r w:rsidR="00427724" w:rsidRPr="008445BA">
        <w:rPr>
          <w:rFonts w:ascii="Times New Roman" w:hAnsi="Times New Roman" w:cs="Times New Roman"/>
          <w:sz w:val="28"/>
          <w:szCs w:val="28"/>
          <w:lang w:val="ro-RO"/>
        </w:rPr>
        <w:t xml:space="preserve"> </w:t>
      </w:r>
      <w:r w:rsidR="008445BA" w:rsidRPr="008445BA">
        <w:rPr>
          <w:rFonts w:ascii="Times New Roman" w:hAnsi="Times New Roman" w:cs="Times New Roman"/>
          <w:sz w:val="28"/>
          <w:szCs w:val="28"/>
          <w:lang w:val="ro-RO"/>
        </w:rPr>
        <w:t xml:space="preserve"> Legea nr.</w:t>
      </w:r>
      <w:r w:rsidR="00F35C9A">
        <w:rPr>
          <w:rFonts w:ascii="Times New Roman" w:hAnsi="Times New Roman" w:cs="Times New Roman"/>
          <w:sz w:val="28"/>
          <w:szCs w:val="28"/>
          <w:lang w:val="ro-RO"/>
        </w:rPr>
        <w:t xml:space="preserve"> </w:t>
      </w:r>
      <w:r w:rsidR="008445BA" w:rsidRPr="008445BA">
        <w:rPr>
          <w:rFonts w:ascii="Times New Roman" w:hAnsi="Times New Roman" w:cs="Times New Roman"/>
          <w:sz w:val="28"/>
          <w:szCs w:val="28"/>
          <w:lang w:val="ro-RO"/>
        </w:rPr>
        <w:t>306/2028 privind siguranța alimentelor</w:t>
      </w:r>
      <w:r w:rsidR="00427724" w:rsidRPr="008445BA">
        <w:rPr>
          <w:rFonts w:ascii="Times New Roman" w:hAnsi="Times New Roman" w:cs="Times New Roman"/>
          <w:sz w:val="28"/>
          <w:szCs w:val="28"/>
          <w:lang w:val="ro-RO"/>
        </w:rPr>
        <w:t>, în cazul în care acea pa</w:t>
      </w:r>
      <w:r w:rsidR="00427724" w:rsidRPr="00427724">
        <w:rPr>
          <w:rFonts w:ascii="Times New Roman" w:hAnsi="Times New Roman" w:cs="Times New Roman"/>
          <w:sz w:val="28"/>
          <w:szCs w:val="28"/>
          <w:lang w:val="ro-RO"/>
        </w:rPr>
        <w:t>rte a lotului este identificată ca nesatisfăcând cerințele</w:t>
      </w:r>
      <w:r w:rsidR="008445BA">
        <w:rPr>
          <w:rFonts w:ascii="Times New Roman" w:hAnsi="Times New Roman" w:cs="Times New Roman"/>
          <w:sz w:val="28"/>
          <w:szCs w:val="28"/>
          <w:lang w:val="ro-RO"/>
        </w:rPr>
        <w:t xml:space="preserve"> de siguranță</w:t>
      </w:r>
      <w:r w:rsidR="00427724" w:rsidRPr="00427724">
        <w:rPr>
          <w:rFonts w:ascii="Times New Roman" w:hAnsi="Times New Roman" w:cs="Times New Roman"/>
          <w:sz w:val="28"/>
          <w:szCs w:val="28"/>
          <w:lang w:val="ro-RO"/>
        </w:rPr>
        <w:t xml:space="preserve">, se presupune, și în cazul unui eșantion din vânzare la distanță, că rezultatele sunt valabile pentru toate furajele din acel lot, cu excepția cazului în care, în urma unei evaluări detaliate (după caz, în </w:t>
      </w:r>
      <w:r w:rsidR="00427724" w:rsidRPr="00427724">
        <w:rPr>
          <w:rFonts w:ascii="Times New Roman" w:hAnsi="Times New Roman" w:cs="Times New Roman"/>
          <w:sz w:val="28"/>
          <w:szCs w:val="28"/>
          <w:lang w:val="ro-RO"/>
        </w:rPr>
        <w:lastRenderedPageBreak/>
        <w:t>cadrul unei inspecții la fața locului), se constată că nu există nicio dovadă că restul lotului nu satisface cerințele</w:t>
      </w:r>
      <w:r w:rsidR="008445BA">
        <w:rPr>
          <w:rFonts w:ascii="Times New Roman" w:hAnsi="Times New Roman" w:cs="Times New Roman"/>
          <w:sz w:val="28"/>
          <w:szCs w:val="28"/>
          <w:lang w:val="ro-RO"/>
        </w:rPr>
        <w:t xml:space="preserve"> de siguranță</w:t>
      </w:r>
      <w:r w:rsidR="00427724" w:rsidRPr="00427724">
        <w:rPr>
          <w:rFonts w:ascii="Times New Roman" w:hAnsi="Times New Roman" w:cs="Times New Roman"/>
          <w:sz w:val="28"/>
          <w:szCs w:val="28"/>
          <w:lang w:val="ro-RO"/>
        </w:rPr>
        <w:t>.</w:t>
      </w:r>
    </w:p>
    <w:p w:rsidR="00427724" w:rsidRDefault="00427724" w:rsidP="00427724">
      <w:pPr>
        <w:tabs>
          <w:tab w:val="left" w:pos="210"/>
        </w:tabs>
        <w:jc w:val="both"/>
        <w:rPr>
          <w:rFonts w:ascii="Times New Roman" w:hAnsi="Times New Roman" w:cs="Times New Roman"/>
          <w:sz w:val="28"/>
          <w:szCs w:val="28"/>
          <w:lang w:val="ro-RO"/>
        </w:rPr>
      </w:pPr>
    </w:p>
    <w:p w:rsidR="00EB383E" w:rsidRPr="00427724" w:rsidRDefault="00EB383E"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970194" w:rsidRDefault="00EB383E" w:rsidP="00970194">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00970194" w:rsidRPr="008C40D5">
        <w:rPr>
          <w:rFonts w:ascii="Times New Roman" w:hAnsi="Times New Roman" w:cs="Times New Roman"/>
          <w:sz w:val="28"/>
          <w:szCs w:val="28"/>
          <w:lang w:val="ro-MD"/>
        </w:rPr>
        <w:t xml:space="preserve">Anexă </w:t>
      </w:r>
      <w:r w:rsidR="00970194">
        <w:rPr>
          <w:rFonts w:ascii="Times New Roman" w:hAnsi="Times New Roman" w:cs="Times New Roman"/>
          <w:sz w:val="28"/>
          <w:szCs w:val="28"/>
          <w:lang w:val="ro-MD"/>
        </w:rPr>
        <w:t>nr.</w:t>
      </w:r>
      <w:r w:rsidR="00DC6FF3">
        <w:rPr>
          <w:rFonts w:ascii="Times New Roman" w:hAnsi="Times New Roman" w:cs="Times New Roman"/>
          <w:sz w:val="28"/>
          <w:szCs w:val="28"/>
          <w:lang w:val="ro-MD"/>
        </w:rPr>
        <w:t>2</w:t>
      </w:r>
    </w:p>
    <w:p w:rsidR="00427724" w:rsidRDefault="00C767A3" w:rsidP="00970194">
      <w:pPr>
        <w:tabs>
          <w:tab w:val="left" w:pos="210"/>
        </w:tabs>
        <w:jc w:val="right"/>
        <w:rPr>
          <w:rFonts w:ascii="Times New Roman" w:hAnsi="Times New Roman" w:cs="Times New Roman"/>
          <w:bCs/>
          <w:sz w:val="28"/>
          <w:szCs w:val="28"/>
          <w:lang w:val="ro-MD"/>
        </w:rPr>
      </w:pPr>
      <w:r w:rsidRPr="00C767A3">
        <w:rPr>
          <w:rFonts w:ascii="Times New Roman" w:hAnsi="Times New Roman" w:cs="Times New Roman"/>
          <w:bCs/>
          <w:sz w:val="28"/>
          <w:szCs w:val="28"/>
          <w:lang w:val="ro-MD"/>
        </w:rPr>
        <w:t>la Hotărârea Guvernului nr.686/2012</w:t>
      </w:r>
    </w:p>
    <w:p w:rsidR="00DC6FF3" w:rsidRPr="00427724" w:rsidRDefault="00DC6FF3" w:rsidP="00970194">
      <w:pPr>
        <w:tabs>
          <w:tab w:val="left" w:pos="210"/>
        </w:tabs>
        <w:jc w:val="right"/>
        <w:rPr>
          <w:rFonts w:ascii="Times New Roman" w:hAnsi="Times New Roman" w:cs="Times New Roman"/>
          <w:i/>
          <w:i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DISPOZIȚII GENERALE PRIVIND METODELE DE ANALIZĂ A FURAJELOR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   PREPARAREA EȘANTIOANELOR PENTRU ANALIZĂ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Procedurile descrise în prezenta anexă se referă la prepararea pentru analiză a eșantioanelor trimise laboratoarelor de control după eșantionare conform dispozițiilor prevăzute în anexa </w:t>
      </w:r>
      <w:r w:rsidR="00526568">
        <w:rPr>
          <w:rFonts w:ascii="Times New Roman" w:hAnsi="Times New Roman" w:cs="Times New Roman"/>
          <w:sz w:val="28"/>
          <w:szCs w:val="28"/>
          <w:lang w:val="ro-RO"/>
        </w:rPr>
        <w:t>nr. 1</w:t>
      </w:r>
      <w:r w:rsidR="00427724" w:rsidRPr="00427724">
        <w:rPr>
          <w:rFonts w:ascii="Times New Roman" w:hAnsi="Times New Roman" w:cs="Times New Roman"/>
          <w:sz w:val="28"/>
          <w:szCs w:val="28"/>
          <w:lang w:val="ro-RO"/>
        </w:rPr>
        <w:t>.</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de laborator trebuie pregătite astfel încât cantitățile prelevate, astfel cum se prevede în metodele de analiză, să fie omogene și reprezentative pentru eșantioanele finale.</w:t>
      </w:r>
    </w:p>
    <w:p w:rsidR="00427724" w:rsidRPr="00427724" w:rsidRDefault="00F35C9A" w:rsidP="00A20DA5">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plus față de procedurile descrise în prezenta anexă, trebuie respectate orientările pentru prepararea eșantioanelor prevăzute în </w:t>
      </w:r>
      <w:r w:rsidR="00A20DA5" w:rsidRPr="00A20DA5">
        <w:rPr>
          <w:rFonts w:ascii="Times New Roman" w:hAnsi="Times New Roman" w:cs="Times New Roman"/>
          <w:sz w:val="28"/>
          <w:szCs w:val="28"/>
          <w:lang w:val="ro-RO"/>
        </w:rPr>
        <w:t>SM EN ISO 6498:2016</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Măsuri de precauție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Procedura de preparare a eșantioanelor care trebuie urmată este în funcție de metodele de analiză care trebuie utilizate și de constituenții sau substanțele care trebuie controlate. De aceea, este extrem de important ca procedura de preparare a eșantioanelor urmată să fie adecvată pentru metoda de analiză utilizată și pentru constituenții sau substanțele care trebuie controlate.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Toate operațiunile necesare trebuie să se efectueze astfel încât să se evite, pe cât posibil, contaminarea eșantionului și modificarea compoziției acestuia.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Măcinarea, amestecarea și cernerea se efectuează fără întârziere în condițiile unei expuneri minime a eșantionului la aer și la lumină. Nu se utilizează râșnițe sau aparate de măcinat care ar putea cauza încălzirea semnificativă a eșantionului.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recomandă ca furajele foarte sensibile la căldură să fie măcinate manual. Trebuie, de asemenea, să se asigure că aparatul în sine nu constituie o sursă de contaminare.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Omogenizarea eșantionului prin prepararea unei suspensii prin amestecare cu apă cu ajutorul unui mixer cu forfecare înaltă s-a dovedit a furniza, în anumite cazuri, subeșantioane mai omogene decât omogenizarea/măcinarea uscată, în special în cazul substanțelor chimice distribuite eterogen. Cu toate acestea, omogenizarea printr-o măcinare uscată suficientă ar putea oferi subeșantioane omogene.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anumite cazuri, cum ar fi pentru determinarea cornului secarei, a impurităților botanice nocive etc., omogenizarea eșantionului nu poate fi realizată prin măcinare, ci prin amestecarea suficientă a eșantionului.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Dacă prepararea nu poate fi efectuată fără modificări semnificative ale conținutului de umiditate al eșantionului, se determină conținutul de umiditate înainte și după preparare, în conformitate cu metoda menționată în partea A din anexa </w:t>
      </w:r>
      <w:r w:rsidR="00526568">
        <w:rPr>
          <w:rFonts w:ascii="Times New Roman" w:hAnsi="Times New Roman" w:cs="Times New Roman"/>
          <w:sz w:val="28"/>
          <w:szCs w:val="28"/>
          <w:lang w:val="ro-RO"/>
        </w:rPr>
        <w:t>nr.3</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3.1.    </w:t>
      </w:r>
      <w:r w:rsidRPr="00427724">
        <w:rPr>
          <w:rFonts w:ascii="Times New Roman" w:hAnsi="Times New Roman" w:cs="Times New Roman"/>
          <w:b/>
          <w:bCs/>
          <w:i/>
          <w:iCs/>
          <w:sz w:val="28"/>
          <w:szCs w:val="28"/>
          <w:lang w:val="ro-RO"/>
        </w:rPr>
        <w:t>Procedura generală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Alicota de test este prelevată din eșantionul final omogenizat. Formarea unui con și selectarea de sferturi nu sunt recomandate deoarece ar putea să se formeze alicote de test care să dea naștere la erori de separare mari.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w:t>
      </w:r>
      <w:r w:rsidRPr="00427724">
        <w:rPr>
          <w:rFonts w:ascii="Times New Roman" w:hAnsi="Times New Roman" w:cs="Times New Roman"/>
          <w:b/>
          <w:bCs/>
          <w:sz w:val="28"/>
          <w:szCs w:val="28"/>
          <w:lang w:val="ro-RO"/>
        </w:rPr>
        <w:t> Furaje care pot fi măcinate ca atare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amestecă eșantionul final și se introduce într-un recipient adecvat, curat și uscat, dotat cu un capac ermetic. Se amestecă din nou pentru a asigura o omogenizare completă, imediat înainte de prelevarea cantității pentru analiză (alicota de test).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w:t>
      </w:r>
      <w:r w:rsidRPr="00427724">
        <w:rPr>
          <w:rFonts w:ascii="Times New Roman" w:hAnsi="Times New Roman" w:cs="Times New Roman"/>
          <w:b/>
          <w:bCs/>
          <w:sz w:val="28"/>
          <w:szCs w:val="28"/>
          <w:lang w:val="ro-RO"/>
        </w:rPr>
        <w:t> Furaje care pot fi măcinate după uscare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Dacă nu se specifică altfel în metodele de analiză, eșantionul final se deshidratează astfel încât umiditatea sa să se reducă la 8-12 %, în conformitate cu procedura de preuscare descrisă la punctul 4.3 din metoda de determinare a umidității </w:t>
      </w:r>
      <w:r w:rsidRPr="00427724">
        <w:rPr>
          <w:rFonts w:ascii="Times New Roman" w:hAnsi="Times New Roman" w:cs="Times New Roman"/>
          <w:sz w:val="28"/>
          <w:szCs w:val="28"/>
          <w:lang w:val="ro-RO"/>
        </w:rPr>
        <w:lastRenderedPageBreak/>
        <w:t xml:space="preserve">menționată în partea A din anexa </w:t>
      </w:r>
      <w:r w:rsidR="00526568">
        <w:rPr>
          <w:rFonts w:ascii="Times New Roman" w:hAnsi="Times New Roman" w:cs="Times New Roman"/>
          <w:sz w:val="28"/>
          <w:szCs w:val="28"/>
          <w:lang w:val="ro-RO"/>
        </w:rPr>
        <w:t>nr. 3</w:t>
      </w:r>
      <w:r w:rsidRPr="00427724">
        <w:rPr>
          <w:rFonts w:ascii="Times New Roman" w:hAnsi="Times New Roman" w:cs="Times New Roman"/>
          <w:sz w:val="28"/>
          <w:szCs w:val="28"/>
          <w:lang w:val="ro-RO"/>
        </w:rPr>
        <w:t>. Se procedează apoi în conformitate cu indicațiile de la punctul 3.1.1.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w:t>
      </w:r>
      <w:r w:rsidRPr="00427724">
        <w:rPr>
          <w:rFonts w:ascii="Times New Roman" w:hAnsi="Times New Roman" w:cs="Times New Roman"/>
          <w:b/>
          <w:bCs/>
          <w:sz w:val="28"/>
          <w:szCs w:val="28"/>
          <w:lang w:val="ro-RO"/>
        </w:rPr>
        <w:t> Furaje lichide sau semilichide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recoltează eșantionul final într-un recipient adecvat, curat și uscat, dotat cu un sistem de închidere ermetică. Se amestecă cu grijă pentru a se asigura o omogenizare completă, imediat înainte de prelevarea cantității pentru analiză (alicota de test).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w:t>
      </w:r>
      <w:r w:rsidRPr="00427724">
        <w:rPr>
          <w:rFonts w:ascii="Times New Roman" w:hAnsi="Times New Roman" w:cs="Times New Roman"/>
          <w:b/>
          <w:bCs/>
          <w:sz w:val="28"/>
          <w:szCs w:val="28"/>
          <w:lang w:val="ro-RO"/>
        </w:rPr>
        <w:t> Alte furaje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Eșantioanele finale care nu pot fi preparate conform uneia dintre procedurile indicate anterior se tratează prin orice altă procedură prin care se asigură că cantitățile prelevate pentru analiză (alicota de test) sunt omogene și reprezentative pentru eșantioanele finale.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3.2.    </w:t>
      </w:r>
      <w:r w:rsidRPr="00427724">
        <w:rPr>
          <w:rFonts w:ascii="Times New Roman" w:hAnsi="Times New Roman" w:cs="Times New Roman"/>
          <w:b/>
          <w:bCs/>
          <w:i/>
          <w:iCs/>
          <w:sz w:val="28"/>
          <w:szCs w:val="28"/>
          <w:lang w:val="ro-RO"/>
        </w:rPr>
        <w:t>Proceduri specifice în cazul examinării prin inspecție vizuală sau la microscop sau în cazurile în care întregul eșantion agregat se omogenizează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unei examinări prin inspecție vizuală (fără a recurge la microscop), întregul eșantion agregat sau final se utilizează pentru examinare.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unei examinări microscopice, laboratorul poate reduce eșantionul agregat sau poate efectua o reducere ulterioară a eșantionului redus. Eșantioanele finale pentru apărare și, eventual, pentru referință sunt prelevate în urma unei proceduri echivalente cu procedura urmată pentru eșantionul final pentru asigurarea respectării legislației.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în care întregul eșantion agregat este omogenizat, eșantioanele finale sunt prelevate din eșantionul agregat omogenizat.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Pentru determinarea cornului secarei și a impurităților botanice nocive, eșantionul final trebuie împărțit în două subeșantioane cu o greutate egală de aproximativ 500 de grame. Se examinează un subeșantion. În cazul în care rezultatul subeșantioanelor este mai mic sau egal cu 50 % (prag analitic) din nivelul maxim, eșantionul este conform cu nivelul maxim. Dacă rezultatul este mai mare de 50 % din nivelul maxim, este necesar să se examineze un alt subeșantion și pentru verificarea conformității cu nivelul maxim se utilizează media rezultatului celor două subeșantioane.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Depozitarea eșantioanelor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Eșantioanele trebuie păstrate la o temperatură care să nu le altereze compoziția. Eșantioanele destinate analizării prezenței vitaminelor sau substanțelor </w:t>
      </w:r>
      <w:r w:rsidR="00427724" w:rsidRPr="00427724">
        <w:rPr>
          <w:rFonts w:ascii="Times New Roman" w:hAnsi="Times New Roman" w:cs="Times New Roman"/>
          <w:sz w:val="28"/>
          <w:szCs w:val="28"/>
          <w:lang w:val="ro-RO"/>
        </w:rPr>
        <w:lastRenderedPageBreak/>
        <w:t>foarte sensibile la lumină se păstrează în condiții care să garanteze că eșantionul nu este afectat în mod negativ de lumină.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B.   DISPOZIȚII PRIVIND REACTIVII ȘI APARATURA UTILIZATE ÎN METODELE DE ANALIZĂ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Dacă nu se specifică altfel în metodele de analiză, toți reactivii destinați analizelor trebuie să fie puri din punct de vedere analitic (p.a.). Pentru analiza prezenței oligoelementelor, puritatea reactivilor se controlează printr-un test martor. În funcție de rezultatele obținute, poate fi necesară o purificare suplimentară a reactivilor.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Pentru orice operație care implică prepararea soluțiilor, diluția, clătirea sau spălarea, menționate în metodele de analiză și pentru care nu există indicații referitoare la natura solventului sau diluantului, se utilizează apa. Ca regulă generală, se utilizează apă demineralizată sau distilată. În cazuri speciale, care sunt indicate în metodele de analiză, apa trebuie supusă unor proceduri de purificare speciale.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Având în vedere dotarea uzuală a laboratoarelor de control, în metodele de analiză se menționează doar instrumentele și aparatura speciale sau care au utilizări specifice. Ele trebuie să fie curate, în special în cazul determinării unor cantități foarte mici de substanțe.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   APLICAREA METODELOR DE ANALIZĂ ȘI PREZENTAREA REZULTATELOR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Procedura de 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 serie de metode determină o procedură de extracție specifică. Ca regulă generală, se pot aplica alte proceduri de extracție decât cea la care se face referire în metodă dacă s-a dovedit că procedura de extracție utilizată are, pentru matricea analizată, o eficiență de extracție echivalentă cu procedura menționată în metodă.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Procedura de purificare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 serie de metode determină o procedură de purificare specifică. Ca regulă generală, se pot aplica alte proceduri de purificare decât cea la care se face referire în metodă dacă s-a dovedit că procedura de purificare utilizată determină, pentru matricea analizată, rezultate analitice echivalente cu procedura menționată în metodă.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Numărul de determinări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cazul analizelor de detectare a substanțelor indezirabile, dacă rezultatul primei determinări este semnificativ (&gt; 50 %) mai mic decât specificația de control, </w:t>
      </w:r>
      <w:r w:rsidR="00427724" w:rsidRPr="00427724">
        <w:rPr>
          <w:rFonts w:ascii="Times New Roman" w:hAnsi="Times New Roman" w:cs="Times New Roman"/>
          <w:sz w:val="28"/>
          <w:szCs w:val="28"/>
          <w:lang w:val="ro-RO"/>
        </w:rPr>
        <w:lastRenderedPageBreak/>
        <w:t>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controlului nivelurilor minime sau maxime de aditivi furajeri, dacă rezultatul primei determinări este peste nivelul minim sau sub nivelul maxim,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controlului privind conținutul declarat pentru o anumită substanță sau un anumit ingredient, dacă rezultatul primei determinări confirmă conținutul declarat, adică rezultatul analizei se situează în interiorul intervalului de variație acceptat, nu sunt necesare alte determinări, cu condiția să fie aplicate procedurile calitative adecvate. În alte cazuri, o analiză duplicat (a doua determinare) este necesară pentru a exclude posibilitatea contaminării încrucișate interne sau a încurcării accidentale a eșantioanelor. Media celor două determinări este utilizată pentru o evaluare suplimentară (rezultatul analitic mediu se încadrează sau nu în intervalul acceptabil de variație a conținutului declarat).</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unele cazuri, acest interval acceptabil de variație este definit în </w:t>
      </w:r>
      <w:r w:rsidR="00172C4F">
        <w:rPr>
          <w:rFonts w:ascii="Times New Roman" w:hAnsi="Times New Roman" w:cs="Times New Roman"/>
          <w:sz w:val="28"/>
          <w:szCs w:val="28"/>
          <w:lang w:val="ro-RO"/>
        </w:rPr>
        <w:t>Cerințele sanitar-veterinare față de hrana pentru animale, aprobate prin Hotărârea Guvernului nr. 910/2020</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Raportarea metodei de analiză utilizate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Raportul de analiză menționează metoda de analiză utilizată.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Raportarea rezultatului analitic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Rezultatul analitic se exprimă în maniera indicată în metoda de analiză, cu un număr adecvat de zecimale și se ajustează, dacă este cazul, la conținutul de umiditate al eșantionului final înainte de preparare.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Majoritatea nivelurilor reglementate (de exemplu, nivelul maxim, nivelul minim) din legislația </w:t>
      </w:r>
      <w:r w:rsidR="00BD1BCC">
        <w:rPr>
          <w:rFonts w:ascii="Times New Roman" w:hAnsi="Times New Roman" w:cs="Times New Roman"/>
          <w:sz w:val="28"/>
          <w:szCs w:val="28"/>
          <w:lang w:val="ro-RO"/>
        </w:rPr>
        <w:t>națională</w:t>
      </w:r>
      <w:r w:rsidR="00427724" w:rsidRPr="00427724">
        <w:rPr>
          <w:rFonts w:ascii="Times New Roman" w:hAnsi="Times New Roman" w:cs="Times New Roman"/>
          <w:sz w:val="28"/>
          <w:szCs w:val="28"/>
          <w:lang w:val="ro-RO"/>
        </w:rPr>
        <w:t xml:space="preserve"> privind hrana pentru animale sunt stabilite în raport cu un furaj cu un conținut de umiditate de 12 %. Prin urmare, în aceste cazuri, pentru </w:t>
      </w:r>
      <w:r w:rsidR="00427724" w:rsidRPr="00427724">
        <w:rPr>
          <w:rFonts w:ascii="Times New Roman" w:hAnsi="Times New Roman" w:cs="Times New Roman"/>
          <w:sz w:val="28"/>
          <w:szCs w:val="28"/>
          <w:lang w:val="ro-RO"/>
        </w:rPr>
        <w:lastRenderedPageBreak/>
        <w:t>a evalua rezultatul analitic măsurat pe eșantion în raport cu nivelul de reglementare, rezultatul analitic trebuie mai întâi împărțit la conținutul de substanță uscată al eșantionului (în %) înmulțit cu 88, astfel cum se indică în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755140" cy="567690"/>
            <wp:effectExtent l="0" t="0" r="0" b="3810"/>
            <wp:docPr id="37" name="Imagine 37" descr="C:\Users\User MAIA\AppData\Local\Microsoft\Windows\INetCache\Content.MSO\AFFD84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MAIA\AppData\Local\Microsoft\Windows\INetCache\Content.MSO\AFFD840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140" cy="56769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58"/>
        <w:gridCol w:w="78"/>
        <w:gridCol w:w="897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Mc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umiditate al eșantionului (în %). 100 – Mc reprezintă, prin urmare, conținutul de substanță uscată al eșantionului (în %).</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872"/>
        <w:gridCol w:w="154"/>
        <w:gridCol w:w="838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R</w:t>
            </w:r>
            <w:r w:rsidRPr="00427724">
              <w:rPr>
                <w:rFonts w:ascii="Times New Roman" w:hAnsi="Times New Roman" w:cs="Times New Roman"/>
                <w:i/>
                <w:iCs/>
                <w:sz w:val="28"/>
                <w:szCs w:val="28"/>
                <w:vertAlign w:val="subscript"/>
                <w:lang w:val="ro-RO"/>
              </w:rPr>
              <w:t>ana</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rezultatul analitic măsurat pe eșantion</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46"/>
        <w:gridCol w:w="78"/>
        <w:gridCol w:w="878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R</w:t>
            </w:r>
            <w:r w:rsidRPr="00427724">
              <w:rPr>
                <w:rFonts w:ascii="Times New Roman" w:hAnsi="Times New Roman" w:cs="Times New Roman"/>
                <w:i/>
                <w:iCs/>
                <w:sz w:val="28"/>
                <w:szCs w:val="28"/>
                <w:vertAlign w:val="subscript"/>
                <w:lang w:val="ro-RO"/>
              </w:rPr>
              <w:t>12 %</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 pentru un furaj cu un conținut de umiditate de 12 %; a se evalua în raport cu nivelul de reglementare.</w:t>
            </w:r>
          </w:p>
        </w:tc>
      </w:tr>
    </w:tbl>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plus, dacă sunt îndeplinite următoarele condiții: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rezultatul analizei este semnificativ (&gt; 50 %) mai mic sau mai mare decât informațiile de etichetare/specificațiile care trebuie controlate (după caz, dacă trebuie controlat nivelul maxim, respectiv minim al informațiilor de etichetare/specificații);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conținutul de umiditate al furajelor eșantionate este cunoscut și se poate stabili faptul că corecția conținutului de umiditate nu va modifica evaluarea,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atunci, cu condiția ca procedurile de calitate adecvate să fie aplicate și ca analiza să servească doar la verificarea conformității cu dispozițiile legale, corecția conținutului de umiditate ar putea fi omisă (de exemplu, în cazurile în care nu există nicio specificație sau nivel de reglementare), cu excepția cazului în care acest lucru este necesar pentru interpretare.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rezultatul analitic este ajustat pentru conținutul de umiditate, incertitudinea de măsurare corespunzătoare trebuie, de asemenea, să fie ajustată în cadrul aceleiași proceduri.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determinării cornului secarei sau a impurităților botanice nocive prin examinare vizuală/microscopică, nu este necesară ajustarea conținutului de umiditate.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Incertitudinea de măsurare analitică și rata de recuperare în cazul analizelor de detectare a substanțelor indezirabile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ce privește substanțele indezirabile, în sensul </w:t>
      </w:r>
      <w:r w:rsidR="00B3443F" w:rsidRPr="00B3443F">
        <w:rPr>
          <w:rFonts w:ascii="Times New Roman" w:hAnsi="Times New Roman" w:cs="Times New Roman"/>
          <w:sz w:val="28"/>
          <w:szCs w:val="28"/>
          <w:lang w:val="ro-RO"/>
        </w:rPr>
        <w:t>Cerințel</w:t>
      </w:r>
      <w:r w:rsidR="00B3443F">
        <w:rPr>
          <w:rFonts w:ascii="Times New Roman" w:hAnsi="Times New Roman" w:cs="Times New Roman"/>
          <w:sz w:val="28"/>
          <w:szCs w:val="28"/>
          <w:lang w:val="ro-RO"/>
        </w:rPr>
        <w:t>or</w:t>
      </w:r>
      <w:r w:rsidR="00B3443F" w:rsidRPr="00B3443F">
        <w:rPr>
          <w:rFonts w:ascii="Times New Roman" w:hAnsi="Times New Roman" w:cs="Times New Roman"/>
          <w:sz w:val="28"/>
          <w:szCs w:val="28"/>
          <w:lang w:val="ro-RO"/>
        </w:rPr>
        <w:t xml:space="preserve"> sanitar-veterinare față de hrana pentru animale, aprobate prin Hotărârea Guvernului nr.910/2020</w:t>
      </w:r>
      <w:r w:rsidR="00427724" w:rsidRPr="00427724">
        <w:rPr>
          <w:rFonts w:ascii="Times New Roman" w:hAnsi="Times New Roman" w:cs="Times New Roman"/>
          <w:sz w:val="28"/>
          <w:szCs w:val="28"/>
          <w:lang w:val="ro-RO"/>
        </w:rPr>
        <w:t xml:space="preserve">, un </w:t>
      </w:r>
      <w:r w:rsidR="00427724" w:rsidRPr="00427724">
        <w:rPr>
          <w:rFonts w:ascii="Times New Roman" w:hAnsi="Times New Roman" w:cs="Times New Roman"/>
          <w:sz w:val="28"/>
          <w:szCs w:val="28"/>
          <w:lang w:val="ro-RO"/>
        </w:rPr>
        <w:lastRenderedPageBreak/>
        <w:t>produs destinat utilizării în furaje se consideră neconform cu conținutul maxim stabilit dacă rezultatul analitic calculat ca media a două determinări independente, referitor la un furaj cu un conținut de umiditate de 12 %, este considerat ca depășind conținutul maxim, ținând cont de incertitudinea de măsurare analitică extinsă folosind un factor de acoperire 2 care conferă un nivel de încredere de aproximativ 95 % și de ajustarea pentru recuperare. Aceasta înseamnă că, pentru a evalua conformitatea, concentrația analizată se utilizează după ce a fost ajustată pentru recuperare și după ce s-a dedus incertitudinea de măsurare analitică extinsă. Această procedură se aplică numai în cazurile în care metoda de analiză permite estimarea incertitudinii de măsurare analitică extinse și a ajustării pentru recuperare. (de exemplu, nu este necesar în cazul examinării vizuale/microscopice).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Rezultatul analitic se raportează în modul următor (în măsura în care metoda de analiză utilizată permite estimarea incertitudinii de măsurare analitică extinse):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ajustat pentru recuperare, dacă este cazul și dacă este relevant, cu menționarea faptului că a fost ajustat. Rata de 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w:t>
      </w:r>
      <w:r w:rsidR="001A5A22">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ca „x +/– U”, unde x este rezultatul analitic și U este incertitudinea de măsurare analitică extinsă, folosind un factor de acoperire 2, care dă un nivel de încredere de aproximativ 95 %.</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Totuși, dacă rezultatul analizei este semnificativ (&gt; 50 %) mai mic decât specificația de control și cu condiția ca procedurile calitative corespunzătoare să fie aplicate și ca analiza să servească doar verificării conformității cu prevederile legale, raportarea ratei de recuperare și a incertitudinii de măsurare analitică extinse ar putea fi omisă (de exemplu, în cazul în care nu există nicio specificație sau nivel de reglementare), cu excepția cazului în care incertitudinea de măsurare este necesară pentru interpretare.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7.   </w:t>
      </w:r>
      <w:r w:rsidRPr="00427724">
        <w:rPr>
          <w:rFonts w:ascii="Times New Roman" w:hAnsi="Times New Roman" w:cs="Times New Roman"/>
          <w:b/>
          <w:bCs/>
          <w:i/>
          <w:iCs/>
          <w:sz w:val="28"/>
          <w:szCs w:val="28"/>
          <w:lang w:val="ro-RO"/>
        </w:rPr>
        <w:t> Incertitudinea de măsurare analitică și rata de recuperare în cazul analizei conținutului de aditivi furajeri</w:t>
      </w:r>
    </w:p>
    <w:p w:rsidR="001A5A22"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verifica conformitatea cu conținutul minim și maxim autorizat de aditivi furajeri, prezența unui aditiv furajer este considerată neconformă cu conținutul minim și maxim stabilit dacă rezultatul analitic, calculat ca media două determinări independente, în raport cu un furaj cu un conținut de umiditate de 12 %, este considerat: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că depășește conținutul maxim,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dedus incertitudinea de măsurare analitică extinsă;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că este sub conținutul minim, ținând seama de incertitudinea de măsurare analitică extinsă și de ajustarea pentru recuperare. Aceasta înseamnă că, pentru a evalua conformitatea, concentrația analizată (și anume, media a două determinări) se utilizează după ce a fost ajustată pentru recuperare și după ce s-a adăugat incertitudinea de măsurare analitică extinsă.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rezultatul analitic al eșantionului prelevat pentru apărare depășește conținutul maxim (fără a lua în considerare incertitudinea de măsurare analitică extinsă), acest lucru confirmă neconformitatea constatată cu eșantionul de control, în absența unor norme naționale specifice în acest sens.</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Rezultatul analitic se raportează în modul următor (în măsura în care metoda de analiză utilizată permite estimarea incertitudinii de măsurare analitică extinse):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ajustat pentru recuperare, dacă este cazul și dacă este relevant, cu menționarea faptului că a fost ajustat. Rata de recuperare trebuie indicată, cu excepția cazului în care corecția intrinsecă pentru eroare sistematică face parte din procedură, unde eroarea sistematică este diferența dintre valoarea măsurată și concentrația de referință. Ajustarea pentru recuperare nu este necesară în cazul în care rata de recuperare este între 90 și 110 %.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ca „x +/– U”, unde x este rezultatul analitic (media a două determinări) și U este incertitudinea de măsurare analitică extinsă, folosind un factor de acoperire 2, care dă un nivel de încredere de aproximativ 95 %.</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DC6FF3" w:rsidRDefault="00DC6FF3" w:rsidP="00DC6FF3">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Pr="008C40D5">
        <w:rPr>
          <w:rFonts w:ascii="Times New Roman" w:hAnsi="Times New Roman" w:cs="Times New Roman"/>
          <w:sz w:val="28"/>
          <w:szCs w:val="28"/>
          <w:lang w:val="ro-MD"/>
        </w:rPr>
        <w:t xml:space="preserve">Anexă </w:t>
      </w:r>
      <w:r>
        <w:rPr>
          <w:rFonts w:ascii="Times New Roman" w:hAnsi="Times New Roman" w:cs="Times New Roman"/>
          <w:sz w:val="28"/>
          <w:szCs w:val="28"/>
          <w:lang w:val="ro-MD"/>
        </w:rPr>
        <w:t>nr.3</w:t>
      </w:r>
    </w:p>
    <w:p w:rsidR="00DC6FF3" w:rsidRDefault="00C767A3" w:rsidP="00DC6FF3">
      <w:pPr>
        <w:tabs>
          <w:tab w:val="left" w:pos="210"/>
        </w:tabs>
        <w:jc w:val="right"/>
        <w:rPr>
          <w:rFonts w:ascii="Times New Roman" w:hAnsi="Times New Roman" w:cs="Times New Roman"/>
          <w:b/>
          <w:bCs/>
          <w:sz w:val="28"/>
          <w:szCs w:val="28"/>
          <w:lang w:val="ro-RO"/>
        </w:rPr>
      </w:pPr>
      <w:r w:rsidRPr="00C767A3">
        <w:rPr>
          <w:rFonts w:ascii="Times New Roman" w:hAnsi="Times New Roman" w:cs="Times New Roman"/>
          <w:bCs/>
          <w:sz w:val="28"/>
          <w:szCs w:val="28"/>
          <w:lang w:val="ro-MD"/>
        </w:rPr>
        <w:t>la Hotărârea Guvernului nr.686/2012</w:t>
      </w:r>
    </w:p>
    <w:p w:rsidR="00427724" w:rsidRPr="00427724" w:rsidRDefault="00427724" w:rsidP="00DC6FF3">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ANALIZĂ DE CONTROL AL COMPOZIȚIEI MATERIILOR PRIME FURAJERE ȘI AL FURAJELOR COMBINATE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   DETERMINAREA UMIDITĂȚII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conținutului de umiditate al furajelor. În cazul furajelor care conțin substanțe volatile, cum sunt acizii organici, este de notat că o dată cu determinarea conținutului de umiditate se determină și un număr semnificativ de substanțe volatile.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nu se aplică în cazul analizei produselor lactate utilizate ca materii prime furajere și al furajelor combinate care constau în principal din produse lactate, analizei grăsimilor și uleiurilor de origine animală și vegetală sau analizei semințelor și a fructelor oleaginoase.</w:t>
      </w:r>
    </w:p>
    <w:p w:rsidR="00427724" w:rsidRPr="00427724" w:rsidRDefault="00F35C9A" w:rsidP="000C1678">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Determinarea conținutului de umiditate din semințele oleaginoase se determină prin metoda prevăzută în </w:t>
      </w:r>
      <w:r w:rsidR="000C1678" w:rsidRPr="000C1678">
        <w:rPr>
          <w:rFonts w:ascii="Times New Roman" w:hAnsi="Times New Roman" w:cs="Times New Roman"/>
          <w:sz w:val="28"/>
          <w:szCs w:val="28"/>
          <w:lang w:val="ro-RO"/>
        </w:rPr>
        <w:t>SM EN ISO 665:2020</w:t>
      </w:r>
      <w:r w:rsidR="000C1678">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„Determinarea conținutului de umiditate și de materii volatile”, cu mențiunea că boabele de soia trebuie să fie măcinate înainte de determinarea conținutului de umiditate.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deshidratează în condiții specificate, care variază în funcție de natura furajelor. Pierderea de greutate se determină prin cântărire. Este necesar să se efectueze o uscare prealabilă atunci când se analizează furaje solide cu conținut ridicat de umiditate.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Moară construită dintr-un material care nu absoarbe umiditatea, ușor de curățat, care permite o zdrobire rapidă și uniformă, fără a provoca încălzire semnificativă, care evită pe cât posibil contactul cu aerul exterior și care corespunde cerințelor menționate la punctele 4.1.1 și 4.1.2 (de exemplu, micro-mori cu ciocane sau răcite cu apă, mori conice pliabile sau mori cu mecanism lent sau cu discuri dințate).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Balanță analitică, cu toleranță de 1 mg.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3.3. Recipiente uscate din metal care nu se corodează sau din sticlă cu capace ermetice; suprafața de lucru permite împrăștierea eșantionului până la aproximativ 0,3 g/cm</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Cuptor izoterm cu încălzire electrică (± 2 °C), ventilat corespunzător și care asigură o reglare rapidă a temperaturii.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Cuptor vidat cu încălzire electrică, reglabil, dotat cu o pompă de ulei și cu: fie un mecanism de introducere a aerului fierbinte uscat, fie un agent de desicare (de exemplu, oxid de calciu).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Desicator cu o placă din metal sau porțelan, groasă, perforată, conținând un agent de desicare eficient.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Procedura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N.B.: Operațiile descrise în această secțiune se efectuează imediat după deschiderea ambalajelor care conțin eșantioanele. Analizele trebuie să fie efectuate cel puțin în duplicat.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4.1.    </w:t>
      </w:r>
      <w:r w:rsidRPr="00427724">
        <w:rPr>
          <w:rFonts w:ascii="Times New Roman" w:hAnsi="Times New Roman" w:cs="Times New Roman"/>
          <w:b/>
          <w:bCs/>
          <w:i/>
          <w:iCs/>
          <w:sz w:val="28"/>
          <w:szCs w:val="28"/>
          <w:lang w:val="ro-RO"/>
        </w:rPr>
        <w:t>Preparare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4.1.1.   </w:t>
      </w:r>
      <w:r w:rsidRPr="00427724">
        <w:rPr>
          <w:rFonts w:ascii="Times New Roman" w:hAnsi="Times New Roman" w:cs="Times New Roman"/>
          <w:b/>
          <w:bCs/>
          <w:sz w:val="28"/>
          <w:szCs w:val="28"/>
          <w:lang w:val="ro-RO"/>
        </w:rPr>
        <w:t> Furaje care nu sunt menționate la punctele 4.1.2 și 4.1.3</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prelevează cel puțin 50 g de eșantion. Dacă este necesar, se zdrobește sau se divizează astfel încât să se evite orice variație a conținutului de umiditate (a se vedea punctul 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4.1.2.   </w:t>
      </w:r>
      <w:r w:rsidRPr="00427724">
        <w:rPr>
          <w:rFonts w:ascii="Times New Roman" w:hAnsi="Times New Roman" w:cs="Times New Roman"/>
          <w:b/>
          <w:bCs/>
          <w:sz w:val="28"/>
          <w:szCs w:val="28"/>
          <w:lang w:val="ro-RO"/>
        </w:rPr>
        <w:t> Cereale și tărâțe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prelevează cel puțin 50 g de eșantion. Se macină în particule din care cel puțin 50 % trec printr-o sită cu orificii de 0,5 mm și care nu determină un reziduu mai mare de 10 % în cazul folosirii unei site cu orificii rotunde cu diametru de 1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4.1.3.   </w:t>
      </w:r>
      <w:r w:rsidRPr="00427724">
        <w:rPr>
          <w:rFonts w:ascii="Times New Roman" w:hAnsi="Times New Roman" w:cs="Times New Roman"/>
          <w:b/>
          <w:bCs/>
          <w:sz w:val="28"/>
          <w:szCs w:val="28"/>
          <w:lang w:val="ro-RO"/>
        </w:rPr>
        <w:t> Furaje lichide sau păstoase, furaje constituite în mod predominant din uleiuri și grăsimi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prelevează aproximativ 25 g din eșantion, se cântărește cu o abatere de 10 mg, se adaugă o cantitate adecvată de nisip anhidru cântărită cu o abatere de 10 mg și se amestecă până la obținerea unui produs omogen.</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4.2.    </w:t>
      </w:r>
      <w:r w:rsidRPr="00427724">
        <w:rPr>
          <w:rFonts w:ascii="Times New Roman" w:hAnsi="Times New Roman" w:cs="Times New Roman"/>
          <w:b/>
          <w:bCs/>
          <w:i/>
          <w:iCs/>
          <w:sz w:val="28"/>
          <w:szCs w:val="28"/>
          <w:lang w:val="ro-RO"/>
        </w:rPr>
        <w:t>Uscare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usucă un recipient (punctul 3.3) împreună cu capacul său în cuptorul reglat la 103 °C timp de 30 de minute +/– 1 min. Se scoate din cuptor și se lasă să se răcească la temperatura ambiantă în desicator (punctul 3.6).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4.2.1.   </w:t>
      </w:r>
      <w:r w:rsidRPr="00427724">
        <w:rPr>
          <w:rFonts w:ascii="Times New Roman" w:hAnsi="Times New Roman" w:cs="Times New Roman"/>
          <w:b/>
          <w:bCs/>
          <w:sz w:val="28"/>
          <w:szCs w:val="28"/>
          <w:lang w:val="ro-RO"/>
        </w:rPr>
        <w:t> Furaje care nu sunt menționate la punctele 4.2.2 și 4.2.3</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recipientul împreună cu capacul său, cu o abatere de 1 mg. În recipientul respectiv se cântărește, cu o abatere de 1 mg, o cantitate de aproximativ 5 g de eșantion și se împrăștie uniform. Recipientul se introduce, fără capac, în cuptorul preîncălzit la 103 °C. Pentru a împiedica scăderea inadecvată a temperaturii din cuptor, recipientul se introduce cât mai rapid posibil. Se lasă la uscat timp de patru ore, calculate din momentul în care temperatura din cuptor revine la 103 °C. Se deschide cuptorul, se așază imediat capacul pe recipient, se scoate acesta din urmă din cuptor, se lasă să se răcească timp de 30-45 de minute în desicator (punctul 3.6) și se cântărește cu o abatere de 1 mg.</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furajelor constituite în mod predominant (&gt; 50 %) din uleiuri și grăsimi de origine animală și vegetală, uscarea în cuptor se prelungește cu 30 de minute, la 103 °C. Diferența între cele două cântăriri nu trebuie să depășească 0,1 % în umiditate.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4.2.2.   </w:t>
      </w:r>
      <w:r w:rsidRPr="00427724">
        <w:rPr>
          <w:rFonts w:ascii="Times New Roman" w:hAnsi="Times New Roman" w:cs="Times New Roman"/>
          <w:b/>
          <w:bCs/>
          <w:sz w:val="28"/>
          <w:szCs w:val="28"/>
          <w:lang w:val="ro-RO"/>
        </w:rPr>
        <w:t> Cereale, făină fină, tărâțe și făină grunjoasă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recipientul împreună cu capacul său, cu o abatere de 0,5 mg. În recipientul respectiv se cântărește, cu o abatere de 1 mg, o cantitate de aproximativ 5 g de eșantion măcinat și se împrăștie uniform. Recipientul se introduce, fără capac, în cuptorul preîncălzit la 130 °C. Pentru a împiedica scăderea inadecvată a temperaturii din cuptor, recipientul se introduce cât mai rapid posibil. Se lasă la uscat timp de două ore, considerate din momentul în care temperatura din cuptor revine la 130 °C. Se deschide cuptorul, se așază imediat capacul pe recipient, se scoate acesta din urmă din cuptor, se lasă să se răcească timp de 30-45 de minute în desicator (punctul 3.6) și se cântărește cu o abatere de 1 mg.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4.2.3.   </w:t>
      </w:r>
      <w:r w:rsidRPr="00427724">
        <w:rPr>
          <w:rFonts w:ascii="Times New Roman" w:hAnsi="Times New Roman" w:cs="Times New Roman"/>
          <w:b/>
          <w:bCs/>
          <w:sz w:val="28"/>
          <w:szCs w:val="28"/>
          <w:lang w:val="ro-RO"/>
        </w:rPr>
        <w:t> Furaje combinate conținând peste 4 % zaharoză sau lactoză: materii prime furajere precum semințele de roșcove, produsele cerealiere hidrolizate, semințele de malț, bucăți de sfeclă uscată, solubilizate de pește și zaharuri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cântărește recipientul împreună cu capacul său, cu o abatere de 0,5 mg. În recipientul respectiv se cântărește, cu o abatere de 1 mg, o cantitate de aproximativ 5 g de eșantion și se împrăștie uniform. Recipientul se introduce, fără capac, în cuptorul vidat (punctul 3.5) preîncălzit la o temperatură cuprinsă între 80 °C și 85 °C. </w:t>
      </w:r>
      <w:r w:rsidR="00427724" w:rsidRPr="00427724">
        <w:rPr>
          <w:rFonts w:ascii="Times New Roman" w:hAnsi="Times New Roman" w:cs="Times New Roman"/>
          <w:sz w:val="28"/>
          <w:szCs w:val="28"/>
          <w:lang w:val="ro-RO"/>
        </w:rPr>
        <w:lastRenderedPageBreak/>
        <w:t>Pentru a împiedica scăderea inadecvată a temperaturii din cuptor, recipientul se introduce cât mai rapid posibil.</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aduce presiunea la 100 Torr și se lasă la uscat, la această presiune, timp de patru ore, fie într-un curent de aer uscat și cald, fie cu ajutorul unui agent de desicare (aproximativ 300 g pentru 20 de eșantioane). În al doilea caz, pompa de vid se deconectează după ce se obține presiunea recomandată. Durata de uscare se calculează din momentul în care temperatura în cuptor revine la o valoare cuprinsă între 80 °C și 85 °C. Presiunea cuptorului se readuce cu grijă până la nivelul presiunii atmosferice. Se deschide cuptorul, se așază imediat capacul pe recipient, se scoate recipientul din cuptor, se lasă să se răcească timp de 30-45 de minute în desicator (punctul 3.6) și se cântărește cu o abatere de 1 mg. Uscarea în cuptorul vidat se prelungește cu încă 30 de minute la o temperatură cuprinsă între 80 °C și 85 °C și se recântărește. Diferența între cele două cântăriri nu trebuie să depășească 0,1 % în umiditate.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4.3.    </w:t>
      </w:r>
      <w:r w:rsidRPr="00427724">
        <w:rPr>
          <w:rFonts w:ascii="Times New Roman" w:hAnsi="Times New Roman" w:cs="Times New Roman"/>
          <w:b/>
          <w:bCs/>
          <w:i/>
          <w:iCs/>
          <w:sz w:val="28"/>
          <w:szCs w:val="28"/>
          <w:lang w:val="ro-RO"/>
        </w:rPr>
        <w:t>Uscarea prealabilă (parțială)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Este necesară uscarea parțială a furajelor „umede” cu o fracțiune masică mai mică de 85 % substanță uscată (de exemplu, nutreț, rații totale amestecate, furaje nelichide) înainte de măcinarea fină, pentru a analiza substanțele stabile ale acestora; pentru substanțele instabile, uscarea parțială nu este posibilă.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Uscarea parțială se poate efectua cu un cuptor cu aer forțat, cu un cuptor cu microunde sau prin liofilizare. Cu excepția uscării parțiale prin liofilizare, scopul este uscarea furajului menținând în același timp temperatura eșantionului sub 60 °C, astfel încât compoziția chimică să fie minim afectată. Uscarea la temperaturi mai mari de 60 °C provoacă modificări chimice în furaje (de exemplu, degradarea proteinelor). Furajul uscat se echilibrează la temperatura camerei timp de aproximativ 15 minute înainte de măsurarea materiei uscate parțiale, astfel încât să se reducă la minimum modificarea potențială a umidității care poate apărea în timpul măcinării și depozitării. Uscarea la temperaturi mai mici de 60 °C nu îndepărtează toată apa din furaj; prin urmare, uscarea parțială (inițială) nu reprezintă substanța uscată totală a furajului. După uscare, subeșantionul este măcinat și analizat pentru a se stabili conținutul de substanță uscată (finală) al eșantionului parțial uscat (restul de umiditate între 3 % și 15 %) atunci când se determină alți constituenți chimici.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Prin urmare, se recomandă o procedură în două etape pentru determinarea substanței uscate. Se determină mai întâi conținutul parțial de substanță uscată (în cazul în care acesta este mai mic de 85 %), apoi se determină conținutul de substanță </w:t>
      </w:r>
      <w:r w:rsidR="00427724" w:rsidRPr="00427724">
        <w:rPr>
          <w:rFonts w:ascii="Times New Roman" w:hAnsi="Times New Roman" w:cs="Times New Roman"/>
          <w:sz w:val="28"/>
          <w:szCs w:val="28"/>
          <w:lang w:val="ro-RO"/>
        </w:rPr>
        <w:lastRenderedPageBreak/>
        <w:t>uscată rămasă pe un eșantion de testat măcinat și se înmulțește substanța uscată parțială cu substanța uscată rămasă pentru a determina conținutul total de substanță uscată.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Calculul rezultatelor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Conținutul de umiditate (X) al eșantionului, în procente, se calculează prin utilizarea formulelor următoare: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Uscare fără uscare prealabilă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986280" cy="514985"/>
            <wp:effectExtent l="0" t="0" r="0" b="0"/>
            <wp:docPr id="36" name="Imagine 36" descr="C:\Users\User MAIA\AppData\Local\Microsoft\Windows\INetCache\Content.MSO\CC7012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MAIA\AppData\Local\Microsoft\Windows\INetCache\Content.MSO\CC7012A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6280" cy="514985"/>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34"/>
        <w:gridCol w:w="242"/>
        <w:gridCol w:w="883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inițială, în grame, a eșantionului de testat,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81"/>
        <w:gridCol w:w="246"/>
        <w:gridCol w:w="867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eșantionului de testat uscat.</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Uscare cu uscare prealabilă</w:t>
      </w:r>
      <w:r w:rsidRPr="00427724">
        <w:rPr>
          <w:rFonts w:ascii="Times New Roman" w:hAnsi="Times New Roman" w:cs="Times New Roman"/>
          <w:b/>
          <w:bCs/>
          <w:sz w:val="28"/>
          <w:szCs w:val="28"/>
          <w:lang w:val="ro-RO"/>
        </w:rPr>
        <w:t> (</w:t>
      </w:r>
      <w:hyperlink r:id="rId28" w:anchor="E0028" w:history="1">
        <w:r w:rsidRPr="00427724">
          <w:rPr>
            <w:rStyle w:val="Hyperlink"/>
            <w:rFonts w:ascii="Times New Roman" w:hAnsi="Times New Roman" w:cs="Times New Roman"/>
            <w:b/>
            <w:bCs/>
            <w:sz w:val="28"/>
            <w:szCs w:val="28"/>
            <w:lang w:val="ro-RO"/>
          </w:rPr>
          <w:t> </w:t>
        </w:r>
        <w:r w:rsidRPr="00427724">
          <w:rPr>
            <w:rStyle w:val="Hyperlink"/>
            <w:rFonts w:ascii="Times New Roman" w:hAnsi="Times New Roman" w:cs="Times New Roman"/>
            <w:b/>
            <w:bCs/>
            <w:sz w:val="28"/>
            <w:szCs w:val="28"/>
            <w:vertAlign w:val="superscript"/>
            <w:lang w:val="ro-RO"/>
          </w:rPr>
          <w:t>13</w:t>
        </w:r>
        <w:r w:rsidRPr="00427724">
          <w:rPr>
            <w:rStyle w:val="Hyperlink"/>
            <w:rFonts w:ascii="Times New Roman" w:hAnsi="Times New Roman" w:cs="Times New Roman"/>
            <w:b/>
            <w:bCs/>
            <w:sz w:val="28"/>
            <w:szCs w:val="28"/>
            <w:lang w:val="ro-RO"/>
          </w:rPr>
          <w:t> </w:t>
        </w:r>
      </w:hyperlink>
      <w:r w:rsidRPr="00427724">
        <w:rPr>
          <w:rFonts w:ascii="Times New Roman" w:hAnsi="Times New Roman" w:cs="Times New Roman"/>
          <w:b/>
          <w:bCs/>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5664835" cy="651510"/>
            <wp:effectExtent l="0" t="0" r="0" b="0"/>
            <wp:docPr id="35" name="Imagine 35" descr="C:\Users\User MAIA\AppData\Local\Microsoft\Windows\INetCache\Content.MSO\DDA3E6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MAIA\AppData\Local\Microsoft\Windows\INetCache\Content.MSO\DDA3E64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835" cy="65151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34"/>
        <w:gridCol w:w="242"/>
        <w:gridCol w:w="883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inițială, în grame, a eșantionului de testat,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4"/>
        <w:gridCol w:w="187"/>
        <w:gridCol w:w="885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eșantionului de testat după uscare prealabilă,</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39"/>
        <w:gridCol w:w="174"/>
        <w:gridCol w:w="889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eșantionului de testat după zdrobire sau măcinare,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81"/>
        <w:gridCol w:w="246"/>
        <w:gridCol w:w="867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eșantionului de testat uscat.</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Repetabilitate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obținute în două determinări paralele efectuate pe același eșantion nu depășește 0,2 % din valoarea absolută pentru umiditate, cu excepția hranei umede pentru animale de companie și a produselor de ros pentru câini, în cazul cărora diferența nu depășește 0,5 % din valoarea absolută pentru umiditate.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Observație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Dacă zdrobirea se dovedește a fi necesară și dacă această acțiune poate modifica conținutul de umiditate al produsului, rezultatele analizei referitoare la </w:t>
      </w:r>
      <w:r w:rsidR="00427724" w:rsidRPr="00427724">
        <w:rPr>
          <w:rFonts w:ascii="Times New Roman" w:hAnsi="Times New Roman" w:cs="Times New Roman"/>
          <w:sz w:val="28"/>
          <w:szCs w:val="28"/>
          <w:lang w:val="ro-RO"/>
        </w:rPr>
        <w:lastRenderedPageBreak/>
        <w:t>componentele furajelor trebuie ajustate în funcție de conținutul de umiditate al eșantionului în starea lui inițială.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B.   DETERMINAREA UMIDITĂȚII DIN GRĂSIMILE ȘI ULEIURILE ANIMALE ȘI VEGETALE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conținutului în apă și substanțe volatile din grăsimile și uleiurile animale și vegetale.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usucă până la atingerea greutății constante (pierderea de greutate între două cântăriri succesive trebuie să fie mai mică sau egală cu 1 mg) la 103 °C. Pierderea de greutate se determină prin cântărire.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Vas cu fund plat, din material rezistent la coroziune, cu diametru de 8-9 cm și adâncime de aproximativ 3 cm.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Termometru cu bulb întărit și cu tub de expansiune la capătul superior, gradat de la aproximativ 80 °C până la cel puțin 110 °C și lung de aproximativ 10 cm.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Cuvă cu nisip sau plită.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Desicator, conținând un agent de uscare eficient.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Balanță analitică.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Procedura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1 mg, aproximativ 20 g din eșantionul omogenizat, în recipientul uscat și cântărit (punctul 3.1), conținând termometrul (punctul 3.2). Se încălzește pe cuva cu nisip sau pe plită (punctul 3.3), amestecând continuu cu termometrul, astfel încât temperatura să ajungă la 90 °C în aproximativ 7 minute.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reduce intensitatea căldurii, urmărind frecvența cu care bulele se ridică de pe fundul vasului. Temperatura nu trebuie să depășească 105 °C. Se continuă amestecarea, răzuind fundul vasului, până când bulele încetează să se mai formeze.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Pentru a asigura eliminarea completă a umidității, se reîncălzește de câteva ori la 103 ± 2 °C, răcind la 93 °C între încălziri succesive. În continuare se lasă să se </w:t>
      </w:r>
      <w:r w:rsidR="00427724" w:rsidRPr="00427724">
        <w:rPr>
          <w:rFonts w:ascii="Times New Roman" w:hAnsi="Times New Roman" w:cs="Times New Roman"/>
          <w:sz w:val="28"/>
          <w:szCs w:val="28"/>
          <w:lang w:val="ro-RO"/>
        </w:rPr>
        <w:lastRenderedPageBreak/>
        <w:t>răcească la temperatura camerei în desicator (p</w:t>
      </w:r>
      <w:r>
        <w:rPr>
          <w:rFonts w:ascii="Times New Roman" w:hAnsi="Times New Roman" w:cs="Times New Roman"/>
          <w:sz w:val="28"/>
          <w:szCs w:val="28"/>
          <w:lang w:val="ro-RO"/>
        </w:rPr>
        <w:t xml:space="preserve">ct. </w:t>
      </w:r>
      <w:r w:rsidR="00427724" w:rsidRPr="00427724">
        <w:rPr>
          <w:rFonts w:ascii="Times New Roman" w:hAnsi="Times New Roman" w:cs="Times New Roman"/>
          <w:sz w:val="28"/>
          <w:szCs w:val="28"/>
          <w:lang w:val="ro-RO"/>
        </w:rPr>
        <w:t>3.4) și se cântărește. Se repetă această operație până când pierderea de greutate dintre două încălziri succesive nu depășește 2 mg.</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N.B. O creștere a greutății eșantionului după încălzire repetată indică oxidarea grăsimilor, caz în care rezultatul se calculează prin cântărirea imediat înainte ca greutatea să înceapă să crească.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Calculul rezultatelor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Conținutul de umiditate (</w:t>
      </w:r>
      <w:r w:rsidR="00427724" w:rsidRPr="00427724">
        <w:rPr>
          <w:rFonts w:ascii="Times New Roman" w:hAnsi="Times New Roman" w:cs="Times New Roman"/>
          <w:i/>
          <w:iCs/>
          <w:sz w:val="28"/>
          <w:szCs w:val="28"/>
          <w:lang w:val="ro-RO"/>
        </w:rPr>
        <w:t>X</w:t>
      </w:r>
      <w:r w:rsidR="00427724" w:rsidRPr="00427724">
        <w:rPr>
          <w:rFonts w:ascii="Times New Roman" w:hAnsi="Times New Roman" w:cs="Times New Roman"/>
          <w:sz w:val="28"/>
          <w:szCs w:val="28"/>
          <w:lang w:val="ro-RO"/>
        </w:rPr>
        <w:t>), ca procentaj din eșantion,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934210" cy="567690"/>
            <wp:effectExtent l="0" t="0" r="8890" b="3810"/>
            <wp:docPr id="34" name="Imagine 34" descr="C:\Users\User MAIA\AppData\Local\Microsoft\Windows\INetCache\Content.MSO\9BB47C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MAIA\AppData\Local\Microsoft\Windows\INetCache\Content.MSO\9BB47C4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4210" cy="56769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61"/>
        <w:gridCol w:w="281"/>
        <w:gridCol w:w="876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eșantionului de testat;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01"/>
        <w:gridCol w:w="163"/>
        <w:gridCol w:w="894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m</w:t>
            </w:r>
            <w:r w:rsidRPr="00427724">
              <w:rPr>
                <w:rFonts w:ascii="Times New Roman" w:hAnsi="Times New Roman" w:cs="Times New Roman"/>
                <w:i/>
                <w:iCs/>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vasului împreună cu conținutul său înainte de încălzire;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22"/>
        <w:gridCol w:w="173"/>
        <w:gridCol w:w="8911"/>
      </w:tblGrid>
      <w:tr w:rsidR="00427724" w:rsidRPr="007D4459">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m</w:t>
            </w:r>
            <w:r w:rsidRPr="00427724">
              <w:rPr>
                <w:rFonts w:ascii="Times New Roman" w:hAnsi="Times New Roman" w:cs="Times New Roman"/>
                <w:i/>
                <w:iCs/>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vasului împreună cu conținutul său după încălzire.</w:t>
            </w:r>
          </w:p>
        </w:tc>
      </w:tr>
    </w:tbl>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mai mici de 0,05 % se înregistrează ca fiind „sub 0,05 %”.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Repetabilitate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de umiditate dintre rezultatele a două determinări paralele efectuate pe același eșantion nu trebuie să depășească 0,1 %, în valoare absolută.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   DETERMINAREA CONȚINUTULUI DE AZOT ȘI CALCULAREA CONȚINUTULUI DE PROTEINE BRUTE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Prezenta metodă permite determinarea conținutului de proteine brute din furaje pe baza conținutului de azot, determinat conform metodei Kjeldahl.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dizolvă cu acid sulfuric în prezența unui catalizator. Soluția acidă se alcalinizează cu soluție de hidroxid de sodiu. Amoniacul se distilează și se colectează într-o cantitate măsurată de acid sulfuric, al cărei exces se titrează cu o soluție etalon de hidroxid de sodiu.</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 alternativă, amoniacul eliberat se distilează într-o soluție de acid boric în exces, urmat de titrare cu o soluție de acid clorhidric sau acid sulfuric.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Sulfat de potasiu.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Catalizator: oxid de cupru (II) CuO sau sulfat de cupru (II) pentahidrat, CuSO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5H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Zinc granulat.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Acid sulfuric, </w:t>
      </w:r>
      <w:r w:rsidRPr="00427724">
        <w:rPr>
          <w:rFonts w:ascii="Times New Roman" w:hAnsi="Times New Roman" w:cs="Times New Roman"/>
          <w:i/>
          <w:iCs/>
          <w:sz w:val="28"/>
          <w:szCs w:val="28"/>
          <w:lang w:val="ro-RO"/>
        </w:rPr>
        <w:t>ρ</w:t>
      </w:r>
      <w:r w:rsidRPr="00427724">
        <w:rPr>
          <w:rFonts w:ascii="Times New Roman" w:hAnsi="Times New Roman" w:cs="Times New Roman"/>
          <w:sz w:val="28"/>
          <w:szCs w:val="28"/>
          <w:lang w:val="ro-RO"/>
        </w:rPr>
        <w:t>20 = 1,84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Acid sulfuric, soluție volumetrică standard, c(H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 0,25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sulfuric, soluție volumetrică standard, c(H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 0,10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sulfuric, soluție volumetrică standard, c(H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 0,05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Indicator roșu de metil; se dizolvă 300 mg de roșu de metil în 100 ml de etanol, </w:t>
      </w:r>
      <w:r w:rsidRPr="00427724">
        <w:rPr>
          <w:rFonts w:ascii="Times New Roman" w:hAnsi="Times New Roman" w:cs="Times New Roman"/>
          <w:i/>
          <w:iCs/>
          <w:sz w:val="28"/>
          <w:szCs w:val="28"/>
          <w:lang w:val="ro-RO"/>
        </w:rPr>
        <w:t>σ</w:t>
      </w:r>
      <w:r w:rsidRPr="00427724">
        <w:rPr>
          <w:rFonts w:ascii="Times New Roman" w:hAnsi="Times New Roman" w:cs="Times New Roman"/>
          <w:sz w:val="28"/>
          <w:szCs w:val="28"/>
          <w:lang w:val="ro-RO"/>
        </w:rPr>
        <w:t> = 95-96 % (v/v).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Soluție de hidroxid de sodiu (se poate utiliza soluție de calitate tehnică) </w:t>
      </w:r>
      <w:r w:rsidRPr="00427724">
        <w:rPr>
          <w:rFonts w:ascii="Times New Roman" w:hAnsi="Times New Roman" w:cs="Times New Roman"/>
          <w:i/>
          <w:iCs/>
          <w:sz w:val="28"/>
          <w:szCs w:val="28"/>
          <w:lang w:val="ro-RO"/>
        </w:rPr>
        <w:t>β</w:t>
      </w:r>
      <w:r w:rsidRPr="00427724">
        <w:rPr>
          <w:rFonts w:ascii="Times New Roman" w:hAnsi="Times New Roman" w:cs="Times New Roman"/>
          <w:sz w:val="28"/>
          <w:szCs w:val="28"/>
          <w:lang w:val="ro-RO"/>
        </w:rPr>
        <w:t> = 40 g/100 ml (m/v: 40 %).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Hidroxid de sodiu, soluție volumetrică standard, c(NaOH) = 0,25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Hidroxid de sodiu, soluție volumetrică standard, c(NaOH) = 0,10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Piatră ponce granulată, spălată în acid clorhidric și calcinată.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Acetanilidă (m.p. = 114 °C, conținutul în N = 10,36 %).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Zaharoză (fără azot).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3.15. Acid boric (H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BO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 Soluție de indicator roșu de metil: se dizolvă 100 mg de roșu de metil în 100 ml de etanol sau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3.17. Soluție de verde de bromocrezol: se dizolvă 100 mg de verde de bromocrezol în 100 ml de etanol sau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3.18. Soluție de acid boric (10 g/l-40 g/l, în funcție de aparatura utilizată)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Când se aplică detectarea prin colorimetrie a punctului final, indicatorii roșu de metil și bromocrezol trebuie adăugați la soluțiile de acid boric. Dacă se prepară 1 </w:t>
      </w:r>
      <w:r w:rsidR="00427724" w:rsidRPr="00427724">
        <w:rPr>
          <w:rFonts w:ascii="Times New Roman" w:hAnsi="Times New Roman" w:cs="Times New Roman"/>
          <w:sz w:val="28"/>
          <w:szCs w:val="28"/>
          <w:lang w:val="ro-RO"/>
        </w:rPr>
        <w:lastRenderedPageBreak/>
        <w:t>litru de soluție de acid boric, înainte de ajustarea de volum, se adaugă 7 ml de soluție de indicator roșu de metil (punctul 3.16) și 10 ml de soluție verde de bromocrezol (punctul 3.17).</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funcție de apa utilizată, pH-ul soluției de acid boric poate diferi de la lot la lot. pH-ul soluției de acid boric trebuie să fie între 4,3 și 4,7. Adesea este necesară o ajustare cu ajutorul unui mic volum de substanță alcalină pentru a obține un martor pozitiv.</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Adăugarea a aproximativ 3-4 ml de NaOH (punctul 3.11) în 1 litru de acid boric 10 g/l oferă, de obicei, ajustări bune. Soluția se păstrează la temperatura camerei și, pe durata păstrării, se protejează de lumină și de surse de vapori de amoniac.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3.19. Acid clorhidric, soluție volumetrică standard, c(HCl) = 0,10 mol/l.</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Dacă în calcule se fac ajustările necesare, se pot folosi alte concentrații de soluții volumetrice (punctele 3.5, 3.6, 3.7, 3.10, 3.11 și 3.19). Concentrațiile se exprimă întotdeauna cu patru zecimale.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Aparatură adecvată pentru efectuarea dizolvării, distilării și titrării conform procedurii Kjeldahl.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Dizolvarea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1 g de eșantion cu o abatere de 0,001 g și se transferă eșantionul în vasul aparatului de dizolvare. Se adaugă 15 g de sulfat de potasiu (punctul 3.1), o cantitate adecvată de catalizator (punctul 3.2) [0,3-0,4 g oxid de cupru (II) sau 0,9-1,2 g sulfat de cupru (II) pentahidrat], 25 ml de acid sulfuric (punctul 3.4) și, dacă este necesar</w:t>
      </w:r>
      <w:r w:rsidR="00427724" w:rsidRPr="00427724">
        <w:rPr>
          <w:rFonts w:ascii="Times New Roman" w:hAnsi="Times New Roman" w:cs="Times New Roman"/>
          <w:b/>
          <w:bCs/>
          <w:sz w:val="28"/>
          <w:szCs w:val="28"/>
          <w:lang w:val="ro-RO"/>
        </w:rPr>
        <w:t>,</w:t>
      </w:r>
      <w:r w:rsidR="00427724" w:rsidRPr="00427724">
        <w:rPr>
          <w:rFonts w:ascii="Times New Roman" w:hAnsi="Times New Roman" w:cs="Times New Roman"/>
          <w:sz w:val="28"/>
          <w:szCs w:val="28"/>
          <w:lang w:val="ro-RO"/>
        </w:rPr>
        <w:t> câteva granule de piatră ponce (punctul 3.12), apoi se amestecă.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încălzește vasul, la început moderat, agitând circular din când, dacă este cazul, până când materia s-a carbonizat și spuma a dispărut; apoi se încălzește mai intens, până când lichidul fierbe constant. Încălzirea este adecvată dacă acidul aflat în fierbere se condensează pe peretele vasului. Se previne supraîncălzirea marginilor și lipirea particulelor organice de acestea.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Când soluția devine limpede și de culoare verde deschis, se continuă fierberea timp de încă două ore, apoi se lasă să se răcească.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5.2.    </w:t>
      </w:r>
      <w:r w:rsidRPr="00427724">
        <w:rPr>
          <w:rFonts w:ascii="Times New Roman" w:hAnsi="Times New Roman" w:cs="Times New Roman"/>
          <w:b/>
          <w:bCs/>
          <w:i/>
          <w:iCs/>
          <w:sz w:val="28"/>
          <w:szCs w:val="28"/>
          <w:lang w:val="ro-RO"/>
        </w:rPr>
        <w:t>Distilarea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cu atenție apă suficientă pentru a asigura dizolvarea completă a sulfaților. Se lasă la răcit și apoi se adaugă, dacă este cazul, câteva granule de zinc (punctul 3.3). Se procedează ca la punctul 5.2.1 sau 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5.2.1.   </w:t>
      </w:r>
      <w:r w:rsidRPr="00427724">
        <w:rPr>
          <w:rFonts w:ascii="Times New Roman" w:hAnsi="Times New Roman" w:cs="Times New Roman"/>
          <w:b/>
          <w:bCs/>
          <w:sz w:val="28"/>
          <w:szCs w:val="28"/>
          <w:lang w:val="ro-RO"/>
        </w:rPr>
        <w:t> Distilarea în acid sulfuric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vasul de colectare al aparatului de distilare se introduce o cantitate de 25 ml de acid sulfuric (punctul 3.5) sau (punctul 3.7), măsurată cu exactitate, în funcție de conținutul estimat de azot. Se adăugă câteva picături de indicator roșu de metil (punctul 3.8).</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conectează vasul de dizolvare la condensatorul aparatului de distilare și se scufundă capătul condensatorului în lichidul din vasul de colectare până la o adâncime de cel puțin 1 cm (a se vedea observația 8.3). Se toarnă încet 100 ml de soluție de hidroxid de sodiu (punctul 3.9) în vasul de dizolvare, fără pierderi de amoniac (a se vedea observația 8.1). Se încălzește vasul până la distilarea completă a amoniacului.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5.2.2.   </w:t>
      </w:r>
      <w:r w:rsidRPr="00427724">
        <w:rPr>
          <w:rFonts w:ascii="Times New Roman" w:hAnsi="Times New Roman" w:cs="Times New Roman"/>
          <w:b/>
          <w:bCs/>
          <w:sz w:val="28"/>
          <w:szCs w:val="28"/>
          <w:lang w:val="ro-RO"/>
        </w:rPr>
        <w:t> Distilarea în acid boric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titrarea amoniacului conținut în distilat se face manual, se aplică procedura de mai jos. În cazul în care unitatea de distilare este complet automatizată, inclusiv titrarea amoniacului conținut în distilat, se urmează instrucțiunile de operare a unității de distilare puse la dispoziție de fabricant.</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Sub orificiul de evacuare al condensatorului se așază un vas de colectare conținând 25-30 ml de soluție de acid boric (punctul 3.18), astfel încât tubul de evacuare se află sub nivelul suprafeței soluției de acid boric în exces. Se reglează unitatea de distilare astfel încât să elibereze 50 ml de soluție de hidroxid de sodiu (punctul 3.9). Unitatea de distilare se operează în conformitate cu instrucțiunile fabricantului, distilându-se complet amoniacul eliberat prin adăugarea de soluție de hidroxid de sodiu. Distilatul se colectează în soluția de acid boric receptoare. Cantitatea de distilat (timpul de distilare în vapori) depinde de cantitatea de azot din eșantion. Se urmează instrucțiunile fabricantului.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În cazul unei unități de distilare semiautomate, adăugarea hidroxidului de sodiu în exces și distilarea în vapori se efectuează automat.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Titrarea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procedează ca la punctul 5.3.1 sau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Acid sulfuric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titrează excesul de acid sulfuric în vasul de colectare cu soluție de hidroxid de sodiu (punctul 3.10 sau 3.11), în funcție de concentrația acidului sulfuric utilizat, până se atinge punctul final.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Acid boric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ajutorul unei biurete se titrează conținutul vasului de colectare cu soluție volumetrică standard de acid clorhidric (punctul 3.19) sau cu soluție volumetrică standard de acid sulfuric (punctul 3.6) și se citește cantitatea de soluție de titrare utilizată.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Când se aplică detectarea colorimetrică a punctului final, acesta este atins la prima apariție în conținut a culorii roz. Citirea biuretei se estimează cu o abatere de 0,05 ml. Vizualizarea punctului final poate fi facilitată de o placă de agitator magnetic iluminat sau de un detector fotometric.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Aceasta poate fi efectuată automat prin utilizarea unui aparat de distilare cu vapori cu titrare automată.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Operarea specifică a aparatului de distilare sau a celui de distilare/titrare se face conform instrucțiunilor fabricantului.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În cazul în care se utilizează un sistem automat de titrare, aceasta începe imediat după începerea distilării și se utilizează soluția de acid boric 1 % (punctul 3.18).</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care se utilizează o unitate de distilare complet automată, titrarea automată a amoniacului poate fi efectuată, de asemenea, prin detectarea punctului final cu ajutorul unui sistem pH potențiometric.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acest caz, se utilizează un aparat de titrare automat, cu pH-metru. pH-metrul se calibrează în mod corespunzător în intervalul de pH 4-7, folosindu-se proceduri de laborator normale de calibrare a pH-ului.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Punctul final al titrării exprimat în pH este atins la valoarea de 4,6, reprezentând punctul cel mai de jos al curbei de titrare (punctul de inflexiune).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Testul martor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confirma faptul că reactivii nu conțin azot, se efectuează un test martor (dizolvare, distilare și titrare), folosind 1 g de zaharoză (punctul 3.14) în locul eșantionului.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Calcularea se efectuează în conformitate cu punctul 6.1 sau 6.2.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6.1.    </w:t>
      </w:r>
      <w:r w:rsidRPr="00427724">
        <w:rPr>
          <w:rFonts w:ascii="Times New Roman" w:hAnsi="Times New Roman" w:cs="Times New Roman"/>
          <w:b/>
          <w:bCs/>
          <w:i/>
          <w:iCs/>
          <w:sz w:val="28"/>
          <w:szCs w:val="28"/>
          <w:lang w:val="ro-RO"/>
        </w:rPr>
        <w:t>Calcularea titrării în conformitate cu punctul 5.3.1</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Conținutul de proteine brute, exprimat ca procent din greutate, se calculează conform următoarei formule: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637790" cy="577850"/>
            <wp:effectExtent l="0" t="0" r="0" b="0"/>
            <wp:docPr id="33" name="Imagine 33" descr="C:\Users\User MAIA\AppData\Local\Microsoft\Windows\INetCache\Content.MSO\65E1AE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MAIA\AppData\Local\Microsoft\Windows\INetCache\Content.MSO\65E1AE3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7790"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29"/>
        <w:gridCol w:w="178"/>
        <w:gridCol w:w="889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(ml) de NaOH (punctul 3.10 sau 3.11) folosit în testul martor;</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00"/>
        <w:gridCol w:w="162"/>
        <w:gridCol w:w="894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(ml) de NaOH (punctul 3.10 sau 3.11) folosit în titrarea eșantionului;</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50"/>
        <w:gridCol w:w="188"/>
        <w:gridCol w:w="906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(mol/l) a hidroxidului de sodiu (punctul 3.10 sau 3.11);</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86"/>
        <w:gridCol w:w="424"/>
        <w:gridCol w:w="839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(g) a eșantionului.</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6.2.    </w:t>
      </w:r>
      <w:r w:rsidRPr="00427724">
        <w:rPr>
          <w:rFonts w:ascii="Times New Roman" w:hAnsi="Times New Roman" w:cs="Times New Roman"/>
          <w:b/>
          <w:bCs/>
          <w:i/>
          <w:iCs/>
          <w:sz w:val="28"/>
          <w:szCs w:val="28"/>
          <w:lang w:val="ro-RO"/>
        </w:rPr>
        <w:t>Calcularea titrării în conformitate cu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6.2.1.   </w:t>
      </w:r>
      <w:r w:rsidRPr="00427724">
        <w:rPr>
          <w:rFonts w:ascii="Times New Roman" w:hAnsi="Times New Roman" w:cs="Times New Roman"/>
          <w:b/>
          <w:bCs/>
          <w:sz w:val="28"/>
          <w:szCs w:val="28"/>
          <w:lang w:val="ro-RO"/>
        </w:rPr>
        <w:t> Titrare cu acid clorhidric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Conținutul de proteine brute, exprimat ca procent din greutate, se calculează conform următoarei formule: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007235" cy="577850"/>
            <wp:effectExtent l="0" t="0" r="0" b="0"/>
            <wp:docPr id="32" name="Imagine 32" descr="C:\Users\User MAIA\AppData\Local\Microsoft\Windows\INetCache\Content.MSO\237C11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MAIA\AppData\Local\Microsoft\Windows\INetCache\Content.MSO\237C11A5.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235"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550"/>
        <w:gridCol w:w="399"/>
        <w:gridCol w:w="845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(g) a părții de testat;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25"/>
        <w:gridCol w:w="158"/>
        <w:gridCol w:w="912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(mol/l) a soluției volumetrice standard de acid clorhidric (punctul 3.19);</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95"/>
        <w:gridCol w:w="214"/>
        <w:gridCol w:w="879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de acid clorhidric utilizat în testul martor;</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83"/>
        <w:gridCol w:w="206"/>
        <w:gridCol w:w="881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de acid clorhidric utilizat în partea de testat.</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6.2.2.   </w:t>
      </w:r>
      <w:r w:rsidRPr="00427724">
        <w:rPr>
          <w:rFonts w:ascii="Times New Roman" w:hAnsi="Times New Roman" w:cs="Times New Roman"/>
          <w:b/>
          <w:bCs/>
          <w:sz w:val="28"/>
          <w:szCs w:val="28"/>
          <w:lang w:val="ro-RO"/>
        </w:rPr>
        <w:t> Titrare cu acid sulfuric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Conținutul de proteine brute, exprimat ca procent din greutate, se calculează conform următoarei formule: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007235" cy="577850"/>
            <wp:effectExtent l="0" t="0" r="0" b="0"/>
            <wp:docPr id="31" name="Imagine 31" descr="C:\Users\User MAIA\AppData\Local\Microsoft\Windows\INetCache\Content.MSO\B27057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MAIA\AppData\Local\Microsoft\Windows\INetCache\Content.MSO\B27057F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7235"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550"/>
        <w:gridCol w:w="399"/>
        <w:gridCol w:w="845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(g) a părții de testat;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25"/>
        <w:gridCol w:w="158"/>
        <w:gridCol w:w="912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(mol/l) a soluției volumetrice standard de acid sulfuric (punctul 3.6);</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35"/>
        <w:gridCol w:w="180"/>
        <w:gridCol w:w="8891"/>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de acid sulfuric (punctul 3.6) utilizat în testul martor;</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25"/>
        <w:gridCol w:w="175"/>
        <w:gridCol w:w="890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de acid sulfuric (punctul 3.6) utilizat în partea de testat.</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Verificarea metodei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7.1.    </w:t>
      </w:r>
      <w:r w:rsidRPr="00427724">
        <w:rPr>
          <w:rFonts w:ascii="Times New Roman" w:hAnsi="Times New Roman" w:cs="Times New Roman"/>
          <w:b/>
          <w:bCs/>
          <w:i/>
          <w:iCs/>
          <w:sz w:val="28"/>
          <w:szCs w:val="28"/>
          <w:lang w:val="ro-RO"/>
        </w:rPr>
        <w:t>Repetabilitate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efectuate pe același eșantion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0,4 % în valoare absolută, pentru un conținut de proteine brute mai mic de 20 %;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 relativ la valoarea mai mare, pentru un conținut de proteine brute cuprins între 20 și 40 %;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0,8 % în valoare absolută, pentru un conținut de proteine brute mai mare de 40 %.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7.2.    </w:t>
      </w:r>
      <w:r w:rsidRPr="00427724">
        <w:rPr>
          <w:rFonts w:ascii="Times New Roman" w:hAnsi="Times New Roman" w:cs="Times New Roman"/>
          <w:b/>
          <w:bCs/>
          <w:i/>
          <w:iCs/>
          <w:sz w:val="28"/>
          <w:szCs w:val="28"/>
          <w:lang w:val="ro-RO"/>
        </w:rPr>
        <w:t>Reproductibilitate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efectuate pe același eșantion în laboratoare diferite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1,8 % în valoare absolută, pentru un conținut de proteine brute mai mic de 20 %;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9,0 % relativ la valoarea mai mare, pentru un conținut de proteine brute cuprins între 20 și 40 %;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3,6 % în valoare absolută, pentru un conținut de proteine brute mai mare de 40 %.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7.3.    </w:t>
      </w:r>
      <w:r w:rsidRPr="00427724">
        <w:rPr>
          <w:rFonts w:ascii="Times New Roman" w:hAnsi="Times New Roman" w:cs="Times New Roman"/>
          <w:b/>
          <w:bCs/>
          <w:i/>
          <w:iCs/>
          <w:sz w:val="28"/>
          <w:szCs w:val="28"/>
          <w:lang w:val="ro-RO"/>
        </w:rPr>
        <w:t>Acuratețea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Analiza (dizolvare, distilare și titrare) se efectuează pe o cantitate adecvată de acetanilidă (punctul 3.13) (de exemplu, 0,2-0,3 g), în prezența a 1 g zaharoză (punctul 3.14); 1 g de acetanilidă consumă 14,80 ml de acid sulfuric (punctul 3.5). Recuperarea trebuie să fie de cel puțin 99 %.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8.   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 Aparatura poate fi de tip manual, semiautomat sau automat. Dacă aparatura necesită un transfer între etapele de dizolvare și distilare, acest transfer trebuie realizat fără pierderi. Dacă vasul aparatului de distilare nu este prevăzut cu o pâlnie de picurare, se adaugă hidroxidul de sodiu imediat înainte de conectarea vasului la condensator, turnând încet lichidul pe marginea vasului.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 Dacă produsul de dizolvare se solidifică, se reîncepe determinarea folosind o cantitate mai mare de acid sulfuric (punctul 3.4) decât cea menționată la punctul 5.1.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 Pentru produsele cu conținut scăzut de azot, volumul de acidul sulfuric (punctul 3.7) care trebuie introdus în vasul de colectare poate fi redus, dacă este cazul, la 10 sau 15 ml și completat până la 25 ml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8.4. Pentru analizele curente, în vederea determinării conținutului de proteine brute se pot aplica metode alternative de analiză, dar metoda Kjeldahl descrisă în prezenta parte C este metoda de referință. Echivalența dintre rezultatele obținute cu metoda alternativă (de exemplu, DUMAS) și cele obținute prin metoda de referință trebuie demonstrată pentru fiecare matrice în mod individual. Întrucât rezultatele obținute cu o metodă alternativă, chiar și după verificarea echivalenței, pot devia ușor față de rezultatele obținute cu metoda de referință, este necesar a menționa în raportul analitic metoda de analiză utilizată pentru determinarea conținutului de proteine brute.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   DETERMINAREA UREEI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conținutului de uree utilizată ca aditiv furajer în furajele pentru rumegătoare.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este pus în suspensie în apă, în care s-a adăugat un produs de limpezire. Suspensia se filtrează. Conținutul în uree al filtratului este determinat după adăugarea de 4-dimetilaminobenzaldehidă (4-DMAB), prin măsurarea densității optice la o lungime de undă de 420 nm.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3.1. Soluție de 4-dimetilaminobenzaldehidă: se dizolvă 1,6 g de 4-DMAB în 100 ml de etanol 96 % și se adaugă 10 ml de acid clorhidric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1,19 g/ml). Acest reactiv se conservă timp de maximum două săptămâni.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Soluție Carrez I: se dizolvă 21,9 g de acetat de zinc, Zn(CH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COO)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2H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3 g de acid acetic glacial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Carrez II: se dizolvă 10,6 g de ferocianură de potasiu, K</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Fe(CN)</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 3H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Cărbune activ care nu absoarbe ureea (de controlat).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Uree, soluție 0,1 % (greutate/volum).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Mixer (agitator): aproximativ 35-40 rpm.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Eprubete: 160 × 16 mm cu dopuri de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Spectrofotometru.</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Analiza eșantionului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2 g de eșantion cu abatere de 1 mg și se introduc împreună cu 1 g de cărbune activ (punctul 3.4) într-un balon gradat de 500 ml. Se adaugă 400 ml de apă și 5 ml de soluție Carrez I (punctul 3.2), se amestecă timp de aproximativ 30 de secunde și se adaugă 5 ml de soluție Carrez II (punctul 3.3). Se amestecă timp de 30 de minute în agitator. Se completează volumul cu apă, se agită și se filtrează.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îndepărtează 5 ml de filtrat transparent și incolor, se introduc în eprubete cu dop de sticlă șlefuită, se adaugă 5 ml de soluție de 4-DMAB (punctul 3.1) și se amestecă. Se introduc eprubetele într-o baie de apă la 20 °C (+/– 4 °C). După 15 minute se măsoară densitatea optică a soluției de eșantion cu spectrofotometrul la 420 nm. Se compară cu soluția de reactivi pentru testul martor.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Curba de calibrare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îndepărtează volume de 1, 2, 4, 5 și 10 ml din soluția de uree (punctul 3.5), se introduc în baloanele gradate de 100 ml și se completează volumul cu apă. Se îndepărtează 5 ml din fiecare soluție, se adaugă în fiecare 5 ml de soluție 4-DMAB (punctul 3.1), se omogenizează și se măsoară densitatea optică conform indicațiilor </w:t>
      </w:r>
      <w:r w:rsidR="00427724" w:rsidRPr="00427724">
        <w:rPr>
          <w:rFonts w:ascii="Times New Roman" w:hAnsi="Times New Roman" w:cs="Times New Roman"/>
          <w:sz w:val="28"/>
          <w:szCs w:val="28"/>
          <w:lang w:val="ro-RO"/>
        </w:rPr>
        <w:lastRenderedPageBreak/>
        <w:t>de mai sus cu o soluție martor care conține 5 ml de 4-DMAB și 5 ml de apă în care nu există uree. Se trasează curba de calibrare.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determină cantitatea de uree din eșantion cu ajutorul curbei de calibrare.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Rezultatul se exprimă în mg de uree per kg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Evaluarea metodei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7.1.    </w:t>
      </w:r>
      <w:r w:rsidRPr="00427724">
        <w:rPr>
          <w:rFonts w:ascii="Times New Roman" w:hAnsi="Times New Roman" w:cs="Times New Roman"/>
          <w:b/>
          <w:bCs/>
          <w:i/>
          <w:iCs/>
          <w:sz w:val="28"/>
          <w:szCs w:val="28"/>
          <w:lang w:val="ro-RO"/>
        </w:rPr>
        <w:t>Repetabilitate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efectuate pe același eșantion în același laborator și de către același laborant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La 420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50 % din valoarea superioară, pentru un conținut de uree situat între 3 000 mg/kg și sub 5 000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25 % din valoarea superioară, pentru un conținut de uree situat între 5 000 mg/kg și sub 7 000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 din valoarea superioară, pentru un conținut de uree de 7 000 mg/kg sau mai mult.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La 435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40 % din valoarea superioară, pentru un conținut de uree situat între 3 000 mg/kg și sub 5 000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25 % din valoarea superioară, pentru un conținut de uree situat între 5 000 mg/kg și sub 9 000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5 % din valoarea superioară, pentru un conținut de uree de 9 000 mg/kg sau mai mult.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7.2.    </w:t>
      </w:r>
      <w:r w:rsidRPr="00427724">
        <w:rPr>
          <w:rFonts w:ascii="Times New Roman" w:hAnsi="Times New Roman" w:cs="Times New Roman"/>
          <w:b/>
          <w:bCs/>
          <w:i/>
          <w:iCs/>
          <w:sz w:val="28"/>
          <w:szCs w:val="28"/>
          <w:lang w:val="ro-RO"/>
        </w:rPr>
        <w:t>Reproductibilitate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efectuate pe același eșantion în laboratoare diferite și/sau efectuate de laboranți diferiți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La 420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3 000 mg/kg, în valoare absolută, pentru un conținut de uree situat între 3 000 mg/kg și sub 12 000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4 500 mg/kg, în valoare absolută, pentru un conținut de uree de 12 000 mg/kg sau mai mult.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La 435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50 % din valoarea superioară, pentru un conținut de uree situat între 3 000 mg/kg și sub 8 000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25 % din valoarea superioară, pentru un conținut de uree de 8 000 mg/kg sau mai mult.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Rezultatele unui studiu colaborativ</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 fost organizat un exercițiu de comparare interlaboratoare la nivelul UE, la care au participat 18 laboratoare. Au fost analizate cinci eșantioane pozitive de furaje combinate pentru rumegătoare (în tabelele 1 și 2, denumite MAT) (1 analiză) în duplicate oarbe, în timp ce un furaj combinat de rumegătoare martor a fost analizat o singură dată.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Calculele pentru limitele de repetabilitate (r) și reproductibilitate (R), astfel cum sunt definite în orientările internaționale, au fost efectuate după eliminarea valorilor excepționale utilizând analiza varianței valorilor valabile.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Cifrele privind performanța calculată a metodei (repetabilitate, reproductibilitate) sunt prezentate în tabelele următoare. Pentru toate eșantioanele testate, inclusiv materialul martor, nu au fost găsite rezultate fals pozitive sau fals negative.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Tabelul 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Caracteristicile de performanță ale metodei pentru uree, măsurată la λ = 420 nm în toate materialele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103"/>
        <w:gridCol w:w="837"/>
        <w:gridCol w:w="887"/>
        <w:gridCol w:w="838"/>
        <w:gridCol w:w="838"/>
        <w:gridCol w:w="887"/>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Bovine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Fracție masică țintă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7 001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9 036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11 000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Fracție masică medie.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4 241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6 993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7 830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9 962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12 071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Deviația standard a reproductibilității 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1 141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1 303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1 711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a repetabilității 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relativă a reproductibilității </w:t>
            </w:r>
            <w:r w:rsidRPr="00427724">
              <w:rPr>
                <w:rFonts w:ascii="Times New Roman" w:hAnsi="Times New Roman" w:cs="Times New Roman"/>
                <w:i/>
                <w:iCs/>
                <w:sz w:val="28"/>
                <w:szCs w:val="28"/>
                <w:lang w:val="ro-RO"/>
              </w:rPr>
              <w:t>RSD</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relativă a repetabilității </w:t>
            </w:r>
            <w:r w:rsidRPr="00427724">
              <w:rPr>
                <w:rFonts w:ascii="Times New Roman" w:hAnsi="Times New Roman" w:cs="Times New Roman"/>
                <w:i/>
                <w:iCs/>
                <w:sz w:val="28"/>
                <w:szCs w:val="28"/>
                <w:lang w:val="ro-RO"/>
              </w:rPr>
              <w:t>RSD</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reproductibilității, </w:t>
            </w:r>
            <w:r w:rsidRPr="00427724">
              <w:rPr>
                <w:rFonts w:ascii="Times New Roman" w:hAnsi="Times New Roman" w:cs="Times New Roman"/>
                <w:i/>
                <w:iCs/>
                <w:sz w:val="28"/>
                <w:szCs w:val="28"/>
                <w:lang w:val="ro-RO"/>
              </w:rPr>
              <w:t>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i/>
                <w:iCs/>
                <w:sz w:val="28"/>
                <w:szCs w:val="28"/>
                <w:lang w:val="ro-RO"/>
              </w:rPr>
              <w:t>R =</w:t>
            </w:r>
            <w:r w:rsidRPr="00427724">
              <w:rPr>
                <w:rFonts w:ascii="Times New Roman" w:hAnsi="Times New Roman" w:cs="Times New Roman"/>
                <w:sz w:val="28"/>
                <w:szCs w:val="28"/>
                <w:lang w:val="ro-RO"/>
              </w:rPr>
              <w:t> 2,8 × </w:t>
            </w:r>
            <w:r w:rsidRPr="00427724">
              <w:rPr>
                <w:rFonts w:ascii="Times New Roman" w:hAnsi="Times New Roman" w:cs="Times New Roman"/>
                <w:i/>
                <w:iCs/>
                <w:sz w:val="28"/>
                <w:szCs w:val="28"/>
                <w:lang w:val="ro-RO"/>
              </w:rPr>
              <w:t>s</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3 195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3 649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2 759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2 784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4 790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repetabilității, </w:t>
            </w:r>
            <w:r w:rsidRPr="00427724">
              <w:rPr>
                <w:rFonts w:ascii="Times New Roman" w:hAnsi="Times New Roman" w:cs="Times New Roman"/>
                <w:i/>
                <w:iCs/>
                <w:sz w:val="28"/>
                <w:szCs w:val="28"/>
                <w:lang w:val="ro-RO"/>
              </w:rPr>
              <w:t>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i/>
                <w:iCs/>
                <w:sz w:val="28"/>
                <w:szCs w:val="28"/>
                <w:lang w:val="ro-RO"/>
              </w:rPr>
              <w:t>r =</w:t>
            </w:r>
            <w:r w:rsidRPr="00427724">
              <w:rPr>
                <w:rFonts w:ascii="Times New Roman" w:hAnsi="Times New Roman" w:cs="Times New Roman"/>
                <w:sz w:val="28"/>
                <w:szCs w:val="28"/>
                <w:lang w:val="ro-RO"/>
              </w:rPr>
              <w:t> 2,8 × </w:t>
            </w:r>
            <w:r w:rsidRPr="00427724">
              <w:rPr>
                <w:rFonts w:ascii="Times New Roman" w:hAnsi="Times New Roman" w:cs="Times New Roman"/>
                <w:i/>
                <w:iCs/>
                <w:sz w:val="28"/>
                <w:szCs w:val="28"/>
                <w:lang w:val="ro-RO"/>
              </w:rPr>
              <w:t>s</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2 024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1 684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1 536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2 064</w:t>
            </w:r>
          </w:p>
        </w:tc>
      </w:tr>
    </w:tbl>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Tabelul 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Caracteristicile de performanță ale metodei pentru uree, măsurată la λ = 435 nm în toate materialele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75"/>
        <w:gridCol w:w="836"/>
        <w:gridCol w:w="886"/>
        <w:gridCol w:w="836"/>
        <w:gridCol w:w="871"/>
        <w:gridCol w:w="886"/>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Ovine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Bovine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Fracție masică țintă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7 001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9 036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11 000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Fracție masică medie.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4 101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6 467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7 890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10 062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11 642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a reproductibilității 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1 194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1 378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a repetabilității 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 kg</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relativă a reproductibilității </w:t>
            </w:r>
            <w:r w:rsidRPr="00427724">
              <w:rPr>
                <w:rFonts w:ascii="Times New Roman" w:hAnsi="Times New Roman" w:cs="Times New Roman"/>
                <w:i/>
                <w:iCs/>
                <w:sz w:val="28"/>
                <w:szCs w:val="28"/>
                <w:lang w:val="ro-RO"/>
              </w:rPr>
              <w:t>RSD</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Deviația standard relativă a repetabilității </w:t>
            </w:r>
            <w:r w:rsidRPr="00427724">
              <w:rPr>
                <w:rFonts w:ascii="Times New Roman" w:hAnsi="Times New Roman" w:cs="Times New Roman"/>
                <w:i/>
                <w:iCs/>
                <w:sz w:val="28"/>
                <w:szCs w:val="28"/>
                <w:lang w:val="ro-RO"/>
              </w:rPr>
              <w:t>RSD</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reproductibilității, </w:t>
            </w:r>
            <w:r w:rsidRPr="00427724">
              <w:rPr>
                <w:rFonts w:ascii="Times New Roman" w:hAnsi="Times New Roman" w:cs="Times New Roman"/>
                <w:i/>
                <w:iCs/>
                <w:sz w:val="28"/>
                <w:szCs w:val="28"/>
                <w:lang w:val="ro-RO"/>
              </w:rPr>
              <w:t>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i/>
                <w:iCs/>
                <w:sz w:val="28"/>
                <w:szCs w:val="28"/>
                <w:lang w:val="ro-RO"/>
              </w:rPr>
              <w:t>R =</w:t>
            </w:r>
            <w:r w:rsidRPr="00427724">
              <w:rPr>
                <w:rFonts w:ascii="Times New Roman" w:hAnsi="Times New Roman" w:cs="Times New Roman"/>
                <w:sz w:val="28"/>
                <w:szCs w:val="28"/>
                <w:lang w:val="ro-RO"/>
              </w:rPr>
              <w:t> 2,8 × </w:t>
            </w:r>
            <w:r w:rsidRPr="00427724">
              <w:rPr>
                <w:rFonts w:ascii="Times New Roman" w:hAnsi="Times New Roman" w:cs="Times New Roman"/>
                <w:i/>
                <w:iCs/>
                <w:sz w:val="28"/>
                <w:szCs w:val="28"/>
                <w:lang w:val="ro-RO"/>
              </w:rPr>
              <w:t>s</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1 977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3 344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1 889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2 087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3 859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repetabilității, </w:t>
            </w:r>
            <w:r w:rsidRPr="00427724">
              <w:rPr>
                <w:rFonts w:ascii="Times New Roman" w:hAnsi="Times New Roman" w:cs="Times New Roman"/>
                <w:i/>
                <w:iCs/>
                <w:sz w:val="28"/>
                <w:szCs w:val="28"/>
                <w:lang w:val="ro-RO"/>
              </w:rPr>
              <w:t>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i/>
                <w:iCs/>
                <w:sz w:val="28"/>
                <w:szCs w:val="28"/>
                <w:lang w:val="ro-RO"/>
              </w:rPr>
              <w:t>r =</w:t>
            </w:r>
            <w:r w:rsidRPr="00427724">
              <w:rPr>
                <w:rFonts w:ascii="Times New Roman" w:hAnsi="Times New Roman" w:cs="Times New Roman"/>
                <w:sz w:val="28"/>
                <w:szCs w:val="28"/>
                <w:lang w:val="ro-RO"/>
              </w:rPr>
              <w:t> 2,8 × </w:t>
            </w:r>
            <w:r w:rsidRPr="00427724">
              <w:rPr>
                <w:rFonts w:ascii="Times New Roman" w:hAnsi="Times New Roman" w:cs="Times New Roman"/>
                <w:i/>
                <w:iCs/>
                <w:sz w:val="28"/>
                <w:szCs w:val="28"/>
                <w:lang w:val="ro-RO"/>
              </w:rPr>
              <w:t>s</w:t>
            </w:r>
            <w:r w:rsidRPr="00427724">
              <w:rPr>
                <w:rFonts w:ascii="Times New Roman" w:hAnsi="Times New Roman" w:cs="Times New Roman"/>
                <w:i/>
                <w:iCs/>
                <w:sz w:val="28"/>
                <w:szCs w:val="28"/>
                <w:vertAlign w:val="subscript"/>
                <w:lang w:val="ro-RO"/>
              </w:rPr>
              <w:t>r</w:t>
            </w:r>
            <w:r w:rsidRPr="00427724">
              <w:rPr>
                <w:rFonts w:ascii="Times New Roman" w:hAnsi="Times New Roman" w:cs="Times New Roman"/>
                <w:i/>
                <w:iCs/>
                <w:sz w:val="28"/>
                <w:szCs w:val="28"/>
                <w:lang w:val="ro-RO"/>
              </w:rPr>
              <w:t> </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1 596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1 759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1 715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467</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9.1. În cazul unui conținut de uree care depășește 3 %, se reduce greutatea eșantionului la 1 g sau se diluează soluția inițială astfel încât să nu fie mai mult de 50 mg de uree în 500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 În cazul unui conținut mic în uree, se crește greutatea eșantionului atâta timp cât filtratul rămâne transparent și incolor.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 Rezultatele de mai sus obținute în urma studiilor colaborative nu indică o diferență semnificativă de precizie între ureea măsurată la 420 nm sau la 435 nm.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   DETERMINAREA AMINOACIZILOR (CU EXCEPȚIA TRIPTOFANULUI)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Metodele de analiză utilizate pentru determinarea aminoacizilor (cu excepția triptofanului) sunt:</w:t>
      </w:r>
    </w:p>
    <w:p w:rsidR="00427724" w:rsidRPr="00427724" w:rsidRDefault="00427724" w:rsidP="00C2569A">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r w:rsidR="00C2569A" w:rsidRPr="00C2569A">
        <w:rPr>
          <w:rFonts w:ascii="Times New Roman" w:hAnsi="Times New Roman" w:cs="Times New Roman"/>
          <w:sz w:val="28"/>
          <w:szCs w:val="28"/>
          <w:lang w:val="ro-RO"/>
        </w:rPr>
        <w:t>SM SR EN ISO 13903:2012</w:t>
      </w:r>
      <w:r w:rsidR="0062008C">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conținutului de aminoacizi;</w:t>
      </w:r>
    </w:p>
    <w:p w:rsidR="00427724" w:rsidRPr="00427724" w:rsidRDefault="00427724" w:rsidP="0062008C">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r w:rsidR="0062008C" w:rsidRPr="0062008C">
        <w:rPr>
          <w:rFonts w:ascii="Times New Roman" w:hAnsi="Times New Roman" w:cs="Times New Roman"/>
          <w:sz w:val="28"/>
          <w:szCs w:val="28"/>
          <w:lang w:val="ro-RO"/>
        </w:rPr>
        <w:t>SM EN ISO 17180:2016</w:t>
      </w:r>
      <w:r w:rsidRPr="00427724">
        <w:rPr>
          <w:rFonts w:ascii="Times New Roman" w:hAnsi="Times New Roman" w:cs="Times New Roman"/>
          <w:sz w:val="28"/>
          <w:szCs w:val="28"/>
          <w:lang w:val="ro-RO"/>
        </w:rPr>
        <w:t xml:space="preserve"> Hrană pentru animale – Determinarea lizinei, metioninei și treoninei în produsele comerciale de aminoacizi și în preamestecuri (</w:t>
      </w:r>
      <w:hyperlink r:id="rId34" w:anchor="E0030"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15</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metoda de analiză descrisă la punctele 1-10 de mai jos.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aminoacizilor liberi (sintetici și naturali) și totali (legați în peptide și liberi) din materii prime furajere, furaje combinate și preamestecuri care conțin mai puțin de 10 % (</w:t>
      </w:r>
      <w:hyperlink r:id="rId35" w:anchor="E0031"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16</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 xml:space="preserve">) din fiecare aminoacid, folosind un analizator de aminoacizi. Ea este aplicabilă următorilor aminoacizi: cist(e)ină, </w:t>
      </w:r>
      <w:r w:rsidR="00427724" w:rsidRPr="00427724">
        <w:rPr>
          <w:rFonts w:ascii="Times New Roman" w:hAnsi="Times New Roman" w:cs="Times New Roman"/>
          <w:sz w:val="28"/>
          <w:szCs w:val="28"/>
          <w:lang w:val="ro-RO"/>
        </w:rPr>
        <w:lastRenderedPageBreak/>
        <w:t>metionină, lizină, treonină, alanină, arginină, acid aspartic, acid glutamic, glicină, histidină, izoleucină, leucină, fenilalanină, prolină, serină, tirozină și valină.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nu deosebește diferite săruri ale aminoacizilor și nu permite diferențierea între formele D și L ale aminoacizilor. Ea nu este valabilă pentru determinarea triptofanului sau a analogilor hidroxilați ai aminoacizilor.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2.1.    </w:t>
      </w:r>
      <w:r w:rsidRPr="00427724">
        <w:rPr>
          <w:rFonts w:ascii="Times New Roman" w:hAnsi="Times New Roman" w:cs="Times New Roman"/>
          <w:b/>
          <w:bCs/>
          <w:i/>
          <w:iCs/>
          <w:sz w:val="28"/>
          <w:szCs w:val="28"/>
          <w:lang w:val="ro-RO"/>
        </w:rPr>
        <w:t>Aminoacizi liberi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Aminoacizii liberi se extrag cu acid clorhidric diluat. Macromoleculele azotate coextrase se precipită cu acid sulfosalicilic și se îndepărtează prin filtrare. Soluția filtrată se ajustează la pH-ul de 2,20. Aminoacizii se separă prin cromatografie cu schimb de ioni și se determină prin reacție cu ninhidrină cu detecție fotometrică la 570 nm.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2.2.    </w:t>
      </w:r>
      <w:r w:rsidRPr="00427724">
        <w:rPr>
          <w:rFonts w:ascii="Times New Roman" w:hAnsi="Times New Roman" w:cs="Times New Roman"/>
          <w:b/>
          <w:bCs/>
          <w:i/>
          <w:iCs/>
          <w:sz w:val="28"/>
          <w:szCs w:val="28"/>
          <w:lang w:val="ro-RO"/>
        </w:rPr>
        <w:t>Aminoacizi totali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Procedura aleasă depinde de aminoacizii care sunt analizați. Cist(e)ina și metionina trebuie oxidate la acid cisteic și, respectiv, metionin sulfonă înainte de hidroliză. Tirozina trebuie determinată în hidrolizate de eșantioane neoxidate. Toți ceilalți aminoacizi enumerați la punctul 1 (Obiectiv și domeniu de aplicare) se pot determina fie în eșantionul oxidat, fie în eșantionul neoxidat.</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Oxidarea se realizează la 0 °C cu ajutorul unui amestec de acid performic și fenol. Reactivul de oxidare în exces se descompune cu disulfit de sodiu. Eșantionul oxidat sau neoxidat se hidrolizează cu acid clorhidric (punctul 3.20) timp de 23 de ore. Hidrolizatul se ajustează la pH-ul de 2,20. Aminoacizii se separă prin cromatografie cu schimb de ioni și se determină prin reacție cu ninhidrină folosind detecția fotometrică la 570 nm (440 nm pentru prolină).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Trebuie utilizată apă dublu distilată sau apă de calitate echivalentă (conductivitate &lt; 10 μS).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Peroxid de hidrogen, g (g/g) = 30 %.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formic, g (g/g) = 98-100 %.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Fenol.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Disulfit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3.5. Hidroxid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5-sulfosalicilic dihidrat.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clorhidric, cu densitate de aproximativ 1,18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Citrat trisodic dihidrat.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2,2’-tiodietanol (tiodiglicol).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Clorură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Ninhidrină.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Eter de petrol, interval de fierbere 40-60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Norleucină sau alt compus adecvat pentru a fi utilizat ca etalon intern.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Azot, gaz (&lt; 10 ppm oxigen).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3.15. 1-octanol.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 Aminoacizi.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3.16.1. Substanțele standard ale aminoacizilor enumerați la punctul 1 (Obiect și domeniu de aplicare). Compuși puri care nu conțin deloc apă de cristalizare. Înainte de utilizare, se usucă în vid cu ajutorul P</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5</w:t>
      </w:r>
      <w:r w:rsidRPr="00427724">
        <w:rPr>
          <w:rFonts w:ascii="Times New Roman" w:hAnsi="Times New Roman" w:cs="Times New Roman"/>
          <w:sz w:val="28"/>
          <w:szCs w:val="28"/>
          <w:lang w:val="ro-RO"/>
        </w:rPr>
        <w:t> sau al 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timp de 1 săptămână.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3.16.2. Acid cisteic.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3.16.3. Metionin sulfonă.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3.17. Soluție de hidroxid de sodiu, c = 7,5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300 g de NaOH (punctul 3.5) în apă și se completează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3.18. Soluție de hidroxid de sodiu, c = 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40 g de NaOH (punctul 3.5) în apă și se completează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3.19. Soluție de acid formic-fenol: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amestecă 889 g de acid formic (punctul 3.2) cu 111 g de apă și se adaugă 4,73 g de fenol (punctul 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3.20. Mixtură de hidroliză, c = 6 mol HCl/l conținând 1 g de fenol/l: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adaugă 1 g de fenol (punctul 3.3) la 492 ml de HCl (punctul 3.7) și se completează cu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3.21. Mixtură de extracție, c = 0,1 mol HCl/l conținând 2 % tiodiglicol: se iau 8,2 ml de HCl (punctul 3.7), se diluează cu aproximativ 900 ml de apă, se adaugă 20 ml de tiodiglicol (punctul 3.9) și se completează cu apă până la 1 litru (nu se amestecă direct 3.7 și 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3.22. Acid 5-sulfosalicilic dihidrat, ß = 6 %: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60 g de acid 5-sulfosalicilic (punctul 3.6) în apă și se completează cu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3.23. Mixtură de oxidare (acid performic-fenol):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amestecă 0,5 ml de peroxid de hidrogen (punctul 3.1) cu 4,5 ml soluție de acid formic-fenol (punctul 3.19) într-un mic pahar de laborator. Se incubează la 20-30 °C timp de 1 oră pentru a se forma acid performic, apoi se răcește în baie de apă cu gheață (15 min) înainte de a se adăuga la eșantion.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Atenție: a se evita contactul cu pielea și a se purta îmbrăcăminte protectoare.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3.24. Soluție tampon de citrat, c = 0,2 mol Na</w:t>
      </w:r>
      <w:r w:rsidRPr="00427724">
        <w:rPr>
          <w:rFonts w:ascii="Times New Roman" w:hAnsi="Times New Roman" w:cs="Times New Roman"/>
          <w:sz w:val="28"/>
          <w:szCs w:val="28"/>
          <w:vertAlign w:val="superscript"/>
          <w:lang w:val="ro-RO"/>
        </w:rPr>
        <w:t>+</w:t>
      </w:r>
      <w:r w:rsidRPr="00427724">
        <w:rPr>
          <w:rFonts w:ascii="Times New Roman" w:hAnsi="Times New Roman" w:cs="Times New Roman"/>
          <w:sz w:val="28"/>
          <w:szCs w:val="28"/>
          <w:lang w:val="ro-RO"/>
        </w:rPr>
        <w:t>/l, pH 2,20: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19,61 g de citrat de sodiu (punctul 3.8), 5 ml de tiodiglicol (punctul 3.9), 1 g de fenol (punctul 3.3) și 16,50 ml de HCl (punctul 3.7) în aproximativ 800 ml de apă. Se ajustează pH-ul la 2,20. Se completează cu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3.25. Soluții tampon de eluție, preparate în conformitate cu condițiile pentru analizorul utilizat (punctul 4.9).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3.26. Reactiv ninhidrină, preparat în conformitate cu condițiile pentru analizorul utilizat (punctul 4.9).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 Soluții etalon de aminoacizi. Aceste soluții se păstrează la o temperatură sub 5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3.27.1. Soluție etalon stoc de aminoacizi (punctul 3.16.1).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 2,5 μmol/ml pentru fiecare, în acid clorhidric.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pot obține din surse comerciale.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3.27.2. Soluție etalon stoc de acid cisteic și metionin sulfonă, c = 1,25 μmol/ml.</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dizolvă 0,2115 g de acid cisteic (punctul 3.16.2) și 0,2265 g de metionin sulfonă (punctul 3.16.3) în soluție tampon de citrat (punctul 3.24) într-un balon gradat de 1 litru și se completează până la semn cu soluție tampon de citrat. Se </w:t>
      </w:r>
      <w:r w:rsidR="00427724" w:rsidRPr="00427724">
        <w:rPr>
          <w:rFonts w:ascii="Times New Roman" w:hAnsi="Times New Roman" w:cs="Times New Roman"/>
          <w:sz w:val="28"/>
          <w:szCs w:val="28"/>
          <w:lang w:val="ro-RO"/>
        </w:rPr>
        <w:lastRenderedPageBreak/>
        <w:t>păstrează la o temperatură sub 5 °C, nu mai mult de 12 luni. Această soluție nu se utilizează dacă soluția etalon stoc (punctul 3.27.1) conține acid cisteic și metionin sulfonă.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3.27.3. Soluție etalon stoc de etalon intern, de exemplu, norleucină, c = 20 μmol/ml.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0,6560 g de norleucină (punctul 3.13) în soluție tampon de citrat (punctul 3.24) într-un balon gradat și se completează cu soluție tampon de citrat până la 250 ml. Se păstrează la o temperatură sub 5 °C, nu mai mult de 6 luni.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3.27.4. Soluție de calibrare a aminoacizilor standard pentru utilizare cu hidrolizate, c = 5 nmol/50 μl de acid cisteic și metionin sulfonă și c = 10 nmol/50 μl din ceilalți aminoacizi. Se dizolvă 2,2 g de clorură de sodiu (punctul 3.10) într-un pahar de laborator de 100 ml care conține 30 ml soluție tampon de citrat (punctul 3.24). Se adaugă 4,00 ml de soluție etalon stoc de aminoacizi (punctul 3.27.1), 4,00 ml soluție etalon stoc de acid cisteic și metionin sulfonă (punctul 3.27.2) și 0,50 ml soluție etalon stoc de etalon intern (punctul 3.27.3), dacă este cazul. Se ajustează pH-ul la valoarea 2,20 cu hidroxid de sodiu (punctul 3.18).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cantitativ într-un balon gradat de 50 ml, se completează până la semn cu soluție tampon de citrat (punctul 3.24)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păstrează la o temperatură sub 5 °C, nu mai mult de 3 luni.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se vedea și observațiile de la punctul 9.1.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3.27.5. Soluție de calibrare a aminoacizilor standard pentru utilizare cu hidrolizate preparată în conformitate cu punctul 5.3.3.1 și pentru utilizare cu extracte (punctul 5.2). Soluția de calibrare se prepară în conformitate cu punctul 3.27.4, dar omițând clorura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păstrează la o temperatură sub 5 °C, nu mai mult de 3 luni.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Balon cu fund rotund de 100 sau 250 ml dotat cu un condensator cu reflux.</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Sticlă din borosilicat, de 100 ml, cu un dop filetat cu căptușeală de cauciuc/teflon (de exemplu, Duran, Schott) pentru utilizare în cuptor.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Cuptor cu ventilație forțată și un regulator de temperatură cu precizie mai mare de ± 2 </w:t>
      </w:r>
      <w:r w:rsidRPr="00427724">
        <w:rPr>
          <w:rFonts w:ascii="Times New Roman" w:hAnsi="Times New Roman" w:cs="Times New Roman"/>
          <w:sz w:val="28"/>
          <w:szCs w:val="28"/>
          <w:vertAlign w:val="superscript"/>
          <w:lang w:val="ro-RO"/>
        </w:rPr>
        <w:t>o</w:t>
      </w:r>
      <w:r w:rsidRPr="00427724">
        <w:rPr>
          <w:rFonts w:ascii="Times New Roman" w:hAnsi="Times New Roman" w:cs="Times New Roman"/>
          <w:sz w:val="28"/>
          <w:szCs w:val="28"/>
          <w:lang w:val="ro-RO"/>
        </w:rPr>
        <w:t>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pH-metru (cu trei zecimale).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4.5. Filtru cu membrană (0,22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Centrifugă.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Evaporator rotativ cu vid.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 Agitator mecanic sau magnetic.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4.9. Analizor de aminoacizi sau echipament HPLC cu coloană schimbătoare de ioni, dispozitiv pentru ninhidrină, derivare post-coloană și detector fotometric.</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Coloana este umplută cu rășini de polistiren sulfonat capabile să separe aminoacizii unul de altul, precum și de materiale care conțin ninhidrină. Fluxul din liniile cu soluție tampon și ninhidrină este asigurat de pompe care au o stabilitate a fluxului de ± 0,5 % în perioada care include atât funcționarea în vederea calibrării standardului, cât și analiza eșantionului.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unor analizori de aminoacizi se pot utiliza proceduri de hidrolizare în care hidrolizatul are o concentrație de sodiu de c = 0,8 mol/l și conține întreaga cantitate de acid formic rezidual din etapa de oxidare. Alți analizori nu oferă o separare satisfăcătoare a anumitor aminoacizi dacă hidrolizatul conține exces de acid formic și/sau concentrații mari de ioni de sodiu. În acest caz, volumul de acid se reduce prin evaporare la aproximativ 5 ml după hidroliză și înainte de ajustarea pH-ului. Evaporarea se face sub vid, la o temperatură maximă de 40 °C.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Pregătirea eșantionului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macină astfel încât poate trece printr-o sită cu ochiuri de 0,5 mm. Înainte de măcinare, eșantioanele cu un conținut ridicat de umiditate trebuie fie uscate la aer la o temperatură de maximum 50 °C, fie liofilizate. Eșantioanele cu un conținut ridicat de substanțe grase se extrag cu eter de petrol (punctul 3.12) înainte de măcinare.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Determinarea aminoacizilor liberi</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cu o abatere de 0,2 mg o cantitate adecvată (1-5 g) din eșantionul preparat (punctul 5.1), într-un flacon tip Erlenmeyer și se adaugă 100,0 ml de extract de mixtură (punctul 3.21). Se agită mixtura timp de 60 de minute cu ajutorul agitatorului mecanic sau magnetic (punctul 4.8). Se lasă să se decanteze sedimentul și se pipetează 10,0 ml din soluția supernatantă într-un pahar de laborator de 100 ml.</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5,0 ml de soluție de acid sulfosalicilic (punctul 3.22) în cursul agitării și se continuă agitarea cu ajutorul agitatorului magnetic timp de 5 minute. Se filtrează sau se centrifughează supernatantul pentru a se îndepărta orice precipitat. Se introduc 10,0 ml din soluția rezultată într-un pahar de laborator de 100 ml și se ajustează pH-ul la valoarea de 2,20 cu ajutorul soluției de hidroxid de sodiu (punctul 3.18), se transferă într-un balon gradat de volum adecvat utilizându-se soluție tampon de citrat (punctul 3.24) și se completează până la semn cu soluția tampon (punctul 3.24).</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se utilizează etalon intern, se adaugă 1,00 ml de etalon intern (punctul 3.27.3) pentru fiecare 100 ml de soluție finală și se completează până la semn cu soluție tampon (punctul 3.24).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trece la etapa de cromatografie conform punctului 5.4.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extractele nu se examinează în aceeași zi, trebuie păstrate la o temperatură sub 5 °C.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Determinarea aminoacizilor totali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Oxidare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0,2 mg între 0,1 și 1 g de eșantion preparat (punctul 5.1) într-un (într-o):</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balon cu fund rotund de 100 ml (punctul 4.1) pentru hidroliză în mediu deschis (punctul 5.3.2.3);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balon cu fund rotund de 250 ml (punctul 4.1) dacă este necesară o concentrație mică de sodiu (punctul 5.3.3.1);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sticlă de 100 ml dotată cu un dop filetat (punctul 4.2) (pentru hidroliză în mediu închis 5.3.2.4).</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Porția de eșantion cântărită are un conținut de azot de aproximativ 10 mg și un conținut de umiditate de maximum 100 mg.</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introduce balonul/sticla într-o baie de apă cu gheață și se răcește la 0 °C, se adaugă 5 ml de mixtură de oxidare (punctul 3.23) și se amestecă cu ajutorul unei spatule de sticlă cu vârf încovoiat. Se etanșeizează balonul/sticla conținând spatula cu ajutorul unei pelicule ermetizante, se introduce baia de apă cu gheață conținând recipientul etanșeizat într-un frigider la 0 °C și se lasă timp de 16 ore. După 16 ore, </w:t>
      </w:r>
      <w:r w:rsidR="00427724" w:rsidRPr="00427724">
        <w:rPr>
          <w:rFonts w:ascii="Times New Roman" w:hAnsi="Times New Roman" w:cs="Times New Roman"/>
          <w:sz w:val="28"/>
          <w:szCs w:val="28"/>
          <w:lang w:val="ro-RO"/>
        </w:rPr>
        <w:lastRenderedPageBreak/>
        <w:t>se scoate din frigider, iar excesul de reactiv de oxidare se descompune prin adăugarea a 0,84 g de disulfit de sodiu (punctul 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trece la 5.3.2.1.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Hidroliza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5.3.2.1. Hidroliza eșantioanelor oxidate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La eșantioanele oxidate preparate în conformitate cu punctul 5.3.1 se adaugă 25 ml de mixtură de hidroliză (punctul 3.20) având grijă să se spele orice reziduu de eșantion de pe pereții vasului și de pe spatulă.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funcție de procedura de hidrolizare utilizată, se trece la punctul 5.3.2.3 sau 5.3.2.4.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5.3.2.2. Hidroliza eșantioanelor neoxidate</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0,1-1 g de eșantion preparat (punctul 5.1), cu o abatere de 0,2 mg, fie într-un balon cu fund rotund de 100 ml sau 250 ml (punctul 4.1), fie într-o sticlă de 100 ml dotată cu dop filetat (punctul 4.2). Porția de eșantion cântărit trebuie să aibă un conținut de azot de aproximativ 10 mg. Se adaugă cu grijă 25 ml de mixtură de hidroliză (punctul 3.20) și se amestecă cu eșantionul. Se procedează ca la punctul 5.3.2.3 sau 5.3.2.4.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5.3.2.3. Hidroliza în mediu deschis</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3 mărgele de sticlă în mixtura din balon (preparată conform mențiunilor de la punctul 5.3.2.1 sau 5.3.2.2) și se fierbe în clocot continuu sub reflux timp de 23 de ore. La încheierea hidrolizei, se spală condensatorul cu 5 ml de soluție tampon de citrat (punctul 3.24). Se deconectează balonul și se răcește într-o baie de apă cu gheață.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procedează ca la punctul 5.3.3.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5.3.2.4. Hidroliza în mediu închis</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Sticla conținând mixtura preparată conform punctului 5.3.2.1 sau 5.3.2.2 se introduce în cuptor (punctul 4.3) la 110 °C. În timpul primei ore, pentru a se preveni o creștere progresivă a presiunii (datorată expansiunii substanțelor gazoase) și pentru a se evita o explozie, se plasează dopul filetat la nivelul extremității superioare a vasului. A nu se închide vasul cu dopul respectiv. După o oră, se închide vasul cu dopul respectiv și se lasă în cuptor (punctul 4.3) timp de 23 de ore. La încheierea </w:t>
      </w:r>
      <w:r w:rsidR="00427724" w:rsidRPr="00427724">
        <w:rPr>
          <w:rFonts w:ascii="Times New Roman" w:hAnsi="Times New Roman" w:cs="Times New Roman"/>
          <w:sz w:val="28"/>
          <w:szCs w:val="28"/>
          <w:lang w:val="ro-RO"/>
        </w:rPr>
        <w:lastRenderedPageBreak/>
        <w:t>hidrolizei, se îndepărtează sticla din cuptor, se scoate cu grijă dopul de la nivelul sticlei, iar aceasta se introduce într-o baie de apă cu gheață. Se lasă să se răcească.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funcție de procedura de ajustare a pH-ului (punctul 5.3.3), se transferă cantitativ conținutul sticlei într-un pahar de laborator de 250 ml sau într-un balon cu fund rotund de 250 ml, utilizând soluție tampon de citrat (punctul 3.24).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procedează ca la punctul 5.3.3.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5.3.3.   </w:t>
      </w:r>
      <w:r w:rsidRPr="00427724">
        <w:rPr>
          <w:rFonts w:ascii="Times New Roman" w:hAnsi="Times New Roman" w:cs="Times New Roman"/>
          <w:b/>
          <w:bCs/>
          <w:sz w:val="28"/>
          <w:szCs w:val="28"/>
          <w:lang w:val="ro-RO"/>
        </w:rPr>
        <w:t> Ajustarea pH-ului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funcție de toleranța la sodiu a analizorului de aminoacizi (punctul 4.9), pentru ajustarea pH-ului se procedează ca la punctul 5.3.3.1 sau 5.3.3.2.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5.3.3.1. Pentru sistemele cromatografice (punctul 4.9) necesitând o concentrație de sodiu mică.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Este recomandabil să se utilizeze o soluție etalon stoc internă (punctul 3.27.3) în cazul în care se folosesc analizori de aminoacizi necesitând o concentrație mică de sodiu (în cazul în care volumul de acid trebuie redus).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acest caz, la hidrolizat se adaugă 2,00 ml de soluție etalon stoc internă (punctul 3.27.3) înainte de evaporare.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La hidrolizatul obținut conform punctului 5.3.2.3 sau 5.3.2.4 se adaugă 2 picături de 1-octanol (punctul 3.15).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Utilizând un evaporator rotativ (punctul 4.7) se reduce volumul la 5-10 ml în condiții de vid la 40 °C. Dacă volumul este redus accidental la mai puțin de 5 ml, hidrolizatul trebuie aruncat, iar analiza trebuie repetată.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ajustează pH-ul la 2,20 cu ajutorul soluției de hidroxid de sodiu (punctul 3.18) și se procedează ca la punctul 5.3.4.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5.3.3.2. Pentru toți ceilalți analizori de aminoacizi (punctul 4.9)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Hidrolizatele obținute conform punctului 5.3.2.3 sau 5.3.2.4 se neutralizează parțial prin adăugarea cu grijă, în condiții de agitare continuă, a 17 ml de soluție de hidroxid de sodiu (punctul 3.17), asigurându-se că temperatura este menținută sub 40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ajustează pH-ul la valoarea de 2,20 la temperatura camerei prin utilizarea soluției de hidroxid de sodiu (punctul 3.17) și în cele din urmă a soluției de hidroxid de sodiu (punctul 3.18). Se trece la punctul 5.3.4.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5.3.4.   </w:t>
      </w:r>
      <w:r w:rsidRPr="00427724">
        <w:rPr>
          <w:rFonts w:ascii="Times New Roman" w:hAnsi="Times New Roman" w:cs="Times New Roman"/>
          <w:b/>
          <w:bCs/>
          <w:sz w:val="28"/>
          <w:szCs w:val="28"/>
          <w:lang w:val="ro-RO"/>
        </w:rPr>
        <w:t> Soluția de eșantion pentru cromatografie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Se transferă cantitativ hidrolizatul cu pH ajustat (punctul 5.3.3.1 sau 5.3.3.2) cu soluție tampon de citrat (punctul 3.24) într-un balon gradat de 200 ml și se completează până la semn cu soluție tampon (punctul 3.24).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nu s-a utilizat deja un etalon intern, se adaugă 2,00 ml de etalon intern (punctul 3.27.3) și se completează până la semn cu soluție tampon de citrat (punctul 3.24). Se amestecă minuțios.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trece la etapa cromatografică (punctul 5.4).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soluțiile de eșantion nu se examinează în aceeași zi, ele se păstrează la o temperatură sub 5 °C.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Cromatografia</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Înainte de cromatografie se aduce extractul (punctul 5.2) sau hidrolizatul (punctul 5.3.4) la temperatura camerei. Se agită mixtura și se filtrează o cantitate potrivită printr-un filtru cu membrană cu orificii de 0,22 μm (punctul 4.5). Soluția limpede rezultată se supune cromatografiei prin schimb ionic, utilizând un analizor de aminoacizi (punctul 4.9).</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Injectarea poate fi efectuată manual sau automat. Este important ca aceeași cantitate de soluție ± 0,5 % să fie adăugată în coloană pentru analizarea etaloanelor și a eșantioanelor cu excepția situațiilor în care se utilizează un etalon intern și ca raporturile sodiu:aminoacizi în soluțiile de etalon și în cele de eșantion să fie cât mai similare posibil.</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general, frecvența manevrelor de calibrare depinde de stabilitatea reactivului ninhidrină și a sistemului analitic. Etalonul sau eșantionul se diluează cu soluție tampon de citrat (punctul 3.24) pentru a genera o arie a vârfului pentru etalon de 30-200 % din aria vârfului pentru eșantionul de aminoacid.</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Cromatografia aminoacizilor va varia ușor în funcție de tipul analizorului și de rășina utilizate. Sistemul ales trebuie să fie capabil să separe aminoacizii unul de altul, precum și de materiale care conțin ninhidrină. În cursul operațiilor, sistemul cromatografic generează un răspuns linear la modificările cantităților de aminoacizi adăugați la coloană.</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cursul etapei cromatografice se aplică rapoartele înălțimii corespunzătoare punctului minim:vârfului menționate mai jos, în cazul în care se analizează o soluție echimolară (de aminoacizi analizați). Această soluție echimolară trebuie să conțină </w:t>
      </w:r>
      <w:r w:rsidR="00427724" w:rsidRPr="00427724">
        <w:rPr>
          <w:rFonts w:ascii="Times New Roman" w:hAnsi="Times New Roman" w:cs="Times New Roman"/>
          <w:sz w:val="28"/>
          <w:szCs w:val="28"/>
          <w:lang w:val="ro-RO"/>
        </w:rPr>
        <w:lastRenderedPageBreak/>
        <w:t>cel puțin 30 % din cantitatea maximă de aminoacizi care poate fi măsurată cu precizie cu ajutorul sistemului analizor de aminoacizi (punctul 4.9).</w:t>
      </w:r>
    </w:p>
    <w:p w:rsidR="00427724" w:rsidRPr="00427724" w:rsidRDefault="00F35C9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separarea treoninei-serinei, în cazul suprapunerii a doi aminoacizi, raportul punct minim/vârf corespunzător aminoacidului situat mai jos pe cromatogramă nu trebuie să depășească 2:10. [dacă se determină doar cist(e)ina, metionina, treonina și lizina, separarea insuficientă a vârfurilor învecinate va influența în mod negativ determinarea]. Pentru toți ceilalți aminoacizi, separarea trebuie să fie mai bună de 1:10.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Sistemul trebuie să asigure că lizina se separă de „artefactele de lizină” și de ornitină.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pentru eșantion și etalon se măsoară pentru fiecare aminoacid în parte, iar cantitatea (X) se calculează în g de aminoacid per kg de eșantion.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576705" cy="577850"/>
            <wp:effectExtent l="0" t="0" r="4445" b="0"/>
            <wp:docPr id="30" name="Imagine 30" descr="C:\Users\User MAIA\AppData\Local\Microsoft\Windows\INetCache\Content.MSO\F7C9A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MAIA\AppData\Local\Microsoft\Windows\INetCache\Content.MSO\F7C9AEC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6705" cy="577850"/>
                    </a:xfrm>
                    <a:prstGeom prst="rect">
                      <a:avLst/>
                    </a:prstGeom>
                    <a:noFill/>
                    <a:ln>
                      <a:noFill/>
                    </a:ln>
                  </pic:spPr>
                </pic:pic>
              </a:graphicData>
            </a:graphic>
          </wp:inline>
        </w:drawing>
      </w:r>
      <w:r w:rsidRPr="00427724">
        <w:rPr>
          <w:rFonts w:ascii="Times New Roman" w:hAnsi="Times New Roman" w:cs="Times New Roman"/>
          <w:sz w:val="28"/>
          <w:szCs w:val="28"/>
          <w:lang w:val="ro-RO"/>
        </w:rPr>
        <w:t>Dacă se utilizează un etalon intern se multiplică cu:</w:t>
      </w:r>
    </w:p>
    <w:tbl>
      <w:tblPr>
        <w:tblW w:w="5000" w:type="pct"/>
        <w:shd w:val="clear" w:color="auto" w:fill="FFFFFF"/>
        <w:tblCellMar>
          <w:left w:w="0" w:type="dxa"/>
          <w:right w:w="0" w:type="dxa"/>
        </w:tblCellMar>
        <w:tblLook w:val="04A0" w:firstRow="1" w:lastRow="0" w:firstColumn="1" w:lastColumn="0" w:noHBand="0" w:noVBand="1"/>
      </w:tblPr>
      <w:tblGrid>
        <w:gridCol w:w="1279"/>
        <w:gridCol w:w="319"/>
        <w:gridCol w:w="780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73050" cy="567690"/>
                  <wp:effectExtent l="0" t="0" r="0" b="3810"/>
                  <wp:docPr id="29" name="Imagine 29" descr="C:\Users\User MAIA\AppData\Local\Microsoft\Windows\INetCache\Content.MSO\A0431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MAIA\AppData\Local\Microsoft\Windows\INetCache\Content.MSO\A0431F7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50" cy="567690"/>
                          </a:xfrm>
                          <a:prstGeom prst="rect">
                            <a:avLst/>
                          </a:prstGeom>
                          <a:noFill/>
                          <a:ln>
                            <a:noFill/>
                          </a:ln>
                        </pic:spPr>
                      </pic:pic>
                    </a:graphicData>
                  </a:graphic>
                </wp:inline>
              </w:drawing>
            </w:r>
            <w:r w:rsidRPr="00427724">
              <w:rPr>
                <w:rFonts w:ascii="Times New Roman" w:hAnsi="Times New Roman" w:cs="Times New Roman"/>
                <w:sz w:val="28"/>
                <w:szCs w:val="28"/>
                <w:lang w:val="ro-RO"/>
              </w:rPr>
              <w:t>A</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hidrolizat sau extract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71"/>
        <w:gridCol w:w="313"/>
        <w:gridCol w:w="872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soluția etalon de calibrare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94"/>
        <w:gridCol w:w="249"/>
        <w:gridCol w:w="886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etalon intern în hidrolizat sau extract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02"/>
        <w:gridCol w:w="236"/>
        <w:gridCol w:w="886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etalon intern, soluția etalon de calibrare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32"/>
        <w:gridCol w:w="275"/>
        <w:gridCol w:w="869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molară a aminoacidului determinat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72"/>
        <w:gridCol w:w="344"/>
        <w:gridCol w:w="879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standard în μmol/ml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18"/>
        <w:gridCol w:w="158"/>
        <w:gridCol w:w="903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eșantionului (g) (corectată pentru a obține greutatea originală dacă produsul este uscat sau degresat)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03"/>
        <w:gridCol w:w="158"/>
        <w:gridCol w:w="904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total hidrolizat în ml (punctul 5.3.4) sau volumul de diluție total calculat pentru extract, în ml (6.1)</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Cistina și cisteina se determină amândouă ca acid cisteic în hidrolizate de eșantion oxidat, dar se calculează ca cistină (C</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12</w:t>
      </w:r>
      <w:r w:rsidRPr="00427724">
        <w:rPr>
          <w:rFonts w:ascii="Times New Roman" w:hAnsi="Times New Roman" w:cs="Times New Roman"/>
          <w:sz w:val="28"/>
          <w:szCs w:val="28"/>
          <w:lang w:val="ro-RO"/>
        </w:rPr>
        <w:t>N</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M 240,30 g/mol) folosind M 120,15 g/mol (= 0,5 × 240,30 g/mol).</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Metionina se determină ca metionin sulfonă în hidrolizate de eșantion oxidat, dar se calculează ca metionină folosind M pentru metionină: 149,21 g/mol.</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Metionina liberă adăugată se determină după extracție ca metionină, pentru calculare folosindu-se aceeași 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Volumul total de diluție al extractelor (F) pentru determinarea aminoacizilor liberi (punctul 5.2) se calculează după cum urmează:</w:t>
      </w:r>
    </w:p>
    <w:tbl>
      <w:tblPr>
        <w:tblW w:w="5000" w:type="pct"/>
        <w:shd w:val="clear" w:color="auto" w:fill="FFFFFF"/>
        <w:tblCellMar>
          <w:left w:w="0" w:type="dxa"/>
          <w:right w:w="0" w:type="dxa"/>
        </w:tblCellMar>
        <w:tblLook w:val="04A0" w:firstRow="1" w:lastRow="0" w:firstColumn="1" w:lastColumn="0" w:noHBand="0" w:noVBand="1"/>
      </w:tblPr>
      <w:tblGrid>
        <w:gridCol w:w="5843"/>
        <w:gridCol w:w="191"/>
        <w:gridCol w:w="337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932430" cy="577850"/>
                  <wp:effectExtent l="0" t="0" r="1270" b="0"/>
                  <wp:docPr id="28" name="Imagine 28" descr="C:\Users\User MAIA\AppData\Local\Microsoft\Windows\INetCache\Content.MSO\7EBFE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MAIA\AppData\Local\Microsoft\Windows\INetCache\Content.MSO\7EBFEF9D.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2430" cy="577850"/>
                          </a:xfrm>
                          <a:prstGeom prst="rect">
                            <a:avLst/>
                          </a:prstGeom>
                          <a:noFill/>
                          <a:ln>
                            <a:noFill/>
                          </a:ln>
                        </pic:spPr>
                      </pic:pic>
                    </a:graphicData>
                  </a:graphic>
                </wp:inline>
              </w:drawing>
            </w:r>
            <w:r w:rsidRPr="00427724">
              <w:rPr>
                <w:rFonts w:ascii="Times New Roman" w:hAnsi="Times New Roman" w:cs="Times New Roman"/>
                <w:sz w:val="28"/>
                <w:szCs w:val="28"/>
                <w:lang w:val="ro-RO"/>
              </w:rPr>
              <w:t>V</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extractului final</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Evaluarea metodei</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a fost testată prin comparații la nivel internațional în 1990 utilizând patru furaje diferite (furaje combinate pentru porcine, furaje combinate pentru pui de carne, concentrate proteice, preamestecuri).</w:t>
      </w:r>
    </w:p>
    <w:p w:rsidR="00427724" w:rsidRPr="00427724" w:rsidRDefault="00CF4C25" w:rsidP="00EB2A26">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xml:space="preserve">: Metoda a fost testată în cadrul unui al doilea studiu de comparare interlaboratoare la nivel internațional în 2003 utilizând perechi de duplicate oarbe pe eșantioane de furaje de finisare pentru pui de carne, furaje starter pentru pui de carne, porumb, făină de pește și făină de păsări de curte. Pentru detalii, a se vedea </w:t>
      </w:r>
      <w:r w:rsidR="00EB2A26" w:rsidRPr="00EB2A26">
        <w:rPr>
          <w:rFonts w:ascii="Times New Roman" w:hAnsi="Times New Roman" w:cs="Times New Roman"/>
          <w:sz w:val="28"/>
          <w:szCs w:val="28"/>
          <w:lang w:val="ro-RO"/>
        </w:rPr>
        <w:t>SM SR EN ISO 13903:2012</w:t>
      </w:r>
      <w:r w:rsidR="00427724" w:rsidRPr="00427724">
        <w:rPr>
          <w:rFonts w:ascii="Times New Roman" w:hAnsi="Times New Roman" w:cs="Times New Roman"/>
          <w:sz w:val="28"/>
          <w:szCs w:val="28"/>
          <w:lang w:val="ro-RO"/>
        </w:rPr>
        <w:t>.</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studiului de comparare interlaboratoare din 1990, după eliminarea valorilor extreme, exprimate ca medie și deviație standard sunt prezentate în tabelele de la acest punct: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Medii în g/kg</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87"/>
        <w:gridCol w:w="1139"/>
        <w:gridCol w:w="1227"/>
        <w:gridCol w:w="1289"/>
        <w:gridCol w:w="823"/>
      </w:tblGrid>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Material de referință</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Aminoacid</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b/>
                <w:bCs/>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Treonină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Cist(e)ină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Metionină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Lizină</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mixte pentru porcine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6,94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9,55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 combinat pentru pui de carne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13,93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Concentrat proteic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5,06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12,01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47,74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n = 15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58,42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90,21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98,03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 de laboratoare participante</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7.1.    </w:t>
      </w:r>
      <w:r w:rsidRPr="00427724">
        <w:rPr>
          <w:rFonts w:ascii="Times New Roman" w:hAnsi="Times New Roman" w:cs="Times New Roman"/>
          <w:b/>
          <w:bCs/>
          <w:i/>
          <w:iCs/>
          <w:sz w:val="28"/>
          <w:szCs w:val="28"/>
          <w:lang w:val="ro-RO"/>
        </w:rPr>
        <w:t>Repetabilitate</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Repetabilitatea exprimată ca „deviație standard intralaborator” a comparației interlaboratoare din tabelul de mai sus este redată în tabelele de mai jos:</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Coeficient de variație (%) pentru repetabilitate (CV</w:t>
      </w:r>
      <w:r w:rsidRPr="00427724">
        <w:rPr>
          <w:rFonts w:ascii="Times New Roman" w:hAnsi="Times New Roman" w:cs="Times New Roman"/>
          <w:b/>
          <w:bCs/>
          <w:sz w:val="28"/>
          <w:szCs w:val="28"/>
          <w:vertAlign w:val="subscript"/>
          <w:lang w:val="ro-RO"/>
        </w:rPr>
        <w:t>r</w:t>
      </w:r>
      <w:r w:rsidRPr="00427724">
        <w:rPr>
          <w:rFonts w:ascii="Times New Roman" w:hAnsi="Times New Roman" w:cs="Times New Roman"/>
          <w:b/>
          <w:bCs/>
          <w:sz w:val="28"/>
          <w:szCs w:val="28"/>
          <w:lang w:val="ro-RO"/>
        </w:rPr>
        <w:t>)</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87"/>
        <w:gridCol w:w="1139"/>
        <w:gridCol w:w="1227"/>
        <w:gridCol w:w="1289"/>
        <w:gridCol w:w="823"/>
      </w:tblGrid>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Material de referință</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Aminoacid</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b/>
                <w:bCs/>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Treonină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Cist(e)ină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Metionină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Lizină</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mixte pentru porcine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 combinat pentru pui de carne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Concentrat proteic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 de laboratoare participante</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7.2.    </w:t>
      </w:r>
      <w:r w:rsidRPr="00427724">
        <w:rPr>
          <w:rFonts w:ascii="Times New Roman" w:hAnsi="Times New Roman" w:cs="Times New Roman"/>
          <w:b/>
          <w:bCs/>
          <w:i/>
          <w:iCs/>
          <w:sz w:val="28"/>
          <w:szCs w:val="28"/>
          <w:lang w:val="ro-RO"/>
        </w:rPr>
        <w:t>Reproductibilitate</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pentru deviația standard interlaboratoare pentru comparația interlaboratoare menționată mai sus sunt prezentate în tabelul de mai jos: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Coeficient de variație (%) pentru reproductibilitate (CV</w:t>
      </w:r>
      <w:r w:rsidRPr="00427724">
        <w:rPr>
          <w:rFonts w:ascii="Times New Roman" w:hAnsi="Times New Roman" w:cs="Times New Roman"/>
          <w:b/>
          <w:bCs/>
          <w:sz w:val="28"/>
          <w:szCs w:val="28"/>
          <w:vertAlign w:val="subscript"/>
          <w:lang w:val="ro-RO"/>
        </w:rPr>
        <w:t>R</w:t>
      </w:r>
      <w:r w:rsidRPr="00427724">
        <w:rPr>
          <w:rFonts w:ascii="Times New Roman" w:hAnsi="Times New Roman" w:cs="Times New Roman"/>
          <w:b/>
          <w:bCs/>
          <w:sz w:val="28"/>
          <w:szCs w:val="28"/>
          <w:lang w:val="ro-RO"/>
        </w:rPr>
        <w:t>)</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87"/>
        <w:gridCol w:w="1139"/>
        <w:gridCol w:w="1227"/>
        <w:gridCol w:w="1289"/>
        <w:gridCol w:w="823"/>
      </w:tblGrid>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Material de referință</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Aminoacid</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b/>
                <w:bCs/>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Treonină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Cist(e)ină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Metionină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Lizină</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Furaje mixte pentru porcine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Furaj combinat pentru pui de carne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Concentrat proteic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16</w:t>
            </w:r>
          </w:p>
        </w:tc>
      </w:tr>
      <w:tr w:rsidR="00427724" w:rsidRPr="00427724">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 de laboratoare participante</w:t>
            </w:r>
          </w:p>
        </w:tc>
      </w:tr>
    </w:tbl>
    <w:p w:rsidR="00F046C1" w:rsidRDefault="00F046C1" w:rsidP="00427724">
      <w:pPr>
        <w:tabs>
          <w:tab w:val="left" w:pos="210"/>
        </w:tabs>
        <w:jc w:val="both"/>
        <w:rPr>
          <w:rFonts w:ascii="Times New Roman" w:hAnsi="Times New Roman" w:cs="Times New Roman"/>
          <w:i/>
          <w:iCs/>
          <w:sz w:val="28"/>
          <w:szCs w:val="28"/>
          <w:lang w:val="ro-RO"/>
        </w:rPr>
      </w:pP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Utilizarea materialelor de referință</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Aplicarea corectă a metodei se verifică prin repetarea măsurătorilor pentru materialele de referință certificate, atunci când acestea sunt disponibile. Se recomandă calibrarea cu soluție de calibrare pentru aminoacid certificată.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9.1. Din cauza diferențelor dintre analizorii de aminoacizi, concentrațiile finale ale soluțiilor de calibrare pentru aminoacizii standard (a se vedea punctele 3.27.4 și 3.27.5) și pentru hidrolizat (a se vedea punctul 5.3.4) se consideră orientative.</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Intervalul răspunsului liniar al aparatului trebuie verificat pentru toți aminoacizii.</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Soluția etalon se diluează cu soluție tampon de citrat pentru a genera arii de vârf situate la mijlocul intervalului.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 În cazul în care pentru analizarea hidrolizatelor se folosește aparatură de cromatografie lichidă de înaltă performanță, condițiile experimentale trebuie optimizate în conformitate cu recomandările fabricantului.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9.3. Prin aplicarea metodei la furajele combinate sau la preamestecurile care conțin peste 1 % clorură (concentrate, furaje minerale, furaje complementare) poate apărea o subestimare a metioninei, ceea ce necesită un tratament special.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10.   </w:t>
      </w:r>
      <w:r w:rsidRPr="00427724">
        <w:rPr>
          <w:rFonts w:ascii="Times New Roman" w:hAnsi="Times New Roman" w:cs="Times New Roman"/>
          <w:b/>
          <w:bCs/>
          <w:i/>
          <w:iCs/>
          <w:sz w:val="28"/>
          <w:szCs w:val="28"/>
          <w:lang w:val="ro-RO"/>
        </w:rPr>
        <w:t> Criterii de performanță</w:t>
      </w:r>
    </w:p>
    <w:p w:rsidR="00427724" w:rsidRPr="00427724" w:rsidRDefault="00CF4C25" w:rsidP="005A755B">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Compilarea rezultatelor (cu excepția tirozinei) care provin din cele două studii colaborative (din 1990 raportate la punctul 7 de mai sus și din 2005 raportate în </w:t>
      </w:r>
      <w:r w:rsidR="005A755B" w:rsidRPr="005A755B">
        <w:rPr>
          <w:rFonts w:ascii="Times New Roman" w:hAnsi="Times New Roman" w:cs="Times New Roman"/>
          <w:sz w:val="28"/>
          <w:szCs w:val="28"/>
          <w:lang w:val="ro-RO"/>
        </w:rPr>
        <w:t>SM SR EN ISO 13903:2012</w:t>
      </w:r>
      <w:r w:rsidR="00427724" w:rsidRPr="00427724">
        <w:rPr>
          <w:rFonts w:ascii="Times New Roman" w:hAnsi="Times New Roman" w:cs="Times New Roman"/>
          <w:sz w:val="28"/>
          <w:szCs w:val="28"/>
          <w:lang w:val="ro-RO"/>
        </w:rPr>
        <w:t>) oferă următoarele criterii de repetabilitate și reproductibilitate. Este posibil ca valorile obținute din aceste două studii interlaboratoare să nu fie aplicabile altor intervale de concentrație și matrice decât cele date.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10.1.    </w:t>
      </w:r>
      <w:r w:rsidRPr="00427724">
        <w:rPr>
          <w:rFonts w:ascii="Times New Roman" w:hAnsi="Times New Roman" w:cs="Times New Roman"/>
          <w:b/>
          <w:bCs/>
          <w:i/>
          <w:iCs/>
          <w:sz w:val="28"/>
          <w:szCs w:val="28"/>
          <w:lang w:val="ro-RO"/>
        </w:rPr>
        <w:t>Repetabilitate</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efectuate pe același eșantion în același laborator și de către același laborant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6 % față de valoarea superioară, pentru aminoacizii totali în cazul glicinei, alaninei, lizinei, prolinei, acidului glutamic, izoleucinei și histidinei;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8 % față de valoarea superioară, pentru aminoacizii totali în cazul treoninei, fenilalaninei, metioninei, acidului aspartic și leucinei;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 față de valoarea superioară, pentru aminoacizii totali în cazul argininei și valinei;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12 % în raport cu valoarea superioară, pentru aminoacizii totali în cazul serinei;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 în raport cu valoarea superioară, pentru aminoacizii totali în cazul cist(e)inei.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10.2.    </w:t>
      </w:r>
      <w:r w:rsidRPr="00427724">
        <w:rPr>
          <w:rFonts w:ascii="Times New Roman" w:hAnsi="Times New Roman" w:cs="Times New Roman"/>
          <w:b/>
          <w:bCs/>
          <w:i/>
          <w:iCs/>
          <w:sz w:val="28"/>
          <w:szCs w:val="28"/>
          <w:lang w:val="ro-RO"/>
        </w:rPr>
        <w:t>Reproductibilitate</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efectuate pe același eșantion în laboratoare diferite și/sau efectuate de laboranți diferiți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 față de valoarea superioară, pentru aminoacizii totali în cazul glicinei, alaninei și treoninei;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 față de valoarea superioară, pentru aminoacizii totali în cazul lizinei, prolinei, fenilalaninei, metioninei și acidului aspartic;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22 % față de valoarea superioară, pentru aminoacizii totali în cazul acidului glutamic și leucinei;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27 % în raport cu valoarea superioară, pentru aminoacizii totali în cazul argininei;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32 % în raport cu valoarea superioară, pentru aminoacizii totali în cazul izoleucinei;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35 % față de valoarea superioară, pentru aminoacizii totali în cazul valinei și serinei;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40 % în raport cu valoarea superioară, pentru aminoacizii totali în cazul histidinei;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50 % în raport cu valoarea superioară, pentru aminoacizii totali în cazul cist(e)inei.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   DETERMINAREA TRIPTOFANULUI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de analiză utilizate pentru determinarea triptofanului sunt:</w:t>
      </w:r>
    </w:p>
    <w:p w:rsidR="00427724" w:rsidRPr="00427724" w:rsidRDefault="00427724" w:rsidP="005A755B">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r w:rsidR="005A755B" w:rsidRPr="005A755B">
        <w:rPr>
          <w:rFonts w:ascii="Times New Roman" w:hAnsi="Times New Roman" w:cs="Times New Roman"/>
          <w:sz w:val="28"/>
          <w:szCs w:val="28"/>
          <w:lang w:val="ro-RO"/>
        </w:rPr>
        <w:t>SM EN ISO 13904:2016</w:t>
      </w:r>
      <w:r w:rsidR="005A755B">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conținutului de triptofan;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metoda de analiză descrisă la punctele 1-9 de mai jos.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Metoda permite determinarea în furaje a triptofanului total și liber. Ea nu face distincție între formele D și 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triptofanului total, eșantionul se hidrolizează în mediu bazic cu o soluție de hidroxid de bariu saturată și se încălzește la 110 °C timp de 20 de ore. După hidroliză, se adaugă etalon intern.</w:t>
      </w:r>
    </w:p>
    <w:p w:rsidR="00427724" w:rsidRPr="00427724" w:rsidRDefault="00CF4C25"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triptofanului liber, eșantionul se extrage în mediu ușor acid în prezența etalonului intern.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Triptofanul și etalonul intern din hidrolizat sau din extract se determină prin HPLC prin detectarea fluorescenței.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Se utilizează apă dublu distilată sau apă de calitate echivalentă (conductivitate &lt; 10 μS/cm).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Substanță etalon: triptofan (puritate/conținut ≥ 99 %), uscat sub vid pe pentoxid fosforic.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3.3. Substanță etalon intern: α-metil-triptofan (puritate/conținut ≥ 99 %), uscat sub vid pe pentoxid fosforic.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Hidroxid de bariu octahidratat (se evită expunerea excesivă la aer a Ba(OH)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.8 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pentru a se evita formarea de BaCO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care ar putea perturba determinarea) (a se vedea observația de la punctul 9.3).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Hidroxid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ortofosforic, g (g/g) = 85 %.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clorhidric,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1,19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Metanol,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Eter de petrol, interval de fierbere 40-60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Soluție de hidroxid de sodiu, c = 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40,0 g de NaOH (punctul 3.5) în apă și se completează până la 1 litru cu apă (punctul 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Acid clorhidric, c = 6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iau 492 ml HCl (punctul 3.7) și se completează până la 1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Acid clorhidric, c = 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iau 82 ml HCl (punctul 3.7) și se completează până la 1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Acid clorhidric, c = 0,1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iau 8,2 ml HCl (punctul 3.7) și se completează până la 1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Acid ortofosforic, c = 0,5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iau 34 ml de acid ortofosforic (punctul 3.6) și se completează până la 1 litru cu apă (punctul 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3.15. Soluție concentrată de triptofan (punctul 3.2), c = 2,50 μmol/ml: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Într-un balon gradat de 500 ml se dizolvă 0,2553 g de triptofan (punctul 3.2) în acid clorhidric (punctul 3.13) și se completează până la semn cu acid clorhidric (punctul 3.13). Se păstrează la – 18 °C timp de maximum 4 săptămâni.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3.16. Soluție etalon intern concentrată, c = 2,50 μmol/ml: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Într-un balon gradat de 500 ml se dizolvă 0,2728 g de α-metil-triptofan (punctul 3.3) în acid clorhidric (punctul 3.13) și se completează până la semn cu acid clorhidric (punctul 3.13). Se păstrează la – 18 °C timp de maximum 4 săptămâni.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3.17. Soluție etalon de calibrare pentru triptofan și etalon intern: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iau 2,00 ml din soluția concentrată de triptofan (punctul 3.15) și 2,00 ml din soluția concentrată de etalon intern (α-metil-triptofan) (punctul 3.16). Se diluează cu apă (punctul 3.1) și metanol (punctul 3.8) până se ajunge la un volum aproximativ egal și la aproximativ aceeași concentrație de metanol (10-30 %) ca și hidrolizatul final.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timpul preparării se protejează de lumina solară directă.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3.18. Acid acetic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3.19. 1,1,1-triclor-2-metil-2-propanol.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3.20. Etanolamină g (g/g) &gt; 98 %.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3.21. 1 g de soluție de 1,1,1-triclor-2-metil-2-propanol (punctul 3.19) în 100 ml de metanol (punctul 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3.22. Fază mobilă pentru HPLC: 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Echipament de HPLC cu detector spectrofluorometric.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Coloană pentru cromatografie lichidă, 125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3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pH-metru.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Vas de polipropilenă, cu capacitate de 125 ml, cu gât larg și dop filetat.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Filtru cu membrană, 0,45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Autoclavă, 110 (± 2) °C, 1.4 (± 0,1) bar.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4.7. Agitator mecanic sau magnetic.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 Mixer Vortex.</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Prepararea eșantioanelor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macină astfel încât poate trece printr-o sită cu ochiuri de 0,5 mm. Înainte de măcinare, eșantioanele cu un conținut ridicat de umiditate trebuie fie uscate la aer la o temperatură de maximum 50 °C, fie liofilizate. Înainte de măcinare, eșantioanele cu un conținut ridicat de substanțe grase se extrag cu eter de petrol (punctul 3.9).</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Determinarea triptofanului liber (extract)</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cu o abatere de 1 mg o cantitate adecvată (1-5 g) din eșantionul preparat (punctul 5.1), într-un flacon tip Erlenmeyer. Se adaugă 100,0 ml de acid clorhidric (punctul 3.13) și 5,00 ml din soluția etalon intern concentrată (punctul 3.16). Se agită sau se amestecă timp de 60 de minute cu ajutorul unui agitator mecanic sau al unui amestecător magnetic (punctul 4.7). Se lasă să se decanteze sedimentul și se pipetează 10,0 ml din soluția supernatantă într-un pahar de laborator. Se adaugă 5 ml de acid ortofosforic (punctul 3.14). Se ajustează pH-ul la valoarea 3 utilizând hidroxid de sodiu (punctul 3.10). Se adaugă suficient metanol (punctul 3.8) pentru a obține o concentrație de metanol în volumul final de 10-30 %. Se transferă într-un balon gradat de volum corespunzător și se diluează cu apă până la un volum necesar pentru cromatografie (aproximativ același volum ca și soluția etalon de calibrare (punctul 3.17).</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filtrează câțiva ml de soluție printr-un filtru cu membrană cu orificii de 0,45 μm (punctul 4.5) înainte de a se injecta în coloana HPLC. Se trece la etapa de cromatografie conform punctului 5.4.</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Soluția etalon și extractele se protejează de lumina solară directă. Dacă analizarea extractelor nu este posibilă în aceeași zi, ele pot fi depozitate la 5 °C, cel mult 3 zile.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Determinarea triptofanului total (hidrolizat)</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cântăresc cu o abatere de 0,2 mg între 0,1 și 1 g din eșantionul preparat (punctul 5.1) într-un vas de polipropilenă (punctul 4.4). Porția de eșantion cântărit trebuie să aibă un conținut de azot de aproximativ 10 mg. Se adaugă 8,4 g de hidroxid </w:t>
      </w:r>
      <w:r w:rsidR="00427724" w:rsidRPr="00427724">
        <w:rPr>
          <w:rFonts w:ascii="Times New Roman" w:hAnsi="Times New Roman" w:cs="Times New Roman"/>
          <w:sz w:val="28"/>
          <w:szCs w:val="28"/>
          <w:lang w:val="ro-RO"/>
        </w:rPr>
        <w:lastRenderedPageBreak/>
        <w:t>de bariu octahidrat (punctul 3.4) și 10 ml de apă. Se amestecă într-un mixer Vortex (punctul 4.8) sau într-un amestecător magnetic (punctul 4.7). Magnetul învelit în teflon se lasă în amestec. Se spală pereții vasului cu 4 ml de apă. Se pune dopul filetat și se închide vasul neermetic. Se transferă într-o autoclavă (punctul 4.6) cu apă clocotită și se expun la vapori de apă timp de 30-60 de minute. Se închide autoclava și se autoclavează la 110 (± 2) °C timp de 20 de ore.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Înainte de a deschide autoclava se reduce temperatura la o valoare imediat sub 100 °C. Pentru a evita cristalizarea Ba(OH)</w:t>
      </w:r>
      <w:r w:rsidR="00427724" w:rsidRPr="00427724">
        <w:rPr>
          <w:rFonts w:ascii="Times New Roman" w:hAnsi="Times New Roman" w:cs="Times New Roman"/>
          <w:sz w:val="28"/>
          <w:szCs w:val="28"/>
          <w:vertAlign w:val="subscript"/>
          <w:lang w:val="ro-RO"/>
        </w:rPr>
        <w:t>2</w:t>
      </w:r>
      <w:r w:rsidR="00427724" w:rsidRPr="00427724">
        <w:rPr>
          <w:rFonts w:ascii="Times New Roman" w:hAnsi="Times New Roman" w:cs="Times New Roman"/>
          <w:sz w:val="28"/>
          <w:szCs w:val="28"/>
          <w:lang w:val="ro-RO"/>
        </w:rPr>
        <w:t>.8 H</w:t>
      </w:r>
      <w:r w:rsidR="00427724" w:rsidRPr="00427724">
        <w:rPr>
          <w:rFonts w:ascii="Times New Roman" w:hAnsi="Times New Roman" w:cs="Times New Roman"/>
          <w:sz w:val="28"/>
          <w:szCs w:val="28"/>
          <w:vertAlign w:val="subscript"/>
          <w:lang w:val="ro-RO"/>
        </w:rPr>
        <w:t>2</w:t>
      </w:r>
      <w:r w:rsidR="00427724" w:rsidRPr="00427724">
        <w:rPr>
          <w:rFonts w:ascii="Times New Roman" w:hAnsi="Times New Roman" w:cs="Times New Roman"/>
          <w:sz w:val="28"/>
          <w:szCs w:val="28"/>
          <w:lang w:val="ro-RO"/>
        </w:rPr>
        <w:t>O, se adaugă la amestecul cald 30 ml apă la temperatura camerei. Se agită sau se amestecă ușor. Se adaugă 2,00 ml din soluția etalon intern concentrată (α-metil-triptofan) (punctul 3.16). Se răcesc vasele într-o baie de apă/gheață timp de 15 minute.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Apoi, se adaugă 5 ml de acid ortofosforic (punctul 3.14). Se menține vasul în baia de răcire și se neutralizează cu HCl (punctul 3.11) amestecând continuu, apoi se ajustează pH-ul la valoarea 3,0 utilizând HCl (punctul 3.12). Se adaugă suficient metanol pentru a obține o concentrație de metanol în volumul final de 10-30 %. Se transferă într-un balon gradat de volum corespunzător și se diluează cu apă până la volumul definit necesar pentru cromatografie (de exemplu 100 ml). Adăugarea de metanol nu provoacă precipitare.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filtrează câțiva ml de soluție printr-un filtru cu membrană cu orificii de 0,45 μm (punctul 4.5) înainte de a se injecta în coloana HPLC. Se trece la etapa de cromatografie conform punctului 5.4.</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Soluția etalon și hidrolizatele se protejează de lumina solară directă. Dacă analizarea hidrolizatelor nu este posibilă în aceeași zi, ele pot fi depozitate la 5 °C, cel mult 3 zile.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Determinarea prin HPLC</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Următoarele condiții pentru eluția izocratică sunt oferite în scop orientativ; se pot aplica alte condiții cu condiția ca acestea să determine rezultate echivalente (a se vedea, de asemenea, observațiile de la punctele 9.1 și 9.2):</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17"/>
        <w:gridCol w:w="7073"/>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Cromatografie lichidă coloană (punctul 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125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3 μm sau echivalent</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Temperatura coloanei: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Temperatura camerei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Faza mobilă (punctul 3.22):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3,00 g acetic acid (punctul 3.18) + 900 ml apă (punctul 3.1) + 50,0 ml soluție (punctul 3.21) de 1,1,1-triclor-2-metil-2-propanol (punctul 3.19) în metanol (punctul 3.8) (1 g/100 ml). Se ajustează pH-ul la valoarea 5,00 utilizând etanolamină (punctul 3.20). Se completează până la 1 000 ml cu apă (punctul 3.1)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ml/min</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Timpul total de desfășurare: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aprox. 34 de minute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Lungimea undei de detecție: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excitație: 280 nm, emisie: 356 nm.</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 de injecție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 μl</w:t>
            </w:r>
          </w:p>
        </w:tc>
      </w:tr>
    </w:tbl>
    <w:p w:rsidR="00AF7114" w:rsidRDefault="00AF7114" w:rsidP="00427724">
      <w:pPr>
        <w:tabs>
          <w:tab w:val="left" w:pos="210"/>
        </w:tabs>
        <w:jc w:val="both"/>
        <w:rPr>
          <w:rFonts w:ascii="Times New Roman" w:hAnsi="Times New Roman" w:cs="Times New Roman"/>
          <w:i/>
          <w:iCs/>
          <w:sz w:val="28"/>
          <w:szCs w:val="28"/>
          <w:lang w:val="ro-RO"/>
        </w:rPr>
      </w:pP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calculează cantitatea de triptofan (X), în g per 100 g de eșantion.</w:t>
      </w:r>
    </w:p>
    <w:tbl>
      <w:tblPr>
        <w:tblW w:w="5000" w:type="pct"/>
        <w:shd w:val="clear" w:color="auto" w:fill="FFFFFF"/>
        <w:tblCellMar>
          <w:left w:w="0" w:type="dxa"/>
          <w:right w:w="0" w:type="dxa"/>
        </w:tblCellMar>
        <w:tblLook w:val="04A0" w:firstRow="1" w:lastRow="0" w:firstColumn="1" w:lastColumn="0" w:noHBand="0" w:noVBand="1"/>
      </w:tblPr>
      <w:tblGrid>
        <w:gridCol w:w="3672"/>
        <w:gridCol w:w="158"/>
        <w:gridCol w:w="557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239010" cy="620395"/>
                  <wp:effectExtent l="0" t="0" r="8890" b="8255"/>
                  <wp:docPr id="27" name="Imagine 27" descr="C:\Users\User MAIA\AppData\Local\Microsoft\Windows\INetCache\Content.MSO\2C430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MAIA\AppData\Local\Microsoft\Windows\INetCache\Content.MSO\2C4300B3.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9010" cy="620395"/>
                          </a:xfrm>
                          <a:prstGeom prst="rect">
                            <a:avLst/>
                          </a:prstGeom>
                          <a:noFill/>
                          <a:ln>
                            <a:noFill/>
                          </a:ln>
                        </pic:spPr>
                      </pic:pic>
                    </a:graphicData>
                  </a:graphic>
                </wp:inline>
              </w:drawing>
            </w:r>
            <w:r w:rsidRPr="00427724">
              <w:rPr>
                <w:rFonts w:ascii="Times New Roman" w:hAnsi="Times New Roman" w:cs="Times New Roman"/>
                <w:sz w:val="28"/>
                <w:szCs w:val="28"/>
                <w:lang w:val="ro-RO"/>
              </w:rPr>
              <w:t>A</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etalonului intern, soluția etalon de calibrare (punctul 3.17)</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87"/>
        <w:gridCol w:w="158"/>
        <w:gridCol w:w="9061"/>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suprafața vârfului pentru triptofan, extract (punctul 5.2) sau hidrolizat (punctul 5.3)</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93"/>
        <w:gridCol w:w="158"/>
        <w:gridCol w:w="895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(2 ml) al soluției concentrate de triptofan (punctul 3.15) adăugată la soluția de calibrare (punctul 3.17)</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25"/>
        <w:gridCol w:w="158"/>
        <w:gridCol w:w="912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în μmol/ml (= 2,50) a soluției concentrate de triptofan (punctul 3.15) adăugată la soluția de calibrare (punctul 3.17)</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93"/>
        <w:gridCol w:w="158"/>
        <w:gridCol w:w="895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al soluției etalon intern concentrate (punctul 3.16) adăugată la extract (punctul 5.2) (= 5,00 ml) sau la hidrolizat (punctul 5.3) (= 2,00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92"/>
        <w:gridCol w:w="162"/>
        <w:gridCol w:w="905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etalonului intern, extract (punctul 5.2) sau hidrolizat (punctul 5.3)</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32"/>
        <w:gridCol w:w="180"/>
        <w:gridCol w:w="899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aria vârfului pentru triptofan, soluția etalon de calibrare (punctul 3.17)</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93"/>
        <w:gridCol w:w="158"/>
        <w:gridCol w:w="895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3</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în ml (= 2,00 ml) al soluției de etalon intern concentrate (punctul 3.16) adăugată la soluția etalon de calibrare (punctul 3.17)</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18"/>
        <w:gridCol w:w="158"/>
        <w:gridCol w:w="903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eșantionului în g (corectată pentru a obține greutatea originală dacă produsul este uscat și/sau degresat)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23"/>
        <w:gridCol w:w="268"/>
        <w:gridCol w:w="871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masa molară a triptofanului (= 204,23 g/mol).</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Repetabilitate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realizate pe același eșantion nu trebuie să depășească 10 % din rezultatul cel mai mare.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Rezultatele unui studiu colaborativ</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S-a efectuat un studiu colaborativ la nivelul UE (a 4-a comparație interlaboratoare) în care au fost analizate trei eșantioane de către 12 laboratoare pentru a certifica metoda de hidroliză. Fiecare eșantion a fost supus la cinci analize. Rezultatele sunt prezentate în tabelul de mai jos:</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37"/>
        <w:gridCol w:w="1786"/>
        <w:gridCol w:w="3471"/>
        <w:gridCol w:w="2596"/>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pentru porcine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pentru porcine suplimentate cu L-triptofan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concentrate pentru porcine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tc>
      </w:tr>
      <w:tr w:rsidR="00427724" w:rsidRPr="00427724">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  numărul de laboratoare care au transmis rezultate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numărul de rezultate individuale reținute după eliminarea extremelor (identificate prin testele Cochran, Dixon pentru extreme)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reproductibilității, %</w:t>
            </w:r>
          </w:p>
        </w:tc>
      </w:tr>
    </w:tbl>
    <w:p w:rsidR="006335CD"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S-a efectuat un alt studiu colaborativ la nivelul UE (a 3-a comparație interlaboratoare) în care au fost analizate două eșantioane de către 13 laboratoare pentru a certifica metoda de extracție a triptofanului liber. Fiecare eșantion a fost supus la cinci analize. Rezultatele sunt prezentate în tabelul de mai jos:</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25"/>
        <w:gridCol w:w="2205"/>
        <w:gridCol w:w="5560"/>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4</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Amestec de grâu cu soia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5</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Amestec de grâu cu soia (= eșantion 4) adăugat cu triptofan (0,457 g/kg)</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0,391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0,931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0,012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0,034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0,048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0,134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w:t>
            </w:r>
          </w:p>
        </w:tc>
      </w:tr>
      <w:tr w:rsidR="00427724" w:rsidRPr="00427724">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  numărul de laboratoare care au transmis rezultate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numărul de rezultate individuale reținute după eliminarea extremelor (identificate prin testele Cochran, Dixon pentru extreme)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reproductibilității, %</w:t>
            </w:r>
          </w:p>
        </w:tc>
      </w:tr>
    </w:tbl>
    <w:p w:rsidR="0018736D" w:rsidRDefault="0018736D" w:rsidP="00427724">
      <w:pPr>
        <w:tabs>
          <w:tab w:val="left" w:pos="210"/>
        </w:tabs>
        <w:jc w:val="both"/>
        <w:rPr>
          <w:rFonts w:ascii="Times New Roman" w:hAnsi="Times New Roman" w:cs="Times New Roman"/>
          <w:sz w:val="28"/>
          <w:szCs w:val="28"/>
          <w:lang w:val="ro-RO"/>
        </w:rPr>
      </w:pP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S-a efectuat un alt studiu de comparație interlaboratoare la nivelul UE în care au fost analizate patru eșantioane de către 7 laboratoare cu scopul de a certifica metoda de hidroliză pentru triptofan. Rezultatele sunt prezentate mai jos. Fiecare eșantion a fost supus la cinci analize.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30"/>
        <w:gridCol w:w="2442"/>
        <w:gridCol w:w="2499"/>
        <w:gridCol w:w="1339"/>
        <w:gridCol w:w="1580"/>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mixte pentru porcine (CRM 117)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Făină de pește cu conținut mic de grăsimi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(CRM 118)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Făină din soia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(CRM 119)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4</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Lapte praf degresat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(CRM 120)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6,882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5,236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0,040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0,283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0,249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0,112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0,76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0,283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0,221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0,087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0,792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0,619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w:t>
            </w:r>
          </w:p>
        </w:tc>
      </w:tr>
      <w:tr w:rsidR="00427724" w:rsidRPr="00427724">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  numărul de laboratoare care au transmis rezultate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numărul de rezultate individuale reținute după eliminarea extremelor (identificate prin testele Cochran, Dixon pentru extreme)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reproductibilității, %</w:t>
            </w:r>
          </w:p>
        </w:tc>
      </w:tr>
    </w:tbl>
    <w:p w:rsidR="0018736D" w:rsidRDefault="0018736D" w:rsidP="00427724">
      <w:pPr>
        <w:tabs>
          <w:tab w:val="left" w:pos="210"/>
        </w:tabs>
        <w:jc w:val="both"/>
        <w:rPr>
          <w:rFonts w:ascii="Times New Roman" w:hAnsi="Times New Roman" w:cs="Times New Roman"/>
          <w:i/>
          <w:iCs/>
          <w:sz w:val="28"/>
          <w:szCs w:val="28"/>
          <w:lang w:val="ro-RO"/>
        </w:rPr>
      </w:pP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9.1. Respectarea următoarelor condițiile speciale de cromatografie poate conduce la o mai bună separare a triptofanului de α-metil-triptofan.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Eluție izocratică urmată de curățarea coloanei prin gradient:</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79"/>
        <w:gridCol w:w="2853"/>
        <w:gridCol w:w="2658"/>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bookmarkStart w:id="5" w:name="_Hlk220414888"/>
            <w:r w:rsidRPr="00427724">
              <w:rPr>
                <w:rFonts w:ascii="Times New Roman" w:hAnsi="Times New Roman" w:cs="Times New Roman"/>
                <w:sz w:val="28"/>
                <w:szCs w:val="28"/>
                <w:lang w:val="ro-RO"/>
              </w:rPr>
              <w:t>Coloană pentru cromatografie lichidă:</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125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μm sau echivalent</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Temperatura coloanei:</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°C</w:t>
            </w:r>
          </w:p>
        </w:tc>
      </w:tr>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Fază mobilă:</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0,01 mol/l KH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PO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/metanol, 95 + 5 (V+V).</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Metanol</w:t>
            </w:r>
          </w:p>
        </w:tc>
      </w:tr>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Programul gradientului: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 min 100 %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0 % B</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 min 100 %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0 % B</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 min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60 % A 40 % B</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 min 60 %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40 % B</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 min 100 %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0 % B</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min 100 %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0 % B</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ml/min</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Timpul total de desfășurare:</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aproximativ 33 de minute</w:t>
            </w:r>
          </w:p>
        </w:tc>
      </w:tr>
      <w:bookmarkEnd w:id="5"/>
    </w:tbl>
    <w:p w:rsidR="00882C58" w:rsidRDefault="00882C58"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 Cromatografia variază în funcție de tipul de HPLC și de materialul utilizat la umplerea coloanei. Sistemul ales trebuie să fie capabil să stabilească o separare inițială de referință între triptofan și etalonul intern. În plus, este important ca produșii de degradare să fie bine separați de triptofan și de etalonul intern. Se efectuează o operație de probă pe hidrolizate fără etalon intern pentru a verifica prezența impurităților la nivelul liniei de bază corespunzătoare etalonului intern. Este important ca durata eluției pentru toți produșii de degradare să fie suficient de lungă, altfel prezența unor vârfuri de eluție întârziate poate interfera cu operațiile ulterioare de cromatografie.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cursul operațiilor, sistemul cromatografic oferă un răspuns linear. Acest răspuns linear se măsoară în condiții de concentrație constantă (normalul) a etalonului intern și de concentrații variabile a triptofanului. Este important că înălțimea vârfurilor pentru triptofan și pentru etalonul intern să se situeze în gama lineară a sistemului HPLC/fluorescență. Dacă vârfurile pentru triptofan și/sau pentru etalonul intern sunt prea joase sau prea înalte, analiza se repetă cu un eșantion de o altă dimensiune și/sau un volum final modificat.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9.3.    </w:t>
      </w:r>
      <w:r w:rsidRPr="00427724">
        <w:rPr>
          <w:rFonts w:ascii="Times New Roman" w:hAnsi="Times New Roman" w:cs="Times New Roman"/>
          <w:b/>
          <w:bCs/>
          <w:i/>
          <w:iCs/>
          <w:sz w:val="28"/>
          <w:szCs w:val="28"/>
          <w:lang w:val="ro-RO"/>
        </w:rPr>
        <w:t>Hidroxid de bariu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timpul, hidroxidul de bariu devine mai dificil de dizolvat. Aceasta generează o soluție lipsită de limpezime pentru determinarea HPLC, ceea ce poate duce la rezultate slabe pentru triptofan.</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G.   DETERMINAREA CONȚINUTULUI DE ULEIURI ȘI GRĂSIMI BRUTE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Prezenta metodă este destinată determinării în furaje a conținutului de uleiuri și grăsimi brute.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Utilizarea celor două proceduri descrise mai jos depinde de natura și compoziția furajului și de motivul efectuării analizei.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 (punctul 5.3).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1.1.   Procedura A – Uleiuri și grăsimi brute care pot fi extrase direct</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este aplicabilă materiilor prime furajere de origine vegetală, cu excepția celor incluse în sfera de aplicare a procedeului B.</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1.2.   Procedura B – Uleiuri și grăsimi brute totale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este aplicabilă materiilor prime furajere de origine animală și tuturor furajelor combinate. Ea trebuie folosită pentru toate materiile din care uleiurile și grăsimile nu pot fi extrase complet fără hidroliză prealabilă (de exemplu, gluten, drojdie, proteine din cartofi și produse supuse unor procese cum ar fi extrudarea, transformarea în fulgi și încălzirea).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1.3.    </w:t>
      </w:r>
      <w:r w:rsidRPr="00427724">
        <w:rPr>
          <w:rFonts w:ascii="Times New Roman" w:hAnsi="Times New Roman" w:cs="Times New Roman"/>
          <w:b/>
          <w:bCs/>
          <w:i/>
          <w:iCs/>
          <w:sz w:val="28"/>
          <w:szCs w:val="28"/>
          <w:lang w:val="ro-RO"/>
        </w:rPr>
        <w:t>Interpretarea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toate cazurile în care se obține un rezultat superior folosind procedura B comparativ cu cel obținut prin folosirea procedurii A, rezultatul obținut prin procedura B se acceptă ca valoarea reală.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2.1.    </w:t>
      </w:r>
      <w:r w:rsidRPr="00427724">
        <w:rPr>
          <w:rFonts w:ascii="Times New Roman" w:hAnsi="Times New Roman" w:cs="Times New Roman"/>
          <w:b/>
          <w:bCs/>
          <w:i/>
          <w:iCs/>
          <w:sz w:val="28"/>
          <w:szCs w:val="28"/>
          <w:lang w:val="ro-RO"/>
        </w:rPr>
        <w:t>Procedura 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extrage cu eter de petrol. Solventul se îndepărtează prin distilare, iar reziduul se usucă și se cântărește.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2.2.    </w:t>
      </w:r>
      <w:r w:rsidRPr="00427724">
        <w:rPr>
          <w:rFonts w:ascii="Times New Roman" w:hAnsi="Times New Roman" w:cs="Times New Roman"/>
          <w:b/>
          <w:bCs/>
          <w:i/>
          <w:iCs/>
          <w:sz w:val="28"/>
          <w:szCs w:val="28"/>
          <w:lang w:val="ro-RO"/>
        </w:rPr>
        <w:t>Procedura B</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tratează la cald cu acid clorhidric. Amestecul se răcește și se filtrează. Reziduul se spală și se usucă, apoi se supune determinării în conformitate cu procedura A.</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Eter de petrol, interval de fierbere: 40-60 °C. Indicele de brom trebuie să fie mai mic de 1, iar reziduul după evaporare sub 2 mg/100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Sulfat de sodiu, anhidru.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Acid clorhidric, c = 3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Agent de filtrare, de exemplu Kieselguhr, Hyflo-supercel.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Aparat de extracție. Dacă este dotat cu un sifon (aparat Soxhlet), rata refluxului este astfel încât să producă aproximativ 10 cicluri pe oră; dacă aparatul este de tip fără sifon, rata refluxului este de aproximativ 10 ml pe minut.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Cartușe de extracție, lipsite de materie solubilă în eter de petrol și cu o porozitate compatibilă cu cerințele de la punctul 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Cuptor de uscare, fie cu vid reglat la 75 ± 3 °C, fie cu aer reglat la 100 ± 3 °C.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Procedura A (a se vedea punctul 8.1)</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5 g de eșantion cu o abatere de 1 mg, se transferă într-un cartuș de extracție (punctul 4.2) și se acoperă cu un tampon de vată lipsit de grăsimi.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Cartușul se introduce într-un extractor (punctul 4.1) și se extrage timp de șase ore cu eter de petrol (punctul 3.1). Se colectează extractul de eter de petrol într-un vas uscat și cântărit, care conține fragmente de piatră ponce (</w:t>
      </w:r>
      <w:hyperlink r:id="rId40" w:anchor="E0032"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17</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Solventul se îndepărtează prin distilare. Se usucă reziduul, păstrând vasul timp de o oră și jumătate în cuptorul de uscare (punctul 4.3). Se lasă să se răcească într-un desicator și se cântărește. Se usucă din nou timp de 30 de minute pentru a asigura că greutatea uleiurilor și grăsimilor rămâne constantă (pierderea de greutate între două cântăriri succesive trebuie să fie mai mică sau egală cu 1 mg).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Procedura B</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2,5 g de eșantion cu o abatere de 1 mg (a se vedea punctul 8.2), se introduc într-un pahar de laborator de 400 ml sau într-un flacon tip Erlenmeyer de 300 ml și se adaugă 100 ml de acid clorhidric (punctul 3.3) și fragmente de piatră ponce. Se acoperă paharul de laborator cu o sticlă de ceas sau se conectează un condensator cu reflux la flaconul tip Erlenmeyer. Se aduce amestecul la fierbere ușoară deasupra unei flăcări mici sau pe o plită și se păstrează în această stare timp de o oră. Trebuie să se împiedice lipirea produsului de părțile laterale ale recipientului.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răcește și se adaugă o cantitate de adjuvant de filtrare (punctul 3.4) suficientă pentru a evita orice pierdere de ulei și grăsime în timpul filtrării. Se filtrează printr-un filtru de hârtie dublă, umezită și lipsită de grăsimi. Se spală reziduul în apă rece până se obține un filtrat neutru. Se verifică filtratul ca să nu conțină deloc uleiuri și grăsimi. Prezența acestora indică faptul că eșantionul trebuie extras cu eter de petrol, folosind procedura A, înainte de hidroliză.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așază filtrul de hârtie dublă care conține reziduul pe o sticlă de ceas și se usucă timp de o oră și jumătate în cuptorul cu aer (punctul 4.3) la 100 ± 3 °C.</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așază filtrul de hârtie dublă care conține reziduul uscat într-un cartuș de extracție (punctul 4.2) și se acoperă cu un tampon de vată lipsit de grăsimi. Cartușul se introduce într-un extractor (punctul 4.1) și se procedează astfel cum se indică la paragrafele doi și trei de la punctul 5.1.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Procedura A și reextragerea prin procedura B.</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uleiurilor și grăsimilor brute din semințele oleaginoase și din fructele oleaginoase, precum și din hrana pentru animale în care conținutul de uleiuri/grăsimi este mai mare de 15 %, extracția trebuie efectuată prin procedura A și reextracția prin procedura B.</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Aceasta înseamnă că, după extracția cu eter de petrol (procedura A), reziduul sau o porțiune din reziduu se reextrage cu acid clorhidric (procedura B). Conținutul de uleiuri și de grăsimi brute este suma rezultatelor procedurilor A și B.</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Exprimarea rezultatului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reziduului se exprimă ca procent din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Diferența dintre rezultatele a două determinări paralele efectuate pe același eșantion de către același laborant nu depășește: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0,2 % în valoare absolută, pentru un conținut în uleiuri și grăsimi brute mai mic de 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4,0 % relativ la rezultatul cel mai mare pentru un conținut cuprins între 5 și 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0,4 % în valoare absolută, pentru un conținut mai mare de 10 %.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 Pentru produse cu un conținut mare de uleiuri și grăsimi, care sunt dificil de măcinat sau care sunt improprii prelevării unui eșantion de testare redus omogen, se procedează după cum urmează.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20 g de eșantion cu o abatere de 1 mg și se amestecă cu o cantitate de 10 g sau mai mare de sulfat de sodiu anhidru (punctul 3.2). Se extrage cu eter de petrol (punctul 3.1) astfel cum se indică la punctul 5.1. Se completează extractul obținut până la 500 ml cu eter de petrol (punctul 3.1) și se amestecă. Se iau 50 ml de soluție și se introduc într-un vas mic, uscat și cântărit, care conține fragmente de piatră ponce. Se elimină solventul prin distilare, se usucă și se procedează astfel cum se indică la ultimul paragraf al punctului 5.1.</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elimină solventul din reziduul de extracție rămas în cartuș, se macină reziduul până la o finețe de 1 mm, se reintroduce în cartușul de extracție (nu se adaugă sulfat de sodiu) și se procedează astfel cum se indică la punctul 5.1, paragrafele doi și trei.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uleiuri și grăsimi se calculează ca procent din eșantion folosind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576705" cy="336550"/>
            <wp:effectExtent l="0" t="0" r="4445" b="6350"/>
            <wp:docPr id="26" name="Imagine 26" descr="C:\Users\User MAIA\AppData\Local\Microsoft\Windows\INetCache\Content.MSO\88BD3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MAIA\AppData\Local\Microsoft\Windows\INetCache\Content.MSO\88BD3039.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705" cy="3365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312"/>
        <w:gridCol w:w="160"/>
        <w:gridCol w:w="893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reziduului după prima extracție (parte alicotă din extract);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48"/>
        <w:gridCol w:w="229"/>
        <w:gridCol w:w="872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reziduului după a doua extracție.</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 Pentru anumite produse (de exemplu, cu conținut mic de uleiuri și grăsimi) masa eșantionului de testat se poate mări.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8.3. Este posibil ca, înainte de hidroliză și extracție, hrana pentru animalele de companie cu conținut mare de apă să trebuiască să fie amestecată cu sulfat de sodiu anhidru, conform procedurii B.</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8.4. La punctul 5.2, poate fi mai eficientă folosirea apei calde în locul apei reci pentru spălarea reziduului după filtrare.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8.5. Este posibil ca timpul de uscare de 1,5 h să necesite a fi prelungit pentru unele furaje. Uscarea excesivă se evită, întrucât acest fapt poate determina rezultate slabe. Se poate folosi, de asemenea, un cuptor cu microunde.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H.   DETERMINAREA CONȚINUTULUI DE FIBRE BRUTE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în furaje a substanțelor organice lipsite de grăsimi care sunt insolubile în mediu acid și alcalin și care sunt descrise în mod convențional ca fibre brute.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Metoda nu se aplică în cazul lignocelulozei și al carbonului vegetal (particule prea fine).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degresat la nevoie, se tratează succesiv cu soluții de acid sulfuric și hidroxid de potasiu, de concentrații specifice, în stare de fierbere. Reziduul se separă prin filtrare printr-un filtru de sticlă sinterizată spălat, uscat, cântărit și calcinat la o temperatură cuprinsă între 475 și 500 °C. Pierderea de greutate rezultată prin calcinare corespunde fibrelor brute din eșantionul testat.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Acid sulfuric, c = 0,13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Agent antispumant (de exemplu n-octanol).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Agent de filtrare (Celite 545 sau echivalent), încălzit la 500 °C timp de patru ore (8.6).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Acetonă.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Eter de petrol cu interval de fierbere între 40 și 60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clorhidric, c = 0,5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de hidroxid de potasiu, c = 0,23 mol/l.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Unitate de încălzire pentru dizolvare cu acid sulfuric și soluție de hidroxid de potasiu, echipată cu un suport pentru creuzetul filtrant (punctul 4.2) și dotată cu un tub de evacuare prevăzut cu un dop la orificiul de ieșire pentru lichide și de creare de vid, posibil și cu aer comprimat. Înainte de fiecare utilizare zilnică, unitatea se preîncălzește cu apă aflată în stare de fierbere, timp de 5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Creuzet filtrant de sticlă cu placă filtrantă de sticlă sinterizată fuzionată, cu pori de 40-90 μm. Înainte de prima utilizare se încălzește la 500 °C timp de câteva minute, iar apoi se răcește (8.6).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Cilindru de cel puțin 270 ml cu condensator cu reflux, care poate fi supus fierberii.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Cuptor de uscare, cu termostat.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Cuptor cu muflă, cu termostat.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Unitate de extracție compusă dintr-o placă de sprijin pentru creuzetul filtrant (punctul 4.2) și cu o țeavă de evacuare prevăzută cu un dop la orificiul de creare de vid și de ieșire a lichidelor.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Inele de conectare utilizate pentru a asambla unitatea de încălzire (punctul 4.1), creuzetul (punctul 4.2) și cilindrul (punctul 4.3), precum și pentru a conecta unitatea de extracție la rece (punctul 4.6) cu creuzetul.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1 g de eșantion preparat cu o abatere de 1 mg și se introduce în creuzet (punctul 4.2), (a se vedea observațiile 9.1, 9.2 și 9.3) și se adaugă 1 g de adjuvant de filtrare (punctul 3.3).</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asamblează unitatea de încălzire (punctul 4.1) și creuzetul filtrant (punctul 4.2), apoi se atașează cilindrul (punctul 4.3) la creuzet. Se toarnă 150 ml de acid sulfuric aflat în stare de fierbere (punctul 3.1) în ansamblul cilindru-creuzet și, dacă este necesar, se adaugă câteva picături de agent antispumant (punctul 3.2).</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aduce lichidul la fierbere în decurs de 5 ± 2 minute și se fierbe viguros exact 30 de minute.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deschide dopul țevii de evacuare (punctul 4.1) și, în condiții de vid, se filtrează acidul sulfuric prin creuzetul filtrant, apoi se spală reziduul cu trei porții </w:t>
      </w:r>
      <w:r w:rsidR="00427724" w:rsidRPr="00427724">
        <w:rPr>
          <w:rFonts w:ascii="Times New Roman" w:hAnsi="Times New Roman" w:cs="Times New Roman"/>
          <w:sz w:val="28"/>
          <w:szCs w:val="28"/>
          <w:lang w:val="ro-RO"/>
        </w:rPr>
        <w:lastRenderedPageBreak/>
        <w:t>consecutive de 30 ml de apă aflată în stare de fierbere, asigurându-se că reziduul se filtrează uscat după fiecare spălare.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închide dopul orificiului de evacuare și se toarnă 150 ml de soluție de hidroxid de potasiu aflată în stare de fierbere (punctul 3.7) în ansamblul cilindru-creuzet, apoi se adaugă câteva picături de agent antispumant (punctul 3.2). Se aduce lichidul la punctul de fierbere în decurs de 5 ± 2 minute și se fierbe viguros exact 30 de minute. Se filtrează și se repetă procedura de spălare utilizată în etapa cu acid sulfuric.</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spălarea și uscarea finală, se deconectează creuzetul împreună cu conținutul său și se reconectează la unitatea de extracție la rece (punctul 4.6). Se creează vidul, iar reziduul se spală în creuzet cu trei porții consecutive de acetonă de 25 ml (punctul 3.4), asigurându-se că reziduul se filtrează în starea uscată după fiecare spălare.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Creuzetul se usucă în cuptor la 130 °C până se ajunge la o greutate constantă. După fiecare uscare, se răcește în desicator și se cântărește rapid. Se introduce creuzetul într-un cuptor cu muflă și se calcinează până se atinge o greutate constantă (pierderea de greutate între două cântăriri succesive trebuie să fie mai mică sau egală cu 2 mg) la o temperatură cuprinsă între 475 °C și 500 °C timp de cel puțin 30 de minute.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fiecare încălzire, înainte de cântărire se răcește mai întâi în cuptor, iar apoi în desicator.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un test martor fără eșantion. Pierderea de greutate rezultată din calcinare nu trebui să depășească 4 mg.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fibre brute exprimat ca procent din eșantion este dat de formula: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976120" cy="577850"/>
            <wp:effectExtent l="0" t="0" r="5080" b="0"/>
            <wp:docPr id="25" name="Imagine 25" descr="C:\Users\User MAIA\AppData\Local\Microsoft\Windows\INetCache\Content.MSO\EDCAB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MAIA\AppData\Local\Microsoft\Windows\INetCache\Content.MSO\EDCAB7AF.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6120"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600"/>
        <w:gridCol w:w="435"/>
        <w:gridCol w:w="8371"/>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eșantionului în g;</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79"/>
        <w:gridCol w:w="195"/>
        <w:gridCol w:w="883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pierderea de greutate după calcinare în cursul determinării, în g;</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8"/>
        <w:gridCol w:w="188"/>
        <w:gridCol w:w="885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pierderea de greutate după calcinare în cursul testului martor, în g.</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Diferența dintre rezultatele a două determinări paralele efectuate pe același eșantion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0,6 % în valoare absolută pentru un conținut de fibre brute mai mic de 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6 % relativ la rezultatul mai mare, pentru un conținut de fibre brute egal sau mai mare de 10 %.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rezultatele a două determinări efectuate pe același eșantion în laboratoare diferite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 în valoare absolută pentru un conținut de fibre brute mai mic de 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 relativ la rezultatul mai mare, pentru un conținut de fibre brute egal sau mai mare de 10 %.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9.1. Furajele care au conținut de grăsimi brute mai mare de 10 % trebuie să fie degresate înainte de a fi supuse analizei cu eter de petrol (punctul 3.5). Creuzetul filtrant (punctul 4.2) împreună cu conținutul său se conectează la unitatea de extracție la rece (punctul 4.6) și se creează vidul, apoi se spală reziduul cu trei porții consecutive de eter de petrol de 30 ml, asigurându-se că reziduul este uscat. Creuzetul împreună cu conținutul său se conectează la unitatea de încălzire (punctul 4.1) și se continuă astfel cum se descrie la punctul 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 Furajele care conțin grăsimi care nu pot fi extrase direct cu eter de petrol (punctul 3.5) trebuie degresate astfel cum se indică la punctul 8.1 și degresate încă o dată după fierbere cu acid. După fierbere cu acid și spălare consecutivă, creuzetul împreună cu conținutul său se conectează la unitatea de extracție la rece (punctul 4.6), apoi se spală de trei ori cu 30 ml acetonă, urmat de trei spălări suplimentare cu porții de eter de petrol de 30 ml. Se filtrează sub vid până la uscare, iar analizarea se continuă astfel cum se descrie la punctul 5, începând cu tratamentul cu hidroxid de potasiu.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 Dacă furajul conține mai mult de 5 % carbonați, exprimați ca și carbonat de calciu, se conectează creuzetul (punctul 4.2) împreună cu eșantionul cântărit la unitatea de încălzire (punctul 4.1). Eșantionul se spală de trei ori cu 30 ml acid clorhidric (punctul 3.6). După fiecare adăugare, se lasă eșantionul să stea timp de aproximativ un minut înainte de filtrare. Se spală o singură dată cu 30 ml apă, iar apoi se continuă astfel cum se descrie la punctul 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9.4. Dacă se utilizează aparatură în formă de stativ (o serie de creuzete atașate la aceeași unitate de încălzire) nu se efectuează două determinări individuale pe același eșantion de analizat în aceeași serie.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9.5. Dacă după fierbere este dificil să se filtreze soluțiile acide și alcaline, se utilizează aer comprimat introdus prin țeava de evacuare a unității de încălzire și apoi se continuă filtrarea.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9.6. Temperatura de calcinare nu depășește 500 °C pentru a se putea prelungi timpul de utilizare a sticlei creuzetului filtrant. Trebuie acordată atenție pentru a se evita șocurile termice excesive în cursul ciclurilor de încălzire și răcire.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I.   DETERMINAREA ZAHARURILOR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cantității de zaharuri reductoare și a zaharurilor totale după inversie, exprimate ca glucoză sau, acolo unde este cazul, ca zaharoză, prin conversie cu factorul 0,95. Ea este aplicabilă furajelor combinate. Pentru alte tipuri de furaje există metode specifice. Dacă este necesar, lactoza se determină separat, ținându-se cont de aceasta la calcularea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se utilizează pentru determinarea conținutului de zahăr utilizat la calcularea valorii energetice a furajului.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conținutul de zahăr trebuie determinat în alte scopuri, se pot utiliza alte metode de analiză.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Zaharurile se extrag în etanol diluat; soluția se limpezește cu soluții Carrez I și II. După eliminarea etanolului, cantitățile pre- și post-inversie se determină prin metoda Luff-Schoorl.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Etanol, soluție cu concentrație de 40 % (v/v): 0,948 g/ml la 20 °C, neutralizată cu fenolftaleină.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Soluție Carrez I: se dizolvă 21,9 g de acetat de zinc, Zn(CH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COO)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2H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3 g de acid acetic glacial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Carrez II: se dizolvă 10,6 g de ferocianură de potasiu, K</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Fe (CN)</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 3H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3.4. Metiloranj, soluție 0,1 % (greutate/volum).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Acid clorhidric 4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clorhidric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de hidroxid de sodiu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Reactiv Luff-Schoorl:</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Amestecând cu grijă, se toarnă soluția de acid citric (punctul 3.8.2) în soluția de carbonat de sodiu (punctul 3.8.3). Se adaugă soluția de sulfat de cupru (punctul 3.8.1) și se completează până la 1 litru cu apă. Se lasă la decantare peste noapte și se filtrează.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verifică concentrația reactivului obținut astfel (Cu 0,05 mol/litru; Na</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CO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1 mol/litru), a se vedea (punctul 5.4) ultimul paragraf. pH-ul soluției este aproximativ 9,4.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3.8.1. Soluție de sulfat de cupru: se dizolvă 25 g de sulfat de cupru, Cu 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5H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lipsită de fier, în 100 ml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3.8.2. Soluție de acid citric: se dizolvă 50 g de acid citric, C</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8</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7</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50 ml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3.8.3. Soluție de carbonat de sodiu: se dizolvă 143,8 g de carbonat de sodiu anhidru în aproximativ 300 ml de apă caldă. Se lasă să se răcească.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Soluție de tiosulfat de sodiu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Soluție de amidon: se adaugă un amestec de 5 g de amidon solubil cu 30 ml de apă la 1 litru de apă în stare de fierbere. Se fierbe timp de 3 minute, se lasă să se răcească și, dacă este necesar, se adaugă 10 mg de iodură de mercur ca agent de conservare.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Acid sulfuric 3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Iodură de potasiu, soluție 30 % (greutate/volum).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Granule de piatră ponce fierte în acid clorhidric, spălate în apă și uscate.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3-metilbutan-1-ol.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Mixer (agitator): aproximativ 35-40 rpm.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Extracția eșantionului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2,5 g de eșantion cu o abatere de 1 mg și se introduc într-un balon gradat de 250 ml. Se adaugă 200 ml etanol (punctul 3.1) și se amestecă timp de o oră în agitator. Se adaugă 5 ml de soluție Carrez I (punctul 3.2) și se amestecă timp de aproximativ 30 de secunde. Se adaugă aproximativ 5 ml de soluție Carrez II (punctul 3.3) și se amestecă din nou timp de un minut. Se completează până la volum cu etanolul (punctul 3.1), se omogenizează și se filtrează. Se îndepărtează 200 ml de filtrat și se evaporă până la aproximativ jumătate din volum în scopul eliminării majorității etanolului. Reziduul rămas după evaporare se transferă cantitativ într-un balon gradat de 200 ml cu ajutorul apei calde, se răcește, se completează până la volum cu apă, se omogenizează și, dacă este necesar, se filtrează. Această soluție se va utiliza pentru determinarea cantității zaharurilor reductoare și, după inversie, a zaharurilor totale.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Determinarea zaharurilor reductoare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ajutorul unei pipete se îndepărtează maximum 25 ml din soluția care conține mai puțin de 60 mg de zaharuri reductoare exprimate ca glucoză. Dacă este necesar, se completează până la 25 ml cu apă distilată și se determină conținutul în zaharuri reductoare prin metoda Luff-Schoorl. Rezultatul se exprimă sub formă de conținut procentual de glucoză în eșantion.</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Determinarea zaharurilor totale după inversie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ajutorul unei pipete se recoltează 50 ml de soluție și se transferă într-un balon gradat de 100 ml. Se adaugă câteva picături de soluție de metiloranj (punctul 3.4), apoi, amestecând continuu, se adaugă cu grijă acid clorhidric (punctul 3.5) până când lichidul virează într-un roșu bine definit. Se adaugă 15 ml de acid clorhidric (punctul 3.6), se scufundă balonul într-o baie de apă clocotindă și se menține acolo timp de 30 de minute. Se răcește rapid la aproximativ 20 °C și se adaugă 15 ml de soluție de hidroxid de sodiu (punctul 3.7). Se completează cu apă până la 100 ml și se omogenizează. Se îndepărtează maximum 25 ml din soluția care conține mai puțin de 60 mg de zaharuri reductoare exprimate ca glucoză. Dacă este necesar, se completează până la 25 ml cu apă distilată și se determină conținutul în zaharuri reductoare prin metoda Luff-Schoorl. Rezultatul se exprimă în procente de glucoză sau, dacă este cazul, de zaharoză, prin multiplicare cu factorul 0,95.</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Titrare prin metoda Luff-Schoorl</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ajutorul unei pipete se recoltează 25 ml de reactiv Luff-Schoorl (punctul 3.8) și se transferă într-un flacon Erlenmeyer de 300 ml; se adaugă exact 25 ml din soluția de zaharuri limpezită. Se adaugă 2 granule de piatră ponce (punctul 3.13), se încălzește, amestecând manual, deasupra unei flăcări libere cu înălțime medie, aducându-se lichidul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10 ml de soluție de iodură de potasiu (punctul 3.12) și, imediat după aceea (cu grijă, din cauza riscului formării unei spume abundente), se adaugă 25 ml de acid sulfuric (punctul 3.11). Se titrează în continuare cu soluție de tiosulfat de sodiu (punctul 3.9) până la apariția unei coloraturi galben șters, adăugând ca indicator soluția de amidon (punctul 3.10) și încheind titrarea.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aceeași titrare pe un amestec de 25 ml de reactiv Luff-Schoorl (punctul 3.8) cu 25 ml de apă, măsurat cu precizie, după ce s-au adăugat 10 ml de soluție de iodură de potasiu (punctul 3.12) și 25 ml de acid sulfuric (punctul 3.11), fără a se fierbe.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Utilizând tabelul, se stabilește cantitatea de glucoză în mg care corespunde diferenței dintre valorile celor două titrări, exprimate în ml de tiosulfat de sodiu 0,1 mol/litru. Rezultatul se exprimă ca procent din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Proceduri speciale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În cazul furajelor bogate în melase și al altor furaje care nu sunt în mod particular omogene, se cântăresc 20 g și se introduc, împreună cu 500 ml de apă, într-un balon gradat de 1 litru. Se amestecă timp de o oră în agitator. Se limpezește cu ajutorul soluțiilor reactiv Carrez I (punctul 3.2) și II (punctul 3.3) astfel cum se descrie la punctul 5.1, utilizând, de data aceasta, o cantitate de patru ori mai mare din fiecare reactiv. Se completează până la volum cu etanol 80 % (v/v).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omogenizează și se filtrează. Se elimină etanolul astfel cum se descrie la punctul 5.1. În absența amidonului dextrinizat, se completează până la volum cu apă distilată.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7.2. În cazul melaselor și al materiilor prime pentru furaje bogate în zaharuri și cvasi lipsite de amidon (roșcove, fulgi de rădăcină de sfeclă uscați etc.), se cântăresc 5 g, se introduc într-un balon gradat de 250 ml, se adaugă 200 ml apă distilată și se amestecă în agitator timp de o oră sau, dacă este necesar, mai mult. Se limpezește cu ajutorul soluțiilor reactiv Carrez I (punctul 3.2) și II (punctul 3.3) astfel cum se descrie la punctul 5.1. Se completează până la volum cu apă rece, se omogenizează și se filtrează. Pentru determinarea cantității totale de zaharuri, se continuă astfel cum se descrie la punctul 5.3.</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 În scopul prevenirii formării de spumă este recomandabil să se adauge (indiferent de volum) aproximativ 1 ml de 3-metilbutan-1-ol (punctul 3.14) înainte de fierbere cu reactiv Luff-Schoorl.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 Diferența dintre conținutul total de zaharuri după inversie exprimat ca glucoză și conținutul de zaharuri reductoare exprimat ca glucoză, multiplicată cu 0,95, reprezintă conținutul procentual de zaharoză.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 Pentru a determina conținutul de zaharuri reductoare, cu excepția lactozei, se pot adopta două metode: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8.3.1. Pentru un calcul aproximativ, conținutul de lactoză stabilit printr-o metodă de analiză diferită se multiplică cu 0,675, iar rezultatul obținut se scade din conținutul de zaharuri reductoare.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8.3.2. Pentru un calcul precis al zaharurilor reductoare, cu excepția lactozei, se utilizează același eșantion în cele două determinări finale. Una dintre analize se efectuează pe o parte din soluția obținută în conformitate cu punctul 5.1, alta pe o parte din soluția obținută în cursul determinării lactozei prin metoda stabilită în acest sens (după fermentarea celorlalte tipuri de zaharuri și limpezire).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ambele cazuri, cantitatea de zaharuri prezentă se determină prin metoda Luff-Schoorl și se calculează în mg de glucoză. Una dintre valori se scade din cealaltă, iar diferența se exprimă ca procent din eșantion.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Exemplu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Cele două volume considerate corespund, pentru fiecare determinare, unui eșantion de 250 mg.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În primul caz, se consumă 17 ml de soluție de tiosulfat de sodiu 0,1 mol/litru, ceea ce corespunde la 44,2 mg de glucoză; în al doilea, 11 ml, ceea ce corespunde la 27,6 mg de glucoză.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este 16,6 mg de glucoză.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Prin urmare, conținutul de zaharuri reductoare (cu excepția lactozei), calculat ca glucoză, este: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629410" cy="567690"/>
            <wp:effectExtent l="0" t="0" r="8890" b="3810"/>
            <wp:docPr id="24" name="Imagine 24" descr="C:\Users\User MAIA\AppData\Local\Microsoft\Windows\INetCache\Content.MSO\BC378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MAIA\AppData\Local\Microsoft\Windows\INetCache\Content.MSO\BC378C9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9410" cy="567690"/>
                    </a:xfrm>
                    <a:prstGeom prst="rect">
                      <a:avLst/>
                    </a:prstGeom>
                    <a:noFill/>
                    <a:ln>
                      <a:noFill/>
                    </a:ln>
                  </pic:spPr>
                </pic:pic>
              </a:graphicData>
            </a:graphic>
          </wp:inline>
        </w:drawing>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Tabel de valori pentru 25 ml de reactiv Luff-Schoorl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 de 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r w:rsidRPr="00427724">
        <w:rPr>
          <w:rFonts w:ascii="Times New Roman" w:hAnsi="Times New Roman" w:cs="Times New Roman"/>
          <w:b/>
          <w:bCs/>
          <w:sz w:val="28"/>
          <w:szCs w:val="28"/>
          <w:lang w:val="ro-RO"/>
        </w:rPr>
        <w:t> 0,1 mol/litru, 2 minute încălzire, 10 minute fierbere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38"/>
        <w:gridCol w:w="1418"/>
        <w:gridCol w:w="2950"/>
        <w:gridCol w:w="550"/>
        <w:gridCol w:w="1144"/>
        <w:gridCol w:w="1538"/>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0,1 mol/litru</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Glucoză, fructoză zaharuri invertite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w:t>
            </w:r>
            <w:r w:rsidRPr="00427724">
              <w:rPr>
                <w:rFonts w:ascii="Times New Roman" w:hAnsi="Times New Roman" w:cs="Times New Roman"/>
                <w:b/>
                <w:bCs/>
                <w:sz w:val="28"/>
                <w:szCs w:val="28"/>
                <w:vertAlign w:val="subscript"/>
                <w:lang w:val="ro-RO"/>
              </w:rPr>
              <w:t>6</w:t>
            </w:r>
            <w:r w:rsidRPr="00427724">
              <w:rPr>
                <w:rFonts w:ascii="Times New Roman" w:hAnsi="Times New Roman" w:cs="Times New Roman"/>
                <w:b/>
                <w:bCs/>
                <w:sz w:val="28"/>
                <w:szCs w:val="28"/>
                <w:lang w:val="ro-RO"/>
              </w:rPr>
              <w:t> H</w:t>
            </w:r>
            <w:r w:rsidRPr="00427724">
              <w:rPr>
                <w:rFonts w:ascii="Times New Roman" w:hAnsi="Times New Roman" w:cs="Times New Roman"/>
                <w:b/>
                <w:bCs/>
                <w:sz w:val="28"/>
                <w:szCs w:val="28"/>
                <w:vertAlign w:val="subscript"/>
                <w:lang w:val="ro-RO"/>
              </w:rPr>
              <w:t>12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6</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Lactoză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w:t>
            </w:r>
            <w:r w:rsidRPr="00427724">
              <w:rPr>
                <w:rFonts w:ascii="Times New Roman" w:hAnsi="Times New Roman" w:cs="Times New Roman"/>
                <w:b/>
                <w:bCs/>
                <w:sz w:val="28"/>
                <w:szCs w:val="28"/>
                <w:vertAlign w:val="subscript"/>
                <w:lang w:val="ro-RO"/>
              </w:rPr>
              <w:t>12</w:t>
            </w:r>
            <w:r w:rsidRPr="00427724">
              <w:rPr>
                <w:rFonts w:ascii="Times New Roman" w:hAnsi="Times New Roman" w:cs="Times New Roman"/>
                <w:b/>
                <w:bCs/>
                <w:sz w:val="28"/>
                <w:szCs w:val="28"/>
                <w:lang w:val="ro-RO"/>
              </w:rPr>
              <w:t> H</w:t>
            </w:r>
            <w:r w:rsidRPr="00427724">
              <w:rPr>
                <w:rFonts w:ascii="Times New Roman" w:hAnsi="Times New Roman" w:cs="Times New Roman"/>
                <w:b/>
                <w:bCs/>
                <w:sz w:val="28"/>
                <w:szCs w:val="28"/>
                <w:vertAlign w:val="subscript"/>
                <w:lang w:val="ro-RO"/>
              </w:rPr>
              <w:t>22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0,1 mol/litru</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diferență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diferență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59,1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48,4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59,9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67,7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79,8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r>
    </w:tbl>
    <w:p w:rsidR="006335CD" w:rsidRDefault="006335CD"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J.   DETERMINAREA LACTOZEI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conținutului de lactoză în furajele care au un conținut de lactoză mai mare de 0,5 %.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Zaharurile se dizolvă în apă. Soluția este supusă fermentației de către drojdia </w:t>
      </w:r>
      <w:r w:rsidR="00427724" w:rsidRPr="00427724">
        <w:rPr>
          <w:rFonts w:ascii="Times New Roman" w:hAnsi="Times New Roman" w:cs="Times New Roman"/>
          <w:i/>
          <w:iCs/>
          <w:sz w:val="28"/>
          <w:szCs w:val="28"/>
          <w:lang w:val="ro-RO"/>
        </w:rPr>
        <w:t>Saccharomyces cerevisiae</w:t>
      </w:r>
      <w:r w:rsidR="00427724" w:rsidRPr="00427724">
        <w:rPr>
          <w:rFonts w:ascii="Times New Roman" w:hAnsi="Times New Roman" w:cs="Times New Roman"/>
          <w:sz w:val="28"/>
          <w:szCs w:val="28"/>
          <w:lang w:val="ro-RO"/>
        </w:rPr>
        <w:t> care nu descompune lactoza. După limpezire și filtrare, conținutul de lactoză al filtratului se determină prin metoda Luff-Schoorl.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Suspensie de </w:t>
      </w:r>
      <w:r w:rsidRPr="00427724">
        <w:rPr>
          <w:rFonts w:ascii="Times New Roman" w:hAnsi="Times New Roman" w:cs="Times New Roman"/>
          <w:i/>
          <w:iCs/>
          <w:sz w:val="28"/>
          <w:szCs w:val="28"/>
          <w:lang w:val="ro-RO"/>
        </w:rPr>
        <w:t>Saccharomyces cerevisiae</w:t>
      </w:r>
      <w:r w:rsidRPr="00427724">
        <w:rPr>
          <w:rFonts w:ascii="Times New Roman" w:hAnsi="Times New Roman" w:cs="Times New Roman"/>
          <w:sz w:val="28"/>
          <w:szCs w:val="28"/>
          <w:lang w:val="ro-RO"/>
        </w:rPr>
        <w:t>: se suspendă 25 g de drojdie proaspătă în 100 ml de apă. Suspensia se păstrează în frigider o perioadă de maximum o săptămână.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Soluție Carrez I: se dizolvă 21,9 g de acetat de zinc, Zn (CH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COO)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2H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3 g de acid acetic glacial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Carrez II: se dizolvă 10,6 g de ferocianură de potasiu, K</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Fe (CN)</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 3H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3.4. Reactiv Luff-Schoorl:</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Amestecând cu grijă, se toarnă soluția de acid citric (punctul 3.4.2) în soluția de carbonat de sodiu (punctul 3.4.3). Se adaugă soluția de sulfat de cupru (punctul 3.4.1) și se completează până la 1 litru cu apă. Se lasă la decantare peste noapte și se filtrează. Se verifică concentrația reactivului obținut astfel (Cu 0,05 mol/litru; Na</w:t>
      </w:r>
      <w:r w:rsidR="00427724" w:rsidRPr="00427724">
        <w:rPr>
          <w:rFonts w:ascii="Times New Roman" w:hAnsi="Times New Roman" w:cs="Times New Roman"/>
          <w:sz w:val="28"/>
          <w:szCs w:val="28"/>
          <w:vertAlign w:val="subscript"/>
          <w:lang w:val="ro-RO"/>
        </w:rPr>
        <w:t>2</w:t>
      </w:r>
      <w:r w:rsidR="00427724" w:rsidRPr="00427724">
        <w:rPr>
          <w:rFonts w:ascii="Times New Roman" w:hAnsi="Times New Roman" w:cs="Times New Roman"/>
          <w:sz w:val="28"/>
          <w:szCs w:val="28"/>
          <w:lang w:val="ro-RO"/>
        </w:rPr>
        <w:t> CO</w:t>
      </w:r>
      <w:r w:rsidR="00427724" w:rsidRPr="00427724">
        <w:rPr>
          <w:rFonts w:ascii="Times New Roman" w:hAnsi="Times New Roman" w:cs="Times New Roman"/>
          <w:sz w:val="28"/>
          <w:szCs w:val="28"/>
          <w:vertAlign w:val="subscript"/>
          <w:lang w:val="ro-RO"/>
        </w:rPr>
        <w:t>3</w:t>
      </w:r>
      <w:r w:rsidR="00427724" w:rsidRPr="00427724">
        <w:rPr>
          <w:rFonts w:ascii="Times New Roman" w:hAnsi="Times New Roman" w:cs="Times New Roman"/>
          <w:sz w:val="28"/>
          <w:szCs w:val="28"/>
          <w:lang w:val="ro-RO"/>
        </w:rPr>
        <w:t> 1 mol/litru). pH-ul soluției este aproximativ 9,4.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3.4.1. Soluție de sulfat de cupru: se dizolvă 25 g de sulfat de cupru, Cu 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5H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lipsită de fier, în 100 ml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3.4.2. Soluție de acid citric: se dizolvă 50 g de acid citric, C</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8</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7</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50 ml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3.4.3. Soluție de carbonat de sodiu: se dizolvă 143,8 g de carbonat de sodiu anhidru în aproximativ 300 ml de apă caldă. Se lasă să se răcească.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Granule de piatră ponce fierte în acid clorhidric, spălate în apă și uscate.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Iodură de potasiu, soluție 30 % (greutate/volum).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sulfuric 3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Soluție de tiosulfat de sodiu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Soluție de amidon: se adaugă un amestec de 5 g de amidon solubil cu 30 ml de apă la 1 litru de apă în stare de fierbere. Se fierbe timp de 3 minute, se lasă să se răcească și, dacă este necesar, se adaugă 10 mg de iodură de mercur ca agent de conservare.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Baie de apă cu termostat reglat la 38-40 °C.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1 g de eșantion cu o abatere de 1 mg și se introduce într-un balon gradat de 100 ml. Se adaugă 25-30 ml de apă. Balonul se introduce într-o baie de apă aflată la temperatura de fierbere, timp de 30 de minute, apoi se răcește la aproximativ 35 °C. Se adaugă 5 ml de suspensie de drojdie (punctul 3.1) și se omogenizează. Balonul se lasă să stea timp de două ore într-o baie de apă la temperatura de 38-40 °C. Se răcește la aproximativ 20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Se adaugă 2,5 ml de soluție Carrez I (punctul 3.2) și se amestecă timp de 30 de secunde, apoi se adaugă 2,5 ml de soluție Carrez II (punctul 3.3) și se amestecă din </w:t>
      </w:r>
      <w:r w:rsidRPr="00427724">
        <w:rPr>
          <w:rFonts w:ascii="Times New Roman" w:hAnsi="Times New Roman" w:cs="Times New Roman"/>
          <w:sz w:val="28"/>
          <w:szCs w:val="28"/>
          <w:lang w:val="ro-RO"/>
        </w:rPr>
        <w:lastRenderedPageBreak/>
        <w:t>nou timp de 30 de secunde. Se completează cu apă până la 100 ml, se amestecă și se filtrează. Cu ajutorul unei pipete, se îndepărtează o cantitate de filtrat care nu depășește 25 ml și care conține, de preferință, 40-80 mg de lactoză, apoi se transferă într-un flacon Erlenmeyer de 300 ml. Dacă este necesar, se completează cu apă până la 25 ml.</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un test martor în același mod cu 5 ml de suspensie de drojdie (punctul 3.1). Se determină conținutul de lactoză prin metoda Luff-Schoorl, după cum urmează: se adaugă exact 25 ml de reactiv Luff-Schoorl (punctul 3.4) și două granule de piatră ponce (punctul 3.5). Se amestecă manual concomitent cu încălzirea deasupra unei flăcări libere de înălțime medie, iar lichidul se aduce la fierbere în aproximativ 2 minute. Flaconul Erlenmeyer se așază imediat pe o plasă de sârmă acoperită cu azbest având un orificiu cu diametru de aproximativ 6 cm sub care există o flacără aprinsă. Flacăra se reglează astfel încât să se încălzească doar baza flaconului Erlenmeyer. La flaconul Erlenmeyer se montează un condensator cu reflux. Se fierbe exact 10 minute. Se răcește imediat în apă rece și, după aproximativ 5 minute, se titrează după cum urmează: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10 ml de soluție de iodură de potasiu (punctul 3.6) și, imediat după aceea (cu grijă, din cauza riscului formării unei spume abundente), se adaugă 25 ml acid sulfuric (punctul 3.7). Se titrează în continuare cu soluție de tiosulfat de sodiu (punctul 3.8) până la apariția unei coloraturi galben șters, adăugând ca indicator soluția de amidon (punctul 3.9) și încheind titrarea.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aceeași titrare pe un amestec de 25 ml de reactiv Luff-Schoorl (punctul 3.4) cu 25 ml de apă, măsurat cu precizie, după ce s-au adăugat 10 ml de soluție de iodură de potasiu (punctul 3.6) și 25 ml de acid sulfuric (punctul 3.7), fără a se fierbe.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Utilizând tabelul atașat, se stabilește cantitatea de lactoză în mg care corespunde diferenței dintre rezultatele celor două titrări, exprimate în ml de tiosulfat de sodiu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Rezultatul pentru lactoza anhidră se exprimă ca procent din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Pentru produsele care conțin mai mult de 40 % zahăr fermentescibil, se utilizează mai mult de 5 ml de suspensie de drojdie (punctul 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 În hrana „cu conținut redus de lactoză” (de exemplu, laptele pentru pisici), lactoza este convertită în fructoză, care nu este complet fermentată în decurs de două ore, ceea ce duce la rezultate pozitive mai mari sau false (deoarece reziduurile de fructoză rămân în extract).</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Tabel de valori pentru 25 ml de reactiv Luff-Schoorl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 de 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r w:rsidRPr="00427724">
        <w:rPr>
          <w:rFonts w:ascii="Times New Roman" w:hAnsi="Times New Roman" w:cs="Times New Roman"/>
          <w:b/>
          <w:bCs/>
          <w:sz w:val="28"/>
          <w:szCs w:val="28"/>
          <w:lang w:val="ro-RO"/>
        </w:rPr>
        <w:t> 0,1 mol/litru, două minute încălzire, 10 minute fierbere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38"/>
        <w:gridCol w:w="1418"/>
        <w:gridCol w:w="2950"/>
        <w:gridCol w:w="550"/>
        <w:gridCol w:w="1144"/>
        <w:gridCol w:w="1538"/>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0,1 mol/litru</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Glucoză, fructoză zaharuri invertite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w:t>
            </w:r>
            <w:r w:rsidRPr="00427724">
              <w:rPr>
                <w:rFonts w:ascii="Times New Roman" w:hAnsi="Times New Roman" w:cs="Times New Roman"/>
                <w:b/>
                <w:bCs/>
                <w:sz w:val="28"/>
                <w:szCs w:val="28"/>
                <w:vertAlign w:val="subscript"/>
                <w:lang w:val="ro-RO"/>
              </w:rPr>
              <w:t>6</w:t>
            </w:r>
            <w:r w:rsidRPr="00427724">
              <w:rPr>
                <w:rFonts w:ascii="Times New Roman" w:hAnsi="Times New Roman" w:cs="Times New Roman"/>
                <w:b/>
                <w:bCs/>
                <w:sz w:val="28"/>
                <w:szCs w:val="28"/>
                <w:lang w:val="ro-RO"/>
              </w:rPr>
              <w:t> H</w:t>
            </w:r>
            <w:r w:rsidRPr="00427724">
              <w:rPr>
                <w:rFonts w:ascii="Times New Roman" w:hAnsi="Times New Roman" w:cs="Times New Roman"/>
                <w:b/>
                <w:bCs/>
                <w:sz w:val="28"/>
                <w:szCs w:val="28"/>
                <w:vertAlign w:val="subscript"/>
                <w:lang w:val="ro-RO"/>
              </w:rPr>
              <w:t>12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6</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Lactoză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w:t>
            </w:r>
            <w:r w:rsidRPr="00427724">
              <w:rPr>
                <w:rFonts w:ascii="Times New Roman" w:hAnsi="Times New Roman" w:cs="Times New Roman"/>
                <w:b/>
                <w:bCs/>
                <w:sz w:val="28"/>
                <w:szCs w:val="28"/>
                <w:vertAlign w:val="subscript"/>
                <w:lang w:val="ro-RO"/>
              </w:rPr>
              <w:t>12</w:t>
            </w:r>
            <w:r w:rsidRPr="00427724">
              <w:rPr>
                <w:rFonts w:ascii="Times New Roman" w:hAnsi="Times New Roman" w:cs="Times New Roman"/>
                <w:b/>
                <w:bCs/>
                <w:sz w:val="28"/>
                <w:szCs w:val="28"/>
                <w:lang w:val="ro-RO"/>
              </w:rPr>
              <w:t> H</w:t>
            </w:r>
            <w:r w:rsidRPr="00427724">
              <w:rPr>
                <w:rFonts w:ascii="Times New Roman" w:hAnsi="Times New Roman" w:cs="Times New Roman"/>
                <w:b/>
                <w:bCs/>
                <w:sz w:val="28"/>
                <w:szCs w:val="28"/>
                <w:vertAlign w:val="subscript"/>
                <w:lang w:val="ro-RO"/>
              </w:rPr>
              <w:t>22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Na</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S</w:t>
            </w:r>
            <w:r w:rsidRPr="00427724">
              <w:rPr>
                <w:rFonts w:ascii="Times New Roman" w:hAnsi="Times New Roman" w:cs="Times New Roman"/>
                <w:b/>
                <w:bCs/>
                <w:sz w:val="28"/>
                <w:szCs w:val="28"/>
                <w:vertAlign w:val="subscript"/>
                <w:lang w:val="ro-RO"/>
              </w:rPr>
              <w:t>2</w:t>
            </w:r>
            <w:r w:rsidRPr="00427724">
              <w:rPr>
                <w:rFonts w:ascii="Times New Roman" w:hAnsi="Times New Roman" w:cs="Times New Roman"/>
                <w:b/>
                <w:bCs/>
                <w:sz w:val="28"/>
                <w:szCs w:val="28"/>
                <w:lang w:val="ro-RO"/>
              </w:rPr>
              <w:t> O</w:t>
            </w:r>
            <w:r w:rsidRPr="00427724">
              <w:rPr>
                <w:rFonts w:ascii="Times New Roman" w:hAnsi="Times New Roman" w:cs="Times New Roman"/>
                <w:b/>
                <w:bCs/>
                <w:sz w:val="28"/>
                <w:szCs w:val="28"/>
                <w:vertAlign w:val="subscript"/>
                <w:lang w:val="ro-RO"/>
              </w:rPr>
              <w:t>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0,1 mol/litru</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diferență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diferență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ml</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59,1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59,9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67,7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79,8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r>
    </w:tbl>
    <w:p w:rsidR="0055484A" w:rsidRDefault="0055484A"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K.   DETERMINAREA AMIDONULUI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METODA POLARIMETRICĂ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Această metodă permite determinarea în furaje a conținutului de amidon și a produselor de degradare a amidonului cu masă moleculară mare cu scopul de a se verifica conformitatea cu valoarea energetică declarată (prevederile din anexa </w:t>
      </w:r>
      <w:r w:rsidR="00526568">
        <w:rPr>
          <w:rFonts w:ascii="Times New Roman" w:hAnsi="Times New Roman" w:cs="Times New Roman"/>
          <w:sz w:val="28"/>
          <w:szCs w:val="28"/>
          <w:lang w:val="ro-RO"/>
        </w:rPr>
        <w:t>nr. 7</w:t>
      </w:r>
      <w:r w:rsidR="00427724" w:rsidRPr="00427724">
        <w:rPr>
          <w:rFonts w:ascii="Times New Roman" w:hAnsi="Times New Roman" w:cs="Times New Roman"/>
          <w:sz w:val="28"/>
          <w:szCs w:val="28"/>
          <w:lang w:val="ro-RO"/>
        </w:rPr>
        <w:t xml:space="preserve">) și cu </w:t>
      </w:r>
      <w:r w:rsidR="009E48B2" w:rsidRPr="009E48B2">
        <w:rPr>
          <w:rFonts w:ascii="Times New Roman" w:hAnsi="Times New Roman" w:cs="Times New Roman"/>
          <w:sz w:val="28"/>
          <w:szCs w:val="28"/>
          <w:lang w:val="ro-RO"/>
        </w:rPr>
        <w:t>Cerințele sanitar-veterinare față de hrana pentru animale, aprobate prin Hotărârea Guvernului nr.910/2020</w:t>
      </w:r>
      <w:r w:rsidR="00427724" w:rsidRPr="00427724">
        <w:rPr>
          <w:rFonts w:ascii="Times New Roman" w:hAnsi="Times New Roman" w:cs="Times New Roman"/>
          <w:sz w:val="28"/>
          <w:szCs w:val="28"/>
          <w:lang w:val="ro-RO"/>
        </w:rPr>
        <w:t>.</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se utilizează pentru determinarea conținutului de amidon utilizat la calcularea valorii energetice a furajului.</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conținutul de amidon trebuie determinat în alte scopuri, se pot utiliza alte metode de analiză.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cuprinde două determinări. În prima, eșantionul este tratat cu acid clorhidric diluat. După limpezire și filtrare, se măsoară rotația optică a soluției prin polarimetrie.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cea de-a doua, eșantionul este extras cu etanol 40 %. După acidificarea filtratului cu acid clorhidric, limpezire și filtrare, se măsoară rotația optică la fel ca în prima determinare.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cele două măsurători, multiplicată cu un factor cunoscut, oferă conținutul de amidon al eșantionului.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Acid clorhidric, soluție cu concentrație 25 % (g/g): 1,126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clorhidric, soluție 1,13 % (greutate/volum)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se verifică prin titrare folosind o soluție de hidroxid de sodiu 0,1 mol/litru în prezența roșului de metil 0,1 % (greutate/volum) în etanol 94 % (v/v). Pentru neutralizarea a 10 ml sunt necesari 30,94 ml de NaOH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Carrez I: se dizolvă 21,9 g de acetat de zinc, Zn (CH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COO)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2H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3 g de acid acetic glacial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Soluție Carrez II: se dizolvă 10,6 g de ferocianură de potasiu, K</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Fe (CN)</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 3H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Etanol, soluție cu concentrație de 40 % (v/v): 0,948 g/ml la 20 °C.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Flacon Erlenmeyer de 250 ml cu îmbinare de sticlă șlefuită standard și cu condensator cu reflux.</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Polarimetru sau zaharimetru.</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Pregătirea eșantionului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Eșantionul se zdrobește până când devine suficient de fin pentru a trece complet printr-o sită cu orificii rotunde de 0,5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Determinarea rotației optice totale (P sau S) (a se vedea observația de la punctul 7.1)</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cântăresc 2,5 g din eșantionul zdrobit cu abatere de 1 mg și se introduc într-un balon gradat de 100 ml. Se adaugă 25 ml de acid clorhidric (punctul 3.2), se agită pentru a obține o distribuție uniformă a eșantionului de testat și se adaugă încă 25 ml de acid clorhidric (punctul 3.2). Se scufundă balonul într-o baie de apă care fierbe, agitându-se cu putere și în mod constant în primele trei minute pentru a preveni formarea de aglomerări. Cantitatea de apă din baia de apă trebuie să fie suficientă pentru ca baia să rămână la punctul de fierbere atunci când balonul este introdus în </w:t>
      </w:r>
      <w:r w:rsidR="00427724" w:rsidRPr="00427724">
        <w:rPr>
          <w:rFonts w:ascii="Times New Roman" w:hAnsi="Times New Roman" w:cs="Times New Roman"/>
          <w:sz w:val="28"/>
          <w:szCs w:val="28"/>
          <w:lang w:val="ro-RO"/>
        </w:rPr>
        <w:lastRenderedPageBreak/>
        <w:t>ea. Balonul nu trebuie să fie scos din baie în timp ce este agitat. După exact 15 minute, se scoate din baie, se adaugă 30 ml de apă rece și se răcește imediat la 20 °C.</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5 ml de soluție Carrez I (punctul 3.3) și se agită timp de aproximativ 30 de secunde. Apoi se adaugă 5 ml de soluție Carrez II (punctul 3.4) și se agită din nou timp de aproximativ 30 de secunde. Se completează cu apă până la volum, se amestecă și se filtrează. Dacă filtratul nu este perfect limpede (ceea ce se întâmplă rar), se repetă determinarea folosind o cantitate mai mare din soluțiile Carrez I și II, de exemplu 10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măsoară rotația optică a soluției într-un tub de 200 mm cu polarimetrul sau cu zaharimetrul.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rotației optice (P’ sau S’) a substanțelor solubile în etanol 40 %</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5 g din eșantion cu abatere de 1 mg, se introduc într-un balon gradat de 100 ml și se adaugă aproximativ 80 ml de etanol (punctul 3.5) (a se vedea observația de la punctul 7.2). Se lasă balonul să stea timp de 1 oră la temperatura camerei; în acest timp, se agită cu putere de șase ori astfel încât eșantionul de testat să se amestece complet cu etanolul. Se completează până la volum cu etanol (punctul 3.5), se amestecă și se filtrează.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50 ml de filtrat (corespunde la 2,5 g de eșantion) într-un flacon Erlenmeyer de 250 ml, se adaugă 2,1 ml de acid clorhidric (punctul 3.1) și se agită puternic. La flaconul Erlenmeyer se montează un condensator cu reflux, iar vasul se scufundă într-o baie de apă în fierbere. După exact 15 minute, se scoate flaconul Erlenmeyer din baie, se transferă conținutul într-un balon gradat de 100 ml, clătind cu puțină apă rece și se răcește la 20 °C.</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limpezește folosind soluțiile Carrez I (punctul 3.3) și II (punctul 3.4), se completează până la volum cu apă, se amestecă, se filtrează și se măsoară rotația optică astfel cum se indică la punctul 5.2 paragrafele doi și trei.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amidon (%) se calculează după cum urmează: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Măsurare cu polarimetrul</w:t>
      </w:r>
    </w:p>
    <w:tbl>
      <w:tblPr>
        <w:tblW w:w="5000" w:type="pct"/>
        <w:shd w:val="clear" w:color="auto" w:fill="FFFFFF"/>
        <w:tblCellMar>
          <w:left w:w="0" w:type="dxa"/>
          <w:right w:w="0" w:type="dxa"/>
        </w:tblCellMar>
        <w:tblLook w:val="04A0" w:firstRow="1" w:lastRow="0" w:firstColumn="1" w:lastColumn="0" w:noHBand="0" w:noVBand="1"/>
      </w:tblPr>
      <w:tblGrid>
        <w:gridCol w:w="6418"/>
        <w:gridCol w:w="158"/>
        <w:gridCol w:w="2830"/>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4025265" cy="683260"/>
                  <wp:effectExtent l="0" t="0" r="0" b="2540"/>
                  <wp:docPr id="23" name="Imagine 23" descr="C:\Users\User MAIA\AppData\Local\Microsoft\Windows\INetCache\Content.MSO\5AE2C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MAIA\AppData\Local\Microsoft\Windows\INetCache\Content.MSO\5AE2C06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5265" cy="683260"/>
                          </a:xfrm>
                          <a:prstGeom prst="rect">
                            <a:avLst/>
                          </a:prstGeom>
                          <a:noFill/>
                          <a:ln>
                            <a:noFill/>
                          </a:ln>
                        </pic:spPr>
                      </pic:pic>
                    </a:graphicData>
                  </a:graphic>
                </wp:inline>
              </w:drawing>
            </w:r>
            <w:r w:rsidRPr="00427724">
              <w:rPr>
                <w:rFonts w:ascii="Times New Roman" w:hAnsi="Times New Roman" w:cs="Times New Roman"/>
                <w:sz w:val="28"/>
                <w:szCs w:val="28"/>
                <w:lang w:val="ro-RO"/>
              </w:rPr>
              <w:t>P</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totală în grade unghiulare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56"/>
        <w:gridCol w:w="163"/>
        <w:gridCol w:w="898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în grade unghiulare a substanțelor solubile în etanol 40 % (V/V)</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761"/>
        <w:gridCol w:w="158"/>
        <w:gridCol w:w="848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483235" cy="388620"/>
                  <wp:effectExtent l="0" t="0" r="0" b="0"/>
                  <wp:docPr id="22" name="Imagine 22" descr="C:\Users\User MAIA\AppData\Local\Microsoft\Windows\INetCache\Content.MSO\3158E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MAIA\AppData\Local\Microsoft\Windows\INetCache\Content.MSO\3158E0B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specifică a amidonului pur. Valorile numerice acceptate în mod convențional pentru acest factor sunt următoarele: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181"/>
        <w:gridCol w:w="256"/>
        <w:gridCol w:w="596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+ 185,9°</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orez</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927"/>
        <w:gridCol w:w="235"/>
        <w:gridCol w:w="624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+ 185,7°</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cartofi</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802"/>
        <w:gridCol w:w="225"/>
        <w:gridCol w:w="637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+ 184,6°</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porumb</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164"/>
        <w:gridCol w:w="254"/>
        <w:gridCol w:w="598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+ 182,7°</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grâu</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325"/>
        <w:gridCol w:w="267"/>
        <w:gridCol w:w="581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+ 181,5°</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orz</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130"/>
        <w:gridCol w:w="252"/>
        <w:gridCol w:w="602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+ 181,3°</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amidon din ovăz</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974"/>
        <w:gridCol w:w="88"/>
        <w:gridCol w:w="834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+ 184,0</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alte tipuri de amidon și amestecuri de amidon în furaje combinate</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Măsurare cu zaharimetrul</w:t>
      </w:r>
    </w:p>
    <w:tbl>
      <w:tblPr>
        <w:tblW w:w="5000" w:type="pct"/>
        <w:shd w:val="clear" w:color="auto" w:fill="FFFFFF"/>
        <w:tblCellMar>
          <w:left w:w="0" w:type="dxa"/>
          <w:right w:w="0" w:type="dxa"/>
        </w:tblCellMar>
        <w:tblLook w:val="04A0" w:firstRow="1" w:lastRow="0" w:firstColumn="1" w:lastColumn="0" w:noHBand="0" w:noVBand="1"/>
      </w:tblPr>
      <w:tblGrid>
        <w:gridCol w:w="7603"/>
        <w:gridCol w:w="158"/>
        <w:gridCol w:w="164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4824095" cy="851535"/>
                  <wp:effectExtent l="0" t="0" r="0" b="5715"/>
                  <wp:docPr id="21" name="Imagine 21" descr="C:\Users\User MAIA\AppData\Local\Microsoft\Windows\INetCache\Content.MSO\923D5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MAIA\AppData\Local\Microsoft\Windows\INetCache\Content.MSO\923D56E7.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4095" cy="851535"/>
                          </a:xfrm>
                          <a:prstGeom prst="rect">
                            <a:avLst/>
                          </a:prstGeom>
                          <a:noFill/>
                          <a:ln>
                            <a:noFill/>
                          </a:ln>
                        </pic:spPr>
                      </pic:pic>
                    </a:graphicData>
                  </a:graphic>
                </wp:inline>
              </w:drawing>
            </w:r>
            <w:r w:rsidRPr="00427724">
              <w:rPr>
                <w:rFonts w:ascii="Times New Roman" w:hAnsi="Times New Roman" w:cs="Times New Roman"/>
                <w:sz w:val="28"/>
                <w:szCs w:val="28"/>
                <w:lang w:val="ro-RO"/>
              </w:rPr>
              <w:t>S</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totală în grade zaharimetrice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51"/>
        <w:gridCol w:w="159"/>
        <w:gridCol w:w="899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în grade zaharimetrice a substanțelor solubile în etanol 40 % (v/v)</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03"/>
        <w:gridCol w:w="158"/>
        <w:gridCol w:w="9045"/>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(g) a zaharozei în 100 ml de apă determinând o rotație optică de 100 grade zaharimetrice măsurată cu un tub de 200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16,29 g pentru zaharimetrele franceze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26,00 g pentru zaharimetrele germane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20,00 g pentru zaharimetrele mixte.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876"/>
        <w:gridCol w:w="182"/>
        <w:gridCol w:w="834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483235" cy="388620"/>
                  <wp:effectExtent l="0" t="0" r="0" b="0"/>
                  <wp:docPr id="20" name="Imagine 20" descr="C:\Users\User MAIA\AppData\Local\Microsoft\Windows\INetCache\Content.MSO\595AC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 MAIA\AppData\Local\Microsoft\Windows\INetCache\Content.MSO\595AC88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235" cy="388620"/>
                          </a:xfrm>
                          <a:prstGeom prst="rect">
                            <a:avLst/>
                          </a:prstGeom>
                          <a:noFill/>
                          <a:ln>
                            <a:noFill/>
                          </a:ln>
                        </pic:spPr>
                      </pic:pic>
                    </a:graphicData>
                  </a:graphic>
                </wp:inline>
              </w:drawing>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rotația optică specifică a amidonului pur (a se vedea punctul 6.1)</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efectuate pe același eșantion nu trebuie să depășească 0,4 în valoare absolută pentru un conținut de amidon mai mic de 40 % și 1 % în valoare relativă în cazul conținutului de amidon egal sau mai mare de 40 %.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În cazul în care eșantionul conține mai mult de 6 % carbonați, calculați sub formă de carbonat de calciu, aceștia trebuie distruși prin tratare cu o cantitate perfect adecvată de acid sulfuric diluat înaintea determinării rotației optice totale.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În cazul produselor cu un conținut mare de lactoză, cum ar fi zerul praf sau laptele praf degresat, se procedează după cum urmează după adăugarea a 80 ml etanol (punctul 3.5). La balon se fixează un condensator cu reflux, iar balonul se scufundă într-o baie de apă la 50 °C timp de 30 de minute. Se lasă să se răcească și se continuă analiza astfel cum se indică la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În cazul în care sunt prezente în cantități semnificative în furaje, următoarele materii prime furajere sunt cunoscute ca dând naștere la interferențe atunci când conținutul de amidon se determină prin metoda polarimetrică și, din acest motiv, se pot obține rezultate incorecte: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produse din sfeclă (de zahăr), precum pulpă de sfeclă (de zahăr), melasă de sfeclă (de zahăr), pulpă melasată de sfeclă (de zahăr), vinasă de sfeclă (de zahăr), zahăr (din sfeclă);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pulpă de citrice;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semințe de in; șrot de semințe de in; șrot de semințe de in rezultat după 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semințe de rapiță; șrot de semințe de rapiță; șrot de semințe de rapiță rezultat după extracție; coji de semințe de rapiță;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semințe de floarea soarelui; șrot de semințe de floarea soarelui rezultat după extracție; semințe de floarea soarelui parțial decorticate, rezultate după 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șrot de copra; șrot de copra rezultat după 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pulpă de cartofi;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drojdie deshidratată;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produse bogate în inulină (de exemplu, fulgi și făină de topinambur);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jumări;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produse din soia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În aceste cazuri, se poate aplica metoda de analiză prevăzută </w:t>
      </w:r>
      <w:r w:rsidR="00570C5D">
        <w:rPr>
          <w:rFonts w:ascii="Times New Roman" w:hAnsi="Times New Roman" w:cs="Times New Roman"/>
          <w:sz w:val="28"/>
          <w:szCs w:val="28"/>
          <w:lang w:val="ro-RO"/>
        </w:rPr>
        <w:t>și</w:t>
      </w:r>
      <w:r w:rsidRPr="00427724">
        <w:rPr>
          <w:rFonts w:ascii="Times New Roman" w:hAnsi="Times New Roman" w:cs="Times New Roman"/>
          <w:sz w:val="28"/>
          <w:szCs w:val="28"/>
          <w:lang w:val="ro-RO"/>
        </w:rPr>
        <w:t xml:space="preserve"> utilizată și pentru furajele care conțin mai puțin de 1 % amidon.</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   DETERMINAREA CONȚINUTULUI DE CENUȘĂ BRUTĂ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Această metodă permite determinarea în furaje a conținutului de cenușă brută.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Eșantionul se calcinează la 550 °C; reziduul se cântărește.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Nitrat de amoniu, soluție 20 % (greutate/volum).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Plită.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Cuptor electric cu muflă, dotat cu termostat.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Creuzete pentru calcinare fabricate din silice, porțelan sau platină, de formă rectangulară (aproximativ 60 × 40 × 25 mm) sau circulară (diametru: 60-75 mm, înălțime: 20-40 mm).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aproximativ 5 g de eșantion cu o abatere de 1 mg (2,5 g pentru produsele cu tendință de umflare) și se introduc într-un creuzet pentru calcinare, care în prealabil a fost încălzit la 550 °C, răcit și tarat. Se așază creuzetul pe plită și se încălzește progresiv până la carbonizarea materialului. Se calcinează în conformitate cu mențiunile de la punctul 5.1 sau 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Se introduce creuzetul în cuptorul cu muflă calibrat, reglat la 550 °C. Se menține la această temperatură până la obținerea unei cenuși albe, gri deschis sau roșiatice, aparent lipsită de particule carbonizate. Se introduce creuzetul într-un desicator, se lasă să se răcească și se cântărește imediat.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5.2. Se introduce creuzetul în cuptorul cu muflă calibrat, reglat la 550 °C. Se calcinează timp de 3 ore. Se introduce creuzetul într-un desicator, se lasă să se răcească și se cântărește imediat. Se calcinează din nou timp de 30 de minute pentru </w:t>
      </w:r>
      <w:r w:rsidRPr="00427724">
        <w:rPr>
          <w:rFonts w:ascii="Times New Roman" w:hAnsi="Times New Roman" w:cs="Times New Roman"/>
          <w:sz w:val="28"/>
          <w:szCs w:val="28"/>
          <w:lang w:val="ro-RO"/>
        </w:rPr>
        <w:lastRenderedPageBreak/>
        <w:t>a asigura că greutatea cenușii rămâne constantă (pierderea de greutate între două cântăriri succesive trebuie să fie mai mică sau egală cu 1 mg).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calculează greutatea reziduului prin deducerea tarei.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Rezultatul se exprimă ca procent din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Cenușa </w:t>
      </w:r>
      <w:r w:rsidRPr="00427724">
        <w:rPr>
          <w:rFonts w:ascii="Times New Roman" w:hAnsi="Times New Roman" w:cs="Times New Roman"/>
          <w:i/>
          <w:iCs/>
          <w:sz w:val="28"/>
          <w:szCs w:val="28"/>
          <w:lang w:val="ro-RO"/>
        </w:rPr>
        <w:t>substanțelor dificil de calcinat</w:t>
      </w:r>
      <w:r w:rsidRPr="00427724">
        <w:rPr>
          <w:rFonts w:ascii="Times New Roman" w:hAnsi="Times New Roman" w:cs="Times New Roman"/>
          <w:sz w:val="28"/>
          <w:szCs w:val="28"/>
          <w:lang w:val="ro-RO"/>
        </w:rPr>
        <w:t> trebuie supusă unei calcinări inițiale timp de cel puțin trei ore, urmată de răcire și de adăugarea câtorva picături de soluție de nitrat de amoniu 20 % sau de apă (cu grijă, pentru a evita dispersarea cenușii și formarea de aglomerări). Se continuă calcinarea după uscarea în cuptor. Operația se repetă până când calcinarea este completă.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În cazul </w:t>
      </w:r>
      <w:r w:rsidRPr="00427724">
        <w:rPr>
          <w:rFonts w:ascii="Times New Roman" w:hAnsi="Times New Roman" w:cs="Times New Roman"/>
          <w:i/>
          <w:iCs/>
          <w:sz w:val="28"/>
          <w:szCs w:val="28"/>
          <w:lang w:val="ro-RO"/>
        </w:rPr>
        <w:t>substanțelor rezistente la tratamentul</w:t>
      </w:r>
      <w:r w:rsidRPr="00427724">
        <w:rPr>
          <w:rFonts w:ascii="Times New Roman" w:hAnsi="Times New Roman" w:cs="Times New Roman"/>
          <w:sz w:val="28"/>
          <w:szCs w:val="28"/>
          <w:lang w:val="ro-RO"/>
        </w:rPr>
        <w:t> descris la punctul 7.1, se procedează în felul următor: după calcinare timp de trei ore, se introduce cenușa în apă caldă și se filtrează printr-un filtru mic, lipsit de cenușă. Filtrul și conținutul său se calcinează în creuzetul inițial. Filtratul se introduce în creuzetul răcit, se evaporă până la uscare, se calcinează și se cântărește.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În cazul </w:t>
      </w:r>
      <w:r w:rsidRPr="00427724">
        <w:rPr>
          <w:rFonts w:ascii="Times New Roman" w:hAnsi="Times New Roman" w:cs="Times New Roman"/>
          <w:i/>
          <w:iCs/>
          <w:sz w:val="28"/>
          <w:szCs w:val="28"/>
          <w:lang w:val="ro-RO"/>
        </w:rPr>
        <w:t>uleiurilor și grăsimilor</w:t>
      </w:r>
      <w:r w:rsidRPr="00427724">
        <w:rPr>
          <w:rFonts w:ascii="Times New Roman" w:hAnsi="Times New Roman" w:cs="Times New Roman"/>
          <w:sz w:val="28"/>
          <w:szCs w:val="28"/>
          <w:lang w:val="ro-RO"/>
        </w:rPr>
        <w:t>, se cântăresc cu precizie 25 g de eșantion într-un creuzet de dimensiuni adecvate. Se carbonizează prin aprinderea materialului cu ajutorul unei benzi de filtru de hârtie, lipsit de cenușă. După combustie, se umectează cu cât mai puțină apă. Se usucă și se calcinează astfel cum se descrie la punctul 5.</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   DETERMINAREA CENUȘII INSOLUBILE ÎN ACID CLORHIDRIC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în furaje a conținutului de substanțe minerale insolubile în acid clorhidric. Se pot utiliza două metode, în funcție de natura eșantionului.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1.1.  </w:t>
      </w:r>
      <w:r w:rsidRPr="00427724">
        <w:rPr>
          <w:rFonts w:ascii="Times New Roman" w:hAnsi="Times New Roman" w:cs="Times New Roman"/>
          <w:i/>
          <w:iCs/>
          <w:sz w:val="28"/>
          <w:szCs w:val="28"/>
          <w:lang w:val="ro-RO"/>
        </w:rPr>
        <w:t>Metoda A:</w:t>
      </w:r>
      <w:r w:rsidRPr="00427724">
        <w:rPr>
          <w:rFonts w:ascii="Times New Roman" w:hAnsi="Times New Roman" w:cs="Times New Roman"/>
          <w:sz w:val="28"/>
          <w:szCs w:val="28"/>
          <w:lang w:val="ro-RO"/>
        </w:rPr>
        <w:t> aplicabilă materiilor prime furajere organice furaje și majorității furajelor combinate;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w:t>
      </w:r>
      <w:r w:rsidRPr="00427724">
        <w:rPr>
          <w:rFonts w:ascii="Times New Roman" w:hAnsi="Times New Roman" w:cs="Times New Roman"/>
          <w:i/>
          <w:iCs/>
          <w:sz w:val="28"/>
          <w:szCs w:val="28"/>
          <w:lang w:val="ro-RO"/>
        </w:rPr>
        <w:t>Metoda B:</w:t>
      </w:r>
      <w:r w:rsidRPr="00427724">
        <w:rPr>
          <w:rFonts w:ascii="Times New Roman" w:hAnsi="Times New Roman" w:cs="Times New Roman"/>
          <w:sz w:val="28"/>
          <w:szCs w:val="28"/>
          <w:lang w:val="ro-RO"/>
        </w:rPr>
        <w:t> aplicabilă compușilor și amestecurilor minerale, precum furajelor combinate al căror conținut de substanțe insolubile în acid clorhidric, determinat conform metodei A, este mai mare de 1 %.</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2.1.  </w:t>
      </w:r>
      <w:r w:rsidRPr="00427724">
        <w:rPr>
          <w:rFonts w:ascii="Times New Roman" w:hAnsi="Times New Roman" w:cs="Times New Roman"/>
          <w:i/>
          <w:iCs/>
          <w:sz w:val="28"/>
          <w:szCs w:val="28"/>
          <w:lang w:val="ro-RO"/>
        </w:rPr>
        <w:t>Metoda A:</w:t>
      </w:r>
      <w:r w:rsidRPr="00427724">
        <w:rPr>
          <w:rFonts w:ascii="Times New Roman" w:hAnsi="Times New Roman" w:cs="Times New Roman"/>
          <w:sz w:val="28"/>
          <w:szCs w:val="28"/>
          <w:lang w:val="ro-RO"/>
        </w:rPr>
        <w:t> eșantionul se calcinează, cenușa se fierbe în acid clorhidric, iar reziduul insolubil se filtrează și se cântărește.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2.2.  </w:t>
      </w:r>
      <w:r w:rsidRPr="00427724">
        <w:rPr>
          <w:rFonts w:ascii="Times New Roman" w:hAnsi="Times New Roman" w:cs="Times New Roman"/>
          <w:i/>
          <w:iCs/>
          <w:sz w:val="28"/>
          <w:szCs w:val="28"/>
          <w:lang w:val="ro-RO"/>
        </w:rPr>
        <w:t>Metoda B:</w:t>
      </w:r>
      <w:r w:rsidRPr="00427724">
        <w:rPr>
          <w:rFonts w:ascii="Times New Roman" w:hAnsi="Times New Roman" w:cs="Times New Roman"/>
          <w:sz w:val="28"/>
          <w:szCs w:val="28"/>
          <w:lang w:val="ro-RO"/>
        </w:rPr>
        <w:t> eșantionul se tratează cu acid clorhidric. Soluția se filtrează, reziduul se calcinează, iar cenușa astfel obținută se tratează conform metodei A.</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Acid clorhidric 3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tricloracetic, soluție 20 % (greutate/volum).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Acid tricloracetic, soluție 1 % (greutate/volum).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Plită.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Cuptor electric cu muflă, dotat cu termostat.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Creuzete pentru calcinare fabricate din silice, porțelan sau platină, de formă rectangulară (aproximativ 60 × 40 × 25 mm) sau circulară (diametru: 60-75 mm, înălțime: 20-40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Filtre lipsite de cenușă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Metoda A:</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calcinează prin metoda descrisă la determinarea cenușii brute. Se poate utiliza și cenușă obținută din analiza respectivă.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introduce cenușa într-un pahar de laborator de 250-400 ml, utilizând 75 ml de acid clorhidric (punctul 3.1). Se aduce lent la fierbere și se fierbe încet timp de 15 minute. Soluția caldă se filtrează printr-un filtru de hârtie lipsit de cenușă, iar reziduul se spală cu apă caldă până când reacția acidă nu mai este vizibilă. Filtrul care conține reziduul se usucă și se calcinează într-un creuzet tarat, la o temperatură de minimum 550 °C și maximum 700 °C. Se lasă să se răcească într-un desicator și se cântărește.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Metoda B</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cântăresc 5 g de eșantion cu o abatere de 1 mg și se introduc într-un pahar de laborator de 250-400 ml. Se adaugă succesiv 25 ml apă și 25 ml acid clorhidric (punctul 3.1), se amestecă și se așteaptă ca efervescența să înceteze. Se adaugă încă 50 ml de acid clorhidric (punctul 3.1). Se așteaptă ca degajarea de gaz să înceteze, </w:t>
      </w:r>
      <w:r w:rsidR="00427724" w:rsidRPr="00427724">
        <w:rPr>
          <w:rFonts w:ascii="Times New Roman" w:hAnsi="Times New Roman" w:cs="Times New Roman"/>
          <w:sz w:val="28"/>
          <w:szCs w:val="28"/>
          <w:lang w:val="ro-RO"/>
        </w:rPr>
        <w:lastRenderedPageBreak/>
        <w:t>apoi se introduce paharul de laborator într-o baie de apă la temperatura de fierbere și se menține acolo timp de 30 de minute sau, dacă este necesar, mai mult, pentru ca amidonul eventual prezent să se hidrolizeze complet. Se filtrează până este încă cald, printr-un filtru lipsit de cenușă, iar filtrul se spală în 50 ml de apă caldă (a se vedea observația 7). Se introduce filtrul care conține reziduul într-un creuzet pentru calcinare, se usucă și se calcinează la o temperatură de minimum 550 °C și maximum 700 °C. Se introduce cenușa într-un pahar de laborator de 250-400 ml, utilizând 75 ml de acid clorhidric (punctul 3.1); se continuă astfel cum se descrie la punctul 5.1, al doilea paragraf.</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calculează greutatea reziduului prin deducerea tarei. Rezultatul se exprimă ca procent din eșantion.</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filtrarea se dovedește dificilă, se reia analiza, înlocuind cei 50 ml de acid clorhidric (punctul 3.1) cu 50 ml de acid tricloracetic, soluție 20 % (greutate/volum) (punctul 3.2) și spălând filtrul într-o soluție caldă de acid tricloracetic 1 % (punctul 3.3).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   DETERMINAREA FOSFORULUI TOTAL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Fosforul total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15510:2018</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calciului, sodiului, fosforului, magneziului, potasiului, fierului, zincului, cuprului, manganului, cobaltului, molibdenului și plumbului prin ICP-AES;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15621:2018</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calciului, sodiului, fosforului, magneziului, potasiului, sulfului, fierului, zincului, cuprului, manganului și cobaltului după dizolvarea sub presiune prin ICP-AES;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metoda fotometrică, astfel cum este descrisă în continuare.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METODA FOTOMETRICĂ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în furaje a conținutului de fosfor total. Ea este indicată în special pentru analiza produselor sărace în fosfor. În anumite cazuri (produs bogat în fosfor), se poate utiliza o metodă gravimetrică.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mineralizează, fie prin combustie uscată (în cazul furajelor organice), fie prin dizolvare în mediu acid (în cazul furajelor combinate conținând minerale și al celor lichide), iar apoi se introduce în soluție acidă. Soluția se tratează cu reactivul molibdovanadat. Densitatea optică a soluției galbene astfel formate se măsoară cu un spectrofotometru la 430 nm.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Carbonat de calciu.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clorhidric,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 1,10 g/ml (aproximativ 6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Acid azotic,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 1,045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Acid azotic,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 1,38-1,42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Acid sulfuric,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 1,84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Reactiv molibdovanadat: se amestecă 200 ml de soluție de heptamolibdat de amoniu (punctul 3.6.1), 200 ml de soluție de monovanadat de amoniu (punctul 3.6.2) și 134 ml de acid azotic (punctul 3.4) într-un balon gradat de 1 litru. Se completează până la volum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3.6.1. Soluție de heptamolibdat de amoniu: se dizolvă în apă fierbinte 100 g de heptamolibdat de amoniu (NH</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6Mo</w:t>
      </w:r>
      <w:r w:rsidRPr="00427724">
        <w:rPr>
          <w:rFonts w:ascii="Times New Roman" w:hAnsi="Times New Roman" w:cs="Times New Roman"/>
          <w:sz w:val="28"/>
          <w:szCs w:val="28"/>
          <w:vertAlign w:val="subscript"/>
          <w:lang w:val="ro-RO"/>
        </w:rPr>
        <w:t>7</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24</w:t>
      </w:r>
      <w:r w:rsidRPr="00427724">
        <w:rPr>
          <w:rFonts w:ascii="Times New Roman" w:hAnsi="Times New Roman" w:cs="Times New Roman"/>
          <w:sz w:val="28"/>
          <w:szCs w:val="28"/>
          <w:lang w:val="ro-RO"/>
        </w:rPr>
        <w:t>.4H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Se adaugă 10 ml de amoniac (concentrație 0,91 g/ml) și se completează cu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3.6.2. Soluție de monovanadat de amoniu: se dizolvă 2,35 g de monovanadat de amoniu NH</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VO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în 400 ml de apă fierbinte. Amestecând constant, se adaugă lent 20 ml de acid azotic diluat [7 ml de HNO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 (punctul 3.4) + 13 ml de 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se completează cu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etalon de 1 mg de fosfor per ml: se dizolvă 4,387 g de fosfat diacid de potasiu KH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PO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în apă. Se completează cu apă până la 1 litru.</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Creuzete pentru calcinare din silice, porțelan sau platină.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4.2. Cuptor cu muflă electric, dotat cu termostat reglat la 550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Flacon Kjeldahl de 250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Baloane gradate și pipete de precizie.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Spectrofotometru.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Eprubete cu diametru de aproximativ 16 mm, cu dopuri gradate la un diametru de 14,5 mm; capacitate: 25-30 ml.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Prepararea soluției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funcție de natura eșantionului, soluția se prepară astfel cum se indică la punctul 5.1.1 sau 5.1.2.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Procedura uzuală</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cântărește 1 g de eșantion, sau mai mult, cu o abatere de 1 mg. Se introduce eșantionul de testat într-un flacon Kjeldahl, se adaugă 20 ml de acid sulfuric (punctul 3.5), se agită pentru a impregna complet substanța cu acid și pentru a preveni ca substanța să adere pe pereții flaconului, se încălzește și se menține la punctul de fierbere timp de 10 minute. Se lasă să se răcească ușor, se adaugă 2 ml de acid azotic (punctul 3.4), se încălzește ușor, se lasă să se răcească ușor, se mai adaugă puțin acid azotic (punctul 3.4) și se readuce la punctul de fierbere. Se repetă această procedură până se obține o soluție incoloră. Se răcește, se adaugă puțină apă, se decantează lichidul într-un balon gradat de 500 ml clătind flaconul Kjeldahl cu apă fierbinte. Se lasă să se răcească, se completează până la volum cu apă, se omogenizează și se filtrează.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w:t>
      </w:r>
      <w:r w:rsidRPr="00427724">
        <w:rPr>
          <w:rFonts w:ascii="Times New Roman" w:hAnsi="Times New Roman" w:cs="Times New Roman"/>
          <w:b/>
          <w:bCs/>
          <w:sz w:val="28"/>
          <w:szCs w:val="28"/>
          <w:lang w:val="ro-RO"/>
        </w:rPr>
        <w:t> Eșantioane care conțin substanțe organice și sunt lipsite de fosfați diacizi de calciu și magneziu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cântăresc aproximativ 2,5 g de eșantion cu abatere de 1 mg într-un creuzet de calcinare. Se amestecă eșantionul de testat cu 1 g de carbonat de calciu (punctul 3.1) până când se obține un amestec complet omogen. Se calcinează în cuptor la 550 °C până se obține o cenușă albă sau gri (o cantitate mică de cărbune se ignoră). Se transferă cenușa într-un pahar de laborator de 250 ml. Se adaugă 20 ml de apă și acid clorhidric (punctul 3.2) până când efervescența încetează. Se adaugă încă 10 ml de acid clorhidric (punctul 3.2). Se așază paharul de laborator pe o baie de nisip și se evaporă până la uscare, pentru a face silicea insolubilă. Se redizolvă reziduul în 10 </w:t>
      </w:r>
      <w:r w:rsidR="00427724" w:rsidRPr="00427724">
        <w:rPr>
          <w:rFonts w:ascii="Times New Roman" w:hAnsi="Times New Roman" w:cs="Times New Roman"/>
          <w:sz w:val="28"/>
          <w:szCs w:val="28"/>
          <w:lang w:val="ro-RO"/>
        </w:rPr>
        <w:lastRenderedPageBreak/>
        <w:t>ml de acid azotic (punctul 3.3) și se fierbe pe baia de nisip sau pe o plită timp de 5 minute, fără a se evapora până la uscare. Se decantează lichidul într-un balon gradat de 500 ml, clătind paharul de mai multe ori cu apă fierbinte. Se lasă să se răcească, se completează până la volum cu apă, se omogenizează și se filtrează.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Apariția colorației și măsurarea densității optice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diluează o parte alicotă de filtrat obținut ca la punctul 5.1.1 sau 5.1.2 pentru a obține o concentrație de fosfor de maximum 40 μg/ml. Se introduc 10 ml din această soluție într-o eprubetă (punctul 4.6) și se adaugă 10 ml de reactiv molibdovanadat (punctul 3.6). Se omogenizează și se lasă să stea timp de cel puțin 10 minute la 20 °C. Densitatea optică se măsoară cu un spectrofotometru la 430 nm, prin comparație cu o soluție obținută prin adăugarea de 10 ml de reactiv molibdovanadat (punctul 3.6) la 10 ml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Curba de calibrare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soluția etalon (punctul 3.7) se prepară soluții care conțin 5, 10, 20, 30 și 40 μg de fosfor per ml, respectiv. Se iau 10 ml din fiecare din aceste soluții și se adaugă la 10 ml de reactiv molibdovanadat (punctul 3.6). Se omogenizează și se lasă să stea timp de cel puțin 10 minute la 20 °C. Densitatea optică se măsoară astfel cum se indică la punctul 5.2. Se trasează curba de calibrare prin înscrierea grafică a densităților optice în raport cu cantitățile corespunzătoare de fosfor. Pentru concentrații cuprinse între 0 și 40 μg/ml, curba va fi liniară.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Cantitatea de fosfor din eșantionul de testat se determină prin utilizarea curbei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Rezultatul se exprimă ca procent din eșantion.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Repetabilitate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obținute în două determinări paralele efectuate pe același eșantion nu depășesc: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3 %, relativ la rezultatul mai mare, pentru un conținut de fosfor mai mic de 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0,15 % în valoare absolută, pentru un conținut de fosfor egal sau mai mare de 5 %.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O.   DETERMINAREA CLORULUI DIN CLORURI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1.   </w:t>
      </w:r>
      <w:r w:rsidRPr="00427724">
        <w:rPr>
          <w:rFonts w:ascii="Times New Roman" w:hAnsi="Times New Roman" w:cs="Times New Roman"/>
          <w:b/>
          <w:bCs/>
          <w:i/>
          <w:iCs/>
          <w:sz w:val="28"/>
          <w:szCs w:val="28"/>
          <w:lang w:val="ro-RO"/>
        </w:rPr>
        <w:t> Obiectiv și domeniu de aplicare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cantității de clor din clorurile solubile în apă, exprimate convențional ca clorură de sodiu. Este aplicabilă tuturor furajelor.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Clorurile se dizolvă în apă. Dacă produsul conține materii organice, se limpezește. Soluția se acidifică ușor cu acid azotic, iar clorurile precipită sub formă de clorură de argint cu ajutorul unei soluții de nitrat de argint. Excesul de nitrat de argint se titrează cu o soluție de tiocianat de amoniu, prin metoda Volhard.</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Soluție de tiocianat de amoniu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Soluție de nitrat de argint 0,1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saturată de sulfat feric de amoniu (NH</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)Fe(SO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Acid azotic, concentrație: 1,38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Eter dietilic.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Acetonă.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Carrez I: se dizolvă 21,9 g de acetat de zinc, Zn (CH</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COO)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·2H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și 3 g de acid acetic glacial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Soluție Carrez II: se dizolvă 10,6 g de ferocianură de potasiu, K</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Fe(CN)</w:t>
      </w:r>
      <w:r w:rsidRPr="00427724">
        <w:rPr>
          <w:rFonts w:ascii="Times New Roman" w:hAnsi="Times New Roman" w:cs="Times New Roman"/>
          <w:sz w:val="28"/>
          <w:szCs w:val="28"/>
          <w:vertAlign w:val="subscript"/>
          <w:lang w:val="ro-RO"/>
        </w:rPr>
        <w:t>6</w:t>
      </w:r>
      <w:r w:rsidRPr="00427724">
        <w:rPr>
          <w:rFonts w:ascii="Times New Roman" w:hAnsi="Times New Roman" w:cs="Times New Roman"/>
          <w:sz w:val="28"/>
          <w:szCs w:val="28"/>
          <w:lang w:val="ro-RO"/>
        </w:rPr>
        <w:t>·3H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în apă. Se completează cu apă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Cărbune activ, lipsit de cloruri și fără a le absorbi.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Mixer (agitator): aproximativ 35-40 rpm.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Prepararea soluției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funcție de natura eșantionului, se prepară o soluție conform indicațiilor de la punctul 5.1.1, 5.1.2 sau 5.1.3.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același timp, se efectuează un </w:t>
      </w:r>
      <w:r w:rsidRPr="00427724">
        <w:rPr>
          <w:rFonts w:ascii="Times New Roman" w:hAnsi="Times New Roman" w:cs="Times New Roman"/>
          <w:i/>
          <w:iCs/>
          <w:sz w:val="28"/>
          <w:szCs w:val="28"/>
          <w:lang w:val="ro-RO"/>
        </w:rPr>
        <w:t>test martor</w:t>
      </w:r>
      <w:r w:rsidRPr="00427724">
        <w:rPr>
          <w:rFonts w:ascii="Times New Roman" w:hAnsi="Times New Roman" w:cs="Times New Roman"/>
          <w:sz w:val="28"/>
          <w:szCs w:val="28"/>
          <w:lang w:val="ro-RO"/>
        </w:rPr>
        <w:t> fără eșantionul de analizat.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Eșantioane fără materii organice</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maximum 10 g de eșantion cu o abatere de 1 mg, care conțin maximum 3 g de clor sub formă de cloruri. Se introduc, împreună cu 400 ml de apă, într-un balon gradat de 500 ml la aproximativ 20 °C. Se amestecă timp de 30 de minute în agitator, se aduce la volum, se omogenizează și se filtrează.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w:t>
      </w:r>
      <w:r w:rsidRPr="00427724">
        <w:rPr>
          <w:rFonts w:ascii="Times New Roman" w:hAnsi="Times New Roman" w:cs="Times New Roman"/>
          <w:b/>
          <w:bCs/>
          <w:sz w:val="28"/>
          <w:szCs w:val="28"/>
          <w:lang w:val="ro-RO"/>
        </w:rPr>
        <w:t> Eșantioane care conțin materii organice, exceptând produsele menționate la punctul 5.1.3</w:t>
      </w:r>
    </w:p>
    <w:p w:rsidR="00427724" w:rsidRPr="00427724" w:rsidRDefault="006335C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aproximativ 5 g de eșantion cu o abatere de 1 mg și se introduc, împreună cu 1 g de cărbune activ, într-un balon gradat de 500 ml. Se adaugă 400 ml apă la aproximativ 20 °C și 5 ml de soluție Carrez I (punctul 3.7), se amestecă timp de 30 de secunde, apoi se adaugă 5 ml de soluție Carrez II (punctul 3.8). Se amestecă timp de 30 de minute în agitator, se aduce la volum, se omogenizează și se filtrează.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5.1.3.   </w:t>
      </w:r>
      <w:r w:rsidRPr="00427724">
        <w:rPr>
          <w:rFonts w:ascii="Times New Roman" w:hAnsi="Times New Roman" w:cs="Times New Roman"/>
          <w:b/>
          <w:bCs/>
          <w:sz w:val="28"/>
          <w:szCs w:val="28"/>
          <w:lang w:val="ro-RO"/>
        </w:rPr>
        <w:t> Furaje preparate termic, turte și făină de in, produse bogate în făină de in și alte produse bogate în mucilagii sau în substanțe coloidale (de exemplu amidon dextrinat)</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prepară soluția astfel cum se descrie la punctul 5.1.2, dar nu se filtrează. Se decantează (dacă este necesar, se centrifughează), se îndepărtează 100 ml lichid supernatant și se transferă într-un flacon de măsurare de 200 ml. Se amestecă cu acetonă (punctul 3.6) și se aduce la volum cu acest solvent, se omogenizează și se filtrează.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Titrarea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Cu ajutorul unei pipete, se transferă într-un flacon Erlenmeyer o cantitate cuprinsă între de 25 și 100 ml de filtrat (în funcție de conținutul anticipat de clor), obținut astfel cum se descrie la punctul 5.1.1, 5.1.2 sau 5.1.3. Porția alicotă nu trebuie să conțină mai mult de 150 mg de clor (Cl). Dacă este necesar, se diluează cu maximum 50 ml de apă, se adaugă 5 ml acid azotic (punctul 3.4), 2 ml de soluție saturată de sulfat feric de amoniu (punctul 3.3) și două picături de soluție de tiocianat de amoniu (punctul 3.1) transferată cu ajutorul unei biurete umplute până la gradația zero. Cu ajutorul unei biurete, se transferă soluția de nitrat de argint (punctul 3.2) astfel încât să se obțină un exces de 5 ml. Se adaugă 5 ml de eter dietilic (punctul 3.5) și se agită puternic pentru a coagula precipitatul. Excesul de nitrat de argint se titrează cu soluția de tiocianat de amoniu (punctul 3.1) până când colorația maro-roșcat a persistat timp de un minut.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Cantitatea de clor (X), exprimată ca % de clorură de sodiu, se calculează cu ajutorul următoarei formule: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101850" cy="577850"/>
            <wp:effectExtent l="0" t="0" r="0" b="0"/>
            <wp:docPr id="19" name="Imagine 19" descr="C:\Users\User MAIA\AppData\Local\Microsoft\Windows\INetCache\Content.MSO\26F277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MAIA\AppData\Local\Microsoft\Windows\INetCache\Content.MSO\26F27723.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1850"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447"/>
        <w:gridCol w:w="241"/>
        <w:gridCol w:w="871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de nitrat de argint 0,1 mol/l adăugată;</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0"/>
        <w:gridCol w:w="194"/>
        <w:gridCol w:w="885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de tiocianat de amoniu 0,1 mol/l utilizată la titrare;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79"/>
        <w:gridCol w:w="275"/>
        <w:gridCol w:w="875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 din greutatea eșantionului în partea alicotă.</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testul martor indică un consum de soluție de nitrat de argint 0,1 mol/l, se deduce această valoare din volum (V</w:t>
      </w:r>
      <w:r w:rsidRPr="00427724">
        <w:rPr>
          <w:rFonts w:ascii="Times New Roman" w:hAnsi="Times New Roman" w:cs="Times New Roman"/>
          <w:sz w:val="28"/>
          <w:szCs w:val="28"/>
          <w:vertAlign w:val="subscript"/>
          <w:lang w:val="ro-RO"/>
        </w:rPr>
        <w:t>1</w:t>
      </w:r>
      <w:r w:rsidRPr="00427724">
        <w:rPr>
          <w:rFonts w:ascii="Times New Roman" w:hAnsi="Times New Roman" w:cs="Times New Roman"/>
          <w:sz w:val="28"/>
          <w:szCs w:val="28"/>
          <w:lang w:val="ro-RO"/>
        </w:rPr>
        <w:t> – V</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Titrarea se poate face și prin potențiometrie sau amperometrie.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În cazul produselor foarte bogate în uleiuri și grăsimi, se procedează mai întâi la o degresare cu eter dietilic sau cu eter de petrol.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În cazul făinii de pește, titrarea se poate efectua prin metoda Mohr.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   DETERMINAREA CARBONAȚILOR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permite dozarea carbonaților, în mod convențional exprimați în carbonat de calciu, din furaje cu excepția furajelor în care este prezent carbonatul de fier.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Carbonații se descompun în acid clorhidric; dioxidul de carbon eliberat se colectează într-un tub gradat, iar volumul său se compară cu cel eliberat în aceleași condiții de o cantitate cunoscută de carbonat de calciu.</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Acid clorhidric, densitate 1,10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Carbonat de calciu pur.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Acid sulfuric, aproximativ 0,05 mol/litru, colorat cu roșu de metil.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4.   </w:t>
      </w:r>
      <w:r w:rsidRPr="00427724">
        <w:rPr>
          <w:rFonts w:ascii="Times New Roman" w:hAnsi="Times New Roman" w:cs="Times New Roman"/>
          <w:b/>
          <w:bCs/>
          <w:i/>
          <w:iCs/>
          <w:sz w:val="28"/>
          <w:szCs w:val="28"/>
          <w:lang w:val="ro-RO"/>
        </w:rPr>
        <w:t> Aparatură</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Aparatul Scheibler-Dietrich (a se vedea schema din apendice) sau aparatură echivalentă (calcimetru).</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Procedură</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funcție de conținutul de carbonați al eșantionului, se cântărește o porție de eșantion conform indicațiilor de mai jos: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0,5 g pentru produsele care conțin 50-100 % carbonați, exprimați ca și carbonat de calciu;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1 g pentru produsele care conțin 40-50 % carbonați, exprimați ca și carbonat de calciu;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2-3 g pentru alte produse.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acid clorhidric (punctul 3.1 de mai sus) la porția de eșantion pentru a descompune carbonații prezenți. Volumul de dioxid de carbon se măsoară cu ajutorul aparatului Scheibler-Dietrich sau al unei aparaturi echivalente (calcimetru) și se compară cu volumul de dioxid de carbon produs de 0,5 g de carbonat de calciu pur (punctul 3.2 de mai sus).</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Toate determinările se efectuează în aceleași condiții pentru a se evita corectarea diferențelor de temperatură și presiune. Determinarea trebuie efectuată, de preferință, într-o încăpere cu temperatură controlată.</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Procedura de utilizare a aparatului Scheibler-Dietrich este descrisă în detaliu în apendice.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carbonați, exprimați drept carbonat de calciu pur, se calculează prin utilizarea următoarei formule: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1"/>
        <w:gridCol w:w="1008"/>
      </w:tblGrid>
      <w:tr w:rsidR="00427724" w:rsidRPr="0042772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X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 ×100</w:t>
            </w:r>
          </w:p>
        </w:tc>
      </w:tr>
      <w:tr w:rsidR="00427724" w:rsidRPr="0042772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r w:rsidRPr="00427724">
              <w:rPr>
                <w:rFonts w:ascii="Times New Roman" w:hAnsi="Times New Roman" w:cs="Times New Roman"/>
                <w:sz w:val="28"/>
                <w:szCs w:val="28"/>
                <w:lang w:val="ro-RO"/>
              </w:rPr>
              <w:t> × 2m</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232"/>
        <w:gridCol w:w="180"/>
        <w:gridCol w:w="899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X</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(g/g) de carbonați în eșantioane, exprimați drept carbonat de calciu;</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88"/>
        <w:gridCol w:w="302"/>
        <w:gridCol w:w="871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CO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eliberat de porția de eșantion;</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77"/>
        <w:gridCol w:w="311"/>
        <w:gridCol w:w="851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CO</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 eliberat de 0,5 g de CaCO</w:t>
            </w:r>
            <w:r w:rsidRPr="00427724">
              <w:rPr>
                <w:rFonts w:ascii="Times New Roman" w:hAnsi="Times New Roman" w:cs="Times New Roman"/>
                <w:sz w:val="28"/>
                <w:szCs w:val="28"/>
                <w:vertAlign w:val="subscript"/>
                <w:lang w:val="ro-RO"/>
              </w:rPr>
              <w:t>3</w:t>
            </w:r>
            <w:r w:rsidRPr="00427724">
              <w:rPr>
                <w:rFonts w:ascii="Times New Roman" w:hAnsi="Times New Roman" w:cs="Times New Roman"/>
                <w:sz w:val="28"/>
                <w:szCs w:val="28"/>
                <w:lang w:val="ro-RO"/>
              </w:rPr>
              <w:t>;</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10"/>
        <w:gridCol w:w="297"/>
        <w:gridCol w:w="869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în grame, a porției de eșantion.</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În cazul în care se utilizează aparatul Scheibler-Dietrich, iar eșantionul cântărește mai mult de 2 g, se introduc mai întâi 15 ml de apă distilată în flacon (punctul 4 din schema din apendicele de mai jos) și se amestecă înainte de începerea testului prin adăugarea de acid clorhidric (punctul 3.1 de mai sus). În testul de control se utilizează același volum de apă distilată.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Dacă aparatul utilizat are un volum diferit de cel al aparatului Scheibler-Dietrich, porțiile prelevate din eșantion și din substanța de control, precum și calculul, trebuie adaptate corespunzător.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Apendice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Procedura detaliată de utilizare a aparatului Scheibler-Dietrich</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Porția de eșantion se introduce în flaconul special (punctul 4 din schemă) al aparatului, dotat cu un mic tub din material indestructibil care conține 10 ml acid clorhidric (punctul 3.1 de mai sus), apoi se conectează flaconul la aparat. Se întoarce robinetul cu trei căi (punctul 5 din schemă) astfel încât tubul gradat (punctul 1 din schemă) să se conecteze cu exteriorul. Cu ajutorul unui tub mobil (punctul 2 din schemă), care este umplut cu acid sulfuric colorat (punctul 3.3 de mai sus) și este conectat la tubul gradat (punctul 1 din schemă) se aduce nivelul lichidului la gradația zero. Se întoarce robinetul cu trei căi (punctul 5 din schemă) în așa fel încât să se asigure comunicația între tuburi (punctele 1 și 3 din schemă) și se verifică nivelul zero.</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lasă să se prelingă lent acidul clorhidric (punctul 3.1 de mai sus) pe porția de eșantion înclinând flaconul special (punctul 4 din schemă). Se egalizează presiunea lăsând în jos tubul mobil (punctul 2 din schemă). Se agită flaconul special (punctul 4 din schemă) până la oprirea completă a degajării dioxidului de carbon.</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restabilește presiunea, readucând lichidele la același nivel în tuburi (punctele 1 și 2 din schemă). După câteva minute, când volumul de gaz a devenit constant, se face citirea.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un test de control, în aceleași condiții, cu 0,5 g de carbonat de calciu (punctul 3.2 de mai sus).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APARATUL SCHEIBLER-DIETRICH PENTRU DETERMINAREA CO</w:t>
      </w:r>
      <w:r w:rsidRPr="00427724">
        <w:rPr>
          <w:rFonts w:ascii="Times New Roman" w:hAnsi="Times New Roman" w:cs="Times New Roman"/>
          <w:i/>
          <w:iCs/>
          <w:sz w:val="28"/>
          <w:szCs w:val="28"/>
          <w:vertAlign w:val="subscript"/>
          <w:lang w:val="ro-RO"/>
        </w:rPr>
        <w:t>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776095" cy="3920490"/>
            <wp:effectExtent l="0" t="0" r="0" b="3810"/>
            <wp:docPr id="18" name="Imagine 18" descr="C:\Users\User MAIA\AppData\Local\Microsoft\Windows\INetCache\Content.MSO\DA2A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 MAIA\AppData\Local\Microsoft\Windows\INetCache\Content.MSO\DA2A029.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6095" cy="3920490"/>
                    </a:xfrm>
                    <a:prstGeom prst="rect">
                      <a:avLst/>
                    </a:prstGeom>
                    <a:noFill/>
                    <a:ln>
                      <a:noFill/>
                    </a:ln>
                  </pic:spPr>
                </pic:pic>
              </a:graphicData>
            </a:graphic>
          </wp:inline>
        </w:drawing>
      </w:r>
      <w:r w:rsidRPr="00427724">
        <w:rPr>
          <w:rFonts w:ascii="Times New Roman" w:hAnsi="Times New Roman" w:cs="Times New Roman"/>
          <w:sz w:val="28"/>
          <w:szCs w:val="28"/>
          <w:lang w:val="ro-RO"/>
        </w:rPr>
        <w:t>(Dimensiuni în mm)</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DC6FF3" w:rsidRDefault="00DC6FF3" w:rsidP="00DC6FF3">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Pr="008C40D5">
        <w:rPr>
          <w:rFonts w:ascii="Times New Roman" w:hAnsi="Times New Roman" w:cs="Times New Roman"/>
          <w:sz w:val="28"/>
          <w:szCs w:val="28"/>
          <w:lang w:val="ro-MD"/>
        </w:rPr>
        <w:t xml:space="preserve">Anexă </w:t>
      </w:r>
      <w:r>
        <w:rPr>
          <w:rFonts w:ascii="Times New Roman" w:hAnsi="Times New Roman" w:cs="Times New Roman"/>
          <w:sz w:val="28"/>
          <w:szCs w:val="28"/>
          <w:lang w:val="ro-MD"/>
        </w:rPr>
        <w:t>nr.4</w:t>
      </w:r>
    </w:p>
    <w:p w:rsidR="00DC6FF3" w:rsidRDefault="00C767A3" w:rsidP="00DC6FF3">
      <w:pPr>
        <w:tabs>
          <w:tab w:val="left" w:pos="210"/>
        </w:tabs>
        <w:jc w:val="right"/>
        <w:rPr>
          <w:rFonts w:ascii="Times New Roman" w:hAnsi="Times New Roman" w:cs="Times New Roman"/>
          <w:b/>
          <w:bCs/>
          <w:sz w:val="28"/>
          <w:szCs w:val="28"/>
          <w:lang w:val="ro-RO"/>
        </w:rPr>
      </w:pPr>
      <w:r w:rsidRPr="00C767A3">
        <w:rPr>
          <w:rFonts w:ascii="Times New Roman" w:hAnsi="Times New Roman" w:cs="Times New Roman"/>
          <w:bCs/>
          <w:sz w:val="28"/>
          <w:szCs w:val="28"/>
          <w:lang w:val="ro-MD"/>
        </w:rPr>
        <w:t>la Hotărârea Guvernului nr.686/2012</w:t>
      </w:r>
    </w:p>
    <w:p w:rsidR="00427724" w:rsidRPr="00427724" w:rsidRDefault="00427724" w:rsidP="00BC54BD">
      <w:pPr>
        <w:tabs>
          <w:tab w:val="left" w:pos="210"/>
        </w:tabs>
        <w:jc w:val="center"/>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ANALIZĂ PENTRU CONTROLAREA NIVELULUI AUTORIZAT DE ADITIVI DIN FURAJE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   DETERMINAREA VITAMINEI 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Vitamina A se determină prin:</w:t>
      </w:r>
    </w:p>
    <w:p w:rsidR="00BC54BD"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17547:2022</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conținutului de vitamine A, E și D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Metodă care utilizează extracția în fază solidă (SPE) și cromatografia lichidă de înaltă performanță (HPLC);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lichidă de înaltă performanță (RP-HPLC) cu fază inversată, utilizând un detector UV sau un detector de fluorescență, astfel cum se descrie la punctele 1-9 de mai jos.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nivelului de vitamină A (retinol) din furaje. Vitamina A include alcoolul all-</w:t>
      </w:r>
      <w:r w:rsidR="00427724" w:rsidRPr="00427724">
        <w:rPr>
          <w:rFonts w:ascii="Times New Roman" w:hAnsi="Times New Roman" w:cs="Times New Roman"/>
          <w:i/>
          <w:iCs/>
          <w:sz w:val="28"/>
          <w:szCs w:val="28"/>
          <w:lang w:val="ro-RO"/>
        </w:rPr>
        <w:t>trans</w:t>
      </w:r>
      <w:r w:rsidR="00427724" w:rsidRPr="00427724">
        <w:rPr>
          <w:rFonts w:ascii="Times New Roman" w:hAnsi="Times New Roman" w:cs="Times New Roman"/>
          <w:sz w:val="28"/>
          <w:szCs w:val="28"/>
          <w:lang w:val="ro-RO"/>
        </w:rPr>
        <w:t>-retinil și izomerii săi </w:t>
      </w:r>
      <w:r w:rsidR="00427724" w:rsidRPr="00427724">
        <w:rPr>
          <w:rFonts w:ascii="Times New Roman" w:hAnsi="Times New Roman" w:cs="Times New Roman"/>
          <w:i/>
          <w:iCs/>
          <w:sz w:val="28"/>
          <w:szCs w:val="28"/>
          <w:lang w:val="ro-RO"/>
        </w:rPr>
        <w:t>cis</w:t>
      </w:r>
      <w:r w:rsidR="00427724" w:rsidRPr="00427724">
        <w:rPr>
          <w:rFonts w:ascii="Times New Roman" w:hAnsi="Times New Roman" w:cs="Times New Roman"/>
          <w:sz w:val="28"/>
          <w:szCs w:val="28"/>
          <w:lang w:val="ro-RO"/>
        </w:rPr>
        <w:t>, care se determină prin această metodă. Conținutul de vitamină A se exprimă în unități internaționale (UI) per kg O UI corespunde activității a 0,300 μg de alcool all-</w:t>
      </w:r>
      <w:r w:rsidR="00427724" w:rsidRPr="00427724">
        <w:rPr>
          <w:rFonts w:ascii="Times New Roman" w:hAnsi="Times New Roman" w:cs="Times New Roman"/>
          <w:i/>
          <w:iCs/>
          <w:sz w:val="28"/>
          <w:szCs w:val="28"/>
          <w:lang w:val="ro-RO"/>
        </w:rPr>
        <w:t>trans</w:t>
      </w:r>
      <w:r w:rsidR="00427724" w:rsidRPr="00427724">
        <w:rPr>
          <w:rFonts w:ascii="Times New Roman" w:hAnsi="Times New Roman" w:cs="Times New Roman"/>
          <w:sz w:val="28"/>
          <w:szCs w:val="28"/>
          <w:lang w:val="ro-RO"/>
        </w:rPr>
        <w:t>-vitamină A sau a 0,344 μg all-</w:t>
      </w:r>
      <w:r w:rsidR="00427724" w:rsidRPr="00427724">
        <w:rPr>
          <w:rFonts w:ascii="Times New Roman" w:hAnsi="Times New Roman" w:cs="Times New Roman"/>
          <w:i/>
          <w:iCs/>
          <w:sz w:val="28"/>
          <w:szCs w:val="28"/>
          <w:lang w:val="ro-RO"/>
        </w:rPr>
        <w:t>trans</w:t>
      </w:r>
      <w:r w:rsidR="00427724" w:rsidRPr="00427724">
        <w:rPr>
          <w:rFonts w:ascii="Times New Roman" w:hAnsi="Times New Roman" w:cs="Times New Roman"/>
          <w:sz w:val="28"/>
          <w:szCs w:val="28"/>
          <w:lang w:val="ro-RO"/>
        </w:rPr>
        <w:t>-vitamină A acetat sau 0,550 μg all-</w:t>
      </w:r>
      <w:r w:rsidR="00427724" w:rsidRPr="00427724">
        <w:rPr>
          <w:rFonts w:ascii="Times New Roman" w:hAnsi="Times New Roman" w:cs="Times New Roman"/>
          <w:i/>
          <w:iCs/>
          <w:sz w:val="28"/>
          <w:szCs w:val="28"/>
          <w:lang w:val="ro-RO"/>
        </w:rPr>
        <w:t>trans</w:t>
      </w:r>
      <w:r w:rsidR="00427724" w:rsidRPr="00427724">
        <w:rPr>
          <w:rFonts w:ascii="Times New Roman" w:hAnsi="Times New Roman" w:cs="Times New Roman"/>
          <w:sz w:val="28"/>
          <w:szCs w:val="28"/>
          <w:lang w:val="ro-RO"/>
        </w:rPr>
        <w:t>-vitamină A palmitat.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de cuantificare este 2 000 UI de vitamină A/kg.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hidrolizează cu o soluție de hidroxid de potasiu etanolic, iar vitamina A se extrage cu eter de petrol. Solventul se îndepărtează prin evaporare, iar reziduul se dizolvă în metanol și, dacă este necesar, se diluează până la concentrația necesară. Conținutul de vitamină A se determină prin cromatografie lichidă de înaltă performanță cu fază inversată (RP-HPLC) cu ajutorul unui detector de UV sau de fluorescență. Parametrii cromatografiei se aleg astfel încât să nu existe separație între alcoolul all-</w:t>
      </w:r>
      <w:r w:rsidR="00427724" w:rsidRPr="00427724">
        <w:rPr>
          <w:rFonts w:ascii="Times New Roman" w:hAnsi="Times New Roman" w:cs="Times New Roman"/>
          <w:i/>
          <w:iCs/>
          <w:sz w:val="28"/>
          <w:szCs w:val="28"/>
          <w:lang w:val="ro-RO"/>
        </w:rPr>
        <w:t>trans</w:t>
      </w:r>
      <w:r w:rsidR="00427724" w:rsidRPr="00427724">
        <w:rPr>
          <w:rFonts w:ascii="Times New Roman" w:hAnsi="Times New Roman" w:cs="Times New Roman"/>
          <w:sz w:val="28"/>
          <w:szCs w:val="28"/>
          <w:lang w:val="ro-RO"/>
        </w:rPr>
        <w:t>-vitamina A și izomerii săi </w:t>
      </w:r>
      <w:r w:rsidR="00427724" w:rsidRPr="00427724">
        <w:rPr>
          <w:rFonts w:ascii="Times New Roman" w:hAnsi="Times New Roman" w:cs="Times New Roman"/>
          <w:i/>
          <w:iCs/>
          <w:sz w:val="28"/>
          <w:szCs w:val="28"/>
          <w:lang w:val="ro-RO"/>
        </w:rPr>
        <w:t>cis</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Etanol, σ = 96 %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Eter de petrol, interval de fierbere 40-60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Soluție de hidroxid de potasiu, c = 50 g/100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Soluție de ascorbat de sodiu, c = 10 g/100 ml (a se vedea observațiile de la punctul 7.7)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Sulfură de sodiu, Na</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 · x 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(x = 7 - 9)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3.6.1. Soluție de sulfură de sodiu, c = 0,5 mol/l în glicerol, β = 120 g/l (pentru x = 9) (a se vedea observațiile de la punctul 7.8)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3.7. Soluție de fenolftaleină, c = 2 g/100 ml în etanol (punctul 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2-propanol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Fază mobilă pentru HPLC: amestec de metanol (punctul 3.3) și apă, de exemplu 980 + 20 (v + v). Proporția exactă este determinată de caracteristicile coloanei folosite.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Azot, lipsit de oxigen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All-</w:t>
      </w:r>
      <w:r w:rsidRPr="00427724">
        <w:rPr>
          <w:rFonts w:ascii="Times New Roman" w:hAnsi="Times New Roman" w:cs="Times New Roman"/>
          <w:i/>
          <w:iCs/>
          <w:sz w:val="28"/>
          <w:szCs w:val="28"/>
          <w:lang w:val="ro-RO"/>
        </w:rPr>
        <w:t>trans</w:t>
      </w:r>
      <w:r w:rsidRPr="00427724">
        <w:rPr>
          <w:rFonts w:ascii="Times New Roman" w:hAnsi="Times New Roman" w:cs="Times New Roman"/>
          <w:sz w:val="28"/>
          <w:szCs w:val="28"/>
          <w:lang w:val="ro-RO"/>
        </w:rPr>
        <w:t>-vitamină A acetat, extra pură, cu activitate certificată, de exemplu, 2,80 × 106 UI/g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3.11.1. Soluție stoc de all-</w:t>
      </w:r>
      <w:r w:rsidRPr="00427724">
        <w:rPr>
          <w:rFonts w:ascii="Times New Roman" w:hAnsi="Times New Roman" w:cs="Times New Roman"/>
          <w:i/>
          <w:iCs/>
          <w:sz w:val="28"/>
          <w:szCs w:val="28"/>
          <w:lang w:val="ro-RO"/>
        </w:rPr>
        <w:t>trans</w:t>
      </w:r>
      <w:r w:rsidRPr="00427724">
        <w:rPr>
          <w:rFonts w:ascii="Times New Roman" w:hAnsi="Times New Roman" w:cs="Times New Roman"/>
          <w:sz w:val="28"/>
          <w:szCs w:val="28"/>
          <w:lang w:val="ro-RO"/>
        </w:rPr>
        <w:t>-vitamină A acetat: Se cântăresc, cu o abatere de 0,1 mg, 50 mg de vitamină A acetat (punctul 3.11) într-un balon gradat de 100 ml. Se dizolvă în 2-propanol (punctul 3.8) și se completează până la semn cu același solvent. Concentrația nominală a acestei soluții este de 1 400 UI vitamină A per ml. Conținutul exact se determină în conformitate cu indicațiile de la punctul 5.6.3.1.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All-</w:t>
      </w:r>
      <w:r w:rsidRPr="00427724">
        <w:rPr>
          <w:rFonts w:ascii="Times New Roman" w:hAnsi="Times New Roman" w:cs="Times New Roman"/>
          <w:i/>
          <w:iCs/>
          <w:sz w:val="28"/>
          <w:szCs w:val="28"/>
          <w:lang w:val="ro-RO"/>
        </w:rPr>
        <w:t>trans</w:t>
      </w:r>
      <w:r w:rsidRPr="00427724">
        <w:rPr>
          <w:rFonts w:ascii="Times New Roman" w:hAnsi="Times New Roman" w:cs="Times New Roman"/>
          <w:sz w:val="28"/>
          <w:szCs w:val="28"/>
          <w:lang w:val="ro-RO"/>
        </w:rPr>
        <w:t>-vitamină A palmitat, extra pură, cu activitate certificată, de exemplu 1,80 × 106 UI/g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3.12.1. Soluție stoc de all-</w:t>
      </w:r>
      <w:r w:rsidRPr="00427724">
        <w:rPr>
          <w:rFonts w:ascii="Times New Roman" w:hAnsi="Times New Roman" w:cs="Times New Roman"/>
          <w:i/>
          <w:iCs/>
          <w:sz w:val="28"/>
          <w:szCs w:val="28"/>
          <w:lang w:val="ro-RO"/>
        </w:rPr>
        <w:t>trans</w:t>
      </w:r>
      <w:r w:rsidRPr="00427724">
        <w:rPr>
          <w:rFonts w:ascii="Times New Roman" w:hAnsi="Times New Roman" w:cs="Times New Roman"/>
          <w:sz w:val="28"/>
          <w:szCs w:val="28"/>
          <w:lang w:val="ro-RO"/>
        </w:rPr>
        <w:t>-vitamină A palmitat: Se cântăresc, cu o abatere de 0,1 mg, 80 mg de vitamină A palmitat (punctul 3.12) într-un balon gradat de 100 ml. Se dizolvă în 2-propanol (punctul 3.8) și se completează până la semn cu același solvent. Concentrația nominală a acestei soluții este de 1 400 UI vitamină A per ml. Conținutul exact se determină în conformitate cu indicațiile de la punctul 5.6.3.2.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2,6-di-</w:t>
      </w:r>
      <w:r w:rsidRPr="00427724">
        <w:rPr>
          <w:rFonts w:ascii="Times New Roman" w:hAnsi="Times New Roman" w:cs="Times New Roman"/>
          <w:i/>
          <w:iCs/>
          <w:sz w:val="28"/>
          <w:szCs w:val="28"/>
          <w:lang w:val="ro-RO"/>
        </w:rPr>
        <w:t>terț</w:t>
      </w:r>
      <w:r w:rsidRPr="00427724">
        <w:rPr>
          <w:rFonts w:ascii="Times New Roman" w:hAnsi="Times New Roman" w:cs="Times New Roman"/>
          <w:sz w:val="28"/>
          <w:szCs w:val="28"/>
          <w:lang w:val="ro-RO"/>
        </w:rPr>
        <w:t>-butil-4-metilfenol (BHT) (a se vedea observațiile de la punctul 7.5)</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Evaporator rotativ cu vid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Sticlărie laborator brună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4.2.1. Baloane cu fund plat sau flacoane tip Erlenmeyer, 500 ml, cu orificiu din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 Baloane gradate cu dopuri de sticlă șlefuită, cu gât îngust, de 10, 25, 100 și 500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4.2.3. Pâlnii de separare, conice, 1 000 ml, cu dopuri de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4.2.4. Flacoane piriforme, 250 ml, cu orificiu din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4.3. Condensator Allihn, cu lungime a mantalei de 300 mm, cu îmbinare de sticlă șlefuită și cu adaptor pentru conductă de alimentare cu gaz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Filtru de hârtie plisată pentru separarea fazelor, cu diametru de 185 mm (de exemplu Schleicher &amp; Schuell 597 HY 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Echipament HPLC cu sistem de injecție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4.5.1. Coloană pentru cromatografie lichidă, 250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cu particule de 5 sau 10 μm, sau echivalent (criteriu de performanță: un singur vârf pentru toți izomerii de retinol în condițiile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4.5.2. Detector de UV sau de fluorescență, cu ajustare variabilă a lungimii de undă.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Spectrofotometru cu celule de cuarț de 10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Baie de apă cu agitator magnetic.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 Aparat de extracție (a se vedea figura 1) compus din: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4.8.1. Cilindru din sticlă cu capacitate de 1 l prevăzut cu gât și dop de sticlă șlefuite.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Vitamina A este sensibilă la lumină (UV) și la oxidare. Toate operațiunile se efectuează în absența luminii (în recipiente de sticlă brună sau protejate cu folie de aluminiu) și în absența oxigenului (se expune unui flux de azot). În timpul extracției, aerul de deasupra lichidului se înlocuiește cu azot (a se evita excesul de presiune slăbind din când în când dopul).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Pregătirea eșantionului</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macină eșantionul pentru a trece printr-o sită cu ochiuri de 1 mm, evitându-se producerea de căldură. Măcinarea trebuie efectuată imediat înainte de cântărire și saponificare, în caz contrar riscându-se pierderi de vitamina A. Nu se macină eșantionul (eșantioanele) în cazul în care distribuția granulometrică este adecvată (de exemplu, preamestecuri și aditivi furajeri).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Saponificarea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funcție de conținutul de vitamină A, se cântăresc 2-25 g de eșantion cu o abatere de 1 mg într-un balon cu fund plat sau într-un flacon tip Erlenmeyer de 500 ml (punctul 4.2.1). În cazul concentrațiilor scăzute, greutatea eșantionului poate fi mărită pentru a avea suficiente particule în porțiunea de testare. Se adaugă, agitând circular, 130 ml de etanol (punctul 3.1), aproximativ 100 mg de BHT (punctul 3.13), 2 ml de soluție de ascorbat de sodiu (punctul 3.5) și 2 ml de soluție de sulfură de sodiu (punctul 3.6). Se montează un condensator (punctul 4.3) la balon și acesta se scufundă într-o baie de apă cu agitator magnetic (punctul 4.7). Se încălzește până la fierbere și se lasă să reflueze timp de 5 minute. Apoi 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Extracție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cantitativ prin decantare soluția saponificată, prin clătire cu un volum total de 250 ml de apă într-o pâlnie de separare de 1 000 ml (punctul 4.2.3) sau în aparatul de extracție (punctul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Extracția folosind o pâlnie de separare (punctul 4.2.3)</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spală de două ori extractele combinate în pâlnia de separare amestecând ușor (pentru a se evita formarea de emulsii) cu 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ml eter de petrol (punctul 3.2), se completează până la semn cu eter de petrol (punctul 3.2) și se amestecă bine.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5.3.2.   </w:t>
      </w:r>
      <w:r w:rsidRPr="00427724">
        <w:rPr>
          <w:rFonts w:ascii="Times New Roman" w:hAnsi="Times New Roman" w:cs="Times New Roman"/>
          <w:b/>
          <w:bCs/>
          <w:sz w:val="28"/>
          <w:szCs w:val="28"/>
          <w:lang w:val="ro-RO"/>
        </w:rPr>
        <w:t> Extracția folosind un aparat de extracție (punctul 4.8)</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de petrol (punctul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de 50 ml eter de petrol (punctul 3.2) și se adaugă straturile de eter de petrol în pâlnia de separare.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spală extractele combinate de eter de petrol conform procedurii descrise la punctul 5.3.1 și se procedează conform punctului menționat.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Prepararea soluției de eșantion pentru HPLC</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o parte alicotă din soluția de eter de petrol (de la punctul 5.3.1 sau 5.3.2) într-un balon piriform de 250 ml (punctul 4.2.4). Se evaporă solventul aproape în totalitate pe evaporatorul rotativ (punctul 4.1), cu presiune redusă, la o temperatură a băii de apă de maximum 40 °C. Se restabilește presiunea atmosferică prin admisia azotului (punctul 3.10) și se îndepărtează flaconul din evaporatorul rotativ. Se elimină restul de solvent cu un jet de azot (punctul 3.10), iar reziduul se dizolvă imediat într-un volum cunoscut (10-100 ml) de metanol (punctul 3.3) (concentrația de vitamină A trebuie să fie cuprinsă în intervalul 5-30 UI/ml).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5.5.    </w:t>
      </w:r>
      <w:r w:rsidRPr="00427724">
        <w:rPr>
          <w:rFonts w:ascii="Times New Roman" w:hAnsi="Times New Roman" w:cs="Times New Roman"/>
          <w:b/>
          <w:bCs/>
          <w:i/>
          <w:iCs/>
          <w:sz w:val="28"/>
          <w:szCs w:val="28"/>
          <w:lang w:val="ro-RO"/>
        </w:rPr>
        <w:t>Determinarea prin HPLC</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Vitamina A se separă pe o coloană cu fază inversată C18 (punctul 4.5.1), iar concentrația se măsoară cu un detector de UV (punctul 325 nm) sau un detector de fluorescență (excitație: 325 nm, emisie: 475 nm) (punctul 4.5.2).</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o porție alicotă (de exemplu 20 μl) din soluția metanolică obținută la punctul 5.4 și se eluează cu faza mobilă (punctul 3.9). Se calculează înălțimea medie a vârfului (aria) mai multor injectări ale aceleiași soluții de eșantion și înălțimile (ariile) medii ale vârfurilor mai multor injectări ale soluțiilor de calibrare (punctul 5.6.2).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Condiții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Următoarele condiții sunt propuse cu titlu orientativ; se pot aplica și alte condiții, dacă acestea duc la rezultate echivalente.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71"/>
        <w:gridCol w:w="5819"/>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Coloană pentru cromatografie lichidă (punctul 4.5.1):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250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sau 10 μm sau echivalent</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Faza mobilă (punctul 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Amestec de metanol (punctul 3.3) și apă de exemplu 980 + 20 (v + v).</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ml/min</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Detector (punctul 4.5.2):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detector de UV (punctul 325 nm) sau detector de fluorescență (excitație: 325 nm/emisie: 475 nm)</w:t>
            </w:r>
          </w:p>
        </w:tc>
      </w:tr>
    </w:tbl>
    <w:p w:rsidR="00BC54BD" w:rsidRDefault="00BC54BD"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5.6.    </w:t>
      </w:r>
      <w:r w:rsidRPr="00427724">
        <w:rPr>
          <w:rFonts w:ascii="Times New Roman" w:hAnsi="Times New Roman" w:cs="Times New Roman"/>
          <w:b/>
          <w:bCs/>
          <w:i/>
          <w:iCs/>
          <w:sz w:val="28"/>
          <w:szCs w:val="28"/>
          <w:lang w:val="ro-RO"/>
        </w:rPr>
        <w:t>Calibrarea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5.6.1.   </w:t>
      </w:r>
      <w:r w:rsidRPr="00427724">
        <w:rPr>
          <w:rFonts w:ascii="Times New Roman" w:hAnsi="Times New Roman" w:cs="Times New Roman"/>
          <w:b/>
          <w:bCs/>
          <w:sz w:val="28"/>
          <w:szCs w:val="28"/>
          <w:lang w:val="ro-RO"/>
        </w:rPr>
        <w:t> Prepararea soluțiilor etalon de lucru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20 ml de soluție stoc de vitamină A acetat (punctul 3.11.1) sau 20 ml de soluție stoc de vitamină A palmitat (punctul 3.12.1) într-un balon cu fund plat sau într-un flacon tip Erlenmeyer de 500 ml (punctul 4.2.1) și se hidrolizează astfel cum se descrie la punctul 5.2, dar fără a se adăuga BHT. În continuare se extrage cu eter de petrol (punctul 3.2) conform punctului 5.3 și se completează până la 500 ml cu eter de petrol (punctul 3.2). Se lasă să se evaporeze 100 ml din acest extract aproape în totalitate în evaporatorul rotativ (a se vedea punctul 5.4), se îndepărtează solventul rămas într-un curent de azot (punctul 3.10) și se dizolvă din nou reziduul în 10,0 ml de metanol (punctul 3.3). Concentrația nominală a acestei soluții este de 560 UI vitamină A per ml. Conținutul exact se determină în conformitate cu indicațiile de la punctul 5.6.3.3. Soluția etalon de lucru trebuie să fie preparată imediat înainte de utilizare.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2,0 ml din această soluție etalon de lucru într-un balon gradat de 20 ml, se completează până la semn cu metanol (punctul 3.3) și se amestecă. Concentrația nominală a acestei soluții etalon de lucru diluate este de 56 UI de vitamină A per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5.6.2.   </w:t>
      </w:r>
      <w:r w:rsidRPr="00427724">
        <w:rPr>
          <w:rFonts w:ascii="Times New Roman" w:hAnsi="Times New Roman" w:cs="Times New Roman"/>
          <w:b/>
          <w:bCs/>
          <w:sz w:val="28"/>
          <w:szCs w:val="28"/>
          <w:lang w:val="ro-RO"/>
        </w:rPr>
        <w:t> Prepararea soluțiilor de calibrare și a curbei de calibrare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transferă 1,0, 2,0, 5,0 și 10,0 ml din soluția etalon de lucru diluată într-o serie de baloane gradate de 20 ml, se completează până la semn cu metanol (punctul </w:t>
      </w:r>
      <w:r w:rsidR="00427724" w:rsidRPr="00427724">
        <w:rPr>
          <w:rFonts w:ascii="Times New Roman" w:hAnsi="Times New Roman" w:cs="Times New Roman"/>
          <w:sz w:val="28"/>
          <w:szCs w:val="28"/>
          <w:lang w:val="ro-RO"/>
        </w:rPr>
        <w:lastRenderedPageBreak/>
        <w:t>3.3) și se amestecă. Concentrațiile nominale ale acestor soluții sunt de 2,8, 5,6, 14,0 și respectiv 28,0 UI de vitamină A per ml.</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de mai multe ori câte 20 μl din fiecare soluție de calibrare și se determină înălțimile (ariile) medii ale vârfurilor. Utilizând înălțimile (ariile) medii ale vârfurilor, se trasează o curbă de calibrare ținând cont de rezultatele obținute cu soluția de control UV (punctul 5.6.3.3).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5.6.3.   </w:t>
      </w:r>
      <w:r w:rsidRPr="00427724">
        <w:rPr>
          <w:rFonts w:ascii="Times New Roman" w:hAnsi="Times New Roman" w:cs="Times New Roman"/>
          <w:b/>
          <w:bCs/>
          <w:sz w:val="28"/>
          <w:szCs w:val="28"/>
          <w:lang w:val="ro-RO"/>
        </w:rPr>
        <w:t> Standardizarea UV a soluțiilor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5.6.3.1.   </w:t>
      </w:r>
      <w:r w:rsidRPr="00427724">
        <w:rPr>
          <w:rFonts w:ascii="Times New Roman" w:hAnsi="Times New Roman" w:cs="Times New Roman"/>
          <w:b/>
          <w:bCs/>
          <w:sz w:val="28"/>
          <w:szCs w:val="28"/>
          <w:lang w:val="ro-RO"/>
        </w:rPr>
        <w:t>Soluția stoc de vitamină A acetat</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2,0 ml din soluția stoc de vitamină A acetat (punctul 3.11.1) într-un balon gradat de 50 ml (punctul 4.2.2) și se completează până la semn cu 2-propanol (punctul 3.8). Concentrația nominală a acestei soluții este de 56 UI vitamină A per ml. Se pipetează 3,0 ml din această soluție diluată de vitamină A acetat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Calculul conținutului de vitamină 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995295" cy="336550"/>
            <wp:effectExtent l="0" t="0" r="0" b="6350"/>
            <wp:docPr id="17" name="Imagine 17" descr="C:\Users\User MAIA\AppData\Local\Microsoft\Windows\INetCache\Content.MSO\29FBDD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MAIA\AppData\Local\Microsoft\Windows\INetCache\Content.MSO\29FBDD1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27724">
        <w:rPr>
          <w:rFonts w:ascii="Times New Roman" w:hAnsi="Times New Roman" w:cs="Times New Roman"/>
          <w:noProof/>
          <w:sz w:val="28"/>
          <w:szCs w:val="28"/>
          <w:lang w:val="ro-MD"/>
        </w:rPr>
        <w:drawing>
          <wp:inline distT="0" distB="0" distL="0" distR="0">
            <wp:extent cx="6253480" cy="504190"/>
            <wp:effectExtent l="0" t="0" r="0" b="0"/>
            <wp:docPr id="16" name="Imagine 16" descr="C:\Users\User MAIA\AppData\Local\Microsoft\Windows\INetCache\Content.MSO\629D83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MAIA\AppData\Local\Microsoft\Windows\INetCache\Content.MSO\629D838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3480" cy="504190"/>
                    </a:xfrm>
                    <a:prstGeom prst="rect">
                      <a:avLst/>
                    </a:prstGeom>
                    <a:noFill/>
                    <a:ln>
                      <a:noFill/>
                    </a:ln>
                  </pic:spPr>
                </pic:pic>
              </a:graphicData>
            </a:graphic>
          </wp:inline>
        </w:drawing>
      </w:r>
      <w:r w:rsidRPr="00427724">
        <w:rPr>
          <w:rFonts w:ascii="Times New Roman" w:hAnsi="Times New Roman" w:cs="Times New Roman"/>
          <w:sz w:val="28"/>
          <w:szCs w:val="28"/>
          <w:lang w:val="ro-RO"/>
        </w:rPr>
        <w:t>5.6.3.2.   </w:t>
      </w:r>
      <w:r w:rsidRPr="00427724">
        <w:rPr>
          <w:rFonts w:ascii="Times New Roman" w:hAnsi="Times New Roman" w:cs="Times New Roman"/>
          <w:b/>
          <w:bCs/>
          <w:sz w:val="28"/>
          <w:szCs w:val="28"/>
          <w:lang w:val="ro-RO"/>
        </w:rPr>
        <w:t>Soluția stoc de vitamină A palmitat</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2,0 ml de soluție stoc de vitamină A palmitat (punctul 3.12.1) într-un balon gradat de 50 ml (punctul 4.2.2) și se completează până la gradație cu propanol-2 (punctul 3.8). Concentrația nominală a acestei soluții este de 56 UI vitamină A per ml. Se pipetează 3,0 ml din această soluție diluată de vitamină A palmitat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Calculul conținutului de vitamină 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2995295" cy="336550"/>
            <wp:effectExtent l="0" t="0" r="0" b="6350"/>
            <wp:docPr id="15" name="Imagine 15" descr="C:\Users\User MAIA\AppData\Local\Microsoft\Windows\INetCache\Content.MSO\6D710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MAIA\AppData\Local\Microsoft\Windows\INetCache\Content.MSO\6D7104D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5295" cy="336550"/>
                    </a:xfrm>
                    <a:prstGeom prst="rect">
                      <a:avLst/>
                    </a:prstGeom>
                    <a:noFill/>
                    <a:ln>
                      <a:noFill/>
                    </a:ln>
                  </pic:spPr>
                </pic:pic>
              </a:graphicData>
            </a:graphic>
          </wp:inline>
        </w:drawing>
      </w:r>
      <w:r w:rsidRPr="00427724">
        <w:rPr>
          <w:rFonts w:ascii="Times New Roman" w:hAnsi="Times New Roman" w:cs="Times New Roman"/>
          <w:noProof/>
          <w:sz w:val="28"/>
          <w:szCs w:val="28"/>
          <w:lang w:val="ro-MD"/>
        </w:rPr>
        <w:drawing>
          <wp:inline distT="0" distB="0" distL="0" distR="0">
            <wp:extent cx="6348095" cy="504190"/>
            <wp:effectExtent l="0" t="0" r="0" b="0"/>
            <wp:docPr id="14" name="Imagine 14" descr="C:\Users\User MAIA\AppData\Local\Microsoft\Windows\INetCache\Content.MSO\9A5C4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MAIA\AppData\Local\Microsoft\Windows\INetCache\Content.MSO\9A5C4EA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8095" cy="504190"/>
                    </a:xfrm>
                    <a:prstGeom prst="rect">
                      <a:avLst/>
                    </a:prstGeom>
                    <a:noFill/>
                    <a:ln>
                      <a:noFill/>
                    </a:ln>
                  </pic:spPr>
                </pic:pic>
              </a:graphicData>
            </a:graphic>
          </wp:inline>
        </w:drawing>
      </w:r>
      <w:r w:rsidRPr="00427724">
        <w:rPr>
          <w:rFonts w:ascii="Times New Roman" w:hAnsi="Times New Roman" w:cs="Times New Roman"/>
          <w:sz w:val="28"/>
          <w:szCs w:val="28"/>
          <w:lang w:val="ro-RO"/>
        </w:rPr>
        <w:t>5.6.3.3.   </w:t>
      </w:r>
      <w:r w:rsidRPr="00427724">
        <w:rPr>
          <w:rFonts w:ascii="Times New Roman" w:hAnsi="Times New Roman" w:cs="Times New Roman"/>
          <w:b/>
          <w:bCs/>
          <w:sz w:val="28"/>
          <w:szCs w:val="28"/>
          <w:lang w:val="ro-RO"/>
        </w:rPr>
        <w:t>Soluția etalon de lucru de vitamină 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3,0 ml din soluția etalon de lucru nediluată de vitamină A, preparată conform punctului 5.6.1, într-un balon gradat de 50 ml (punctul 4.2.2) și se completează până la semn cu 2-propanol (punctul 3.8). Se pipetează 5,0 ml din această soluție într-un balon gradat de 25 ml și se completează până la semn cu 2-propanol (punctul 3.8). Concentrația nominală a acestei soluții este de 6,72 UI vitamină A per ml. Se măsoară spectrul UV al acestei soluții comparativ cu cel al soluției de 2-propanol (punctul 3.8), în spectrofotometru (punctul 4.6), în intervalul 300-400 nm. Maximumul de extincție trebuie să fie între 325 și 327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Calculul conținutului de vitamină A:</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noProof/>
          <w:sz w:val="28"/>
          <w:szCs w:val="28"/>
          <w:lang w:val="ro-MD"/>
        </w:rPr>
        <w:drawing>
          <wp:inline distT="0" distB="0" distL="0" distR="0">
            <wp:extent cx="3100705" cy="336550"/>
            <wp:effectExtent l="0" t="0" r="4445" b="6350"/>
            <wp:docPr id="13" name="Imagine 13" descr="C:\Users\User MAIA\AppData\Local\Microsoft\Windows\INetCache\Content.MSO\BD832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MAIA\AppData\Local\Microsoft\Windows\INetCache\Content.MSO\BD832A5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0705" cy="336550"/>
                    </a:xfrm>
                    <a:prstGeom prst="rect">
                      <a:avLst/>
                    </a:prstGeom>
                    <a:noFill/>
                    <a:ln>
                      <a:noFill/>
                    </a:ln>
                  </pic:spPr>
                </pic:pic>
              </a:graphicData>
            </a:graphic>
          </wp:inline>
        </w:drawing>
      </w:r>
      <w:r w:rsidRPr="00427724">
        <w:rPr>
          <w:rFonts w:ascii="Times New Roman" w:hAnsi="Times New Roman" w:cs="Times New Roman"/>
          <w:noProof/>
          <w:sz w:val="28"/>
          <w:szCs w:val="28"/>
          <w:lang w:val="ro-MD"/>
        </w:rPr>
        <w:drawing>
          <wp:inline distT="0" distB="0" distL="0" distR="0">
            <wp:extent cx="6222365" cy="504190"/>
            <wp:effectExtent l="0" t="0" r="6985" b="0"/>
            <wp:docPr id="12" name="Imagine 12" descr="C:\Users\User MAIA\AppData\Local\Microsoft\Windows\INetCache\Content.MSO\52EF9D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MAIA\AppData\Local\Microsoft\Windows\INetCache\Content.MSO\52EF9D7D.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2365" cy="504190"/>
                    </a:xfrm>
                    <a:prstGeom prst="rect">
                      <a:avLst/>
                    </a:prstGeom>
                    <a:noFill/>
                    <a:ln>
                      <a:noFill/>
                    </a:ln>
                  </pic:spPr>
                </pic:pic>
              </a:graphicData>
            </a:graphic>
          </wp:inline>
        </w:drawing>
      </w: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înălțimea (aria) medie a vârfurilor de vitamină A ale soluției de eșantion se determină concentrația soluției de eșantion în UI/ml prin referire la curba de calibrare (punctul 5.6.2).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w de vitamină A al eșantionului, în UI/kg,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753995" cy="598805"/>
            <wp:effectExtent l="0" t="0" r="8255" b="0"/>
            <wp:docPr id="11" name="Imagine 11" descr="C:\Users\User MAIA\AppData\Local\Microsoft\Windows\INetCache\Content.MSO\8B3949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MAIA\AppData\Local\Microsoft\Windows\INetCache\Content.MSO\8B394993.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3995" cy="598805"/>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40"/>
        <w:gridCol w:w="177"/>
        <w:gridCol w:w="908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vitamină A a soluției de eșantion (punctul 5.4), în UI/ml;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65"/>
        <w:gridCol w:w="250"/>
        <w:gridCol w:w="8691"/>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soluției de eșantion (punctul 5.4), în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67"/>
        <w:gridCol w:w="251"/>
        <w:gridCol w:w="8688"/>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de alicotă prelevat la punctul 5.4, în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04"/>
        <w:gridCol w:w="365"/>
        <w:gridCol w:w="8537"/>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7.1. Pentru eșantioanele cu concentrații mici de vitamină A poate fi utilă combinarea extractelor cu eter de petrol provenite din două operații de saponificare (cantitate cântărită: 25 g) într-o soluție de eșantion pentru determinare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Eșantionul prelevat pentru analiză nu conține mai mult de 2 g de grăsime.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Dacă nu are loc separația fazelor, se adaugă cca 10 ml de etanol (punctul 3.1) pentru a fragmenta emulsia.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 În cazul uleiului din ficat de cod și al altor grăsimi pure, timpul de saponificare se prelungește la 45-60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 BHT poate fi înlocuit cu hidrochinonă.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7.6. Utilizându-se o coloană cu fază normală, separarea izomerilor de retinol este posibilă. Dar în acest caz, înălțimile (ariile) vârfurilor izomerilor all-cis și all-trans trebuie însumate pentru a face calcule.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7.7. Soluția de ascorbat de sodiu poate fi înlocuită cu cca 150 mg de acid ascorbic.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7.8. Soluția de sulfură de sodiu poate fi înlocuită cu cca 50 mg de EDTA.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7.9. În cazul analizării vitaminei A în înlocuitorii de lapte, se acordă o atenție deosebită la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saponificare (punctul 5.2): din cauza cantității de grăsimi prezente în eșantion, poate fi necesară creșterea cantității de soluție de hidroxid de potasiu (punctul 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extracție (punctul 5.3): din cauza prezenței emulsiilor, poate fi necesară adaptarea valorii raportului de 2:1 pentru apă/etanol.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a verifica dacă metoda de analizare aplicată generează rezultate fiabile pentru această matrice specifică (înlocuitor de lapte), se aplică un test de recuperare pe o porție suplimentară de testat. Dacă rata de recuperare este mai mică de 80 %, rezultatul analitic trebuie corectat în funcție de recuperare.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Repetabilitate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realizate pe același eșantion nu trebuie să depășească 15 % din rezultatul superior.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Rezultatele unui studiu colaborativ </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54"/>
        <w:gridCol w:w="1423"/>
        <w:gridCol w:w="1861"/>
        <w:gridCol w:w="1852"/>
        <w:gridCol w:w="1264"/>
        <w:gridCol w:w="1336"/>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de tip 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Concentrate minerale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proteice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Hrană pentru purcei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(UI/kg)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17,02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1,21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537 100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151 800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18 070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(UI/kg)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0,51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0,039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22 080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12 280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682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(UI/kg)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1,43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0,109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61 824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34 384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1 910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(UI/kg)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1,36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0,069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46 300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23 060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3 614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(UI/kg)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3,81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0,193 × 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129 640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64 568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10 119</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tc>
      </w:tr>
      <w:tr w:rsidR="00427724" w:rsidRPr="00427724">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număr de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număr de valori unice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coeficientul de variație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coeficientul de variație a reproductibilității</w:t>
            </w:r>
          </w:p>
        </w:tc>
      </w:tr>
    </w:tbl>
    <w:p w:rsidR="00BC54BD" w:rsidRDefault="00BC54BD" w:rsidP="00427724">
      <w:pPr>
        <w:tabs>
          <w:tab w:val="left" w:pos="210"/>
        </w:tabs>
        <w:jc w:val="both"/>
        <w:rPr>
          <w:rFonts w:ascii="Times New Roman" w:hAnsi="Times New Roman" w:cs="Times New Roman"/>
          <w:b/>
          <w:bCs/>
          <w:i/>
          <w:i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Figura 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Aparat de extracție (punctul 4.8)</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noProof/>
          <w:sz w:val="28"/>
          <w:szCs w:val="28"/>
          <w:lang w:val="ro-MD"/>
        </w:rPr>
        <w:lastRenderedPageBreak/>
        <w:drawing>
          <wp:inline distT="0" distB="0" distL="0" distR="0">
            <wp:extent cx="4939665" cy="7283450"/>
            <wp:effectExtent l="0" t="0" r="0" b="0"/>
            <wp:docPr id="10" name="Imagine 10" descr="C:\Users\User MAIA\AppData\Local\Microsoft\Windows\INetCache\Content.MSO\CC83CC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 MAIA\AppData\Local\Microsoft\Windows\INetCache\Content.MSO\CC83CC19.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9665" cy="7283450"/>
                    </a:xfrm>
                    <a:prstGeom prst="rect">
                      <a:avLst/>
                    </a:prstGeom>
                    <a:noFill/>
                    <a:ln>
                      <a:noFill/>
                    </a:ln>
                  </pic:spPr>
                </pic:pic>
              </a:graphicData>
            </a:graphic>
          </wp:inline>
        </w:drawing>
      </w:r>
      <w:r w:rsidRPr="00427724">
        <w:rPr>
          <w:rFonts w:ascii="Times New Roman" w:hAnsi="Times New Roman" w:cs="Times New Roman"/>
          <w:b/>
          <w:bCs/>
          <w:sz w:val="28"/>
          <w:szCs w:val="28"/>
          <w:lang w:val="ro-RO"/>
        </w:rPr>
        <w:t>B.   DETERMINAREA VITAMINEI 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Vitamina E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xml:space="preserve">— Metoda de analiză prevăzută de </w:t>
      </w:r>
      <w:r w:rsidR="00B408AF" w:rsidRPr="00B408AF">
        <w:rPr>
          <w:rFonts w:ascii="Times New Roman" w:hAnsi="Times New Roman" w:cs="Times New Roman"/>
          <w:sz w:val="28"/>
          <w:szCs w:val="28"/>
          <w:lang w:val="ro-RO"/>
        </w:rPr>
        <w:t>SM EN 17547:2022</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conținutului de vitamine A, E și D – Metodă care utilizează extracția în fază solidă (SPE) și cromatografia lichidă de înaltă performanță (HPLC);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lichisdă de înaltă performanță (RP-HPLC) cu fază inversată, utilizând un detector UV sau un detector de fluorescență, astfel cum se descrie la punctele 1-9 de mai jos.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Această metodă permite determinarea nivelului de vitamină E din furaje. Conținutul de vitamină E se exprimă ca mg DL-α-tocoferol acetat per kg 1 mg DL-α-tocoferol acetat corespunde la 0,91 mg DL-α-tocoferol (vitamină 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Limita de cuantificare este 2 mg de vitamină E/kg Această limită de cuantificare se obține doar cu detectorul de fluorescență. Cu un detector de UV, limita de cuantificare este 10 mg/kg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hidrolizează cu o soluție etanolică de hidroxid de potasiu, iar vitamina E se extrage cu eter de petrol. Solventul se îndepărtează prin evaporare, iar reziduul se dizolvă în metanol și, dacă este necesar, se diluează până la concentrația necesară. Conținutul de vitamina E se determină prin cromatografie lichidă de înaltă performanță cu fază inversată (RP-HPLC), utilizând un detector de fluorescență sau de UV.</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Etanol, σ = 96 %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Eter de petrol, interval de fierbere 40-60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Soluție de hidroxid de potasiu, c = 50 g/100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Soluție de ascorbat de sodiu, c = 10 g/100 ml (a se vedea observațiile de la punctul 7.7)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Sulfură de sodiu, Na</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S · x 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O (x = 7 - 9)</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3.6.1. Soluție de sulfură de sodiu, c = 0,5 mol/l în glicerol, β = 120 g/l (pentru x = 9) (a se vedea observațiile de la punctul 7.8)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3.7. Soluție de fenolftaleină, c = 2 g/100 ml în etanol (punctul 3.1)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Fază mobilă pentru HPLC: amestec de metanol (punctul 3.3) și apă, de exemplu 980 + 20 (v + v). Proporția exactă este determinată de caracteristicile coloanei folosite.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Azot, lipsit de oxigen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DL-α-tocoferol acetat, extra pur, cu activitate certificată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3.10.1. Soluție stoc de DL-α-tocoferol acetat: Se cântăresc, cu o abatere de 0,1 mg, 100 mg de DL-α-tocoferol acetat (punctul 3.10) într-un balon gradat de 100 ml. Se dizolvă în etanol (punctul 3.1) și se completează până la semn cu același solvent. 1 ml din această soluție conține 1 mg de DL-α-tocoferol acetat. (pentru control UV a se vedea punctul 5.6.1.3; pentru stabilizare a se vedea observațiile de la punctul 7.4).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DL-α-tocoferol, extra pur, cu activitate certificată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3.11.1. Soluție stoc de DL-α-tocoferol: Se cântăresc, cu o abatere de 0,1 mg, 100 mg de DL-α-tocoferol (punctul 3.11) într-un balon gradat de 100 ml. Se dizolvă în etanol (punctul 3.1) și se completează până la semn cu același solvent. 1 ml din această soluție conține 1 mg de DL-α-tocoferol. (pentru control UV a se vedea punctul 5.6.2.3; pentru stabilizare a se vedea observațiile de la punctul 7.4).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2,6-di-</w:t>
      </w:r>
      <w:r w:rsidRPr="00427724">
        <w:rPr>
          <w:rFonts w:ascii="Times New Roman" w:hAnsi="Times New Roman" w:cs="Times New Roman"/>
          <w:i/>
          <w:iCs/>
          <w:sz w:val="28"/>
          <w:szCs w:val="28"/>
          <w:lang w:val="ro-RO"/>
        </w:rPr>
        <w:t>terț</w:t>
      </w:r>
      <w:r w:rsidRPr="00427724">
        <w:rPr>
          <w:rFonts w:ascii="Times New Roman" w:hAnsi="Times New Roman" w:cs="Times New Roman"/>
          <w:sz w:val="28"/>
          <w:szCs w:val="28"/>
          <w:lang w:val="ro-RO"/>
        </w:rPr>
        <w:t>-butil-4-metilfenol (BHT) (a se vedea observațiile de la punctul 7.5)</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Evaporator rotativ cu generare de film.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Sticlărie laborator brună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4.2.1. Baloane cu fund plat sau flacoane tip Erlenmeyer, 500 ml, cu orificiu din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 Baloane gradate cu dopuri de sticlă șlefuită, cu gât îngust, de 10, 25, 100 și 500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4.2.3. Pâlnii de separare, conice, 1 000 ml, cu dopuri de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4.2.4. Flacoane piriforme, 250 ml, cu orificiu din sticlă șlefuită.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Condensator Allihn, cu lungime a mantalei de 300 mm, cu îmbinare de sticlă șlefuită și cu adaptor pentru conductă de alimentare cu gaz.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4.4. Filtru de hârtie plisată pentru separarea fazelor, cu diametru de 185 mm (de exemplu Schleicher &amp; Schuell 597 HY 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Echipament HPLC cu sistem de injecție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4.5.1. Coloană pentru cromatografie lichidă, 250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sau 10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4.5.2. Detector de fluorescență sau de UV, cu ajustare variabilă a lungimii de undă.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Spectrofotometru cu celule de cuarț de 10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Baie de apă cu agitator magnetic.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 Aparat de extracție (a se vedea figura 1) compus din: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4.8.1. Cilindru din sticlă cu capacitate de 1 l prevăzut cu gât și dop de sticlă șlefuite;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4.8.2. Piesă din sticlă șlefuită echipată cu o tijă laterală și un tub reglabil care trece prin centru. Tubul ajustabil are un capăt inferior în formă de „U” și o duză la capătul opus, astfel încât stratul superior de lichid din cilindru să poată fi transferat într-o pâlnie de separare.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Vitamina E este sensibilă la lumină (UV) și la oxidare. Toate operațiunile se efectuează în absența luminii (în recipiente de sticlă brună sau protejate cu folie de aluminiu) și în absența oxigenului (se expune unui flux de azot). În timpul extracției, aerul de deasupra lichidului se înlocuiește cu azot (a se evita excesul de presiune slăbind din când în când dopul).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Pregătirea eșantionului</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macină eșantionul pentru a trece printr-o sită cu ochiuri de 1 mm, evitându-se producerea de căldură. Măcinarea trebuie efectuată imediat înainte de cântărire și saponificare, în caz contrar riscându-se pierderi de vitamina 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Saponificarea</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funcție de greutatea conținutului de vitamina E, se cântăresc, cu o abatere de 0,01 g, 2-25 g de eșantion într-un balon cu fund plat sau într-un flacon tip Erlenmeyer, de 500 ml (punctul 4.2.1). Se adaugă, agitând circular, 130 ml de etanol (punctul 3.1), aproximativ 100 mg de BHT (punctul 3.12), 2 ml de soluție de ascorbat de sodiu (punctul 3.5) și 2 ml de soluție de sulfură de sodiu (punctul 3.6). Se montează un condensator (punctul 4.3) la vas și se introduce vasul într-o baie de apă </w:t>
      </w:r>
      <w:r w:rsidR="00427724" w:rsidRPr="00427724">
        <w:rPr>
          <w:rFonts w:ascii="Times New Roman" w:hAnsi="Times New Roman" w:cs="Times New Roman"/>
          <w:sz w:val="28"/>
          <w:szCs w:val="28"/>
          <w:lang w:val="ro-RO"/>
        </w:rPr>
        <w:lastRenderedPageBreak/>
        <w:t>cu agitator magnetic (punctul 4.7). Se încălzește până la fierbere și se lasă să reflueze timp de 5 minute. Apoi se adaugă 25 ml de soluție de hidroxid de potasiu (punctul 3.4) prin condensator (punctul 4.3) și se lasă să reflueze timp de încă 25 min, amestecând sub un flux ușor de azot. Apoi se clătește condensatorul cu circa 20 ml de apă și se răcește conținutul vasului la temperatura camerei.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5.3.    </w:t>
      </w:r>
      <w:r w:rsidRPr="00427724">
        <w:rPr>
          <w:rFonts w:ascii="Times New Roman" w:hAnsi="Times New Roman" w:cs="Times New Roman"/>
          <w:b/>
          <w:bCs/>
          <w:i/>
          <w:iCs/>
          <w:sz w:val="28"/>
          <w:szCs w:val="28"/>
          <w:lang w:val="ro-RO"/>
        </w:rPr>
        <w:t>Extracție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cantitativ prin decantare soluția saponificată, prin clătire cu un volum total de 250 ml de apă într-o pâlnie de separare de 1 000 ml (punctul 4.2.3) sau în aparatul de extracție (punctul 4.8). Se clătește succesiv vasul de saponificare cu 25 ml de etanol (punctul 3.1) și 100 ml de eter de petrol (punctul 3.2) și se transferă lichidul de clătire în pâlnia de separare sau în aparatul de extracție. Proporția de apă și etanol în soluțiile combinate trebuie să fie de cca 2:1. Se agită energic timp de 2 minute și se lasă să se sedimenteze timp de 2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Extracția folosind o pâlnie de separare (punctul 4.2.3)</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Când straturile s-au separat (a se vedea observația de la punctul 7.3), se transferă stratul de eter de petrol într-o altă pâlnie de separare (punctul 4.2.3). Se repetă această extracție de două ori cu 100 ml eter de petrol (punctul 3.2) și de două ori cu 50 ml eter de petrol (punctul 3.2).</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spală de două ori extractele combinate în pâlnia de separare amestecând ușor (pentru a se evita formarea de emulsii) cu cantități de 100 ml de apă și din nou, prin agitare repetată cu alte cantități de apă de 100 ml până când apa rămâne incoloră după adăugarea unei soluții de fenolftaleină (punctul 3.7) (patru spălări sunt în general suficiente). Se filtrează extractul spălat cu un filtru cutat uscat pentru separarea fazelor (punctul 4.4) pentru a se elimina apa în suspensie și se transferă într-un balon gradat de 500 ml (punctul 4.2.2). Se clătesc pâlnia de separare și filtrul cu 50 ml eter de petrol (punctul 3.2), se completează până la semn cu eter de petrol (punctul 3.2) și se amestecă bine.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Extracția folosind un aparat de extracție (punctul 4.8)</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Când straturile s-au separat (a se vedea observația de la punctul 7.3), se înlocuiește dopul cilindrului de sticlă (punctul 4.8.1) prin inserție de sticlă șlefuită (punctul 4.8.2) și se amplasează extremitatea inferioară în formă de „U” a tubului reglabil astfel încât să se afle exact deasupra nivelului interfeței. Aplicând o presiune de la generatorul de azot prin brațul lateral, se transferă stratul superior de eter de petrol într-o pâlnie de separare de 1 000 ml (punctul 4.2.3). Se adaugă 100 ml de eter </w:t>
      </w:r>
      <w:r w:rsidR="00427724" w:rsidRPr="00427724">
        <w:rPr>
          <w:rFonts w:ascii="Times New Roman" w:hAnsi="Times New Roman" w:cs="Times New Roman"/>
          <w:sz w:val="28"/>
          <w:szCs w:val="28"/>
          <w:lang w:val="ro-RO"/>
        </w:rPr>
        <w:lastRenderedPageBreak/>
        <w:t>de petrol (punctul 3.2) în cilindrul de sticlă, se pune dopul și se agită energic. Se lasă straturile să se separe și se transferă stratul superior în pâlnia de separare, la fel ca înainte. Se repetă procedura de extracție cu încă 100 ml eter de petrol (punctul 3.2), apoi de două ori cu cantități de 50 ml eter de petrol (punctul 3.2) și se adaugă straturile de eter de petrol în pâlnia de separare.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spală extractele combinate de eter de petrol conform procedurii descrise la punctul 5.3.1 și se procedează conform punctului menționat.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5.4.    </w:t>
      </w:r>
      <w:r w:rsidRPr="00427724">
        <w:rPr>
          <w:rFonts w:ascii="Times New Roman" w:hAnsi="Times New Roman" w:cs="Times New Roman"/>
          <w:b/>
          <w:bCs/>
          <w:i/>
          <w:iCs/>
          <w:sz w:val="28"/>
          <w:szCs w:val="28"/>
          <w:lang w:val="ro-RO"/>
        </w:rPr>
        <w:t>Prepararea soluției de eșantion pentru HPLC</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o parte alicotă din soluția de eter de petrol (de la punctul 5.3.1 sau 5.3.2) într-un balon piriform de 250 ml (punctul 4.2.4). Se evaporă solventul aproape în totalitate pe evaporatorul rotativ (punctul 4.1), cu presiune redusă, la o temperatură a băii de apă de maximum 40 °C. Se restabilește presiunea atmosferică prin admisia azotului (punctul 3.9) și se îndepărtează flaconul din evaporatorul rotativ. Se elimină restul de solvent cu un curent de azot (punctul 3.9) și se dizolvă imediat reziduul într-un volum cunoscut (10-100 ml) de metanol (punctul 3.3) (concentrația de DL-α-tocoferol trebuie să fie în intervalul 5-30 μg/ml).</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5.5.    </w:t>
      </w:r>
      <w:r w:rsidRPr="00427724">
        <w:rPr>
          <w:rFonts w:ascii="Times New Roman" w:hAnsi="Times New Roman" w:cs="Times New Roman"/>
          <w:b/>
          <w:bCs/>
          <w:i/>
          <w:iCs/>
          <w:sz w:val="28"/>
          <w:szCs w:val="28"/>
          <w:lang w:val="ro-RO"/>
        </w:rPr>
        <w:t>Determinarea prin HPLC</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Vitamina E se separă pe o coloană cu fază inversată C</w:t>
      </w:r>
      <w:r w:rsidR="00427724" w:rsidRPr="00427724">
        <w:rPr>
          <w:rFonts w:ascii="Times New Roman" w:hAnsi="Times New Roman" w:cs="Times New Roman"/>
          <w:sz w:val="28"/>
          <w:szCs w:val="28"/>
          <w:vertAlign w:val="subscript"/>
          <w:lang w:val="ro-RO"/>
        </w:rPr>
        <w:t>18</w:t>
      </w:r>
      <w:r w:rsidR="00427724" w:rsidRPr="00427724">
        <w:rPr>
          <w:rFonts w:ascii="Times New Roman" w:hAnsi="Times New Roman" w:cs="Times New Roman"/>
          <w:sz w:val="28"/>
          <w:szCs w:val="28"/>
          <w:lang w:val="ro-RO"/>
        </w:rPr>
        <w:t> (punctul 4.5.1), iar concentrația se măsoară cu un detector de fluorescență (excitație: 295 nm, emisie: 330 nm) sau un detector UV (292 nm) (punctul 4.5.2).</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o porție alicotă (de exemplu, 20 μl) din soluția metanolică obținută la punctul 5.4 și se eluează cu faza mobilă (punctul 3.8). Se calculează înălțimile (ariile) medii ale vârfurilor pentru mai multe injectări ale aceleiași soluții eșantion și înălțimile (ariile) medii ale vârfurilor pentru mai multe injectări ale soluțiilor de calibrare (punctul 5.6.2).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Condiții HPLC</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Următoarele condiții sunt propuse cu titlu orientativ; se pot aplica și alte condiții, dacă acestea duc la rezultate echivalente.</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9"/>
        <w:gridCol w:w="5581"/>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Coloană pentru cromatografie lichidă (punctul 4.5.1):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250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sau 10 μm sau echivalent</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Faza mobilă (punctul 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Amestec de metanol (punctul 3.3) și apă de exemplu, 980 + 20 (v + v).</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ml/min</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Detector (punctul 4.5.2)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Detector de fluorescență (excitație: 295 nm/ emisie: 330 nm) sau detector UV (292 nm)</w:t>
            </w:r>
          </w:p>
        </w:tc>
      </w:tr>
    </w:tbl>
    <w:p w:rsidR="00BC54BD" w:rsidRDefault="00BC54BD"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5.6.    </w:t>
      </w:r>
      <w:r w:rsidRPr="00427724">
        <w:rPr>
          <w:rFonts w:ascii="Times New Roman" w:hAnsi="Times New Roman" w:cs="Times New Roman"/>
          <w:b/>
          <w:bCs/>
          <w:i/>
          <w:iCs/>
          <w:sz w:val="28"/>
          <w:szCs w:val="28"/>
          <w:lang w:val="ro-RO"/>
        </w:rPr>
        <w:t>Calibrare (DL-α-tocoferol acetat sau DL-α-tocoferol)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5.6.1.   </w:t>
      </w:r>
      <w:r w:rsidRPr="00427724">
        <w:rPr>
          <w:rFonts w:ascii="Times New Roman" w:hAnsi="Times New Roman" w:cs="Times New Roman"/>
          <w:b/>
          <w:bCs/>
          <w:sz w:val="28"/>
          <w:szCs w:val="28"/>
          <w:lang w:val="ro-RO"/>
        </w:rPr>
        <w:t> Etalon de DL-α-tocoferol acetat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5.6.1.1.   </w:t>
      </w:r>
      <w:r w:rsidRPr="00427724">
        <w:rPr>
          <w:rFonts w:ascii="Times New Roman" w:hAnsi="Times New Roman" w:cs="Times New Roman"/>
          <w:b/>
          <w:bCs/>
          <w:sz w:val="28"/>
          <w:szCs w:val="28"/>
          <w:lang w:val="ro-RO"/>
        </w:rPr>
        <w:t>Prepararea soluției etalon de lucru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picură din pipetă 25 ml din soluția stoc de Dl--tocoferolα-tocoferol acetat (punctul 3.10.1) într-un balon cu fundul plat sau într-un flacon tip Erlenmeyer, de 500 ml (punctul 4.2.1) și se hidrolizează conform procedurii descrise la punctul 5.2. Se realizează apoi extracția cu eter de petrol (punctul 3.2) conform punctului 5.3 și se completează până la 500 ml cu eter de petrol. Se lasă să se evaporeze 25 ml din acest extract aproape în totalitate în evaporatorul rotativ (a se vedea punctul 5.4), se îndepărtează solventul rămas într-un curent de azot (punctul 3.9) și se dizolvă din nou reziduul în 25,0 ml de metanol (punctul 3.3). Concentrația nominală a acestei soluții este de 45,5 μg DL-α-tocoferol per ml, echivalent cu 50 μg DL-α-tocoferol acetat per ml. Soluția etalon de lucru trebuie să fie preparată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5.6.1.2.   </w:t>
      </w:r>
      <w:r w:rsidRPr="00427724">
        <w:rPr>
          <w:rFonts w:ascii="Times New Roman" w:hAnsi="Times New Roman" w:cs="Times New Roman"/>
          <w:b/>
          <w:bCs/>
          <w:sz w:val="28"/>
          <w:szCs w:val="28"/>
          <w:lang w:val="ro-RO"/>
        </w:rPr>
        <w:t>Prepararea soluțiilor de calibrare și a curbei de calibrare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1,0, 2,0, 4,0 și 10,0 ml din soluția etalon de lucru într-o serie de baloane gradate de 20 ml, se completează până la semn cu metanol (punctul 3.3) și se amestecă. Concentrațiile nominale ale acestor soluții sunt 2,5, 5,0, 10,0 și 25,0 μg/ml DL-α-tocoferol acetat, echivalent cu 2,28, 4,55, 9,10 μg/ml și 22,8 μg/ml DL-α-tocoferol.</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de mai multe ori câte 20 μl din fiecare soluție de calibrare și se determină înălțimile (ariile) medii ale vârfurilor. În funcție de înălțimile (ariile) medii ale vârfurilor, se trasează o curbă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5.6.1.3.   </w:t>
      </w:r>
      <w:r w:rsidRPr="00427724">
        <w:rPr>
          <w:rFonts w:ascii="Times New Roman" w:hAnsi="Times New Roman" w:cs="Times New Roman"/>
          <w:b/>
          <w:bCs/>
          <w:sz w:val="28"/>
          <w:szCs w:val="28"/>
          <w:lang w:val="ro-RO"/>
        </w:rPr>
        <w:t>Standardizarea UV a soluției stoc de DL-α-tocoferol acetat (punctul 3.10.1)</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diluează 5,0 ml din soluția stoc de DL-α-tocoferol acetat (punctul 3.10.1) în 25,0 ml de etanol și se măsoară spectrul UV al acestei soluții față de etanol (punctul 3.1) în spectrofotometru (punctul 4.6), între 250 nm și 320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Absorbția maximă este de 284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3100705" cy="388620"/>
            <wp:effectExtent l="0" t="0" r="4445" b="0"/>
            <wp:docPr id="9" name="Imagine 9" descr="C:\Users\User MAIA\AppData\Local\Microsoft\Windows\INetCache\Content.MSO\44EC1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 MAIA\AppData\Local\Microsoft\Windows\INetCache\Content.MSO\44EC1E8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27724">
        <w:rPr>
          <w:rFonts w:ascii="Times New Roman" w:hAnsi="Times New Roman" w:cs="Times New Roman"/>
          <w:sz w:val="28"/>
          <w:szCs w:val="28"/>
          <w:lang w:val="ro-RO"/>
        </w:rPr>
        <w:t>La această diluție trebuie să se obțină o valoare de extincție între 0,84 și 0,88.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5.6.2.   </w:t>
      </w:r>
      <w:r w:rsidRPr="00427724">
        <w:rPr>
          <w:rFonts w:ascii="Times New Roman" w:hAnsi="Times New Roman" w:cs="Times New Roman"/>
          <w:b/>
          <w:bCs/>
          <w:sz w:val="28"/>
          <w:szCs w:val="28"/>
          <w:lang w:val="ro-RO"/>
        </w:rPr>
        <w:t> Etalonul de DL-α-tocoferol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5.6.2.1.   </w:t>
      </w:r>
      <w:r w:rsidRPr="00427724">
        <w:rPr>
          <w:rFonts w:ascii="Times New Roman" w:hAnsi="Times New Roman" w:cs="Times New Roman"/>
          <w:b/>
          <w:bCs/>
          <w:sz w:val="28"/>
          <w:szCs w:val="28"/>
          <w:lang w:val="ro-RO"/>
        </w:rPr>
        <w:t>Prepararea soluției etalon de lucru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pun cu pipeta 2 ml din soluția stoc de DL-α-tocoferol (punctul 3.11.1) într-un balon gradat de 50 ml, se dizolvă în metanol (punctul 3.3) și se completează până la semn cu metanol. Concentrația nominală a acestei soluții este de 40 μg DL-α-tocoferol per ml, echivalent cu 44,0 μg DL-α-tocoferol acetat per ml. Soluția etalon de lucru trebuie să fie preparată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5.6.2.2.   </w:t>
      </w:r>
      <w:r w:rsidRPr="00427724">
        <w:rPr>
          <w:rFonts w:ascii="Times New Roman" w:hAnsi="Times New Roman" w:cs="Times New Roman"/>
          <w:b/>
          <w:bCs/>
          <w:sz w:val="28"/>
          <w:szCs w:val="28"/>
          <w:lang w:val="ro-RO"/>
        </w:rPr>
        <w:t>Prepararea soluțiilor de calibrare și a curbei de calibrare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1,0, 2,0, 4,0 și 10,0 ml din soluția etalon de lucru într-o serie de baloane gradate de 20 ml, se completează până la semn cu metanol (punctul 3.3) și se amestecă. Concentrațiile nominale ale acestor soluții sunt 2,0, 4,0, 8,0 și 20,0 μg/ml DL-α-tocoferol, echivalent cu 2,20, 4,40, 8,79 μg/ml și 22,0 μg/ml DL-α-tocoferol acetat.</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de mai multe ori câte 20 μl din fiecare soluție de calibrare și se determină înălțimile (ariile) medii ale vârfurilor. În funcție de înălțimile (ariile) medii ale vârfurilor, se trasează o curbă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5.6.2.3.   </w:t>
      </w:r>
      <w:r w:rsidRPr="00427724">
        <w:rPr>
          <w:rFonts w:ascii="Times New Roman" w:hAnsi="Times New Roman" w:cs="Times New Roman"/>
          <w:b/>
          <w:bCs/>
          <w:sz w:val="28"/>
          <w:szCs w:val="28"/>
          <w:lang w:val="ro-RO"/>
        </w:rPr>
        <w:t>Standardizarea UV a soluției stoc de DL-α-tocoferol (punctul 3.11.1)</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diluează 2,0 ml din soluția stoc de DL-α-tocoferol (punctul 3.11.1) în 25,0 ml de etanol și se măsoară spectrul UV al acestei soluții față de etanol (punctul 3.1) în spectrofotometru (punctul 4.6) între 250 nm și 320 nm. Absorbția maximă este de 292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3100705" cy="388620"/>
            <wp:effectExtent l="0" t="0" r="4445" b="0"/>
            <wp:docPr id="8" name="Imagine 8" descr="C:\Users\User MAIA\AppData\Local\Microsoft\Windows\INetCache\Content.MSO\E33CF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 MAIA\AppData\Local\Microsoft\Windows\INetCache\Content.MSO\E33CF67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r w:rsidRPr="00427724">
        <w:rPr>
          <w:rFonts w:ascii="Times New Roman" w:hAnsi="Times New Roman" w:cs="Times New Roman"/>
          <w:sz w:val="28"/>
          <w:szCs w:val="28"/>
          <w:lang w:val="ro-RO"/>
        </w:rPr>
        <w:t>La această diluție trebuie să se obțină o valoare de extincție de 0,6.</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Pornindu-se de la înălțimile (ariile) medii ale vârfurilor de vitamina E ale soluției de eșantion, se determină concentrația soluției de eșantion în μg/ml (calculată ca DL-α-tocoferol acetat) prin referire la curba de calibrare (punctul 5.6.1.2 sau 5.6.2.2).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w de vitamina E al eșantionului, exprimat în mg/kg,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249170" cy="598805"/>
            <wp:effectExtent l="0" t="0" r="0" b="0"/>
            <wp:docPr id="7" name="Imagine 7" descr="C:\Users\User MAIA\AppData\Local\Microsoft\Windows\INetCache\Content.MSO\588225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 MAIA\AppData\Local\Microsoft\Windows\INetCache\Content.MSO\5882254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9170" cy="598805"/>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25"/>
        <w:gridCol w:w="158"/>
        <w:gridCol w:w="9123"/>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vitamina E (ca DL-α-tocoferol acetat) al soluției de eșantion (punctul 5.4)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70"/>
        <w:gridCol w:w="254"/>
        <w:gridCol w:w="868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soluției de eșantion (punctul 5.4), în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72"/>
        <w:gridCol w:w="255"/>
        <w:gridCol w:w="8679"/>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de alicotă prelevat la punctul 5.4, în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12"/>
        <w:gridCol w:w="372"/>
        <w:gridCol w:w="852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w:t>
            </w:r>
          </w:p>
        </w:tc>
      </w:tr>
    </w:tbl>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Pentru eșantioanele cu concentrații mici de vitamină E poate fi utilă combinarea extractelor cu eter de petrol provenite din două operații de saponificare (cantitate cântărită: 25 g) într-o soluție de eșantion pentru determinare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Eșantionul prelevat pentru analiză nu conține mai mult de 2 g de grăsime.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Dacă nu are loc separația fazelor, se adaugă cca 10 ml de etanol (punctul 3.1) pentru a fragmenta emulsia.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 Odată efectuată măsurătoarea spectrofotometrică a soluției de DL-α-tocoferol acetat sau de DL-α-tocoferol, conform punctului 5.6.1.3 sau 5.6.2.3, se adaugă cca 10 mg de BHT (punctul 3.12) la soluție (punctul 3.10.1 sau 3.10.2) și se conservă soluția la frigider (durata maximă de stocare patru săptămâni).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 BHT poate fi înlocuit cu hidrochinonă.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7.6. Utilizându-se o coloană în fază normală este posibilă separarea tocoferolilor α, β, γ și δ.</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7.7. Soluția de ascorbat de sodiu poate fi înlocuită cu cca 150 mg de acid ascorbic.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7.8. Soluția de sulfură de sodiu poate fi înlocuită cu cca 50 mg de EDTA.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7.9. Acetatul de vitamina E hidrolizează foarte rapid în condiții alcaline fiind, prin urmare, foarte sensibil la oxidare, mai ales în prezența oligoelementelor, cum ar fi fierul sau cuprul. Determinarea vitaminei E în preamestecuri la niveluri de peste 5 000 mg/kg ar avea drept consecință o degradare a vitaminei E. Prin urmare, pentru confirmare se recomandă o metodă HPLC care include o digestie enzimatică a preparatului de vitamina E fără o etapă de saponificare alcalină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Repetabilitate.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realizate pe același eșantion nu trebuie să depășească 15 % din rezultatul superior.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9.   </w:t>
      </w:r>
      <w:r w:rsidRPr="00427724">
        <w:rPr>
          <w:rFonts w:ascii="Times New Roman" w:hAnsi="Times New Roman" w:cs="Times New Roman"/>
          <w:b/>
          <w:bCs/>
          <w:i/>
          <w:iCs/>
          <w:sz w:val="28"/>
          <w:szCs w:val="28"/>
          <w:lang w:val="ro-RO"/>
        </w:rPr>
        <w:t> Rezultatele unui studiu colaborativ (</w:t>
      </w:r>
      <w:hyperlink r:id="rId59" w:anchor="E0037" w:history="1">
        <w:r w:rsidRPr="00427724">
          <w:rPr>
            <w:rStyle w:val="Hyperlink"/>
            <w:rFonts w:ascii="Times New Roman" w:hAnsi="Times New Roman" w:cs="Times New Roman"/>
            <w:b/>
            <w:bCs/>
            <w:i/>
            <w:iCs/>
            <w:sz w:val="28"/>
            <w:szCs w:val="28"/>
            <w:lang w:val="ro-RO"/>
          </w:rPr>
          <w:t> </w:t>
        </w:r>
        <w:r w:rsidRPr="00427724">
          <w:rPr>
            <w:rStyle w:val="Hyperlink"/>
            <w:rFonts w:ascii="Times New Roman" w:hAnsi="Times New Roman" w:cs="Times New Roman"/>
            <w:b/>
            <w:bCs/>
            <w:i/>
            <w:iCs/>
            <w:sz w:val="28"/>
            <w:szCs w:val="28"/>
            <w:vertAlign w:val="superscript"/>
            <w:lang w:val="ro-RO"/>
          </w:rPr>
          <w:t>22</w:t>
        </w:r>
        <w:r w:rsidRPr="00427724">
          <w:rPr>
            <w:rStyle w:val="Hyperlink"/>
            <w:rFonts w:ascii="Times New Roman" w:hAnsi="Times New Roman" w:cs="Times New Roman"/>
            <w:b/>
            <w:bCs/>
            <w:i/>
            <w:iCs/>
            <w:sz w:val="28"/>
            <w:szCs w:val="28"/>
            <w:lang w:val="ro-RO"/>
          </w:rPr>
          <w:t> </w:t>
        </w:r>
      </w:hyperlink>
      <w:r w:rsidRPr="00427724">
        <w:rPr>
          <w:rFonts w:ascii="Times New Roman" w:hAnsi="Times New Roman" w:cs="Times New Roman"/>
          <w:b/>
          <w:bCs/>
          <w:i/>
          <w:iCs/>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17"/>
        <w:gridCol w:w="1423"/>
        <w:gridCol w:w="1841"/>
        <w:gridCol w:w="1839"/>
        <w:gridCol w:w="1254"/>
        <w:gridCol w:w="1316"/>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de tip preamestec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Concentrate minerale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proteice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Hrană pentru purcei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17 380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1 187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1 075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sR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2 324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CVR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12,7</w:t>
            </w:r>
          </w:p>
        </w:tc>
      </w:tr>
      <w:tr w:rsidR="00427724" w:rsidRPr="00427724">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număr de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număr de valori unice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reproductibilității</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Figura 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Aparat de extracție (punctul 4.8)</w:t>
      </w:r>
    </w:p>
    <w:p w:rsidR="00BC54BD"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noProof/>
          <w:sz w:val="28"/>
          <w:szCs w:val="28"/>
          <w:lang w:val="ro-MD"/>
        </w:rPr>
        <w:lastRenderedPageBreak/>
        <w:drawing>
          <wp:inline distT="0" distB="0" distL="0" distR="0">
            <wp:extent cx="4762500" cy="6700520"/>
            <wp:effectExtent l="0" t="0" r="0" b="5080"/>
            <wp:docPr id="6" name="Imagine 6" descr="C:\Users\User MAIA\AppData\Local\Microsoft\Windows\INetCache\Content.MSO\18D2F8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 MAIA\AppData\Local\Microsoft\Windows\INetCache\Content.MSO\18D2F891.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0" cy="6700520"/>
                    </a:xfrm>
                    <a:prstGeom prst="rect">
                      <a:avLst/>
                    </a:prstGeom>
                    <a:noFill/>
                    <a:ln>
                      <a:noFill/>
                    </a:ln>
                  </pic:spPr>
                </pic:pic>
              </a:graphicData>
            </a:graphic>
          </wp:inline>
        </w:drawing>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   DETERMINAREA OLIGOELEMENTELOR FIER, CUPRU, MANGAN ȘI ZINC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fier, cupru, mangan și zinc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15510:2018</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 xml:space="preserve">Hrană pentru animale: Metode de eșantionare și de analiză – Determinarea calciului, sodiului, fosforului, </w:t>
      </w:r>
      <w:r w:rsidRPr="00427724">
        <w:rPr>
          <w:rFonts w:ascii="Times New Roman" w:hAnsi="Times New Roman" w:cs="Times New Roman"/>
          <w:sz w:val="28"/>
          <w:szCs w:val="28"/>
          <w:lang w:val="ro-RO"/>
        </w:rPr>
        <w:lastRenderedPageBreak/>
        <w:t>magneziului, potasiului, fierului, zincului, cuprului, manganului, cobaltului, molibdenului și plumbului prin ICP-AES;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15621:2018</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calciului, sodiului, fosforului, magneziului, potasiului, sulfului, fierului, zincului, cuprului, manganului și cobaltului după dizolvarea sub presiune prin ICP-AES;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17053:2018</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Determinarea oligoelementelor, a metalelor grele și a altor elemente din furaje prin ICP-MS (multimetodă);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A755B" w:rsidRPr="005A755B">
        <w:rPr>
          <w:rFonts w:ascii="Times New Roman" w:hAnsi="Times New Roman" w:cs="Times New Roman"/>
          <w:sz w:val="28"/>
          <w:szCs w:val="28"/>
          <w:lang w:val="ro-RO"/>
        </w:rPr>
        <w:t>SM SR EN ISO 6869:2012</w:t>
      </w:r>
      <w:r w:rsidR="005A755B">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Determinarea conținutului de calciu, cupru, fier, magneziu, mangan, potasiu, sodiu și zinc. Metoda care utilizează spectrometria de absorbție atomică;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Metoda spectrometriei de absorbție atomică cu flacără (FAAS), descrisă la punctele 1-8 de mai jos.</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 Obiectiv și domeniu de aplicare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Metoda permite determinarea oligoelementelor fier, cupru, mangan și zinc din furaje (</w:t>
      </w:r>
      <w:hyperlink r:id="rId61" w:anchor="E0038"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23</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 Limitele de cuantificare sunt: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fier (Fe): 20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cupru (Cu): 10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mangan (Mn): 20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zinc (Zn): 20 mg/kg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 Principiu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este pus în soluție de acid clorhidric după distrugerea materiei organice, dacă aceasta este prezentă. Se determină elementele fier, cupru, mangan și zinc, după o diluare corespunzătoare, cu ajutorul spectrometriei de absorbție atomică.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 Reactivi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i/>
          <w:iCs/>
          <w:sz w:val="28"/>
          <w:szCs w:val="28"/>
          <w:lang w:val="ro-RO"/>
        </w:rPr>
        <w:t>Comentarii introductive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prepararea reactivilor și a soluțiilor analitice se folosește apă fără cationii care urmează să fie determinați, obținută fie prin distilarea dublă a apei într-</w:t>
      </w:r>
      <w:r w:rsidR="00427724" w:rsidRPr="00427724">
        <w:rPr>
          <w:rFonts w:ascii="Times New Roman" w:hAnsi="Times New Roman" w:cs="Times New Roman"/>
          <w:sz w:val="28"/>
          <w:szCs w:val="28"/>
          <w:lang w:val="ro-RO"/>
        </w:rPr>
        <w:lastRenderedPageBreak/>
        <w:t>un distilator din sticlă borosilicat sau din cuarț, fie prin dublu tratament cu rășină schimbătoare de ioni.</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Reactivii trebuie să fie cel puțin de calitate analitică. Absența elementului care urmează să fie determinat trebuie verificată într-un experiment martor. Dacă este necesar, reactivii trebuie să fie purificați în continuare.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locul soluțiilor etalon descrise mai jos pot fi folosite soluții etalon din comerț, cu condiția ca ele să fie garantate și să fi fost verificate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Acid clorhidric. (d:1,19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clorhidric. (6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Acid clorhidric. (0,5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Acid fluorhidric 38-40 % (v/v) cu un conținut de fier (Fe) de mai puțin de 1 mg/litru și un reziduu după evaporare de mai puțin de 10 mg (ca sulfat)/litru.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Acid sulfuric. (d: 1,84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Peroxid de hidrogen. [circa 100 volume de oxigen (punctul 30 % în greutate)].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etalon de fier (1 000 μg Fe/ml) preparată conform indicațiilor de mai jos sau o soluție echivalentă din comerț: se dizolvă 1 g de sârmă de fier în 200 ml de acid clorhidric 6 mol/litru (punctul 3.2), se adaugă 16 ml de peroxid de hidrogen (punctul 3.6) și se completează până la un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3.7.1. Soluție etalon de lucru de fier (100 μg Fe/ml) preparată diluând o parte din soluția etalon (punctul 3.7) cu 9 părți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Soluție etalon de cupru (1 000 μg Cu/ml) preparată conform indicațiilor de mai jos sau o soluție echivalentă din comerț:</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dizolvă 1 g de praf de cupru în 25 ml de acid clorhidric 6 mol/litru (punctul 3.2), se adaugă 5 ml de peroxid de hidrogen (punctul 3.6) și se completează până la un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3.8.1. Soluție etalon de cupru de lucru (10 μg Cu/ml) preparată diluând o parte din soluția standard (punctul 3.8) cu 9 părți de apă și apoi diluând o parte din soluția rezultată cu 9 părți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Soluție etalon de mangan (1 000 μg Mn/ml) preparată conform indicațiilor de mai jos sau o soluție echivalentă din comerț:</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se dizolvă 1 g de praf de mangan în 25 ml de acid clorhidric 6 mol/litru (punctul 3.2) și se completează până la un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3.9.1. Soluție etalon de lucru de mangan (10 μg Mn/ml) preparată diluând o parte din soluția etalon (punctul 3.9) cu 9 părți de apă și apoi diluând o parte din soluția rezultată cu 9 părți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Soluție etalon de zinc (1 000 μg Zn/ml) preparată conform indicațiilor de mai jos sau o soluție echivalentă din comerț:</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dizolvă 1 g de zinc sub formă de benzi sau folii în 25 ml de acid clorhidric 6 mol/litru (punctul 3.2) și se completează până la un litru cu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3.10.1. Soluție etalon de lucru de zinc (10 μg Zn/ml) preparată diluând o parte din soluția etalon (punctul 3.10) cu 9 părți de apă și apoi diluând o parte din soluția rezultată cu 9 părți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Soluție de clorură de lantan: se dizolvă 12 g de oxid de lantan în 150 ml de apă, se adaugă 100 ml de acid clorhidric 6 mol/litru (punctul 3.2) și se completează până la un litru cu apă.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Cuptor cu muflă cu reglare de temperatură și, preferabil, cu dispozitiv de înregistrare.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Sticlăria trebuie să fie de tip borosilicat rezistent și se recomandă folosirea aparaturii rezervate exclusiv pentru determinarea oligoelementelor.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Spectrofotometru de absorbție atomică care îndeplinește cerințele metodei cu privire la sensibilitatea și precizia în intervalul necesar.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5.   </w:t>
      </w:r>
      <w:r w:rsidRPr="00427724">
        <w:rPr>
          <w:rFonts w:ascii="Times New Roman" w:hAnsi="Times New Roman" w:cs="Times New Roman"/>
          <w:b/>
          <w:bCs/>
          <w:i/>
          <w:iCs/>
          <w:sz w:val="28"/>
          <w:szCs w:val="28"/>
          <w:lang w:val="ro-RO"/>
        </w:rPr>
        <w:t> Procedura (</w:t>
      </w:r>
      <w:hyperlink r:id="rId62" w:anchor="E0039" w:history="1">
        <w:r w:rsidRPr="00427724">
          <w:rPr>
            <w:rStyle w:val="Hyperlink"/>
            <w:rFonts w:ascii="Times New Roman" w:hAnsi="Times New Roman" w:cs="Times New Roman"/>
            <w:b/>
            <w:bCs/>
            <w:i/>
            <w:iCs/>
            <w:sz w:val="28"/>
            <w:szCs w:val="28"/>
            <w:lang w:val="ro-RO"/>
          </w:rPr>
          <w:t> </w:t>
        </w:r>
        <w:r w:rsidRPr="00427724">
          <w:rPr>
            <w:rStyle w:val="Hyperlink"/>
            <w:rFonts w:ascii="Times New Roman" w:hAnsi="Times New Roman" w:cs="Times New Roman"/>
            <w:b/>
            <w:bCs/>
            <w:i/>
            <w:iCs/>
            <w:sz w:val="28"/>
            <w:szCs w:val="28"/>
            <w:vertAlign w:val="superscript"/>
            <w:lang w:val="ro-RO"/>
          </w:rPr>
          <w:t>24</w:t>
        </w:r>
        <w:r w:rsidRPr="00427724">
          <w:rPr>
            <w:rStyle w:val="Hyperlink"/>
            <w:rFonts w:ascii="Times New Roman" w:hAnsi="Times New Roman" w:cs="Times New Roman"/>
            <w:b/>
            <w:bCs/>
            <w:i/>
            <w:iCs/>
            <w:sz w:val="28"/>
            <w:szCs w:val="28"/>
            <w:lang w:val="ro-RO"/>
          </w:rPr>
          <w:t> </w:t>
        </w:r>
      </w:hyperlink>
      <w:r w:rsidRPr="00427724">
        <w:rPr>
          <w:rFonts w:ascii="Times New Roman" w:hAnsi="Times New Roman" w:cs="Times New Roman"/>
          <w:b/>
          <w:bCs/>
          <w:i/>
          <w:iCs/>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5.1.    </w:t>
      </w:r>
      <w:r w:rsidRPr="00427724">
        <w:rPr>
          <w:rFonts w:ascii="Times New Roman" w:hAnsi="Times New Roman" w:cs="Times New Roman"/>
          <w:b/>
          <w:bCs/>
          <w:i/>
          <w:iCs/>
          <w:sz w:val="28"/>
          <w:szCs w:val="28"/>
          <w:lang w:val="ro-RO"/>
        </w:rPr>
        <w:t>Eșantioane care conțin materie organică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Arderea și prepararea soluției pentru analiză (</w:t>
      </w:r>
      <w:hyperlink r:id="rId63" w:anchor="E0040" w:history="1">
        <w:r w:rsidRPr="00427724">
          <w:rPr>
            <w:rStyle w:val="Hyperlink"/>
            <w:rFonts w:ascii="Times New Roman" w:hAnsi="Times New Roman" w:cs="Times New Roman"/>
            <w:b/>
            <w:bCs/>
            <w:sz w:val="28"/>
            <w:szCs w:val="28"/>
            <w:lang w:val="ro-RO"/>
          </w:rPr>
          <w:t> </w:t>
        </w:r>
        <w:r w:rsidRPr="00427724">
          <w:rPr>
            <w:rStyle w:val="Hyperlink"/>
            <w:rFonts w:ascii="Times New Roman" w:hAnsi="Times New Roman" w:cs="Times New Roman"/>
            <w:b/>
            <w:bCs/>
            <w:sz w:val="28"/>
            <w:szCs w:val="28"/>
            <w:vertAlign w:val="superscript"/>
            <w:lang w:val="ro-RO"/>
          </w:rPr>
          <w:t>25</w:t>
        </w:r>
        <w:r w:rsidRPr="00427724">
          <w:rPr>
            <w:rStyle w:val="Hyperlink"/>
            <w:rFonts w:ascii="Times New Roman" w:hAnsi="Times New Roman" w:cs="Times New Roman"/>
            <w:b/>
            <w:bCs/>
            <w:sz w:val="28"/>
            <w:szCs w:val="28"/>
            <w:lang w:val="ro-RO"/>
          </w:rPr>
          <w:t> </w:t>
        </w:r>
      </w:hyperlink>
      <w:r w:rsidRPr="00427724">
        <w:rPr>
          <w:rFonts w:ascii="Times New Roman" w:hAnsi="Times New Roman" w:cs="Times New Roman"/>
          <w:b/>
          <w:bCs/>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5.1.1.1. Se introduc 5-10 g de eșantion cântărit cu o abatere de 0,2 mg într-un creuzet de cuarț sau platină [a se vedea nota (b)], se usucă într-un cuptor la 105 °C și se introduce creuzetul în cuptorul cu muflă neîncălzit (punctul 4.1). Se închide cuptorul [a se vedea nota (c)] și se mărește treptat temperatura până la 450-475 °C, timp de circa 90 de minute. Se menține temperatura timp de 4-16 ore (de exemplu, peste </w:t>
      </w:r>
      <w:r w:rsidRPr="00427724">
        <w:rPr>
          <w:rFonts w:ascii="Times New Roman" w:hAnsi="Times New Roman" w:cs="Times New Roman"/>
          <w:sz w:val="28"/>
          <w:szCs w:val="28"/>
          <w:lang w:val="ro-RO"/>
        </w:rPr>
        <w:lastRenderedPageBreak/>
        <w:t>noapte) pentru a îndepărta materialul carbonic și apoi se deschide cuptorul și se lasă să se răcească [a se vedea nota (d)].</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umezește cenușa cu apă și se transferă substanța obținută într-un pahar de laborator de 250 ml. Se spală creuzetul cu o cantitate totală de circa 5 ml de acid clorhidric (punctul 3.1) și se adaugă acesta din urmă încet și cu atenție în paharul de laborator (poate apărea o reacție puternică din cauza formării de CO</w:t>
      </w:r>
      <w:r w:rsidR="00427724" w:rsidRPr="00427724">
        <w:rPr>
          <w:rFonts w:ascii="Times New Roman" w:hAnsi="Times New Roman" w:cs="Times New Roman"/>
          <w:sz w:val="28"/>
          <w:szCs w:val="28"/>
          <w:vertAlign w:val="subscript"/>
          <w:lang w:val="ro-RO"/>
        </w:rPr>
        <w:t>2</w:t>
      </w:r>
      <w:r w:rsidR="00427724" w:rsidRPr="00427724">
        <w:rPr>
          <w:rFonts w:ascii="Times New Roman" w:hAnsi="Times New Roman" w:cs="Times New Roman"/>
          <w:sz w:val="28"/>
          <w:szCs w:val="28"/>
          <w:lang w:val="ro-RO"/>
        </w:rPr>
        <w:t>). Se adaugă acid clorhidric (punctul 3.1), picătură cu picătură, agitându-se, până când efervescența încetează. Se evaporă până la uscare, agitându-se din când în când cu o baghetă de sticlă.</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adaugă apoi 15 ml de acid clorhidric 6 mol/litru (punctul 3.2) la reziduu, apoi circa 120 ml de apă. Se amestecă cu bagheta de sticlă, care se lasă în paharul de laborator, și se acoperă paharul cu o sticlă de ceas. Se aduce încet la fierbere și se menține la punctul de fierbere până când cenușa se dizolvă complet. Se filtrează cu hârtie de filtru lipsită de cenușă și se colectează filtratul într-un balon gradat de 250 ml. Se spală paharul de laborator și se filtrează cu 5 ml de acid clorhidric 6 mol/litru fierbinte (punctul 3.2) și de două ori cu apă fiartă. Se umple balonul gradat cu apă până la semn (concentrația de HCl: circa 0,5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5.1.1.2. Dacă reziduul din filtru este negru (cărbune), se reintroduce în cuptor și se calcinează din nou la 450-475 °C. Calcinarea, care necesită numai câteva ore (între trei și cinci ore), este completă când cenușa este albă sau aproape albă. Se dizolvă reziduul cu aproximativ 2 ml de acid clorhidric (punctul 3.1), se evaporă până la uscare și se adaugă 5 ml de acid clorhidric 6 mol/litru (punctul 3.2). Se încălzește, se filtrează soluția în balonul gradat și se umple cu apă până la semn (concentrația HCl: circa 0,5 mol/litru).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Note: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Este important ca atunci când se măsoară oligoelementele să se țină cont de riscul de contaminare, în special cu zinc, cupru și fier. Din acest motiv, echipamentul folosit în cursul preparării eșantioanelor trebuie să nu conțină aceste metale.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reducerea riscului general de contaminare, se lucrează într-o atmosferă fără praf, folosind un echipament curățat cu mare atenție și o sticlărie spălată cu grijă. Determinarea zincului este în mod special sensibilă la multe tipuri de contaminare, de exemplu prin intermediul sticlăriei, al reactivilor, al prafului etc.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(b) Greutatea eșantionului care urmează să fie calcinat rezultă din cantitatea aproximativă de oligoelemente din furaje în raport cu sensibilitatea </w:t>
      </w:r>
      <w:r w:rsidRPr="00427724">
        <w:rPr>
          <w:rFonts w:ascii="Times New Roman" w:hAnsi="Times New Roman" w:cs="Times New Roman"/>
          <w:sz w:val="28"/>
          <w:szCs w:val="28"/>
          <w:lang w:val="ro-RO"/>
        </w:rPr>
        <w:lastRenderedPageBreak/>
        <w:t>spectrofotometrului folosit. Pentru anumite tipuri de furaje, sărace în oligoelemente, poate fi necesar să se înceapă cu un eșantion de 10-20 g și să se completeze soluția finală numai până la 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Arderea trebuie efectuată într-un cuptor închis fără injectare de aer sau de oxigen.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 Temperatura indicată de pirometru nu trebuie să depășească 475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w:t>
      </w:r>
      <w:r w:rsidRPr="00427724">
        <w:rPr>
          <w:rFonts w:ascii="Times New Roman" w:hAnsi="Times New Roman" w:cs="Times New Roman"/>
          <w:b/>
          <w:bCs/>
          <w:sz w:val="28"/>
          <w:szCs w:val="28"/>
          <w:lang w:val="ro-RO"/>
        </w:rPr>
        <w:t> Determinarea spectrofotometrică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5.1.2.1.   </w:t>
      </w:r>
      <w:r w:rsidRPr="00427724">
        <w:rPr>
          <w:rFonts w:ascii="Times New Roman" w:hAnsi="Times New Roman" w:cs="Times New Roman"/>
          <w:b/>
          <w:bCs/>
          <w:sz w:val="28"/>
          <w:szCs w:val="28"/>
          <w:lang w:val="ro-RO"/>
        </w:rPr>
        <w:t>Pregătirea soluțiilor de calibrare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fiecare dintre elementele care urmează să fie determinate se prepară din soluțiile etalon de lucru de la punctele 3.7.1, 3.8.1, 3.9.1 și 3.10.1 o gamă de soluții de calibrare, fiecare soluție de calibrare având o concentrație de HCl de aproximativ 0,5 mol/litru și (în cazul fierului, manganului și zincului) o concentrație de clorură de lantan echivalentă cu 0,1 % La (g/v).</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Concentrațiile de oligoelemente selectate trebuie să se situeze în intervalul sensibilității spectrofotometrului utilizat. Tabelele prezentate în continuare indică, de exemplu, compozițiile unor seturi tipice de soluții de calibrare; totuși, în funcție de tipul și sensibilitatea spectrofotometrului folosit, poate fi necesar să se selecteze alte concentrații.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Fier</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499"/>
        <w:gridCol w:w="235"/>
        <w:gridCol w:w="481"/>
        <w:gridCol w:w="235"/>
        <w:gridCol w:w="235"/>
        <w:gridCol w:w="235"/>
        <w:gridCol w:w="235"/>
        <w:gridCol w:w="235"/>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μg Fe/ml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etalon de lucru (punctul 3.7.1) (1 ml = 100 μg Fe)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HCl (punctul 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r>
      <w:tr w:rsidR="00427724" w:rsidRPr="00427724">
        <w:trPr>
          <w:jc w:val="center"/>
        </w:trPr>
        <w:tc>
          <w:tcPr>
            <w:tcW w:w="0" w:type="auto"/>
            <w:gridSpan w:val="8"/>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ml de soluție de clorură de lantan (punctul 3.11) și se completează până la 100 ml cu apă</w:t>
            </w:r>
          </w:p>
        </w:tc>
      </w:tr>
    </w:tbl>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Cupru</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30"/>
        <w:gridCol w:w="200"/>
        <w:gridCol w:w="410"/>
        <w:gridCol w:w="410"/>
        <w:gridCol w:w="410"/>
        <w:gridCol w:w="410"/>
        <w:gridCol w:w="410"/>
        <w:gridCol w:w="410"/>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μg Cu/ml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etalon de lucru (punctul 3.8.1) (1 ml = 10 μg Cu)</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ml HCl (punctul 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r>
    </w:tbl>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Mangan</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554"/>
        <w:gridCol w:w="214"/>
        <w:gridCol w:w="437"/>
        <w:gridCol w:w="437"/>
        <w:gridCol w:w="437"/>
        <w:gridCol w:w="437"/>
        <w:gridCol w:w="437"/>
        <w:gridCol w:w="437"/>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μg Mn/ml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etalon de lucru (punctul 3.9.1) (1 ml = 10 μg Mn)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HCl (punctul 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r>
      <w:tr w:rsidR="00427724" w:rsidRPr="00427724">
        <w:trPr>
          <w:jc w:val="center"/>
        </w:trPr>
        <w:tc>
          <w:tcPr>
            <w:tcW w:w="0" w:type="auto"/>
            <w:gridSpan w:val="8"/>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ml de soluție de clorură de lantan (punctul 3.11) și se completează până la 100 ml cu apă</w:t>
            </w:r>
          </w:p>
        </w:tc>
      </w:tr>
    </w:tbl>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Zinc</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454"/>
        <w:gridCol w:w="210"/>
        <w:gridCol w:w="576"/>
        <w:gridCol w:w="430"/>
        <w:gridCol w:w="430"/>
        <w:gridCol w:w="430"/>
        <w:gridCol w:w="430"/>
        <w:gridCol w:w="430"/>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μg Zn/ml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de soluție etalon de lucru (punctul 3.10.1) (1 ml = 10 μg Zn)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ml HCl (punctul 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w:t>
            </w:r>
          </w:p>
        </w:tc>
      </w:tr>
      <w:tr w:rsidR="00427724" w:rsidRPr="00427724">
        <w:trPr>
          <w:jc w:val="center"/>
        </w:trPr>
        <w:tc>
          <w:tcPr>
            <w:tcW w:w="0" w:type="auto"/>
            <w:gridSpan w:val="8"/>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ml de soluție de clorură de lantan (punctul 3.11) și se completează până la 100 ml cu apă</w:t>
            </w:r>
          </w:p>
        </w:tc>
      </w:tr>
    </w:tbl>
    <w:p w:rsidR="00BC54BD" w:rsidRDefault="00BC54BD"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5.1.2.2.   </w:t>
      </w:r>
      <w:r w:rsidRPr="00427724">
        <w:rPr>
          <w:rFonts w:ascii="Times New Roman" w:hAnsi="Times New Roman" w:cs="Times New Roman"/>
          <w:b/>
          <w:bCs/>
          <w:sz w:val="28"/>
          <w:szCs w:val="28"/>
          <w:lang w:val="ro-RO"/>
        </w:rPr>
        <w:t>Prepararea soluției pentru analiză</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cuprului, soluția preparată la punctul 5.1.1 poate fi, în mod normal, folosită direct. Dacă este necesar să se obțină o concentrație situată în intervalul soluțiilor de calibrare, o parte alicotă poate fi pipetată într-un balon gradat de 100 ml și completată până la semn cu acid clorhidric 0,5 mol/litru (punctul 3.3).</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determinarea fierului, manganului și zincului, se pipetează o parte alicotă din soluția preparată la punctul 5.1.1 într-un balon gradat de 100 ml, se adaugă 10 ml de soluție de clorură de lantan (punctul 3.11) și se completează până la semn cu acid clorhidric 0,5 mol/litru (punctul 3.3) (a se vedea și punctul 8,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5.1.2.3.   </w:t>
      </w:r>
      <w:r w:rsidRPr="00427724">
        <w:rPr>
          <w:rFonts w:ascii="Times New Roman" w:hAnsi="Times New Roman" w:cs="Times New Roman"/>
          <w:b/>
          <w:bCs/>
          <w:sz w:val="28"/>
          <w:szCs w:val="28"/>
          <w:lang w:val="ro-RO"/>
        </w:rPr>
        <w:t>Experiment martor</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Experimentul martor trebuie să includă toate etapele prevăzute în procedură, cu excepția faptului că materialul de eșantion este omis. Soluția de calibrare „0” nu trebuie să fie folosită ca martor.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5.1.2.4.   </w:t>
      </w:r>
      <w:r w:rsidRPr="00427724">
        <w:rPr>
          <w:rFonts w:ascii="Times New Roman" w:hAnsi="Times New Roman" w:cs="Times New Roman"/>
          <w:b/>
          <w:bCs/>
          <w:sz w:val="28"/>
          <w:szCs w:val="28"/>
          <w:lang w:val="ro-RO"/>
        </w:rPr>
        <w:t>Măsurarea absorbției atomice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măsoară absorbția atomică a soluțiilor de calibrare și a soluției care urmează să fie analizată folosind o flacără aer-acetilenă oxidantă, la următoarele lungimi de undă: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Fe: 248,3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Cu: 324,8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Mn: 279,5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Zn: 213,8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Fiecare măsurătoare se realizează de patru ori.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5.2.    </w:t>
      </w:r>
      <w:r w:rsidRPr="00427724">
        <w:rPr>
          <w:rFonts w:ascii="Times New Roman" w:hAnsi="Times New Roman" w:cs="Times New Roman"/>
          <w:b/>
          <w:bCs/>
          <w:i/>
          <w:iCs/>
          <w:sz w:val="28"/>
          <w:szCs w:val="28"/>
          <w:lang w:val="ro-RO"/>
        </w:rPr>
        <w:t>Furaje minerale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eșantionul nu conține materie organică, calcinarea prealabilă nu este necesară. Se procedează conform descrierii de la punctul 5.1.1.1, începând de la al doilea paragraf. Evaporarea cu acid fluorhidric poate fi omisă.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6.   </w:t>
      </w:r>
      <w:r w:rsidRPr="00427724">
        <w:rPr>
          <w:rFonts w:ascii="Times New Roman" w:hAnsi="Times New Roman" w:cs="Times New Roman"/>
          <w:b/>
          <w:bCs/>
          <w:i/>
          <w:iCs/>
          <w:sz w:val="28"/>
          <w:szCs w:val="28"/>
          <w:lang w:val="ro-RO"/>
        </w:rPr>
        <w:t> Calculul rezultatelor</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Folosind o curbă de calibrare, se calculează concentrația de oligoelemente în soluția care urmează să fie analizată și se exprimă rezultatul în mg de oligoelemente per kg de eșantion (ppm).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7.   </w:t>
      </w:r>
      <w:r w:rsidRPr="00427724">
        <w:rPr>
          <w:rFonts w:ascii="Times New Roman" w:hAnsi="Times New Roman" w:cs="Times New Roman"/>
          <w:b/>
          <w:bCs/>
          <w:i/>
          <w:iCs/>
          <w:sz w:val="28"/>
          <w:szCs w:val="28"/>
          <w:lang w:val="ro-RO"/>
        </w:rPr>
        <w:t> 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rezultatele a două determinări paralele efectuate pe același eșantion de către același laborant nu depășește: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 mg/kg, în valoare absolută, pentru conținutul de oligoelement în cauză până la 50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10 % din valoarea superioară, pentru un conținut de oligoelement în cauză de la 50 până la 100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10 mg/kg, în valoare absolută, pentru un conținut de oligoelement în cauză de la 100 până la 200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5 % din valoarea superioară, pentru un conținut de oligoelement în cauză mai mare de 200 mg/kg.</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8.   </w:t>
      </w:r>
      <w:r w:rsidRPr="00427724">
        <w:rPr>
          <w:rFonts w:ascii="Times New Roman" w:hAnsi="Times New Roman" w:cs="Times New Roman"/>
          <w:b/>
          <w:bCs/>
          <w:i/>
          <w:iCs/>
          <w:sz w:val="28"/>
          <w:szCs w:val="28"/>
          <w:lang w:val="ro-RO"/>
        </w:rPr>
        <w:t> Observație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Prezența de cantități mari de fosfați ar putea interfera cu determinarea fierului, manganului și zincului. Astfel de interferențe trebuie să fie corectate adăugând soluție de clorură de lantan (punctul 3.11). Dacă, însă, în eșantion, raportul de greutate Ca + Mg/P este </w:t>
      </w:r>
      <w:r w:rsidR="00427724" w:rsidRPr="00427724">
        <w:rPr>
          <w:rFonts w:ascii="Times New Roman" w:hAnsi="Times New Roman" w:cs="Times New Roman"/>
          <w:b/>
          <w:bCs/>
          <w:sz w:val="28"/>
          <w:szCs w:val="28"/>
          <w:lang w:val="ro-RO"/>
        </w:rPr>
        <w:t>&gt;</w:t>
      </w:r>
      <w:r w:rsidR="00427724" w:rsidRPr="00427724">
        <w:rPr>
          <w:rFonts w:ascii="Times New Roman" w:hAnsi="Times New Roman" w:cs="Times New Roman"/>
          <w:sz w:val="28"/>
          <w:szCs w:val="28"/>
          <w:lang w:val="ro-RO"/>
        </w:rPr>
        <w:t> 2, adăugarea soluției de clorură de lantan (punctul 3.11) la soluția de analizat și la soluțiile de calibrare poate fi omisă.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   DETERMINAREA CONȚINUTULUI DE HALOFUGINONĂ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DL-trans-7-brom-6-clor-3-[3-(3-hidroxi-2-piperidil)acetonil]-chinazolin-4-(3H)-onă hidrobromid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halofuginonă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17299:2020</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lichidă de înaltă performanță (HPLC) cu fază inversată, utilizând un detector UV, astfel cum se descrie la punctele 1-8 de mai jos.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permite determinarea conținutului de halofuginonă din furaje. Limita de cuantificare este de 1 mg/kg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Principiu</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tratarea cu apă fierbinte, halofuginona se extrage ca bază liberă în acetat de etil și ulterior se separă ca clorhidrat, într-o soluție apoasă de acid. Extractul se purifică prin cromatografie prin schimb ionic. Conținutul de halofuginonă se determină prin cromatografie lichidă de înaltă performanță cu fază inversată (RP-HPLC), prin utilizarea unui detector de raze UV.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Acetonitril,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Rășină Amberlit XAD-2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Acetat de amoniu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Acetat de etil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Acid acetic glacial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Substanța etalon halofuginonă (DL-trans-7-brom-6-clor-3-[3-(3-hidroxi-2-piperidil)acetonil]chinazolin-4-(3H)-onă hidrobromid, E 764)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3.6.1. Soluție etalon stoc de halofuginonă, 100 μg/ml</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0,1 mg, 50 mg de halofuginonă (punctul 3.6) într-un balon gradat de 500 ml, apoi se dizolvă în soluție tampon de acetat de amoniu (punctul 3.18), se completează până la semn cu soluție tampon și se amestecă. Această soluție este stabilă timp de trei săptămâni, la 5 °C, dacă este depozitată la întuneric.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3.6.2. Soluții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1,0, 2,0, 3,0, 4,0 și 6,0 ml de soluție etalon stoc (punctul 3.6.1) într-o serie de baloane gradate de 100 ml. Se completează până la semn cu fază mobilă (punctul 3.21) și se amestecă. Soluțiile au concentrații de 1,0, 2,0, 3,0, 4,0 și 6,0 μg/ml de halofuginonă. Soluțiile se prepară imediat înainte de a fi utilizate.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clorhidric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aproximativ 1,16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Nitrat de argint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Ascorbat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Carbonat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Clorură de sodiu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EDTA (acid etilendiaminotetraacetic, sare disodică)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3.14. Apă,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3.15. Soluție de carbonat de sodiu, c = 10 g/100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3.16. Soluție de carbonat de sodiu saturată cu clorură de sodiu, c = 5 g/100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50 g de carbonat de sodiu (punctul 3.11) în apă, se diluează până la 1 litru și se adaugă clorură de sodiu (punctul 3.12) până la saturarea soluției.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3.17. Acid clorhidric, aproximativ 0,1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diluează 10 ml de HCl (punctul 3.7) în apă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3.18. Soluție tampon de acetat de amoniu, aproximativ 0,25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19,3 g de acetat de amoniu (punctul 3.3) și 30 ml de acid acetic (punctul 3.5) în apă (punctul 3.14) și se diluează până la 1 litru.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3.19. Prepararea rășinii de Amberlit XAD-2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spală cu apă o cantitate corespunzătoare de Amberlit (punctul 3.2), până la îndepărtarea tuturor ionilor de clor, după cum indică testul cu nitrat de argint (punctul 3.20) efectuat pe faza apoasă eliminată. Apoi se spală rășina cu 50 ml de metanol (punctul 3.8), se elimină metanolul și se depozitează rășina în metanol proaspăt.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3.20. Soluție de nitrat de argint, aproximativ 0,1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0,17 g de nitrat de argint (punctul 3.9) în 10 ml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3.21. Fază mobilă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amestecă 500 ml de acetonitril (punctul 3.1) cu 300 ml soluție tampon de acetat de amoniu (punctul 3.18) și 1 200 ml de apă (punctul 3.14). Se aduce pH-ul la valoarea 4,3 folosind acid acetic (punctul 3.5). Se trece printr-un filtru de 0,22 μm (punctul 4.8) și se degazează soluția (de exemplu, prin ultrasonare timp de 10 minute). Această soluție este stabilă timp de o lună dacă este depozitată într-un recipient închis, la întuneric.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Baie cu ultrasunete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Evaporator rotativ cu generare de film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Centrifugă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Echipament HPLC cu detector de raze UV cu lungimi de undă variabile sau detector cu grup de diode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4.4.1. Coloană pentru cromatografie lichidă, 300 mm ×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10 μm sau o coloană echivalentă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Coloană de sticlă (300 mm × 10 mm) prevăzută cu filtru de sticlă sinterizată și cu robinet de închidere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Filtre din fibră de sticlă, cu diametru de 150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Filtre cu membrană, 0,45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 Filtre cu membrană, 0,22 μm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Notă</w:t>
      </w:r>
      <w:r w:rsidRPr="00427724">
        <w:rPr>
          <w:rFonts w:ascii="Times New Roman" w:hAnsi="Times New Roman" w:cs="Times New Roman"/>
          <w:sz w:val="28"/>
          <w:szCs w:val="28"/>
          <w:lang w:val="ro-RO"/>
        </w:rPr>
        <w:t>  Halofuginona ca bază liberă este instabilă în soluții alcaline sau de acetat de etil. Ea nu trebuie să rămână în acetat de etil mai mult de 30 de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Generalități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Se analizează un furaj martor pentru a verifica absența halofuginonei și a substanțelor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Se efectuează un test de recuperare prin analiza furajului martor care a fost îmbogățit prin adăugarea unei cantități de halofuginonă, similară cu cea prezentă în eșantion. Pentru a obține o concentrație de 3 mg/kg se adaugă 300 μl din soluția etalon stoc (punctul 3.6.1) la 10 g de furaj martor, se amestecă și se așteaptă 10 minute înainte de a se începe etapa de extracție (punctul 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Notă</w:t>
      </w:r>
      <w:r w:rsidRPr="00427724">
        <w:rPr>
          <w:rFonts w:ascii="Times New Roman" w:hAnsi="Times New Roman" w:cs="Times New Roman"/>
          <w:sz w:val="28"/>
          <w:szCs w:val="28"/>
          <w:lang w:val="ro-RO"/>
        </w:rPr>
        <w:t>: Conform acestei metode, furajul martor este similar, ca tip, cu eșantionul, iar la analiză nu se detectează halofuginonă.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Extracție</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cântăresc, cu o abatere de 0,1 g, 10 g de eșantion preparat, într-un tub de centrifugă de 200 ml, se adaugă 0,5 g de ascorbat de sodiu (punctul 3.10), 0,5 g de EDTA (punctul 3.13) și 20 ml de apă, apoi se amestecă. Se plasează tubul într-o baie de apă timp de 5 minute (80 °C). După răcire la temperatura camerei se adaugă 20 ml soluție de carbonat de sodiu (punctul 3.15) și se amestecă. Se adaugă imediat 100 ml de acetat de etil (punctul 3.4) și se agită energic cu mâna timp de 15 secunde. Apoi tubul se așază într-o baie cu ultrasunete (punctul 4.1) timp de 3 minute și se slăbește dopul. Se centrifughează timp de 2 minute și se decantează faza de acetat de etil printr-un filtru de fibră de sticlă (punctul 4.6), într-o pâlnie de separare de 500 ml. Se repetă extracția eșantionului cu o a doua cantitate de 100 ml acetat de etil. Se </w:t>
      </w:r>
      <w:r w:rsidR="00427724" w:rsidRPr="00427724">
        <w:rPr>
          <w:rFonts w:ascii="Times New Roman" w:hAnsi="Times New Roman" w:cs="Times New Roman"/>
          <w:sz w:val="28"/>
          <w:szCs w:val="28"/>
          <w:lang w:val="ro-RO"/>
        </w:rPr>
        <w:lastRenderedPageBreak/>
        <w:t>spală extractele combinate timp de un minut cu 50 ml de soluție de carbonat de sodiu saturată cu clorură de sodiu (punctul 3.16) și se îndepărtează stratul apos.</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extrage stratul organic timp de 1 minut cu 50 ml de acid clorhidric (punctul 3.17). Se trece stratul inferior de acid printr-o pâlnie de separare de 250 ml. Se extrage din nou stratul organic timp de 1,5 minute, cu o altă cantitate de 50 ml acid clorhidric, apoi se combină cu primul extract. Se spală extractele de acid combinate prin agitare circulară timp de aproximativ 10 secunde cu 10 ml de acetat de etil (punctul 3.4).</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cantitativ stratul apos într-un balon cu fund rotund de 250 ml și se îndepărtează faza organică. Se evaporă din soluția acidă tot acetatul de etil rămas utilizând un evaporator rotativ cu generare de film (punctul 4.2). Temperatura băii de apă nu trebuie să depășească 40 °C. Sub vid la o presiune de aproximativ 25 mbar întreaga cantitate de acetat de etil rezidual se îndepărtează în 5 minute la 38 °C.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Curățare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Pregătirea coloanei de Amberlit</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fiecare extract de eșantion se pregătește câte o coloană XAD-2. Se transferă 10 g de Amberlit preparat (punctul 3.19) într-o coloană de sticlă (punctul 4.5) cu metanol (punctul 3.8). Se adaugă un dop mic de vată de sticlă deasupra patului de rășină. Se scurge metanolul din coloană și se spală rășina cu 100 ml de apă, oprind fluxul pe măsură ce lichidul ajunge la partea superioară a patului de rășină. Se lasă coloana să se echilibreze timp de 10 minute înainte de utilizare. Niciodată nu se lasă coloana să se usuce.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Curățarea eșantionului</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transferă cantitativ extractul (punctul 5.2) în partea superioară a coloanei de Amberlit preparată (punctul 5.3.1) și se eluează, îndepărtând apoi eluatul. Rata de eluare nu trebuie să depășească 20 ml/min. Se clătește balonul cu fund rotund cu 20 ml de acid clorhidric (punctul 3.17), apoi acesta se folosește pentru spălarea coloanei de rășină. Se suflă orice urmă de soluție acidă rămasă cu ajutorul unui curent de aer. Se îndepărtează lichidele de spălare. Se adaugă 100 ml de metanol (punctul 3.8) în coloană și se eluează 5-10 ml; se colectează eluatul într-un balon cu fundul rotund de 250 ml. Se lasă metanolul rămas timp de 10 minute să se echilibreze cu rășina și se continuă eluarea la o rată care să nu depășească 20 ml/min, colectând eluatul în același balon cu fundul rotund. Se evaporă metanolul pe evaporatorul rotativ cu generare de film (punctul 4.2); temperatura băii de apă trebuie să nu depășească </w:t>
      </w:r>
      <w:r w:rsidR="00427724" w:rsidRPr="00427724">
        <w:rPr>
          <w:rFonts w:ascii="Times New Roman" w:hAnsi="Times New Roman" w:cs="Times New Roman"/>
          <w:sz w:val="28"/>
          <w:szCs w:val="28"/>
          <w:lang w:val="ro-RO"/>
        </w:rPr>
        <w:lastRenderedPageBreak/>
        <w:t>40 °C. Se transferă cantitativ reziduul într-un balon gradat de 10 ml, utilizând faza mobilă (punctul 3.21). Se completează până la semn cu ajutorul fazei mobile și se amestecă. Se filtrează o parte alicotă printr-un filtru cu membrană (punctul 4.7). Această soluție se păstrează pentru determinarea prin HPLC (punctul 5.4).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5.4.1.   </w:t>
      </w:r>
      <w:r w:rsidRPr="00427724">
        <w:rPr>
          <w:rFonts w:ascii="Times New Roman" w:hAnsi="Times New Roman" w:cs="Times New Roman"/>
          <w:b/>
          <w:bCs/>
          <w:sz w:val="28"/>
          <w:szCs w:val="28"/>
          <w:lang w:val="ro-RO"/>
        </w:rPr>
        <w:t> Parametri</w:t>
      </w:r>
    </w:p>
    <w:p w:rsidR="00427724" w:rsidRPr="00427724" w:rsidRDefault="00BC54BD"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Următoarele condiții sunt propuse cu titlu orientativ; se pot aplica și alte condiții, dacă acestea duc la rezultate echivalente.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Coloană pentru cromatografie lichidă (punctul 4.4.1)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Fază mobilă HPLC (punctul 3.21)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 1,5-2 ml/min.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Lungimea undei de detecție: 243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 de injecție: 40-100 μl.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Stabilitatea sistemului cromatografic se verifică prin injectarea de mai multe ori a soluției de calibrare (punctul 3.6.2) conținând 3,0 μg/ml, până la obținerea de înălțimi (sau de arii) ale vârfurilor și de timpi de retenție constanți.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5.4.2.   </w:t>
      </w:r>
      <w:r w:rsidRPr="00427724">
        <w:rPr>
          <w:rFonts w:ascii="Times New Roman" w:hAnsi="Times New Roman" w:cs="Times New Roman"/>
          <w:b/>
          <w:bCs/>
          <w:sz w:val="28"/>
          <w:szCs w:val="28"/>
          <w:lang w:val="ro-RO"/>
        </w:rPr>
        <w:t> Curba de calibrare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fiecare soluție de calibrare (punctul 3.6.2) de mai multe ori și se determină înălțimile (ariile) vârfurilor pentru fiecare concentrație. Se trasează o curbă de calibrare utilizând înălțimile (ariile) medii ale vârfurilor soluțiilor de calibrare ca ordonate și concentrațiile corespunzătoare, în μg/ml, ca abscise.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5.4.3.   </w:t>
      </w:r>
      <w:r w:rsidRPr="00427724">
        <w:rPr>
          <w:rFonts w:ascii="Times New Roman" w:hAnsi="Times New Roman" w:cs="Times New Roman"/>
          <w:b/>
          <w:bCs/>
          <w:sz w:val="28"/>
          <w:szCs w:val="28"/>
          <w:lang w:val="ro-RO"/>
        </w:rPr>
        <w:t> Soluția de eșantion</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extractul de eșantion (punctul 5.3.2) de mai multe ori, utilizând același volum ca cel utilizat pentru soluțiile de calibrare și se determină înălțimea (aria) medie a vârfurilor pentru vârfurile de halofuginonă.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Concentrația soluției de eșantion în μg/ml se determină plecând de la înălțimea (aria) medie a vârfurilor de halofuginonă a soluției de eșantion prin referire la curba de calibrare (punctul 5.4.2).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halofuginonă w (mg/kg) al eșantionului este dat de formula următoare: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988060" cy="567690"/>
            <wp:effectExtent l="0" t="0" r="2540" b="3810"/>
            <wp:docPr id="5" name="Imagine 5" descr="C:\Users\User MAIA\AppData\Local\Microsoft\Windows\INetCache\Content.MSO\9B6B99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 MAIA\AppData\Local\Microsoft\Windows\INetCache\Content.MSO\9B6B99C7.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8060" cy="56769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63"/>
        <w:gridCol w:w="102"/>
        <w:gridCol w:w="9141"/>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halofuginonă din soluția de eșantion,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51"/>
        <w:gridCol w:w="161"/>
        <w:gridCol w:w="8794"/>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grame.</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Validarea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Identitate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Identitatea analitului poate fi confirmată prin co-cromatografie sau prin utilizarea unui detector cu grup de diode care permite compararea spectrelor extractului de eșantion și ale soluției de calibrare (punctul 3.6.2), care conține 6,0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7.1.1.   </w:t>
      </w:r>
      <w:r w:rsidRPr="00427724">
        <w:rPr>
          <w:rFonts w:ascii="Times New Roman" w:hAnsi="Times New Roman" w:cs="Times New Roman"/>
          <w:b/>
          <w:bCs/>
          <w:sz w:val="28"/>
          <w:szCs w:val="28"/>
          <w:lang w:val="ro-RO"/>
        </w:rPr>
        <w:t> Co-cromatografie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Un extract de eșantion este îmbogățit prin adăugarea unei cantități corespunzătoare de soluție de calibrare (punctul 3.6.2). Cantitatea de halofuginonă adăugată trebuie să fie similară cu cantitatea estimată de halofuginonă găsită în extractul de eșantion.</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luarea în considerare atât a cantității adăugate, cât și a diluției extractului, crește numai înălțimea vârfului de halofuginonă. Lărgimea vârfului, la jumătate din înălțimea sa maximă, trebuie să se încadreze într-o variație de ± 10 % din lărgimea originală.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7.1.2.   </w:t>
      </w:r>
      <w:r w:rsidRPr="00427724">
        <w:rPr>
          <w:rFonts w:ascii="Times New Roman" w:hAnsi="Times New Roman" w:cs="Times New Roman"/>
          <w:b/>
          <w:bCs/>
          <w:sz w:val="28"/>
          <w:szCs w:val="28"/>
          <w:lang w:val="ro-RO"/>
        </w:rPr>
        <w:t> Detecție cu grup de diode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se evaluează în funcție de următoarele criterii: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de obicei de ± 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între 225 și 300 nm, spectrele eșantionului și ale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două spectre nu depășește în niciun punct observat 15 % din absorbanța analitului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 între 225 și 300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punctului maxim.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unul din aceste criterii nu este îndeplinit, prezența analitului nu a fost confirmată.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efectuate pe același eșantion nu trebuie să depășească 0,5 mg/kg pentru un conținut de halofugiononă de până la 3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eșantionul martor îmbogățit se realizează o recuperare de minimum 80 %.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Rezultatele unui studiu colaborativ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fost organizat un studiu colaborativ (</w:t>
      </w:r>
      <w:hyperlink r:id="rId65" w:anchor="E0041"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26</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 în cadrul căruia trei eșantioane au fost analizate de opt laboratoare.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Rezultate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48"/>
        <w:gridCol w:w="2220"/>
        <w:gridCol w:w="1228"/>
        <w:gridCol w:w="1483"/>
        <w:gridCol w:w="1228"/>
        <w:gridCol w:w="1483"/>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A (martor)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 primire</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B (făină)</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C (pelete)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 primire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După două luni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La primire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După două luni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2,45</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0,42</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Rec.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w:t>
            </w:r>
          </w:p>
        </w:tc>
      </w:tr>
      <w:tr w:rsidR="00427724" w:rsidRPr="00427724">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ND=  nedetectat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reproductibilității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Rec.=  recuperare %</w:t>
            </w:r>
          </w:p>
        </w:tc>
      </w:tr>
    </w:tbl>
    <w:p w:rsidR="00CD0DDE" w:rsidRDefault="00CD0DDE"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   DETERMINAREA ROBENIDINEI</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Clorhidrat de 1,3-bis[(4-clorbenziliden)amino]guanidină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robenidină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B408AF" w:rsidRPr="00B408AF">
        <w:rPr>
          <w:rFonts w:ascii="Times New Roman" w:hAnsi="Times New Roman" w:cs="Times New Roman"/>
          <w:sz w:val="28"/>
          <w:szCs w:val="28"/>
          <w:lang w:val="ro-RO"/>
        </w:rPr>
        <w:t>SM EN 17299:2020</w:t>
      </w:r>
      <w:r w:rsidR="00B408AF">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lichidă de înaltă performanță (HPLC) cu fază inversată, utilizând un detector UV, astfel cum se descrie la punctele 1-8 de mai jos.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permite determinarea conținutului de robenidină din furaje. Limita de cuantificare este de 5 mg/kg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Principiu</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se extrage cu metanol acidifiat. Extractul se usucă și o parte alicotă se curăță într-o coloană de oxid de aluminiu. Robenidina se eluează din coloană cu metanol, se concentrează și se completează până la un volum adecvat cu fază mobilă. Conținutul de robenidină se determină prin cromatografie lichidă de înaltă performanță cu fază inversată (RP-HPLC), utilizând un detector de radiații UV.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Metanol acidifiat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Se transferă 4,0 ml de acid clorhidric (</w:t>
      </w:r>
      <w:r w:rsidRPr="00427724">
        <w:rPr>
          <w:rFonts w:ascii="Times New Roman" w:hAnsi="Times New Roman" w:cs="Times New Roman"/>
          <w:i/>
          <w:iCs/>
          <w:sz w:val="28"/>
          <w:szCs w:val="28"/>
          <w:lang w:val="ro-RO"/>
        </w:rPr>
        <w:t>ρ</w:t>
      </w:r>
      <w:r w:rsidRPr="00427724">
        <w:rPr>
          <w:rFonts w:ascii="Times New Roman" w:hAnsi="Times New Roman" w:cs="Times New Roman"/>
          <w:sz w:val="28"/>
          <w:szCs w:val="28"/>
          <w:lang w:val="ro-RO"/>
        </w:rPr>
        <w:t>20 = 1,18 g/ml) într-un balon gradat de 500 ml, se completează până la semn cu metanol (punctul 3.1)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Acetonitril,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Sită moleculară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Tip 3A, 8-12 noduri ale sitei (noduri de 1,6-2,5 mm, aluminosilicat cristalin, diametrul porilor 0,3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Oxid de aluminiu, activitate acidă grad I pentru cromatografia pe coloană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100 g de oxid de aluminiu într-un recipient adecvat și se adaugă 2,0 ml de apă. Se închide și se agită timp de aproximativ 20 de minute. Se păstrează într-un recipient bine închis.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Soluție de fosfat diacid de potasiu, c = 0,025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3,40 g de fosfat diacid de potasiu în apă (de calitate HPLC), într-un balon gradat de 1 000 ml, se completează până la semn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de fosfat acid disodic, c = 0,025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3,55 g de fosfat acid disodic anhidru (sau 4,45 g de dihidrat sau 8,95 g de dodecahidrat) în apă (de calitate HPLC), într-un balon gradat de 1 litru, se completează până la semn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Fază mobilă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amestecă următorii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650 ml de acetonitril (punctul 3.3),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250 ml apă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 ml soluție de fosfat diacid de potasiu (punctul 3.6),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 ml soluție de fosfat acid disodic (punctul 3.7).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trece printr-un filtru de 0,22 μm (punctul 4.6) și se degazează soluția (de exemplu, prin ultrasonare timp de 10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Substanța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Robenidină pură: Clorhidrat de 1,3-bis[(4-clorbenziliden)amino]guanidină.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3.9.1. Soluția etalon stoc de robenidină: 300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0,1 mg, 30 mg de substanță etalon de robenidină (punctul 3.9). Se dizolvă în metanol acidifiat (punctul 3.2) într-un balon gradat de 100 ml, se completează până la semn cu același solvent și se amestecă. Se împachetează balonul în folie de aluminiu și se păstrează la întuneric.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3.9.2. Soluția etalon intermediară de robenidină: 12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10,0 ml din soluția etalon stoc (punctul 3.9.1) într-un balon gradat de 250 ml, se completează până la semn cu faza mobilă (punctul 3.8) și se amestecă. Se împachetează balonul în folie de aluminiu și se păstrează la întuneric.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3.9.3. Soluții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5,0, 10,0, 15,0, 20,0 și 25,0 ml de soluție etalon intermediară (punctul 3.9.2) într-o serie de baloane gradate de 50 ml. Se completează până la semn cu fază mobilă (punctul 3.8) și se amestecă. Aceste soluții corespund concentrațiilor de 1,2, 2,4, 3,6, 4,8 și 6,0 μg/ml de robenidină. Soluțiile se prepară imediat înainte de a fi utilizate.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Apă, de calitate HPLC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Coloană de sticlă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Construită din sticlă brună, prevăzută cu robinet de închidere și un rezervor cu capacitatea de aproximativ 150 ml, diametru interior 10-15 mm, lungime 250 mm.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Agitator mecanic sau magnetic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Evaporator rotativ cu generare de film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Echipament HPLC cu detector de radiații UV cu lungimi de undă variabile sau cu detector cu grup de diode care funcționează în intervalul 250-400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4.4.1. Coloană pentru cromatografie lichidă: 300 mm x 4 mm,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10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Hârtie de filtru din fibră de sticlă (Whatman GF/A sau echivalentă)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Filtre cu membrană, 0,22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Filtre cu membrană, 0,45 μm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Notă:</w:t>
      </w:r>
      <w:r w:rsidRPr="00427724">
        <w:rPr>
          <w:rFonts w:ascii="Times New Roman" w:hAnsi="Times New Roman" w:cs="Times New Roman"/>
          <w:sz w:val="28"/>
          <w:szCs w:val="28"/>
          <w:lang w:val="ro-RO"/>
        </w:rPr>
        <w:t>  Robenidina este sensibilă la lumină. Pentru toate operațiile se folosește sticla brună.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Generalități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Se analizează un furaj martor pentru a verifica absența robenidinei și a substanțelor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Se efectuează un test de recuperare prin analizarea furajului martor (punctul 5.1.1) care a fost îmbogățit prin adăugarea unei cantități de robenidină, similară cu cea prezentă în eșantion. Pentru a obține o concentrație de 60 mg/kg, se transferă 3,0 ml din soluția etalon stoc (punctul 3.9.1) într-un flacon tip Erlenmeyer de 250 ml. Se evaporă soluția până la cca 0,5 ml într-un curent de azot. Se adaugă 15 g din furajul martor, se amestecă și se așteaptă 10 minute înainte de a se începe etapa de extracție (punctul 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Notă</w:t>
      </w:r>
      <w:r w:rsidRPr="00427724">
        <w:rPr>
          <w:rFonts w:ascii="Times New Roman" w:hAnsi="Times New Roman" w:cs="Times New Roman"/>
          <w:sz w:val="28"/>
          <w:szCs w:val="28"/>
          <w:lang w:val="ro-RO"/>
        </w:rPr>
        <w:t>: Pentru această metodă, furajul martor este similar, ca tip, cu eșantionul, iar la analiză nu se detectează robenidină.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Extracție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0,01 g, aproximativ 15 g de eșantion preparat. Se transferă într-un flacon tip Erlenmeyer de 250 ml și se adaugă 100,0 ml metanol acidifiat (punctul 3.2), se închide și se agită timp de o oră în agitator (punctul 4.2). Se filtrează soluția prin hârtie de filtru din fibră de sticlă (punctul 4.5) și se colectează întregul filtrat într-un flacon tip Erlenmeyer de 150 ml. Se adaugă 7,5 g de sită moleculară (punctul 3.4), se închide și se agită timp de 5 minute. Se filtrează imediat prin hârtie de filtru din fibră de sticlă. Se conservă această soluție pentru etapa de purificare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Purificare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Pregătirea coloanei de oxid de aluminiu</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introduce un tampon mic de vată de sticlă în capătul inferior al coloanei de sticlă (punctul 4.1) și se împinge utilizând o baghetă de sticlă. Se cântăresc 11,0 g din oxidul de aluminiu preparat (punctul 3.5) și se transferă în coloană. Pe parcursul acestei etape este important ca expunerea la aer să fie redusă la minimum. Se lovește ușor coloana încărcată în partea inferioară pentru a permite stabilizarea oxidului de aluminiu.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5.3.2.   </w:t>
      </w:r>
      <w:r w:rsidRPr="00427724">
        <w:rPr>
          <w:rFonts w:ascii="Times New Roman" w:hAnsi="Times New Roman" w:cs="Times New Roman"/>
          <w:b/>
          <w:bCs/>
          <w:sz w:val="28"/>
          <w:szCs w:val="28"/>
          <w:lang w:val="ro-RO"/>
        </w:rPr>
        <w:t> Purificarea eșantionului</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în coloană cu pipeta 5,0 ml de extract de eșantionul preparat în (punctul 5.2). Vârful pipetei se menține aproape de peretele coloanei și se permite ca soluția să fie absorbită de oxidul de aluminiu. Se eluează robenidina din coloană folosind 100 ml metanol (punctul 3.1), cu un debit de 2-3 ml/minut și se colectează eluatul într-un balon cu fundul rotund de 250 ml. Se evaporă soluția de metanol până la uscare sub presiune redusă la 40 °C, prin intermediul unui evaporator rotativ cu generare de film (punctul 4.3). Se redizolvă reziduul în 3-4 ml de fază mobilă (punctul 3.8) și se transferă cantitativ într-un balon gradat de 10 ml. Se clătește balonul de mai multe ori cu cantități de 1-2 ml de fază mobilă și se transferă lichidul de clătire în balonul gradat. Se completează până la semn cu același solvent și se amestecă. Se filtrează o parte alicotă printr-un filtru cu membrană de 0,45 μm (punctul 4.7). Această soluție se păstrează pentru determinarea prin HPLC (punctul 5.4).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5.4.1.   </w:t>
      </w:r>
      <w:r w:rsidRPr="00427724">
        <w:rPr>
          <w:rFonts w:ascii="Times New Roman" w:hAnsi="Times New Roman" w:cs="Times New Roman"/>
          <w:b/>
          <w:bCs/>
          <w:sz w:val="28"/>
          <w:szCs w:val="28"/>
          <w:lang w:val="ro-RO"/>
        </w:rPr>
        <w:t> Parametri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Următoarele condiții sunt propuse cu titlu orientativ; se pot aplica și alte condiții, dacă acestea duc la rezultate echivalente: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Coloană pentru cromatografie lichidă (punctul 4.4.1),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Fază mobilă HPLC (punctul 3.8),</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 1,5-2 ml/min,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Lungimea de undă a detectorului: 317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 de injecție: 20-50 μl.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Stabilitatea sistemului cromatografic se verifică prin injectarea de mai multe ori a soluției de calibrare (punctul 3.9.3) conținând 3,6 μg/ml, până la obținerea de înălțimi ale vârfurilor și de timpi de retenție constanți.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5.4.2.   </w:t>
      </w:r>
      <w:r w:rsidRPr="00427724">
        <w:rPr>
          <w:rFonts w:ascii="Times New Roman" w:hAnsi="Times New Roman" w:cs="Times New Roman"/>
          <w:b/>
          <w:bCs/>
          <w:sz w:val="28"/>
          <w:szCs w:val="28"/>
          <w:lang w:val="ro-RO"/>
        </w:rPr>
        <w:t> Curba de calibrare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fiecare soluție de calibrare (punctul 3.9.3) de mai multe ori și se determină înălțimile (ariile) vârfurilor pentru fiecare concentrație. Se trasează o curbă de calibrare utilizând înălțimile sau ariile medii ale vârfurilor soluțiilor de calibrare ca ordonate și concentrațiile corespunzătoare, în μg/ml, ca abscise.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5.4.3.   </w:t>
      </w:r>
      <w:r w:rsidRPr="00427724">
        <w:rPr>
          <w:rFonts w:ascii="Times New Roman" w:hAnsi="Times New Roman" w:cs="Times New Roman"/>
          <w:b/>
          <w:bCs/>
          <w:sz w:val="28"/>
          <w:szCs w:val="28"/>
          <w:lang w:val="ro-RO"/>
        </w:rPr>
        <w:t> Soluția de eșantion</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de mai multe ori extractul de eșantion (punctul 5.3.2) folosind același volum ca și în cazul soluțiilor de calibrare și se determină înălțimea (aria) medie a vârfurilor pentru vârfurile de robenidină.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înălțimea (aria) medie a vârfurilor robenidinei din soluția de eșantion se determină concentrația în μg/ml a soluției de eșantion prin referire la curba de calibrare (punctul 5.4.2).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robenidină w (mg/kg) din eșantion este dat de formula următoare: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103630" cy="567690"/>
            <wp:effectExtent l="0" t="0" r="1270" b="3810"/>
            <wp:docPr id="4" name="Imagine 4" descr="C:\Users\User MAIA\AppData\Local\Microsoft\Windows\INetCache\Content.MSO\C9ED6E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MAIA\AppData\Local\Microsoft\Windows\INetCache\Content.MSO\C9ED6E6D.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3630" cy="56769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68"/>
        <w:gridCol w:w="212"/>
        <w:gridCol w:w="9026"/>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robenidină din soluția de eșantion,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443"/>
        <w:gridCol w:w="321"/>
        <w:gridCol w:w="8642"/>
      </w:tblGrid>
      <w:tr w:rsidR="00427724" w:rsidRP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grame.</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Validarea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Identitate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Identitatea analitului poate fi confirmată prin co-cromatografie sau prin utilizarea unui detector cu grup de diode care permite compararea spectrelor extractului de eșantion și ale soluției de calibrare (punctul 3.9.3), care conține 6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7.1.1.   </w:t>
      </w:r>
      <w:r w:rsidRPr="00427724">
        <w:rPr>
          <w:rFonts w:ascii="Times New Roman" w:hAnsi="Times New Roman" w:cs="Times New Roman"/>
          <w:b/>
          <w:bCs/>
          <w:sz w:val="28"/>
          <w:szCs w:val="28"/>
          <w:lang w:val="ro-RO"/>
        </w:rPr>
        <w:t> Co-cromatografie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Un extract de eșantion se îmbogățește prin adăugarea unei cantități adecvate de soluție de calibrare (punctul 3.9.3). Cantitatea de robenidină adăugată trebuie să fie similară cu cantitatea estimată de robenidină constatată în extractul de eșantion.</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Numai înălțimea vârfului de robenidină crește după luarea în considerare a cantității adăugate și a diluției extractului. Lărgimea vârfului la jumătatea înălțimii sale maxime trebuie să se încadreze într-o variație de aproximativ 10 % din lărgimea inițială.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7.1.2.   </w:t>
      </w:r>
      <w:r w:rsidRPr="00427724">
        <w:rPr>
          <w:rFonts w:ascii="Times New Roman" w:hAnsi="Times New Roman" w:cs="Times New Roman"/>
          <w:b/>
          <w:bCs/>
          <w:sz w:val="28"/>
          <w:szCs w:val="28"/>
          <w:lang w:val="ro-RO"/>
        </w:rPr>
        <w:t> Detecție cu grup de diode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Rezultatele se evaluează în funcție de următoarele criterii: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aceasta este în mod normal de aproximativ 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între 250 și 400 nm, spectrele eșantionului și ale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două spectre nu depășește în niciun punct observat 15 % din absorbanța analitului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între 250 și 400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punctului maxim.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Dacă unul din aceste criterii nu este îndeplinit, prezența analitului nu a fost confirmată.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determinări paralele efectuate pe același eșantion nu trebuie să depășească 10 % din valoarea superioară, pentru un conținut de robenidină mai mare de 15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un eșantion martor îmbogățit, recuperarea este de cel puțin 85 %.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Rezultatele unui studiu colaborativ</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 fost organizat un studiu prin colaborare la nivelul UE, în cursul căruia au fost analizate de către 12 laboratoare patru eșantioane, sub formă de făină sau de pelete, de hrană pentru păsări de curte și pentru iepuri. Fiecare eșantion a făcut obiectul unei duble analize. Rezultatele sunt prezentate în tabelul de mai jos:</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78"/>
        <w:gridCol w:w="1091"/>
        <w:gridCol w:w="1134"/>
        <w:gridCol w:w="889"/>
        <w:gridCol w:w="925"/>
      </w:tblGrid>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Păsări de curte</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Iepuri</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Făină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Pelete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Făină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Pelete</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27,99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1,66</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3,91</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9,7</w:t>
            </w:r>
          </w:p>
        </w:tc>
      </w:tr>
      <w:tr w:rsidR="00427724" w:rsidRP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Recuperare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87,2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80,2</w:t>
            </w:r>
          </w:p>
        </w:tc>
      </w:tr>
      <w:tr w:rsidR="00427724" w:rsidRPr="00427724">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reproductibilității, (%)</w:t>
            </w:r>
          </w:p>
        </w:tc>
      </w:tr>
    </w:tbl>
    <w:p w:rsidR="00EC3425" w:rsidRDefault="00EC3425"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   DETERMINAREA CONȚINUTULUI DE DICLAZURIL</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(+)-4-clorfenil [2,6-diclor-4-(2,3,4,5-tetrahidro-3,5-dioxo-1,2,4-triazin-2il)fenil]-acetonitril.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diclazuril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C3D1C" w:rsidRPr="005C3D1C">
        <w:rPr>
          <w:rFonts w:ascii="Times New Roman" w:hAnsi="Times New Roman" w:cs="Times New Roman"/>
          <w:sz w:val="28"/>
          <w:szCs w:val="28"/>
          <w:lang w:val="ro-RO"/>
        </w:rPr>
        <w:t>SM EN 17299:2020</w:t>
      </w:r>
      <w:r w:rsidR="005C3D1C">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lichidă de înaltă performanță (HPLC) cu fază inversată, utilizând un detector UV, astfel cum se descrie la punctele 1-9 de mai jos.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permite determinarea conținutului de diclazuril din furaje combinate și preamestecuri. Limita de detecție este de 0,1 mg/kg, iar limita de cuantificare este de 0,5 mg/kg Limite de cuantificare mai mici sunt realizabile, dar acest lucru trebuie validat de către utilizator.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2.    Principiu</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adăugarea unui standard intern, eșantionul este extras cu metanol acidifiat. Pentru furaje, o parte alicotă a extractului este purificată pe un cartuș C18 pentru extracție în fază solidă. Diclazurilul este eluat din cartuș cu un amestec de metanol acidifiat și apă. După evaporare, reziduul se dizolvă într-un amestec DMF/apă. Pentru preamestecuri, extractul se evaporă și reziduul se dizolvă într-un amestec DMF/apă. Conținutul de diclazuril se determină prin cromatografie lichidă de înaltă performanță (HPLC) cu gradient ternar și cu fază inversată, prin utilizarea unui detector UV.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Apă,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Acetat de amoniu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Sulfat acid de tetrabutilamoniu (TBHS)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Acetonitril,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Metanol,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N,N-dimetilformamidă (DMF)</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Acid clorhidric, ρ</w:t>
      </w:r>
      <w:r w:rsidRPr="00427724">
        <w:rPr>
          <w:rFonts w:ascii="Times New Roman" w:hAnsi="Times New Roman" w:cs="Times New Roman"/>
          <w:sz w:val="28"/>
          <w:szCs w:val="28"/>
          <w:vertAlign w:val="subscript"/>
          <w:lang w:val="ro-RO"/>
        </w:rPr>
        <w:t>20</w:t>
      </w:r>
      <w:r w:rsidRPr="00427724">
        <w:rPr>
          <w:rFonts w:ascii="Times New Roman" w:hAnsi="Times New Roman" w:cs="Times New Roman"/>
          <w:sz w:val="28"/>
          <w:szCs w:val="28"/>
          <w:lang w:val="ro-RO"/>
        </w:rPr>
        <w:t> = 1,19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Substanță etalon: diclazuril: (+)-4-clorfenil [2,6-diclor-4-(2,3,4,5-tetrahidro3,5 -dioxo-1,2,4-triazin-2-il) fenil] acetonitril, cu puritate garantată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3.8.1. Soluție etalon stoc de diclazuril, 500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0,1 mg, 25 mg de substanță etalon de diclazuril (punctul 3.8)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3.8.2. Soluția etalon de diclazuril, 50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5,00 ml din soluția etalon stoc (punctul 3.8.1) într-un balon gradat de 50 ml,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3.9. Substanță etalon intern: 2,6 diclor-α-(4-clorfenil)-4-[4,5-dihidro3,5 -dioxo-1,2,4-triazin-2 (3H)-il]α-metilbenzen-acetonitril (diclazuril de metil)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3.9.1. Soluție etalon stoc internă de diclazuril, 500 μg/ml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0,1 mg, 25 mg de substanță etalon internă (punctul 3.9) într-un balon gradat de 50 ml. Se dizolvă în DMF (punctul 3.6),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3.9.2. Soluție etalon intern, 50 μg/ml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5,00 ml din soluția etalon stoc internă de etalon intern (punctul 3.9.1) într-un balon gradat de 50 ml, se completează până la semn cu DMF (punctul 3.6) și se amestecă. Se împachetează balonul în folie de aluminiu sau se utilizează un balon de culoare brună și se depozitează în frigider. La o temperatură mai mică sau egală cu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3.9.3. Soluție etalon intern pentru preamestecuri, p/1 000 mg/ml (p = conținutul nominal de diclazuril în preamestec în mg/kg)</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0,1 mg, p/10 mg de substanță etalon intern într-un balon gradat de 100 ml, se dizolvă în DMF (punctul 3.6) într-o baie cu ultrasunete (punctul 4.7), se completează până la semn cu DMF și se amestecă. Se împachetează balonul în folie de aluminiu sau se utilizează un balon de culoare brună și se depozitează în frigider. La o temperatură mai mică sau egală cu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Soluții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3.10.1. Soluție de calibrare, 1 μg/ml (diclazuril)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1,00 ml din soluția etalon de diclazuril (punctul 3.8.2) și 2,00 ml din soluția etalon intern (punctul 3.9.2) într-un balon gradat de 50 ml. Se adaugă 17 ml de DMF (punctul 3.6), se completează până la semn cu apă (punctul 3.1)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3.10.2. Soluție de calibrare, 2 μg/ml (diclazuril)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Se pipetează 2,00 ml din soluția etalon de diclazuril (punctul 3.8.2) și 2,00 ml din soluția etalon intern (punctul 3.9.2) într-un balon gradat de 50 ml. Se adaugă 16 ml </w:t>
      </w:r>
      <w:r w:rsidRPr="00427724">
        <w:rPr>
          <w:rFonts w:ascii="Times New Roman" w:hAnsi="Times New Roman" w:cs="Times New Roman"/>
          <w:sz w:val="28"/>
          <w:szCs w:val="28"/>
          <w:lang w:val="ro-RO"/>
        </w:rPr>
        <w:lastRenderedPageBreak/>
        <w:t>de DMF (punctul 3.6), se completează până la semn cu apă (punctul 3.1)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3.10.3. Soluție de calibrare, 3 μg/ml (diclazuril)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3,00 ml din soluția etalon de diclazuril (punctul 3.8.2) și 2,00 ml din soluția etalon intern (punctul 3.9.2) într-un balon gradat de 50 ml. Se adaugă 15 ml de DMF (punctul 3.6), se completează până la semn cu apă (punctul 3.1)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3.10.4. Soluție de calibrare, 4 μg/ml (diclazuril)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4,00 ml din soluția etalon de diclazuril (punctul 3.8.2) și 2,00 ml din soluția etalon intern (punctul 3.9.2) într-un balon gradat de 50 ml. Se adaugă 14 ml de DMF (punctul 3.6), se completează până la semn cu apă (punctul 3.1)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3.10.5. Soluție de calibrare, 5 μg/ml (diclazuril)</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5,00 ml din soluția etalon de diclazuril (punctul 3.8.2) și 2,00 ml din soluția etalon intern (punctul 3.9.2) într-un balon gradat de 50 ml. Se adaugă 13 ml de DMF (punctul 3.6), se completează până la semn cu apă (punctul 3.1) și se amestecă. Soluția se prepară imediat înainte de utilizare.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i/>
          <w:iCs/>
          <w:sz w:val="28"/>
          <w:szCs w:val="28"/>
          <w:lang w:val="ro-RO"/>
        </w:rPr>
        <w:tab/>
      </w:r>
      <w:r>
        <w:rPr>
          <w:rFonts w:ascii="Times New Roman" w:hAnsi="Times New Roman" w:cs="Times New Roman"/>
          <w:i/>
          <w:iCs/>
          <w:sz w:val="28"/>
          <w:szCs w:val="28"/>
          <w:lang w:val="ro-RO"/>
        </w:rPr>
        <w:tab/>
      </w:r>
      <w:r w:rsidR="00427724" w:rsidRPr="00427724">
        <w:rPr>
          <w:rFonts w:ascii="Times New Roman" w:hAnsi="Times New Roman" w:cs="Times New Roman"/>
          <w:i/>
          <w:iCs/>
          <w:sz w:val="28"/>
          <w:szCs w:val="28"/>
          <w:lang w:val="ro-RO"/>
        </w:rPr>
        <w:t>Notă</w:t>
      </w:r>
      <w:r w:rsidR="00427724" w:rsidRPr="00427724">
        <w:rPr>
          <w:rFonts w:ascii="Times New Roman" w:hAnsi="Times New Roman" w:cs="Times New Roman"/>
          <w:sz w:val="28"/>
          <w:szCs w:val="28"/>
          <w:lang w:val="ro-RO"/>
        </w:rPr>
        <w:t>: soluțiile de calibrare (punctele 3.10.1, 3.10.2, 3.10.3, 3.10.4 și 3.10.5) acoperă concentrația de diclazuril din hrana pentru animale cuprinsă între 0,5 și 2,5 mg/kg atunci când se utilizează protocolul actual.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Cartuș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pentru extracție în fază solidă, de exemplu Bond Elut, mărime: 20 cc, greutatea absorbentului: 5 000 mg (precondiționare în conformitate cu orientările furnizorului).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3.12. Solvent de extracție: metanol acidifiat.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pipetează 5,0 ml de acid clorhidric (punctul 3.7) în 1 000 ml de metanol (punctul 3.5)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 Fază mobilă pentru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3.13.1. Eluent A: acetat de amoniu – soluție de sulfat acid de tetrabutilamoniu.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5 g de acetat de amoniu (punctul 3.2) și 3,4 g de TBHS (punctul 3.3) în 1 000 ml de apă (punctul 3.1)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3.13.2. Eluent B: acetonitril (punctul 3.4).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3.13.3. Eluent C: metanol (punctul 3.5).</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Agitator mecanic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Echipament pentru HPLC cu gradient ternar: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4.2.1. Coloană pentru cromatografie lichidă, Hypersil ODS, particule de 3 μm, 100 mm × 4,6 mm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4.2.2. Detector UV cu ajustare variabilă a lungimii de undă sau detector cu grup de diode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Evaporator rotativ cu generare de film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Filtru cu membrană (de exemplu, nailon cu rezistență chimică), 0,45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Seringă de unică folosință, 5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4.6. Distribuitor în vid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4.7. Baie cu ultrasunete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Generalități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Furaj martor</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analizează un furaj martor pentru a verifica absența diclazurilului și a substanțelor interferente. Furajul martor este similar, ca tip, cu eșantionul, iar prin analiză nu se detectează nici diclazuril, nici substanțe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w:t>
      </w:r>
      <w:r w:rsidRPr="00427724">
        <w:rPr>
          <w:rFonts w:ascii="Times New Roman" w:hAnsi="Times New Roman" w:cs="Times New Roman"/>
          <w:b/>
          <w:bCs/>
          <w:sz w:val="28"/>
          <w:szCs w:val="28"/>
          <w:lang w:val="ro-RO"/>
        </w:rPr>
        <w:t> Test de recuperare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un test de recuperare prin analiza furajului martor îmbogățit prin adăugarea unei cantități de diclazuril, similară cu cea prezentă în eșantion. Pentru a obține o concentrație de 1 mg/kg, se adaugă 0,1 ml din soluția etalon stoc (punctul 3.8.1) la 50 g din furajul martor, se amestecă bine și se lasă timp de 10 minute, amestecând din nou de mai multe ori înainte de a continua (punctul 5.2).</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Alternativ, dacă nu este disponibil un furaj martor similar, ca tip, cu eșantionul (a se vedea punctul 5.1.1), testul de recuperare poate fi efectuat conform metodei de adiție standard. În acest caz, eșantionul de analizat se îmbogățește adăugând o cantitate de diclazuril similară celei deja prezente în eșantion. Acest eșantion este </w:t>
      </w:r>
      <w:r w:rsidR="00427724" w:rsidRPr="00427724">
        <w:rPr>
          <w:rFonts w:ascii="Times New Roman" w:hAnsi="Times New Roman" w:cs="Times New Roman"/>
          <w:sz w:val="28"/>
          <w:szCs w:val="28"/>
          <w:lang w:val="ro-RO"/>
        </w:rPr>
        <w:lastRenderedPageBreak/>
        <w:t>analizat împreună cu eșantionul neîmbogățit, iar recuperarea poate fi calculată prin diferență.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5.2.1.   </w:t>
      </w:r>
      <w:r w:rsidRPr="00427724">
        <w:rPr>
          <w:rFonts w:ascii="Times New Roman" w:hAnsi="Times New Roman" w:cs="Times New Roman"/>
          <w:b/>
          <w:bCs/>
          <w:sz w:val="28"/>
          <w:szCs w:val="28"/>
          <w:lang w:val="ro-RO"/>
        </w:rPr>
        <w:t> Pui de carne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0,01 g, aproximativ 50 g de eșantion. Se transferă într-un flacon tip Erlenmeyer de 500 ml, se adaugă 1,00 ml din soluția etalon intern (punctul 3.9.2), 200 ml din solventul de extracție (punctul 3.12) și se astupă flaconul. Se agită amestecul în agitator (punctul 4.1) pe parcursul nopții. Se lasă să se sedimenteze timp de 10 minute. Se transferă o parte alicotă de 20 ml din supernatant într-un recipient de sticlă adecvat și se diluează în 20 ml apă (punctul 3.1). Se transferă această soluție într-un cartuș de extracție (punctul 3.11) și se trece prin acesta prin aplicare de vid (punctul 4.6). Se spală cartușul cu 25 ml dintr-un amestec de solvent de extracție (punctul 3.12) și apă (punctul 3.1), 65 + 35 (V + V). Se elimină fracțiunile colectate și se eluează compușii cu ajutorul a 25 ml dintr-un amestec de solvent de extracție (punctul 3.12) și apă, 80 + 20 (V + V). Se evaporă această fracțiune până la uscare prin intermediul evaporatorului rotativ (punctul 4.3) la 60 °C. Se dizolvă reziduul în 1,0 ml DMF (punctul 3.6), se adaugă 1,5 ml de apă (punctul 3.1) și se amestecă. Se filtrează printr-un filtru cu membrană (punctul 4.4) montat pe o seringă de unică folosință (punctul 4.5).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5.2.2.   </w:t>
      </w:r>
      <w:r w:rsidRPr="00427724">
        <w:rPr>
          <w:rFonts w:ascii="Times New Roman" w:hAnsi="Times New Roman" w:cs="Times New Roman"/>
          <w:b/>
          <w:bCs/>
          <w:sz w:val="28"/>
          <w:szCs w:val="28"/>
          <w:lang w:val="ro-RO"/>
        </w:rPr>
        <w:t> Preamestecuri</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0,001 g, aproximativ 1 g de eșantion. Se transferă într-un flacon tip Erlenmeyer de 500 ml, se adaugă 1,00 ml din soluția etalon intern (punctul 3.9.3), 200 ml din solventul de extracție (punctul 3.12) și se astupă flaconul. Se agită amestecul în agitator (punctul 4.1) pe parcursul nopții. Se lasă să se sedimenteze timp de 10 minute. Se transferă o parte alicotă de 10 000 /p ml (p = conținutul nominal în diclazuril al preamestecului în mg/kg) din supernatant într-un balon cu fund rotund de dimensiuni adecvate. Se evaporă acest amestec până la uscare, la presiune scăzută și la 60 °C, cu ajutorul unui evaporator rotativ (punctul 4.3). Se dizolvă din nou reziduul în 10,0 ml de DMF (punctul 3.6), se adaugă 15,0 ml de apă (punctul 3.1) și se amestecă.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Parametri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Următoarele condiții sunt propuse cu titlu orientativ; se pot aplica și alte condiții, dacă acestea duc la rezultate echivalente sau mai bune.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Coloană pentru cromatografie lichidă (punctul 4.2.1): 100 mm × 4,6 mm Hypersil ODS, particule de 3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Fază mobilă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Eluent A [3.13.1]: Soluție apoasă de acetat de amoniu și sulfat acid de tetrabutilamoniu.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Eluent B [3.13.2]: acetonitril.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Eluent C [3.13.3]: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Mod de eluare - gradient liniar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condiții inițiale: A + B + C = 60 + 20 + 20 (V + V + 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după 10 min, eluția gradientului timp de 30 de minute până la: A + B + C = 45 + 20 + 35 (V + V + 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clătește apoi cu B timp de 10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Debit: 1,5-2 ml/min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Volum de injecție: 20 μl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Lungimea de undă a detectorului: 280 nm.</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verifică stabilitatea sistemului cromatografic injectându-se de mai multe ori soluția de calibrare (punctul 3.10.2) care conține 2 μg/ml de diclazuril sau etalon intern, până când se obțin valori de vârf și timpi de retenție constanți.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Analiza cromatografică a soluțiilor de calibrare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de două ori 20 μl din fiecare soluție de calibrare (punctele 3.10.1, 3.10.3, 3.10.4, 3.10.5 și 3.10.2), se identifică și se integrează vârfurile diclazurilului și etalonului intern și se trasează curba de calibrare pe baza raportului dintre înălțimea medie a vârfului sau aria diclazurilului și înălțimea medie a vârfului sau aria etalonului intern în raport cu concentrația de diclazuril în soluțiile de calibrare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5.3.3.   </w:t>
      </w:r>
      <w:r w:rsidRPr="00427724">
        <w:rPr>
          <w:rFonts w:ascii="Times New Roman" w:hAnsi="Times New Roman" w:cs="Times New Roman"/>
          <w:b/>
          <w:bCs/>
          <w:sz w:val="28"/>
          <w:szCs w:val="28"/>
          <w:lang w:val="ro-RO"/>
        </w:rPr>
        <w:t> Analiza cromatografică a soluțiilor eșantion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Se injectează 20 μl din soluția de eșantion (punctul 5.2.1 sau 5.2.2) de două ori și se determină înălțimea medie sau aria vârfurilor de diclazuril și a vârfurilor etalonului intern.</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Pui de carne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diclazuril w (în mg/kg) al eșantionului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385695" cy="746125"/>
            <wp:effectExtent l="0" t="0" r="0" b="0"/>
            <wp:docPr id="3" name="Imagine 3" descr="C:\Users\User MAIA\AppData\Local\Microsoft\Windows\INetCache\Content.MSO\945E78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 MAIA\AppData\Local\Microsoft\Windows\INetCache\Content.MSO\945E7803.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5695" cy="746125"/>
                    </a:xfrm>
                    <a:prstGeom prst="rect">
                      <a:avLst/>
                    </a:prstGeom>
                    <a:noFill/>
                    <a:ln>
                      <a:noFill/>
                    </a:ln>
                  </pic:spPr>
                </pic:pic>
              </a:graphicData>
            </a:graphic>
          </wp:inline>
        </w:drawing>
      </w:r>
      <w:r w:rsidRPr="00427724">
        <w:rPr>
          <w:rFonts w:ascii="Times New Roman" w:hAnsi="Times New Roman" w:cs="Times New Roman"/>
          <w:sz w:val="28"/>
          <w:szCs w:val="28"/>
          <w:lang w:val="ro-RO"/>
        </w:rPr>
        <w:t>sau</w:t>
      </w:r>
    </w:p>
    <w:p w:rsidR="0043631F" w:rsidRDefault="00427724" w:rsidP="00427724">
      <w:pPr>
        <w:tabs>
          <w:tab w:val="left" w:pos="210"/>
        </w:tabs>
        <w:jc w:val="both"/>
        <w:rPr>
          <w:rFonts w:ascii="Times New Roman" w:hAnsi="Times New Roman" w:cs="Times New Roman"/>
          <w:sz w:val="28"/>
          <w:szCs w:val="28"/>
          <w:lang w:val="ro-MD"/>
        </w:rPr>
      </w:pPr>
      <w:r w:rsidRPr="00427724">
        <w:rPr>
          <w:rFonts w:ascii="Times New Roman" w:hAnsi="Times New Roman" w:cs="Times New Roman"/>
          <w:noProof/>
          <w:sz w:val="28"/>
          <w:szCs w:val="28"/>
          <w:lang w:val="ro-MD"/>
        </w:rPr>
        <w:drawing>
          <wp:inline distT="0" distB="0" distL="0" distR="0">
            <wp:extent cx="2091690" cy="693420"/>
            <wp:effectExtent l="0" t="0" r="3810" b="0"/>
            <wp:docPr id="1" name="Imagine 1" descr="C:\Users\User MAIA\AppData\Local\Microsoft\Windows\INetCache\Content.MSO\6B3FB4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MAIA\AppData\Local\Microsoft\Windows\INetCache\Content.MSO\6B3FB409.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1690" cy="693420"/>
                    </a:xfrm>
                    <a:prstGeom prst="rect">
                      <a:avLst/>
                    </a:prstGeom>
                    <a:noFill/>
                    <a:ln>
                      <a:noFill/>
                    </a:ln>
                  </pic:spPr>
                </pic:pic>
              </a:graphicData>
            </a:graphic>
          </wp:inline>
        </w:drawing>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unde: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Înălțimea(d,s) este înălțimea vârfului de diclazuril din soluția eșantion (punctul 5.2.1)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Aria(d,s) este aria vârfului de diclazuril din soluția eșantion (punctul 5.2.1)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Înălțimea(i,s) este înălțimea vârfului etalonului intern din soluția eșantion (punctul 5.2.1)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Aria(i,s) este aria vârfului etalonului intern din soluția eșantion (punctul 5.2.1)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b este ordonata la origine a curbei de calibrare trasată din soluțiile de calibrare (punctele 3.10.1, 3.10.2, 3.10.3, 3.10.4 și 3.10.5) în conformitate cu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 este panta curbei de calibrare trasată din soluțiile de calibrare (punctele 3.10.1, 3.10.2, 3.10.3, 3.10.4 și 3.10.5) în conformitate cu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 este masa porțiunii de testat, în grame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V este volumul final în mililitri al extractului de eșantion după redizolvare în conformitate cu 5.2.1 (adică 2,5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Preamestecuri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diclazuril w (în mg/kg) al eșantionului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2595880" cy="746125"/>
            <wp:effectExtent l="0" t="0" r="0" b="0"/>
            <wp:docPr id="53" name="Imagine 53" descr="C:\Users\User MAIA\AppData\Local\Microsoft\Windows\INetCache\Content.MSO\3D404C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 MAIA\AppData\Local\Microsoft\Windows\INetCache\Content.MSO\3D404CA7.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5880" cy="746125"/>
                    </a:xfrm>
                    <a:prstGeom prst="rect">
                      <a:avLst/>
                    </a:prstGeom>
                    <a:noFill/>
                    <a:ln>
                      <a:noFill/>
                    </a:ln>
                  </pic:spPr>
                </pic:pic>
              </a:graphicData>
            </a:graphic>
          </wp:inline>
        </w:drawing>
      </w:r>
      <w:r w:rsidRPr="00427724">
        <w:rPr>
          <w:rFonts w:ascii="Times New Roman" w:hAnsi="Times New Roman" w:cs="Times New Roman"/>
          <w:sz w:val="28"/>
          <w:szCs w:val="28"/>
          <w:lang w:val="ro-RO"/>
        </w:rPr>
        <w:t>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62865" cy="62865"/>
            <wp:effectExtent l="0" t="0" r="0" b="0"/>
            <wp:docPr id="52" name="Imagine 52" descr="C:\Users\User MAIA\AppData\Local\Microsoft\Windows\INetCache\Content.MSO\50A004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 MAIA\AppData\Local\Microsoft\Windows\INetCache\Content.MSO\50A0044D.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27724">
        <w:rPr>
          <w:rFonts w:ascii="Times New Roman" w:hAnsi="Times New Roman" w:cs="Times New Roman"/>
          <w:sz w:val="28"/>
          <w:szCs w:val="28"/>
          <w:lang w:val="ro-RO"/>
        </w:rPr>
        <w:t> p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280920" cy="693420"/>
            <wp:effectExtent l="0" t="0" r="5080" b="0"/>
            <wp:docPr id="51" name="Imagine 51" descr="C:\Users\User MAIA\AppData\Local\Microsoft\Windows\INetCache\Content.MSO\971FE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 MAIA\AppData\Local\Microsoft\Windows\INetCache\Content.MSO\971FE8E3.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0920" cy="693420"/>
                    </a:xfrm>
                    <a:prstGeom prst="rect">
                      <a:avLst/>
                    </a:prstGeom>
                    <a:noFill/>
                    <a:ln>
                      <a:noFill/>
                    </a:ln>
                  </pic:spPr>
                </pic:pic>
              </a:graphicData>
            </a:graphic>
          </wp:inline>
        </w:drawing>
      </w:r>
      <w:r w:rsidRPr="00427724">
        <w:rPr>
          <w:rFonts w:ascii="Times New Roman" w:hAnsi="Times New Roman" w:cs="Times New Roman"/>
          <w:sz w:val="28"/>
          <w:szCs w:val="28"/>
          <w:lang w:val="ro-RO"/>
        </w:rPr>
        <w:t>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62865" cy="62865"/>
            <wp:effectExtent l="0" t="0" r="0" b="0"/>
            <wp:docPr id="50" name="Imagine 50" descr="C:\Users\User MAIA\AppData\Local\Microsoft\Windows\INetCache\Content.MSO\9283B7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 MAIA\AppData\Local\Microsoft\Windows\INetCache\Content.MSO\9283B7E9.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 cy="62865"/>
                    </a:xfrm>
                    <a:prstGeom prst="rect">
                      <a:avLst/>
                    </a:prstGeom>
                    <a:noFill/>
                    <a:ln>
                      <a:noFill/>
                    </a:ln>
                  </pic:spPr>
                </pic:pic>
              </a:graphicData>
            </a:graphic>
          </wp:inline>
        </w:drawing>
      </w:r>
      <w:r w:rsidRPr="00427724">
        <w:rPr>
          <w:rFonts w:ascii="Times New Roman" w:hAnsi="Times New Roman" w:cs="Times New Roman"/>
          <w:sz w:val="28"/>
          <w:szCs w:val="28"/>
          <w:lang w:val="ro-RO"/>
        </w:rPr>
        <w:t> p</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unde: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Înălțimea(d,s) este înălțimea vârfului de diclazuril din soluția eșantion (punctul 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Aria(d,s) este aria vârfului de diclazuril din soluția eșantion (punctul 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Înălțimea(i,s) este înălțimea vârfului etalonului intern din soluția eșantion (punctul 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Aria(i,s) este aria vârfului etalonului intern din soluția eșantion (punctul 5.2.2)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b este ordonata la origine a curbei de calibrare trasată din soluțiile de calibrare (punctele 3.10.1, 3.10. 2, 3.10.3, 3.10.4 și 3.10.5) în conformitate cu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 este panta curbei de calibrare trasată din soluțiile de calibrare (punctele 3.10.1, 3.10.2, 3.10.3, 3.10.4 și 3.10.5) în conformitate cu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 este masa porțiunii de testat, în grame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V este volumul final în mililitri al extractului de eșantion după redizolvare în conformitate cu punctul 5.2.2 (adică 25 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 este conținutul nominal de diclazuril al preamestecului în mg/kg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Validarea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Identitate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Identitatea analitului poate fi confirmată prin co-cromatografie sau prin utilizarea unui detector cu grup de diode care permite compararea spectrelor extractului de eșantion (punctul 5.2.1 sau 5.2.2) și ale soluției de calibrare (punctul 3.10.2).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7.1.1.   </w:t>
      </w:r>
      <w:r w:rsidRPr="00427724">
        <w:rPr>
          <w:rFonts w:ascii="Times New Roman" w:hAnsi="Times New Roman" w:cs="Times New Roman"/>
          <w:b/>
          <w:bCs/>
          <w:sz w:val="28"/>
          <w:szCs w:val="28"/>
          <w:lang w:val="ro-RO"/>
        </w:rPr>
        <w:t> Co-cromatografie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Un extract de eșantion (punctul 5.2.1 sau 5.2.2) este îmbogățit prin adăugarea unei cantități adecvate din soluția de calibrare (punctul 3.10.2). Cantitatea de diclazuril adăugată trebuie să fie similară cu cantitatea de diclazuril constatată în extractul de eșantion.</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Numai înălțimea vârfului de diclazuril și a vârfului etalonului intern crește după luarea în considerare atât a cantității adăugate, cât și a diluției extractului. Lărgimea vârfului, la jumătatea înălțimii sale, trebuie să se încadreze în ± 10 % din lărgimea inițială a vârfului de diclazuril sau a vârfului etalonului intern al extractului de eșantion neîmbogățit.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7.1.2.   </w:t>
      </w:r>
      <w:r w:rsidRPr="00427724">
        <w:rPr>
          <w:rFonts w:ascii="Times New Roman" w:hAnsi="Times New Roman" w:cs="Times New Roman"/>
          <w:b/>
          <w:bCs/>
          <w:sz w:val="28"/>
          <w:szCs w:val="28"/>
          <w:lang w:val="ro-RO"/>
        </w:rPr>
        <w:t> Detecție cu grup de diode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se evaluează în funcție de următoarele criterii: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acest interval este în general de ± 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Între 230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Între 230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unul din aceste criterii nu este îndeplinit, prezența analitului nu a fost confirmată.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Diferența dintre rezultatele a două măsurători independente efectuate pe două subeșantioane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30 % din valoarea superioară pentru un conținut în diclazuril situat între 0,5 mg/kg și 2,5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0,75 mg/kg pentru un conținut în diclazuril situat între 2,5 mg/kg și 5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 din valoarea superioară pentru un conținut de diclazuril mai mare de 5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Recuperare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un eșantion (martor) îmbogățit, recuperarea este de cel puțin 80 %.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Rezultatele unui studiu colaborativ</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Au fost organizate două studii colaborative. În primul, efectuat de un alt grup de laboratoare în 1994, eșantioanele analizate au fost două preamestecuri (O 100, A 100) și trei eșantioane de furaje complementare pentru păsări de curte (L1, Z1, K1). Un eșantion de preamestec a fost amestecat cu o matrice organică (O 100), iar celălalt cu o matrice anorganică (A 100). Conținutul teoretic este de 100 mg de diclazuril pe kg Laboratoarele au primit instrucțiuni să analizeze fiecare eșantion o singură dată sau în duplicat. (Informații detaliate privind primul studiu colaborativ figurează în </w:t>
      </w:r>
      <w:r w:rsidR="00427724" w:rsidRPr="00427724">
        <w:rPr>
          <w:rFonts w:ascii="Times New Roman" w:hAnsi="Times New Roman" w:cs="Times New Roman"/>
          <w:i/>
          <w:iCs/>
          <w:sz w:val="28"/>
          <w:szCs w:val="28"/>
          <w:lang w:val="ro-RO"/>
        </w:rPr>
        <w:t>Journal of AOAC International</w:t>
      </w:r>
      <w:r w:rsidR="00427724" w:rsidRPr="00427724">
        <w:rPr>
          <w:rFonts w:ascii="Times New Roman" w:hAnsi="Times New Roman" w:cs="Times New Roman"/>
          <w:sz w:val="28"/>
          <w:szCs w:val="28"/>
          <w:lang w:val="ro-RO"/>
        </w:rPr>
        <w:t>, vol. 77, nr. 6, 1994, p. 1359-1361).</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al doilea studiu colaborativ au fost analizate trei furaje combinate pentru păsări de curte, care conțin diclazuril în concentrații de 0,9 mg/kg (MAT 1), 1,5 mg/kg (MAT 2) și furajul martor (MAT 3). (Informații detaliate privind al doilea studiu figurează în </w:t>
      </w:r>
      <w:r w:rsidR="00427724" w:rsidRPr="00427724">
        <w:rPr>
          <w:rFonts w:ascii="Times New Roman" w:hAnsi="Times New Roman" w:cs="Times New Roman"/>
          <w:i/>
          <w:iCs/>
          <w:sz w:val="28"/>
          <w:szCs w:val="28"/>
          <w:lang w:val="ro-RO"/>
        </w:rPr>
        <w:t>JRC Technical report</w:t>
      </w:r>
      <w:r w:rsidR="00427724" w:rsidRPr="00427724">
        <w:rPr>
          <w:rFonts w:ascii="Times New Roman" w:hAnsi="Times New Roman" w:cs="Times New Roman"/>
          <w:sz w:val="28"/>
          <w:szCs w:val="28"/>
          <w:lang w:val="ro-RO"/>
        </w:rPr>
        <w:t> (2016) și în </w:t>
      </w:r>
      <w:r w:rsidR="00427724" w:rsidRPr="00427724">
        <w:rPr>
          <w:rFonts w:ascii="Times New Roman" w:hAnsi="Times New Roman" w:cs="Times New Roman"/>
          <w:i/>
          <w:iCs/>
          <w:sz w:val="28"/>
          <w:szCs w:val="28"/>
          <w:lang w:val="ro-RO"/>
        </w:rPr>
        <w:t>Journal of AOAC International</w:t>
      </w:r>
      <w:r w:rsidR="00427724" w:rsidRPr="00427724">
        <w:rPr>
          <w:rFonts w:ascii="Times New Roman" w:hAnsi="Times New Roman" w:cs="Times New Roman"/>
          <w:sz w:val="28"/>
          <w:szCs w:val="28"/>
          <w:lang w:val="ro-RO"/>
        </w:rPr>
        <w:t>, vol. 102, nr. 2, 2019, p. 646-652). Rezultatele celor două studii colaborative sunt prezentate în tabelul următor.</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75"/>
        <w:gridCol w:w="965"/>
        <w:gridCol w:w="965"/>
        <w:gridCol w:w="965"/>
        <w:gridCol w:w="964"/>
        <w:gridCol w:w="964"/>
        <w:gridCol w:w="964"/>
        <w:gridCol w:w="964"/>
        <w:gridCol w:w="964"/>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1A 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2O 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3 L1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4 Z1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5 K1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6</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7</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8</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MAT 3</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LOQ</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5,88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0,07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5,83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9,67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13,65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 nominal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Referință </w:t>
            </w:r>
            <w:hyperlink r:id="rId72" w:anchor="E0044"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1 994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Al doilea studiu din 2 015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Al doilea studiu din 2 015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Al doilea studiu din 2 015</w:t>
            </w:r>
          </w:p>
        </w:tc>
      </w:tr>
      <w:tr w:rsidR="00427724" w:rsidRPr="00427724" w:rsidTr="00427724">
        <w:trPr>
          <w:jc w:val="center"/>
        </w:trPr>
        <w:tc>
          <w:tcPr>
            <w:tcW w:w="0" w:type="auto"/>
            <w:gridSpan w:val="9"/>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Primul studiu din 1994: Journal of AOAC International, Volumul 77, No 6, 1994, p. 1359-1361; Al doilea studiu din 2015: JRC Technical report „Re-validation of a method for the determination of diclazuril by collaborative study” (2016).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  număr de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 de valori unice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LOQ =  Limita de cuantificare</w:t>
            </w:r>
          </w:p>
        </w:tc>
      </w:tr>
    </w:tbl>
    <w:p w:rsidR="00CD0DDE" w:rsidRDefault="00CD0DDE"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    Observații generale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Trebuie să se demonstreze în prealabil că reacția diclazurilului este liniară pentru toată gama de concentrații măsurate.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Cel puțin pentru analiza diclazurilului din furajele combinate cu un conținut ridicat de grăsime (în acest scop, care depășește 12 % grăsime), metoda analitică poate fi înlocuită cu alte metode bazate pe HPLC, de exemplu o cromatografie lichidă de înaltă performanță cuplată cu spectrometrie de masă (HPLC-MS), cu condiția ca metoda alternativă să aibă caracteristici de performanță echivalente (rata de recuperare, precizia la condițiile de repetabilitate și reproductibilitate).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G.   DETERMINAREA CONȚINUTULUI DE LASALOCID SODIC</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Sare sodică a unui acid monocarboxilic polieter, produsă de Streptomyces lasaliensis.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lasalocid sodic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C3D1C" w:rsidRPr="005C3D1C">
        <w:rPr>
          <w:rFonts w:ascii="Times New Roman" w:hAnsi="Times New Roman" w:cs="Times New Roman"/>
          <w:sz w:val="28"/>
          <w:szCs w:val="28"/>
          <w:lang w:val="ro-RO"/>
        </w:rPr>
        <w:t>SM EN 17299:2020</w:t>
      </w:r>
      <w:r w:rsidR="005C3D1C">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prin cromatografie lichidă de înaltă performanță (HPLC) cu fază inversată, utilizând un detector spectrofluorimetric (fluorescență), astfel cum se descrie la punctele 1-8 de mai jos.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Metoda permite determinarea conținutului în lasalocid sodic din furaje. Limita de detecție este de 5 mg/kg, iar limita de cuantificare este de 10 mg/kg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Principiu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Lasalocidul sodic este extras din eșantion cu metanol acidifiat și dozat prin cromatografie lichidă de înaltă performanță cu fază inversată (RP-HPLC) cu ajutorul unui detector spectrofluorimetric (fluorescență).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Fosfat diacid de potasiu (KH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PO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Acid ortofosforic, g (g/g) = 85 %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Soluție de acid ortofosforic, c = 20 %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diluează 23,5 ml acid ortofosforic (punctul 3.2) în 100 ml de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3.4. 6-metil-2-heptilamin (1,5-dimetilhexilamină), g (g/g) = 99 %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Metanol,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Acid clorhidric, densitate = 1,19 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Soluție tampon de fosfat, c = 0,01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1,36 g de KH</w:t>
      </w:r>
      <w:r w:rsidRPr="00427724">
        <w:rPr>
          <w:rFonts w:ascii="Times New Roman" w:hAnsi="Times New Roman" w:cs="Times New Roman"/>
          <w:sz w:val="28"/>
          <w:szCs w:val="28"/>
          <w:vertAlign w:val="subscript"/>
          <w:lang w:val="ro-RO"/>
        </w:rPr>
        <w:t>2</w:t>
      </w:r>
      <w:r w:rsidRPr="00427724">
        <w:rPr>
          <w:rFonts w:ascii="Times New Roman" w:hAnsi="Times New Roman" w:cs="Times New Roman"/>
          <w:sz w:val="28"/>
          <w:szCs w:val="28"/>
          <w:lang w:val="ro-RO"/>
        </w:rPr>
        <w:t>PO</w:t>
      </w:r>
      <w:r w:rsidRPr="00427724">
        <w:rPr>
          <w:rFonts w:ascii="Times New Roman" w:hAnsi="Times New Roman" w:cs="Times New Roman"/>
          <w:sz w:val="28"/>
          <w:szCs w:val="28"/>
          <w:vertAlign w:val="subscript"/>
          <w:lang w:val="ro-RO"/>
        </w:rPr>
        <w:t>4</w:t>
      </w:r>
      <w:r w:rsidRPr="00427724">
        <w:rPr>
          <w:rFonts w:ascii="Times New Roman" w:hAnsi="Times New Roman" w:cs="Times New Roman"/>
          <w:sz w:val="28"/>
          <w:szCs w:val="28"/>
          <w:lang w:val="ro-RO"/>
        </w:rPr>
        <w:t> (punctul 3.1) în 500 ml de apă (punctul 3.11), se adaugă 3,5 ml de acid ortofosforic (punctul 3.2) și 10,0 ml de 6-metil-2-heptilamină (punctul 3.4). Se ajustează pH-ul la 4,0 cu ajutorul soluției de acid ortofosforic (punctul 3.3) și se diluează cu apă completându-se până la 1 000 ml (punctul 3.11).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Metanol acidifiat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transferă 5,0 ml de acid clorhidric (punctul 3.6) într-un balon gradat de 1 000 ml, se completează până la semn cu metanol (punctul 3.5)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3.9. Fază mobilă HPLC, soluție tampon de fosfat și metanol 5 + 95 (V + 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amestecă 5 ml de soluție tampon de fosfat (punctul 3.7) cu 95 ml de metanol (punctul 3.5).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 Substanță etalon de lasalocid sodic cu puritate garantată, C</w:t>
      </w:r>
      <w:r w:rsidRPr="00427724">
        <w:rPr>
          <w:rFonts w:ascii="Times New Roman" w:hAnsi="Times New Roman" w:cs="Times New Roman"/>
          <w:sz w:val="28"/>
          <w:szCs w:val="28"/>
          <w:vertAlign w:val="subscript"/>
          <w:lang w:val="ro-RO"/>
        </w:rPr>
        <w:t>34</w:t>
      </w:r>
      <w:r w:rsidRPr="00427724">
        <w:rPr>
          <w:rFonts w:ascii="Times New Roman" w:hAnsi="Times New Roman" w:cs="Times New Roman"/>
          <w:sz w:val="28"/>
          <w:szCs w:val="28"/>
          <w:lang w:val="ro-RO"/>
        </w:rPr>
        <w:t>H</w:t>
      </w:r>
      <w:r w:rsidRPr="00427724">
        <w:rPr>
          <w:rFonts w:ascii="Times New Roman" w:hAnsi="Times New Roman" w:cs="Times New Roman"/>
          <w:sz w:val="28"/>
          <w:szCs w:val="28"/>
          <w:vertAlign w:val="subscript"/>
          <w:lang w:val="ro-RO"/>
        </w:rPr>
        <w:t>53</w:t>
      </w:r>
      <w:r w:rsidRPr="00427724">
        <w:rPr>
          <w:rFonts w:ascii="Times New Roman" w:hAnsi="Times New Roman" w:cs="Times New Roman"/>
          <w:sz w:val="28"/>
          <w:szCs w:val="28"/>
          <w:lang w:val="ro-RO"/>
        </w:rPr>
        <w:t>O</w:t>
      </w:r>
      <w:r w:rsidRPr="00427724">
        <w:rPr>
          <w:rFonts w:ascii="Times New Roman" w:hAnsi="Times New Roman" w:cs="Times New Roman"/>
          <w:sz w:val="28"/>
          <w:szCs w:val="28"/>
          <w:vertAlign w:val="subscript"/>
          <w:lang w:val="ro-RO"/>
        </w:rPr>
        <w:t>8</w:t>
      </w:r>
      <w:r w:rsidRPr="00427724">
        <w:rPr>
          <w:rFonts w:ascii="Times New Roman" w:hAnsi="Times New Roman" w:cs="Times New Roman"/>
          <w:sz w:val="28"/>
          <w:szCs w:val="28"/>
          <w:lang w:val="ro-RO"/>
        </w:rPr>
        <w:t>Na (sare sodică a unui acid monocarboxilic polieter, produsă de </w:t>
      </w:r>
      <w:r w:rsidRPr="00427724">
        <w:rPr>
          <w:rFonts w:ascii="Times New Roman" w:hAnsi="Times New Roman" w:cs="Times New Roman"/>
          <w:i/>
          <w:iCs/>
          <w:sz w:val="28"/>
          <w:szCs w:val="28"/>
          <w:lang w:val="ro-RO"/>
        </w:rPr>
        <w:t>Streptomyces lasaliensis</w:t>
      </w:r>
      <w:r w:rsidRPr="00427724">
        <w:rPr>
          <w:rFonts w:ascii="Times New Roman" w:hAnsi="Times New Roman" w:cs="Times New Roman"/>
          <w:sz w:val="28"/>
          <w:szCs w:val="28"/>
          <w:lang w:val="ro-RO"/>
        </w:rPr>
        <w:t>), E 763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3.10.1. Soluție etalon stoc de lasalocid sodic, 500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0,1 mg, 50 mg de lasalocid sodic (punctul 3.10) într-un balon gradat de 100 ml, se dizolvă în metanol acidifiat (punctul 3.8), se completează până la semn cu același solvent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3.10.2. Soluție etalon intermediară de lasalocid sodic, 50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pipetează 10,0 ml din soluția etalon stoc (punctul 3.10.1) într-un balon gradat de 100 ml, se completează până la semn cu metanol acidifiat (punctul 3.8) și se amestecă. Soluția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3.10.3. Soluții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Se transferă 1,0, 2,0, 4,0, 5,0 și 10,0 ml de soluție etalon intermediară (punctul 3.10.2) într-o serie de baloane gradate de 50 ml. Se completează până la semn cu </w:t>
      </w:r>
      <w:r w:rsidRPr="00427724">
        <w:rPr>
          <w:rFonts w:ascii="Times New Roman" w:hAnsi="Times New Roman" w:cs="Times New Roman"/>
          <w:sz w:val="28"/>
          <w:szCs w:val="28"/>
          <w:lang w:val="ro-RO"/>
        </w:rPr>
        <w:lastRenderedPageBreak/>
        <w:t>metanol acidifiat (punctul 3.8) și se amestecă. Aceste soluții corespund concentrațiilor de 1,0, 2,0, 4,0, 5,0 și 10,0 μg de lasalocid sodic pe ml. Soluțiile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3.11. Apă, de calitate HPLC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Baie cu ultrasunete (sau baie de apă cu agitare) cu reglaj de temperatură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Filtre cu membrană, 0,45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Echipament HPLC cu sistem de injecție, permițând injectarea de volume de 20 μl.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4.3.1. Coloană pentru cromatografie lichidă, 125 mm × 4 mm, cu fază inversată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4.3.2. Spectrofluorimetru cu ajustare variabilă a lungimii de undă pentru excitație și emisie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Generalități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Furaj martor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a efectua testul de recuperare (punctul 5.1.2), se analizează un furaj martor pentru a verifica absența lasalocidului sodic și a substanțelor interferente. Furajul martor este similar, ca tip, cu eșantionul; nu se detectează nici lasalocid sodic, nici substanțe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5.1.2.   </w:t>
      </w:r>
      <w:r w:rsidRPr="00427724">
        <w:rPr>
          <w:rFonts w:ascii="Times New Roman" w:hAnsi="Times New Roman" w:cs="Times New Roman"/>
          <w:b/>
          <w:bCs/>
          <w:sz w:val="28"/>
          <w:szCs w:val="28"/>
          <w:lang w:val="ro-RO"/>
        </w:rPr>
        <w:t> Test de 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efectuează un test de recuperare prin analiza furajului martor îmbogățit prin adăugarea unei cantități de lasalocid sodic, similară cu cea prezentă în eșantion. Pentru a obține o concentrație de 100 mg/kg, se transferă 10,0 ml de soluție etalon stoc (punctul 3.10.1) într-un flacon tip Erlenmeyer de 250 ml și se evaporă soluția până la aproximativ 0,5 ml. Se adaugă 50 g de furaj martor, se amestecă bine și se lasă timp de 10 minute, amestecând din nou de mai multe ori înainte de a trece la etapa de extracție (punctul 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Alternativ, dacă nu este disponibil un furaj martor similar, ca tip, cu eșantionul (a se vedea punctul 5.1.1), testul de recuperare poate fi efectuat conform metodei de adiție standard. În acest caz, eșantionul de analizat este îmbogățit cu o cantitate de lasalocid </w:t>
      </w:r>
      <w:r w:rsidRPr="00427724">
        <w:rPr>
          <w:rFonts w:ascii="Times New Roman" w:hAnsi="Times New Roman" w:cs="Times New Roman"/>
          <w:sz w:val="28"/>
          <w:szCs w:val="28"/>
          <w:lang w:val="ro-RO"/>
        </w:rPr>
        <w:lastRenderedPageBreak/>
        <w:t>sodic asemănătoare celei deja prezente în eșantion. Acesta este analizat împreună cu eșantionul neîmbogățit, iar recuperarea se poate calcula prin diferență.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5.2.1.   </w:t>
      </w:r>
      <w:r w:rsidRPr="00427724">
        <w:rPr>
          <w:rFonts w:ascii="Times New Roman" w:hAnsi="Times New Roman" w:cs="Times New Roman"/>
          <w:b/>
          <w:bCs/>
          <w:sz w:val="28"/>
          <w:szCs w:val="28"/>
          <w:lang w:val="ro-RO"/>
        </w:rPr>
        <w:t> Pentru porcine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0,01 g, de la 5 la 10 g de eșantion într-un flacon tip Erlenmeyer de 250 ml cu dop. Se picură cu pipeta 100,0 ml de metanol acidifiat (punctul 3.8). Se închide ușor și se agită circular pentru a se dispersa. Flaconul se plasează într-o baie cu ultrasunete (punctul 4.1) la aproximativ 40 °C timp de 20 de minute, se scoate și se lasă să se răcească la temperatura camerei. Se lasă în repaus timp de aproximativ 1 oră, până la decantarea materiilor în suspensie, apoi se filtrează o parte alicotă printr-un filtru cu membrană de 0,45 μm (punctul 4.2) într-un recipient adecvat.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5.2.2.   </w:t>
      </w:r>
      <w:r w:rsidRPr="00427724">
        <w:rPr>
          <w:rFonts w:ascii="Times New Roman" w:hAnsi="Times New Roman" w:cs="Times New Roman"/>
          <w:b/>
          <w:bCs/>
          <w:sz w:val="28"/>
          <w:szCs w:val="28"/>
          <w:lang w:val="ro-RO"/>
        </w:rPr>
        <w:t> Preamestecuri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cântăresc, cu o abatere de 0,001 g, 2 g de preamestec nemăcinat într-un balon gradat de 250 ml. Se adaugă 100,0 ml de metanol acidifiat (punctul 3.8) și se agită circular pentru a se dispersa. Se pune balonul și conținutul acestuia într-o baie cu ultrasunete (punctul 4.1) la aproximativ 40 °C timp de 20 de minute, apoi se scoate și se lasă să se răcească la temperatura camerei. Se completează până la semn cu metanol acidifiat (punctul 3.8) și se amestecă bine. Se lasă în repaus timp de aproximativ 1 oră, până la decantarea materiilor în suspensie, apoi se filtrează o parte alicotă printr-un filtru cu membrană de 0,45 μm (punctul 4.2). Se diluează un volum adecvat de filtrat limpede cu metanol acidifiat (punctul 3.8), pentru a produce o soluție de testat finală care să conțină aproximativ 4 μg/ml de lasalocid sodic.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Parametri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Următoarele condiții sunt propuse cu titlu orientativ; se pot aplica și alte condiții, dacă acestea duc la rezultate echivalente:</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802"/>
        <w:gridCol w:w="5588"/>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Coloană pentru cromatografie lichidă (punctul 4.3.1):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125 mm × 4 mm, cu fază inversată C</w:t>
            </w:r>
            <w:r w:rsidRPr="00427724">
              <w:rPr>
                <w:rFonts w:ascii="Times New Roman" w:hAnsi="Times New Roman" w:cs="Times New Roman"/>
                <w:sz w:val="28"/>
                <w:szCs w:val="28"/>
                <w:vertAlign w:val="subscript"/>
                <w:lang w:val="ro-RO"/>
              </w:rPr>
              <w:t>18</w:t>
            </w:r>
            <w:r w:rsidRPr="00427724">
              <w:rPr>
                <w:rFonts w:ascii="Times New Roman" w:hAnsi="Times New Roman" w:cs="Times New Roman"/>
                <w:sz w:val="28"/>
                <w:szCs w:val="28"/>
                <w:lang w:val="ro-RO"/>
              </w:rPr>
              <w:t>, particule de 5 μm sau echivalent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Faza mobilă (punctul 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amestec de soluție tampon de fosfat (punctul 3.7) și metanol (punctul 3.5), 5 + 95 (V + V)</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 ml/min</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Lungimea undelor de detecție: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Excitație: 310 nm</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Emisie: 419 nm</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 de injecție: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 μl</w:t>
            </w:r>
          </w:p>
        </w:tc>
      </w:tr>
    </w:tbl>
    <w:p w:rsidR="00F65483" w:rsidRDefault="00F65483" w:rsidP="00427724">
      <w:pPr>
        <w:tabs>
          <w:tab w:val="left" w:pos="210"/>
        </w:tabs>
        <w:jc w:val="both"/>
        <w:rPr>
          <w:rFonts w:ascii="Times New Roman" w:hAnsi="Times New Roman" w:cs="Times New Roman"/>
          <w:sz w:val="28"/>
          <w:szCs w:val="28"/>
          <w:lang w:val="ro-RO"/>
        </w:rPr>
      </w:pP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verifică stabilitatea sistemului cromatografic, injectând de mai multe ori soluția de calibrare (punctul 3.10.3) conținând 4,0 μg/ml, până la obținerea de înălțimi (arii) ale vârfurilor și de timpi de retenție constanți.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Curba de calibrare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fiecare soluție de calibrare (punctul 3.10.3) de mai multe ori și se determină înălțimile (ariile) medii ale vârfurilor pentru fiecare concentrație. Se trasează o curbă de calibrare utilizând valorile (ariile) medii ale vârfurilor ca ordonate și concentrațiile corespunzătoare, în μg/ml, ca abscise.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5.3.3.   </w:t>
      </w:r>
      <w:r w:rsidRPr="00427724">
        <w:rPr>
          <w:rFonts w:ascii="Times New Roman" w:hAnsi="Times New Roman" w:cs="Times New Roman"/>
          <w:b/>
          <w:bCs/>
          <w:sz w:val="28"/>
          <w:szCs w:val="28"/>
          <w:lang w:val="ro-RO"/>
        </w:rPr>
        <w:t> Soluția de eșantion</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extractul de eșantion (punctul 5.2.1 sau 5.2.2) de mai multe ori utilizând același volum cu cel reținut pentru soluția de calibrare și se determină înălțimile (ariile) medii ale vârfurilor de lasalocid sodic.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Plecând de la înălțimea (aria) medie a vârfurilor soluției de eșantion (punctul 5.3.3), se determină concentrația de lasalocid sodic (μg/ml) prin referire la curba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pentru porcine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lasalocid sodic w (în mg/kg) al eșantionului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1839595" cy="567690"/>
            <wp:effectExtent l="0" t="0" r="8255" b="3810"/>
            <wp:docPr id="49" name="Imagine 49" descr="C:\Users\User MAIA\AppData\Local\Microsoft\Windows\INetCache\Content.MSO\391D8A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 MAIA\AppData\Local\Microsoft\Windows\INetCache\Content.MSO\391D8ADF.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9595" cy="56769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33"/>
        <w:gridCol w:w="167"/>
        <w:gridCol w:w="9106"/>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lasalocid sodic a soluției de eșantion (punctul 5.2.1)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1"/>
        <w:gridCol w:w="195"/>
        <w:gridCol w:w="8850"/>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1</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extractului de eșantion conform 5.2.1 în ml (adică 100)</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12"/>
        <w:gridCol w:w="372"/>
        <w:gridCol w:w="852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Preamestecuri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lasalocid sodic w (în mg/kg) al eșantionului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028190" cy="577850"/>
            <wp:effectExtent l="0" t="0" r="0" b="0"/>
            <wp:docPr id="48" name="Imagine 48" descr="C:\Users\User MAIA\AppData\Local\Microsoft\Windows\INetCache\Content.MSO\BC4A37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 MAIA\AppData\Local\Microsoft\Windows\INetCache\Content.MSO\BC4A3745.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8190"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133"/>
        <w:gridCol w:w="167"/>
        <w:gridCol w:w="9106"/>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lasalocid sodic a soluției de eșantion (punctul 5.2.2)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1"/>
        <w:gridCol w:w="195"/>
        <w:gridCol w:w="8850"/>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r w:rsidRPr="00427724">
              <w:rPr>
                <w:rFonts w:ascii="Times New Roman" w:hAnsi="Times New Roman" w:cs="Times New Roman"/>
                <w:sz w:val="28"/>
                <w:szCs w:val="28"/>
                <w:vertAlign w:val="subscript"/>
                <w:lang w:val="ro-RO"/>
              </w:rPr>
              <w:t>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extractului de eșantion conform 5.2.2 în ml (adică 250)</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27"/>
        <w:gridCol w:w="382"/>
        <w:gridCol w:w="8797"/>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factorul de diluție conform 5.2.2</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12"/>
        <w:gridCol w:w="372"/>
        <w:gridCol w:w="852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Validarea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Identitate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Metodele bazate pe spectrofluorimetrie sunt mai puțin supuse interferențelor decât cele care utilizează un detector UV. Identitatea analitului poate fi confirmată de către co-cromatografie.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7.1.1.   </w:t>
      </w:r>
      <w:r w:rsidRPr="00427724">
        <w:rPr>
          <w:rFonts w:ascii="Times New Roman" w:hAnsi="Times New Roman" w:cs="Times New Roman"/>
          <w:b/>
          <w:bCs/>
          <w:sz w:val="28"/>
          <w:szCs w:val="28"/>
          <w:lang w:val="ro-RO"/>
        </w:rPr>
        <w:t> Co-cromatografie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Un extract de eșantion (punctul 5.2.1 sau 5.2.2) este îmbogățit prin adăugarea unei cantități corespunzătoare de soluție de calibrare (punctul 3.10.3). Cantitatea de lasalocid sodic adăugată trebuie să fie asemănătoare cantității de lasalocid sodic constatată în extractul de eșantion. Numai înălțimea vârfului corespunzător lasalocidului sodic se mărește după ce s-a luat în calcul cantitatea de lasalocid sodic adăugată și diluția extractului. Lărgimea vârfului, la jumătatea înălțimii, trebuie să se încadreze între ± 10 % din lărgimea inițială a vârfului produs de extractul de eșantion neîmbogățit.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rezultatele a două determinări paralele efectuate pe același eșantion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 din valoarea superioară pentru un conținut de lasalocid sodic situat între 30 mg/kg și 100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mg/kg pentru un conținut de lasalocid sodic situat între 100 mg/kg și 200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7,5 % din valoarea superioară pentru un conținut de lasalocid sodic mai mare de 200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Recuperare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un eșantion de furaj (martor) îmbogățit, recuperarea este de cel puțin 80 %. Pentru eșantioanele de preamestecuri îmbogățite, recuperarea este de cel puțin 90 %.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Rezultatele unui studiu colaborativ</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S-a realizat un studiu colaborativ  în cursul căruia au fost analizate 2 preamestecuri (eșantioanele 1 și 2) și 5 furaje (eșantioanele 3-7) de către 12 laboratoare. Fiecare eșantion a făcut obiectul unei duble analize. Rezultatele sunt prezentate în tabelul de mai jos:</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56"/>
        <w:gridCol w:w="1139"/>
        <w:gridCol w:w="1138"/>
        <w:gridCol w:w="1082"/>
        <w:gridCol w:w="1229"/>
        <w:gridCol w:w="1082"/>
        <w:gridCol w:w="1082"/>
        <w:gridCol w:w="1082"/>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1</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Preamestec pentru pui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2</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Preamestec pentru curcani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3</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Pelete pentru curcani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4</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Sfărâmături pentru pui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5</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pentru curcani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6</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pentru păsări de curte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Eșantionul 7</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Furaje pentru păsări de curte B</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23</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5 050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16 200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48,3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32,6</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1,75</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5,37</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883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3,49</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10,70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 nominal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5 000  </w:t>
            </w:r>
            <w:hyperlink r:id="rId75" w:anchor="E004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16 000  </w:t>
            </w:r>
            <w:hyperlink r:id="rId76" w:anchor="E004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80  </w:t>
            </w:r>
            <w:hyperlink r:id="rId77" w:anchor="E004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105  </w:t>
            </w:r>
            <w:hyperlink r:id="rId78" w:anchor="E004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120  </w:t>
            </w:r>
            <w:hyperlink r:id="rId79" w:anchor="E0046"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*2</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50  </w:t>
            </w:r>
            <w:hyperlink r:id="rId80" w:anchor="E0047"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w:t>
            </w:r>
            <w:hyperlink r:id="rId81" w:anchor="E0047"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w:t>
              </w:r>
            </w:hyperlink>
          </w:p>
        </w:tc>
      </w:tr>
      <w:tr w:rsidR="00427724" w:rsidRPr="00427724" w:rsidTr="00427724">
        <w:trPr>
          <w:jc w:val="center"/>
        </w:trPr>
        <w:tc>
          <w:tcPr>
            <w:tcW w:w="0" w:type="auto"/>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w:t>
            </w:r>
            <w:r w:rsidRPr="00427724">
              <w:rPr>
                <w:rFonts w:ascii="Times New Roman" w:hAnsi="Times New Roman" w:cs="Times New Roman"/>
                <w:i/>
                <w:iCs/>
                <w:sz w:val="28"/>
                <w:szCs w:val="28"/>
                <w:lang w:val="ro-RO"/>
              </w:rPr>
              <w:t>Analyst</w:t>
            </w:r>
            <w:r w:rsidRPr="00427724">
              <w:rPr>
                <w:rFonts w:ascii="Times New Roman" w:hAnsi="Times New Roman" w:cs="Times New Roman"/>
                <w:sz w:val="28"/>
                <w:szCs w:val="28"/>
                <w:lang w:val="ro-RO"/>
              </w:rPr>
              <w:t>, 1995, 120, p. 2 175-2 180.</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Conținutul declarat de producător.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Furaj preparat în laborator.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  număr de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  număr de valori unice.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repetabilității,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coeficientul de variație a reproductibilității, %.</w:t>
            </w:r>
          </w:p>
        </w:tc>
      </w:tr>
    </w:tbl>
    <w:p w:rsidR="00CD0DDE" w:rsidRDefault="00CD0DDE"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H.   DETERMINAREA CONȚINUTULUI DE CLORHIDRAT DE AMPROLIU</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clorură de 1-[(4-amino-2-propil-5-pirimidinil)metil]-2-metilpiridiniu monoclorhidrat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Obiectiv și domeniu de aplicare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permite determinarea conținutului de amproliu din furaje. Limita de detecție este de 1 mg/kg, limita de cuantificare este de 5 mg/kg</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2.    Principiu</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Eșantionul este extras cu un amestec de metanol și apă. După diluarea cu fază mobilă și filtrarea prin membrană, conținutul de amproliu se determină prin cromatografie lichidă de înaltă performanță (HPLC) cu schimb de cationi, utilizând un detector UV.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Metanol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Acetonitril,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Apă, de calitate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Soluție de fosfat diacid de sodiu, c = 0,1 mol/l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dizolvă 13,80 g de fosfat diacid de sodiu în apă (punctul 3.3) într-un balon gradat de 1 000 ml, se completează până la semn cu apă (punctul 3.3)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Soluție de perclorat de sodiu, c = 1,6 mol/l</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dizolvă 224,74 g de perclorat de sodiu monohidrat în apă (punctul 3.3) într-un balon gradat de 1 000 ml, se completează până la semn cu apă (punctul 3.3) și se amestecă.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Fază mobilă pentru HPLC (a se vedea observația de la punctul 9.1).</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Amestec de acetonitril (punctul 3.2), soluție de fosfat diacid de sodiu (punctul 3.4) și soluție de perclorat de sodiu (punctul 3.5), 450 + 450 + 100 (v + v + v). Înainte de utilizare, se filtrează printr-un filtru cu membrană de 0,22 μm (punctul 4.3) și se degazează soluția [de exemplu, într-o baie cu ultrasunete (punctul 4.4) timp de cel puțin 15 minute].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 Substanță etalon: amproliu pur, clorură de 1-[(4-amino-2-propil-5-pirimidinil)metil]-2-metilpiridiniu, E 750 (a se vedea punctul 9.2)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3.7.1. Soluție etalon stoc de amproliu, 500 μg/ml</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0,1 mg, 50 mg de amproliu (punctul 3.7) într-un balon gradat de 100 ml, se dizolvă în 80 ml de metanol (punctul 3.1) și se plasează balonul timp de 10 minute într-o baie cu ultrasunete (punctul 4.4). După tratamentul cu ultrasunete, se aduce soluția la temperatura camerei, se completează până la semn cu apă și se amestecă. La o temperatură de ≤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3.7.2. Soluție etalon intermediară de amproliu, 50 μg/ml</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pipetează 5,0 ml din soluția etalon stoc (punctul 3.7.1) într-un balon gradat de 50 ml, se completează până la semn cu solvent de extracție (punctul 3.8) și se amestecă. La o temperatură de ≤ 4 °C, soluția este stabilă timp de 1 lună.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3.7.3. Soluții de calibrare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transferă 0,5, 1,0 și 2,0 ml din soluția etalon intermediară (punctul 3.7.2) într-o serie de baloane gradate de 50 ml. Se completează până la semn cu faza mobilă (punctul 3.6) și se amestecă. Aceste soluții corespund la 0,5, 1,0 și respectiv 2,0 μg de amproliu per ml. Soluțiile se prepară imediat înainte de utilizare.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Solvent de 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Amestec de metanol (punctul 3.1) și apă 2 + 1 (v + v)</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Aparatură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 Echipament HPLC cu sistem de injecție, permițând injectarea de volume de 100 μl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4.1.1. Coloană pentru cromatografie lichidă de 125 mm × 4 mm, Nucleosil 10 SA cu schimb de cationi, particule de 5 sau 10 μm sau echivalent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4.1.2. Detector UV cu ajustare variabilă a lungimii de undă sau detector cu grup de diode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Filtru cu membrană, material PTFE, de 0,45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Filtru cu membrană, 0,22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4.4. Baie cu ultrasunete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 Agitator mecanic sau magnetic</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Procedura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Generalități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5.1.1.   </w:t>
      </w:r>
      <w:r w:rsidRPr="00427724">
        <w:rPr>
          <w:rFonts w:ascii="Times New Roman" w:hAnsi="Times New Roman" w:cs="Times New Roman"/>
          <w:b/>
          <w:bCs/>
          <w:sz w:val="28"/>
          <w:szCs w:val="28"/>
          <w:lang w:val="ro-RO"/>
        </w:rPr>
        <w:t> Furaj martor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efectuarea testului de recuperare (punctul 5.1.2), se analizează un furaj martor pentru a verifica absența amproliului și a substanțelor interferente. Furajul martor este similar, ca tip, cu eșantionul; nu trebuie să se detecteze amproliu sau substanțe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5.1.2.   </w:t>
      </w:r>
      <w:r w:rsidRPr="00427724">
        <w:rPr>
          <w:rFonts w:ascii="Times New Roman" w:hAnsi="Times New Roman" w:cs="Times New Roman"/>
          <w:b/>
          <w:bCs/>
          <w:sz w:val="28"/>
          <w:szCs w:val="28"/>
          <w:lang w:val="ro-RO"/>
        </w:rPr>
        <w:t> Testul de recuperare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efectuează un test de recuperare prin analiza furajului martor îmbogățit prin adăugarea unei cantități de amproliu similară celei prezente în eșantion. Pentru a obține o concentrație de 100 mg/kg, se transferă 10,0 ml de soluție etalon stoc (punctul 3.7.1) într-un flacon tip Erlenmeyer de 250 ml și se evaporă soluția până la aproximativ 0,5 ml. Se adaugă 50 g de furaj martor, se amestecă bine și se lasă timp de 10 min, amestecând din nou de mai multe ori înainte de a trece la etapa de extracție (punctul 5.2).</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Alternativ, dacă nu este disponibil un furaj martor similar, ca tip, cu eșantionul (a se vedea punctul 5.1.1), testul de recuperare poate fi efectuat conform metodei de adiție standard. În acest caz, eșantionul de analizat este îmbogățit cu o cantitate de amproliu similară cu cea deja prezentă în eșantion. Acest eșantion este analizat împreună cu eșantionul neîmbogățit și recuperarea poate fi calculată prin scădere.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Extracție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5.2.1.   </w:t>
      </w:r>
      <w:r w:rsidRPr="00427724">
        <w:rPr>
          <w:rFonts w:ascii="Times New Roman" w:hAnsi="Times New Roman" w:cs="Times New Roman"/>
          <w:b/>
          <w:bCs/>
          <w:sz w:val="28"/>
          <w:szCs w:val="28"/>
          <w:lang w:val="ro-RO"/>
        </w:rPr>
        <w:t> Preamestecuri (conținut de amproliu &lt; 1 %) și furaje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0,01 g, între 5 și 40 g de eșantion, în funcție de conținutul de amproliu, într-un flacon tip Erlenmeyer de 500 ml și se adaugă 200 ml de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(a se vedea observația de la 9.3). Se filtrează 5-10 ml din această soluție diluată cu un filtru cu membrană (punctul 4.2).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5.2.2.   </w:t>
      </w:r>
      <w:r w:rsidRPr="00427724">
        <w:rPr>
          <w:rFonts w:ascii="Times New Roman" w:hAnsi="Times New Roman" w:cs="Times New Roman"/>
          <w:b/>
          <w:bCs/>
          <w:sz w:val="28"/>
          <w:szCs w:val="28"/>
          <w:lang w:val="ro-RO"/>
        </w:rPr>
        <w:t> Preamestecuri (conținut de amproliu ≥ 1 %)</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cântăresc, cu o abatere de 0,001 g, 1-4 g de preamestec, în funcție de conținutul de amproliu, într-un flacon tip Erlenmeyer de 500 ml și se adaugă 200 ml solvent de extracție (punctul 3.8). Se plasează flaconul în baia cu ultrasunete (punctul 4.4) și se lasă timp de 15 minute. Se scoate flaconul din baia cu ultrasunete și se agită timp de 1 oră cu agitatorul mecanic sau magnetic (punctul 4.5). Se diluează o parte alicotă din extract cu faza mobilă (punctul 3.6), pentru a se obține un conținut de amproliu între 0,5 și 2 μg/ml și se amestecă. Se filtrează 5-10 ml din această soluție diluată cu un filtru cu membrană (punctul 4.2). Se continuă cu determinarea prin HPLC (punctul 5.3).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prin HPLC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w:t>
      </w:r>
      <w:r w:rsidRPr="00427724">
        <w:rPr>
          <w:rFonts w:ascii="Times New Roman" w:hAnsi="Times New Roman" w:cs="Times New Roman"/>
          <w:b/>
          <w:bCs/>
          <w:sz w:val="28"/>
          <w:szCs w:val="28"/>
          <w:lang w:val="ro-RO"/>
        </w:rPr>
        <w:t> Parametri:</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Următoarele condiții sunt propuse cu titlu orientativ; se pot aplica și alte condiții, dacă acestea duc la rezultate echivalente.</w:t>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914"/>
        <w:gridCol w:w="6476"/>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Coloană pentru cromatografie lichidă (punctul 4.1.1):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125 mm × 4 mm, Nucleosil 10 SA cu schimb de cationi, particule de 5 sau 10 μm sau echivalent</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Faza mobilă (punctul 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Amestec de acetonitril (punctul 3.2), soluție de fosfat diacid de sodiu (punctul 3.4) și soluție de perclorat de sodiu (punctul 3.5), 450 + 450 + 100 (v + v + v).</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Debit: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0,7 -1 ml/min</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Lungimea undei de detecție: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264 nm</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 de injecție: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100 μl</w:t>
            </w:r>
          </w:p>
        </w:tc>
      </w:tr>
    </w:tbl>
    <w:p w:rsidR="00CD0DDE" w:rsidRDefault="00CD0DDE" w:rsidP="00427724">
      <w:pPr>
        <w:tabs>
          <w:tab w:val="left" w:pos="210"/>
        </w:tabs>
        <w:jc w:val="both"/>
        <w:rPr>
          <w:rFonts w:ascii="Times New Roman" w:hAnsi="Times New Roman" w:cs="Times New Roman"/>
          <w:sz w:val="28"/>
          <w:szCs w:val="28"/>
          <w:lang w:val="ro-RO"/>
        </w:rPr>
      </w:pP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verifică stabilitatea sistemului cromatografic, injectându-se de mai multe ori soluția de calibrare (punctul 3.7.3) care conține 1,0 μg/ml, până când se obțin valori de vârf și timpi de retenție constanți.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5.3.2.   </w:t>
      </w:r>
      <w:r w:rsidRPr="00427724">
        <w:rPr>
          <w:rFonts w:ascii="Times New Roman" w:hAnsi="Times New Roman" w:cs="Times New Roman"/>
          <w:b/>
          <w:bCs/>
          <w:sz w:val="28"/>
          <w:szCs w:val="28"/>
          <w:lang w:val="ro-RO"/>
        </w:rPr>
        <w:t> Curba de calibrare</w:t>
      </w:r>
    </w:p>
    <w:p w:rsidR="00427724" w:rsidRPr="00427724" w:rsidRDefault="00CD0DDE"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fiecare soluție de calibrare (punctul 3.7.3) de mai multe ori și se determină înălțimile (ariile) medii ale vârfurilor pentru fiecare concentrație. Se trasează o curbă de calibrare utilizând înălțimile (ariile) medii ale vârfurilor soluțiilor de calibrare ca ordonate și concentrațiile corespunzătoare, în μg/ml, ca abscise.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5.3.3.   </w:t>
      </w:r>
      <w:r w:rsidRPr="00427724">
        <w:rPr>
          <w:rFonts w:ascii="Times New Roman" w:hAnsi="Times New Roman" w:cs="Times New Roman"/>
          <w:b/>
          <w:bCs/>
          <w:sz w:val="28"/>
          <w:szCs w:val="28"/>
          <w:lang w:val="ro-RO"/>
        </w:rPr>
        <w:t> Soluția de eșantion</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injectează extractul de eșantion (punctul 5.2) de mai multe ori folosind același volum ca cel utilizat pentru soluțiile de calibrare și se determină înălțimea (aria) medie a vârfurilor de amproliu.</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Calculul rezultatelor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Din înălțimea (aria) medie a vârfurilor de amproliu din soluția de eșantion se determină concentrația în μg/ml a soluției de eșantion prin referire la curba de calibrare (punctul 5.3.2).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w de amproliu al eșantionului, exprimat în mg/kg, este dat de următoarea formulă: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881505" cy="577850"/>
            <wp:effectExtent l="0" t="0" r="4445" b="0"/>
            <wp:docPr id="47" name="Imagine 47" descr="C:\Users\User MAIA\AppData\Local\Microsoft\Windows\INetCache\Content.MSO\430CAE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 MAIA\AppData\Local\Microsoft\Windows\INetCache\Content.MSO\430CAE9B.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1505" cy="577850"/>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203"/>
        <w:gridCol w:w="158"/>
        <w:gridCol w:w="9045"/>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volumul solventului de extracție (punctul 3.8), în ml, conform 5.2 (adică 200 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39"/>
        <w:gridCol w:w="175"/>
        <w:gridCol w:w="909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de amproliu din extractul de eșantion (punctul 5.2), în μg/ml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240"/>
        <w:gridCol w:w="404"/>
        <w:gridCol w:w="876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factorul de diluție conform 5.2</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512"/>
        <w:gridCol w:w="372"/>
        <w:gridCol w:w="852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greutatea porțiunii de testat, în g</w:t>
            </w:r>
          </w:p>
        </w:tc>
      </w:tr>
    </w:tbl>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Validarea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Identitate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Identitatea analitului poate fi confirmată prin co-cromatografie sau prin utilizarea unui detector cu grup de diode care permite compararea spectrelor extractului de eșantion (punctul 5.2) și ale soluției de calibrare (punctul 3.7.3), care conține 2,0 μg/ml.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7.1.1.   </w:t>
      </w:r>
      <w:r w:rsidRPr="00427724">
        <w:rPr>
          <w:rFonts w:ascii="Times New Roman" w:hAnsi="Times New Roman" w:cs="Times New Roman"/>
          <w:b/>
          <w:bCs/>
          <w:sz w:val="28"/>
          <w:szCs w:val="28"/>
          <w:lang w:val="ro-RO"/>
        </w:rPr>
        <w:t> Co-cromatografie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Un extract de eșantion (punctul 5.2) se îmbogățește prin adăugarea unei cantități adecvate de soluție de calibrare (punctul 3.7.3). Cantitatea de amproliu adăugată trebuie să fie similară cu cantitatea de amproliu constatată în extractul de eșantion.</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Numai înălțimea vârfului de amproliu se mărește după luarea în considerare atât a cantității adăugate, cât și a diluției extractului. Lărgimea vârfului, la jumătatea înălțimii sale, trebuie să se încadreze într-o variație de ± 10 % din lărgimea inițială a vârfului de amproliu din extractul de eșantion neîmbogățit.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7.1.2.   </w:t>
      </w:r>
      <w:r w:rsidRPr="00427724">
        <w:rPr>
          <w:rFonts w:ascii="Times New Roman" w:hAnsi="Times New Roman" w:cs="Times New Roman"/>
          <w:b/>
          <w:bCs/>
          <w:sz w:val="28"/>
          <w:szCs w:val="28"/>
          <w:lang w:val="ro-RO"/>
        </w:rPr>
        <w:t> Detecție cu grup de diode</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se evaluează în funcție de următoarele criterii: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(a) Lungimea de undă a absorbției maxime a spectrelor eșantionului și etalonului, înregistrată la vârful cel mai înalt al cromatogramei, trebuie să fie aceeași, într-o marjă determinată de puterea de rezoluție a sistemului de detecție. Pentru detecția cu grup de diode, acest interval este în general de ± 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Între 210 și 320 nm, spectrele eșantionului și etalonului înregistrate la vârful cel mai înalt al cromatogramei nu trebuie să fie diferite pentru acele părți ale spectrului situate între 10 și 100 % din absorbanța relativă. Acest criteriu este îndeplinit atunci când sunt prezente aceleași maxime și când deviația dintre spectre nu depășește în niciun punct observat 15 % din absorbanța analitului etalon.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Între 210 și 320 nm, spectrele curbei ascendente, ale punctului maxim și ale curbei descendente ale vârfului produs de extractul de eșantion nu trebuie să fie diferite unele de altele pentru acele părți ale spectrului situate între 10 și 100 % din absorbanța relativă. Acest criteriu este îndeplinit atunci când sunt prezente aceleași maxime și când deviația dintre spectre nu depășește în niciun punct observat 15 % din absorbanța spectrului celui mai înalt vârf al cromatogramei.</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unul dintre aceste criterii nu este îndeplinit, prezența analitului nu este confirmată.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Repetabilitate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rezultatele a două determinări paralele efectuate pe același eșantion nu trebuie să depășească: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 din rezultatul superior pentru un conținut de amproliu situat între 25 mg/kg și 500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75 mg/kg pentru un conținut de amproliu situat între 500 mg/kg și 1 000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7,5 % din valoarea superioară pentru un conținut de amproliu mai mare de 1 000 mg/kg.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un eșantion (martor) îmbogățit, recuperarea este de cel puțin 90 %.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Rezultatele unui studiu colaborativ</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S-a realizat un studiu colaborativ în cursul căruia au fost analizate trei tipuri de hrană pentru păsări de curte (eșantioanele 1-3), un furaj mineral (eșantionul 4) și un preamestec (eșantionul 5). Rezultatele sunt prezentate în tabelul de mai jos:</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27"/>
        <w:gridCol w:w="2083"/>
        <w:gridCol w:w="1220"/>
        <w:gridCol w:w="1220"/>
        <w:gridCol w:w="1220"/>
        <w:gridCol w:w="1220"/>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1 (furaj martor)</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Eșantion 5</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15</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188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5 129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25 140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CVr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760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3,00</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 nominal [mg/kg]</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25 000</w:t>
            </w:r>
          </w:p>
        </w:tc>
      </w:tr>
      <w:tr w:rsidR="00427724" w:rsidRPr="00427724" w:rsidTr="00427724">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  număr de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număr de valori unice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repetabilității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deviația standard a reproductibilității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CV</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coeficientul de variație a reproductibilității</w:t>
            </w:r>
          </w:p>
        </w:tc>
      </w:tr>
    </w:tbl>
    <w:p w:rsidR="00F65483" w:rsidRDefault="00F65483"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    Observații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9.1. Dacă eșantionul conține tiamină, vârful tiaminei din cromatogramă apare puțin înaintea vârfului de amproliu. Conform acestei metode, amproliul și tiamina trebuie să fie separate. Dacă amproliul și tiamina nu sunt separate de coloana (punctul 4.1.1) utilizată în această metodă, se înlocuiește cu metanol până la 50 % din porția de acetonitril a fazei mobile (punctul 3.6).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9.2. Conform Farmacopeei Britanice, spectrul soluției de amproliu (c = 0,02 mol/l) în acid clorhidric (c = 0,1 mol/l) prezintă valori maxime la 246 nm și 262 nm. Absorbanța este de 0,84 la 246 nm și de 0,80 la 262 nm.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9.3. Extractul trebuie să fie întotdeauna diluat cu faza mobilă, altfel timpul de reținere al vârfului de amproliu se poate schimba în mod semnificativ din cauza variațiilor forței ionice.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I.   DETERMINAREA NARAZINULUI</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Conținutul de nazarin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A755B" w:rsidRPr="005A755B">
        <w:rPr>
          <w:rFonts w:ascii="Times New Roman" w:hAnsi="Times New Roman" w:cs="Times New Roman"/>
          <w:sz w:val="28"/>
          <w:szCs w:val="28"/>
          <w:lang w:val="ro-RO"/>
        </w:rPr>
        <w:t>SM EN 17299:2020</w:t>
      </w:r>
      <w:r w:rsidR="005A755B">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5A755B">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A755B" w:rsidRPr="005A755B">
        <w:rPr>
          <w:rFonts w:ascii="Times New Roman" w:hAnsi="Times New Roman" w:cs="Times New Roman"/>
          <w:sz w:val="28"/>
          <w:szCs w:val="28"/>
          <w:lang w:val="ro-RO"/>
        </w:rPr>
        <w:t>SM EN ISO 14183:2016/AC:2017</w:t>
      </w:r>
      <w:r w:rsidR="005A755B">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conținutului de monensin, narazin și salinomicină – Metodă cromatografică lichidă prin derivatizare post-coloană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J.   DETERMINAREA NICARBAZINULUI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nicarbazin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A755B" w:rsidRPr="005A755B">
        <w:rPr>
          <w:rFonts w:ascii="Times New Roman" w:hAnsi="Times New Roman" w:cs="Times New Roman"/>
          <w:sz w:val="28"/>
          <w:szCs w:val="28"/>
          <w:lang w:val="ro-RO"/>
        </w:rPr>
        <w:t>SM EN 17299:2020</w:t>
      </w:r>
      <w:r w:rsidR="005A755B">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950E2" w:rsidRPr="005950E2">
        <w:rPr>
          <w:rFonts w:ascii="Times New Roman" w:hAnsi="Times New Roman" w:cs="Times New Roman"/>
          <w:sz w:val="28"/>
          <w:szCs w:val="28"/>
          <w:lang w:val="ro-RO"/>
        </w:rPr>
        <w:t>SM EN 15782:2017</w:t>
      </w:r>
      <w:r w:rsidR="005950E2">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nicarbazinului – Metodă cromatografică lichidă de înaltă performanță.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K.   DETERMINAREA DECOCHINATULUI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decochinat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950E2" w:rsidRPr="005950E2">
        <w:rPr>
          <w:rFonts w:ascii="Times New Roman" w:hAnsi="Times New Roman" w:cs="Times New Roman"/>
          <w:sz w:val="28"/>
          <w:szCs w:val="28"/>
          <w:lang w:val="ro-RO"/>
        </w:rPr>
        <w:t xml:space="preserve">SM EN 17299:2020 </w:t>
      </w:r>
      <w:r w:rsidRPr="00427724">
        <w:rPr>
          <w:rFonts w:ascii="Times New Roman" w:hAnsi="Times New Roman" w:cs="Times New Roman"/>
          <w:sz w:val="28"/>
          <w:szCs w:val="28"/>
          <w:lang w:val="ro-RO"/>
        </w:rPr>
        <w:t xml:space="preserve">Hrană pentru animale: Metode de eșantionare și de analiză – screeningul și determinarea coccidiostaticelor </w:t>
      </w:r>
      <w:r w:rsidRPr="00427724">
        <w:rPr>
          <w:rFonts w:ascii="Times New Roman" w:hAnsi="Times New Roman" w:cs="Times New Roman"/>
          <w:sz w:val="28"/>
          <w:szCs w:val="28"/>
          <w:lang w:val="ro-RO"/>
        </w:rPr>
        <w:lastRenderedPageBreak/>
        <w:t>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950E2" w:rsidRPr="005950E2">
        <w:rPr>
          <w:rFonts w:ascii="Times New Roman" w:hAnsi="Times New Roman" w:cs="Times New Roman"/>
          <w:sz w:val="28"/>
          <w:szCs w:val="28"/>
          <w:lang w:val="ro-RO"/>
        </w:rPr>
        <w:t>SM EN 16162:2017</w:t>
      </w:r>
      <w:r w:rsidR="005950E2">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decochinatului prin HPLC cu detectarea fluorescenței.</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L.   DETERMINAREA MONENSINULUI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monensin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bookmarkStart w:id="6" w:name="_Hlk220314619"/>
      <w:r w:rsidR="005950E2" w:rsidRPr="005950E2">
        <w:rPr>
          <w:rFonts w:ascii="Times New Roman" w:hAnsi="Times New Roman" w:cs="Times New Roman"/>
          <w:sz w:val="28"/>
          <w:szCs w:val="28"/>
          <w:lang w:val="ro-RO"/>
        </w:rPr>
        <w:t xml:space="preserve">SM EN 17299:2020 </w:t>
      </w:r>
      <w:bookmarkEnd w:id="6"/>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950E2" w:rsidRPr="005950E2">
        <w:rPr>
          <w:rFonts w:ascii="Times New Roman" w:hAnsi="Times New Roman" w:cs="Times New Roman"/>
          <w:sz w:val="28"/>
          <w:szCs w:val="28"/>
          <w:lang w:val="ro-RO"/>
        </w:rPr>
        <w:t>SM EN ISO 14183:2016/AC:2017</w:t>
      </w:r>
      <w:r w:rsidR="005950E2">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conținutului de monensin, narazin și salinomicină – Metodă cromatografică lichidă prin derivatizare post-coloană.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   DETERMINAREA SALINOMICINULUI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salinomicin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de analiză prevăzută de </w:t>
      </w:r>
      <w:r w:rsidR="005950E2" w:rsidRPr="005950E2">
        <w:rPr>
          <w:rFonts w:ascii="Times New Roman" w:hAnsi="Times New Roman" w:cs="Times New Roman"/>
          <w:sz w:val="28"/>
          <w:szCs w:val="28"/>
          <w:lang w:val="ro-RO"/>
        </w:rPr>
        <w:t xml:space="preserve">SM EN 17299:2020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950E2" w:rsidRPr="005950E2">
        <w:rPr>
          <w:rFonts w:ascii="Times New Roman" w:hAnsi="Times New Roman" w:cs="Times New Roman"/>
          <w:sz w:val="28"/>
          <w:szCs w:val="28"/>
          <w:lang w:val="ro-RO"/>
        </w:rPr>
        <w:t>SM EN ISO 14183:2016/AC:2017</w:t>
      </w:r>
      <w:r w:rsidR="005950E2">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Hrană pentru animale – Determinarea conținutului de monensin, narazin și salinomicină – Metodă cromatografică lichidă prin derivatizare post-coloană.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N.   DETERMINAREA SEMDURAMICINULUI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Conținutul de semduramicin se determină prin: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xml:space="preserve">— metoda de analiză prevăzută de </w:t>
      </w:r>
      <w:r w:rsidR="005950E2" w:rsidRPr="005950E2">
        <w:rPr>
          <w:rFonts w:ascii="Times New Roman" w:hAnsi="Times New Roman" w:cs="Times New Roman"/>
          <w:sz w:val="28"/>
          <w:szCs w:val="28"/>
          <w:lang w:val="ro-RO"/>
        </w:rPr>
        <w:t xml:space="preserve">SM EN 17299:2020 </w:t>
      </w:r>
      <w:r w:rsidRPr="00427724">
        <w:rPr>
          <w:rFonts w:ascii="Times New Roman" w:hAnsi="Times New Roman" w:cs="Times New Roman"/>
          <w:sz w:val="28"/>
          <w:szCs w:val="28"/>
          <w:lang w:val="ro-RO"/>
        </w:rPr>
        <w:t>Hrană pentru animale: Metode de eșantionare și de analiză – screeningul și determinarea coccidiostaticelor autorizate la nivel de aditiv și de contaminare încrucișată de 1 % și 3 %, precum și a coccidiostaticelor neînregistrate și a unui antibiotic la niveluri de subaditiv, în furajele combinate cu cromatografie lichidă de înaltă performanță – detecție spectrometrică de masă în tandem (LC-MS/MS);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metoda prevăzută de </w:t>
      </w:r>
      <w:r w:rsidR="005950E2">
        <w:rPr>
          <w:rFonts w:ascii="Times New Roman" w:hAnsi="Times New Roman" w:cs="Times New Roman"/>
          <w:sz w:val="28"/>
          <w:szCs w:val="28"/>
          <w:lang w:val="ro-RO"/>
        </w:rPr>
        <w:t xml:space="preserve">SM </w:t>
      </w:r>
      <w:r w:rsidRPr="00427724">
        <w:rPr>
          <w:rFonts w:ascii="Times New Roman" w:hAnsi="Times New Roman" w:cs="Times New Roman"/>
          <w:sz w:val="28"/>
          <w:szCs w:val="28"/>
          <w:lang w:val="ro-RO"/>
        </w:rPr>
        <w:t>EN ISO 16158 Hrană pentru animale – Determinarea conținutului de semduramicin – Metodă cromatografică lichidă prin utilizarea unei abordări de tip „ramificat”.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xml:space="preserve">O.   STANDARDE </w:t>
      </w:r>
      <w:r w:rsidR="005A3545">
        <w:rPr>
          <w:rFonts w:ascii="Times New Roman" w:hAnsi="Times New Roman" w:cs="Times New Roman"/>
          <w:b/>
          <w:bCs/>
          <w:sz w:val="28"/>
          <w:szCs w:val="28"/>
          <w:lang w:val="ro-RO"/>
        </w:rPr>
        <w:t xml:space="preserve">SM </w:t>
      </w:r>
      <w:r w:rsidRPr="00427724">
        <w:rPr>
          <w:rFonts w:ascii="Times New Roman" w:hAnsi="Times New Roman" w:cs="Times New Roman"/>
          <w:b/>
          <w:bCs/>
          <w:sz w:val="28"/>
          <w:szCs w:val="28"/>
          <w:lang w:val="ro-RO"/>
        </w:rPr>
        <w:t>EN</w:t>
      </w:r>
    </w:p>
    <w:p w:rsidR="00427724" w:rsidRPr="00427724" w:rsidRDefault="00F65483" w:rsidP="00E07269">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aplicarea art</w:t>
      </w:r>
      <w:r w:rsidR="000C27D1">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3</w:t>
      </w:r>
      <w:r w:rsidR="001E4FB6">
        <w:rPr>
          <w:rFonts w:ascii="Times New Roman" w:hAnsi="Times New Roman" w:cs="Times New Roman"/>
          <w:sz w:val="28"/>
          <w:szCs w:val="28"/>
          <w:lang w:val="ro-RO"/>
        </w:rPr>
        <w:t>2</w:t>
      </w:r>
      <w:r w:rsidR="00427724" w:rsidRPr="00427724">
        <w:rPr>
          <w:rFonts w:ascii="Times New Roman" w:hAnsi="Times New Roman" w:cs="Times New Roman"/>
          <w:sz w:val="28"/>
          <w:szCs w:val="28"/>
          <w:lang w:val="ro-RO"/>
        </w:rPr>
        <w:t xml:space="preserve"> alin</w:t>
      </w:r>
      <w:r w:rsidR="000C27D1">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(2) lit</w:t>
      </w:r>
      <w:r w:rsidR="000C27D1">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(a) din </w:t>
      </w:r>
      <w:bookmarkStart w:id="7" w:name="_Hlk217917700"/>
      <w:r w:rsidR="00E07269">
        <w:rPr>
          <w:rFonts w:ascii="Times New Roman" w:hAnsi="Times New Roman" w:cs="Times New Roman"/>
          <w:sz w:val="28"/>
          <w:szCs w:val="28"/>
          <w:lang w:val="ro-RO"/>
        </w:rPr>
        <w:t>Legea 82/2024</w:t>
      </w:r>
      <w:r w:rsidR="00E07269" w:rsidRPr="00E07269">
        <w:t xml:space="preserve"> </w:t>
      </w:r>
      <w:r w:rsidR="00E07269" w:rsidRPr="00E07269">
        <w:rPr>
          <w:rFonts w:ascii="Times New Roman" w:hAnsi="Times New Roman" w:cs="Times New Roman"/>
          <w:sz w:val="28"/>
          <w:szCs w:val="28"/>
          <w:lang w:val="ro-RO"/>
        </w:rPr>
        <w:t>privind controalele oficiale în domeniul</w:t>
      </w:r>
      <w:r w:rsidR="00E07269">
        <w:rPr>
          <w:rFonts w:ascii="Times New Roman" w:hAnsi="Times New Roman" w:cs="Times New Roman"/>
          <w:sz w:val="28"/>
          <w:szCs w:val="28"/>
          <w:lang w:val="ro-RO"/>
        </w:rPr>
        <w:t xml:space="preserve"> </w:t>
      </w:r>
      <w:r w:rsidR="00E07269" w:rsidRPr="00E07269">
        <w:rPr>
          <w:rFonts w:ascii="Times New Roman" w:hAnsi="Times New Roman" w:cs="Times New Roman"/>
          <w:sz w:val="28"/>
          <w:szCs w:val="28"/>
          <w:lang w:val="ro-RO"/>
        </w:rPr>
        <w:t>agroalimentar</w:t>
      </w:r>
      <w:bookmarkEnd w:id="7"/>
      <w:r w:rsidR="00427724" w:rsidRPr="00427724">
        <w:rPr>
          <w:rFonts w:ascii="Times New Roman" w:hAnsi="Times New Roman" w:cs="Times New Roman"/>
          <w:sz w:val="28"/>
          <w:szCs w:val="28"/>
          <w:lang w:val="ro-RO"/>
        </w:rPr>
        <w:t xml:space="preserve">, sunt relevante următoarele standarde </w:t>
      </w:r>
      <w:r w:rsidR="006B3608">
        <w:rPr>
          <w:rFonts w:ascii="Times New Roman" w:hAnsi="Times New Roman" w:cs="Times New Roman"/>
          <w:sz w:val="28"/>
          <w:szCs w:val="28"/>
          <w:lang w:val="ro-RO"/>
        </w:rPr>
        <w:t xml:space="preserve">SM </w:t>
      </w:r>
      <w:r w:rsidR="00427724" w:rsidRPr="00427724">
        <w:rPr>
          <w:rFonts w:ascii="Times New Roman" w:hAnsi="Times New Roman" w:cs="Times New Roman"/>
          <w:sz w:val="28"/>
          <w:szCs w:val="28"/>
          <w:lang w:val="ro-RO"/>
        </w:rPr>
        <w:t>EN:</w:t>
      </w:r>
    </w:p>
    <w:p w:rsidR="00427724" w:rsidRPr="00427724" w:rsidRDefault="005950E2" w:rsidP="00427724">
      <w:pPr>
        <w:tabs>
          <w:tab w:val="left" w:pos="210"/>
        </w:tabs>
        <w:jc w:val="both"/>
        <w:rPr>
          <w:rFonts w:ascii="Times New Roman" w:hAnsi="Times New Roman" w:cs="Times New Roman"/>
          <w:sz w:val="28"/>
          <w:szCs w:val="28"/>
          <w:lang w:val="ro-RO"/>
        </w:rPr>
      </w:pPr>
      <w:r w:rsidRPr="005950E2">
        <w:rPr>
          <w:rFonts w:ascii="Times New Roman" w:hAnsi="Times New Roman" w:cs="Times New Roman"/>
          <w:sz w:val="28"/>
          <w:szCs w:val="28"/>
          <w:lang w:val="ro-RO"/>
        </w:rPr>
        <w:t>SM EN ISO 30024:2024</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Determinarea activității fitazei</w:t>
      </w:r>
    </w:p>
    <w:p w:rsidR="00427724" w:rsidRPr="00427724" w:rsidRDefault="005950E2" w:rsidP="00427724">
      <w:pPr>
        <w:tabs>
          <w:tab w:val="left" w:pos="210"/>
        </w:tabs>
        <w:jc w:val="both"/>
        <w:rPr>
          <w:rFonts w:ascii="Times New Roman" w:hAnsi="Times New Roman" w:cs="Times New Roman"/>
          <w:sz w:val="28"/>
          <w:szCs w:val="28"/>
          <w:lang w:val="ro-RO"/>
        </w:rPr>
      </w:pPr>
      <w:r w:rsidRPr="005950E2">
        <w:rPr>
          <w:rFonts w:ascii="Times New Roman" w:hAnsi="Times New Roman" w:cs="Times New Roman"/>
          <w:sz w:val="28"/>
          <w:szCs w:val="28"/>
          <w:lang w:val="ro-RO"/>
        </w:rPr>
        <w:t>SM EN 17050:2018</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Metode de eșantionare și de analiză – Determinarea iodului din furaje prin ICP-MS</w:t>
      </w:r>
    </w:p>
    <w:p w:rsidR="00427724" w:rsidRPr="00427724" w:rsidRDefault="005950E2" w:rsidP="00427724">
      <w:pPr>
        <w:tabs>
          <w:tab w:val="left" w:pos="210"/>
        </w:tabs>
        <w:jc w:val="both"/>
        <w:rPr>
          <w:rFonts w:ascii="Times New Roman" w:hAnsi="Times New Roman" w:cs="Times New Roman"/>
          <w:sz w:val="28"/>
          <w:szCs w:val="28"/>
          <w:lang w:val="ro-RO"/>
        </w:rPr>
      </w:pPr>
      <w:r w:rsidRPr="005950E2">
        <w:rPr>
          <w:rFonts w:ascii="Times New Roman" w:hAnsi="Times New Roman" w:cs="Times New Roman"/>
          <w:sz w:val="28"/>
          <w:szCs w:val="28"/>
          <w:lang w:val="ro-RO"/>
        </w:rPr>
        <w:t>SM EN 17550:2022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Determinarea carotenoidelor în furajele combinate și în preamestecuri prin cromatografie lichidă de înaltă performanță – detecție UV (HPLC-UV)</w:t>
      </w:r>
    </w:p>
    <w:p w:rsidR="00427724" w:rsidRPr="00427724" w:rsidRDefault="005950E2" w:rsidP="00427724">
      <w:pPr>
        <w:tabs>
          <w:tab w:val="left" w:pos="210"/>
        </w:tabs>
        <w:jc w:val="both"/>
        <w:rPr>
          <w:rFonts w:ascii="Times New Roman" w:hAnsi="Times New Roman" w:cs="Times New Roman"/>
          <w:sz w:val="28"/>
          <w:szCs w:val="28"/>
          <w:lang w:val="ro-RO"/>
        </w:rPr>
      </w:pPr>
      <w:r w:rsidRPr="005950E2">
        <w:rPr>
          <w:rFonts w:ascii="Times New Roman" w:hAnsi="Times New Roman" w:cs="Times New Roman"/>
          <w:sz w:val="28"/>
          <w:szCs w:val="28"/>
          <w:lang w:val="ro-RO"/>
        </w:rPr>
        <w:t>SM EN 15784:2022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Detectarea și enumerarea </w:t>
      </w:r>
      <w:r w:rsidR="00427724" w:rsidRPr="00427724">
        <w:rPr>
          <w:rFonts w:ascii="Times New Roman" w:hAnsi="Times New Roman" w:cs="Times New Roman"/>
          <w:i/>
          <w:iCs/>
          <w:sz w:val="28"/>
          <w:szCs w:val="28"/>
          <w:lang w:val="ro-RO"/>
        </w:rPr>
        <w:t>Bacillus</w:t>
      </w:r>
      <w:r w:rsidR="00427724" w:rsidRPr="00427724">
        <w:rPr>
          <w:rFonts w:ascii="Times New Roman" w:hAnsi="Times New Roman" w:cs="Times New Roman"/>
          <w:sz w:val="28"/>
          <w:szCs w:val="28"/>
          <w:lang w:val="ro-RO"/>
        </w:rPr>
        <w:t> spp.</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15785:2017</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Izolarea și enumerarea </w:t>
      </w:r>
      <w:r w:rsidR="00427724" w:rsidRPr="00427724">
        <w:rPr>
          <w:rFonts w:ascii="Times New Roman" w:hAnsi="Times New Roman" w:cs="Times New Roman"/>
          <w:i/>
          <w:iCs/>
          <w:sz w:val="28"/>
          <w:szCs w:val="28"/>
          <w:lang w:val="ro-RO"/>
        </w:rPr>
        <w:t>Bifidobacterium</w:t>
      </w:r>
      <w:r w:rsidR="00427724" w:rsidRPr="00427724">
        <w:rPr>
          <w:rFonts w:ascii="Times New Roman" w:hAnsi="Times New Roman" w:cs="Times New Roman"/>
          <w:sz w:val="28"/>
          <w:szCs w:val="28"/>
          <w:lang w:val="ro-RO"/>
        </w:rPr>
        <w:t> spp.</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15786:2022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Detectarea și enumerarea </w:t>
      </w:r>
      <w:r w:rsidR="00427724" w:rsidRPr="00427724">
        <w:rPr>
          <w:rFonts w:ascii="Times New Roman" w:hAnsi="Times New Roman" w:cs="Times New Roman"/>
          <w:i/>
          <w:iCs/>
          <w:sz w:val="28"/>
          <w:szCs w:val="28"/>
          <w:lang w:val="ro-RO"/>
        </w:rPr>
        <w:t>Pediococcus</w:t>
      </w:r>
      <w:r w:rsidR="00427724" w:rsidRPr="00427724">
        <w:rPr>
          <w:rFonts w:ascii="Times New Roman" w:hAnsi="Times New Roman" w:cs="Times New Roman"/>
          <w:sz w:val="28"/>
          <w:szCs w:val="28"/>
          <w:lang w:val="ro-RO"/>
        </w:rPr>
        <w:t> spp.</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15787:2022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Detectarea și enumerarea </w:t>
      </w:r>
      <w:r w:rsidR="00427724" w:rsidRPr="00427724">
        <w:rPr>
          <w:rFonts w:ascii="Times New Roman" w:hAnsi="Times New Roman" w:cs="Times New Roman"/>
          <w:i/>
          <w:iCs/>
          <w:sz w:val="28"/>
          <w:szCs w:val="28"/>
          <w:lang w:val="ro-RO"/>
        </w:rPr>
        <w:t>Lactobacillus</w:t>
      </w:r>
      <w:r w:rsidR="00427724" w:rsidRPr="00427724">
        <w:rPr>
          <w:rFonts w:ascii="Times New Roman" w:hAnsi="Times New Roman" w:cs="Times New Roman"/>
          <w:sz w:val="28"/>
          <w:szCs w:val="28"/>
          <w:lang w:val="ro-RO"/>
        </w:rPr>
        <w:t> spp. utilizat ca aditiv furajer</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15788:2022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Detectarea și enumerarea </w:t>
      </w:r>
      <w:r w:rsidR="00427724" w:rsidRPr="00427724">
        <w:rPr>
          <w:rFonts w:ascii="Times New Roman" w:hAnsi="Times New Roman" w:cs="Times New Roman"/>
          <w:i/>
          <w:iCs/>
          <w:sz w:val="28"/>
          <w:szCs w:val="28"/>
          <w:lang w:val="ro-RO"/>
        </w:rPr>
        <w:t>Enterococcus</w:t>
      </w:r>
      <w:r w:rsidR="00427724" w:rsidRPr="00427724">
        <w:rPr>
          <w:rFonts w:ascii="Times New Roman" w:hAnsi="Times New Roman" w:cs="Times New Roman"/>
          <w:sz w:val="28"/>
          <w:szCs w:val="28"/>
          <w:lang w:val="ro-RO"/>
        </w:rPr>
        <w:t> (</w:t>
      </w:r>
      <w:r w:rsidR="00427724" w:rsidRPr="00427724">
        <w:rPr>
          <w:rFonts w:ascii="Times New Roman" w:hAnsi="Times New Roman" w:cs="Times New Roman"/>
          <w:i/>
          <w:iCs/>
          <w:sz w:val="28"/>
          <w:szCs w:val="28"/>
          <w:lang w:val="ro-RO"/>
        </w:rPr>
        <w:t>E. faecium</w:t>
      </w:r>
      <w:r w:rsidR="00427724" w:rsidRPr="00427724">
        <w:rPr>
          <w:rFonts w:ascii="Times New Roman" w:hAnsi="Times New Roman" w:cs="Times New Roman"/>
          <w:sz w:val="28"/>
          <w:szCs w:val="28"/>
          <w:lang w:val="ro-RO"/>
        </w:rPr>
        <w:t>) spp. utilizat ca aditiv furajer</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15789:2022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Detectarea și enumerarea </w:t>
      </w:r>
      <w:r w:rsidR="00427724" w:rsidRPr="00427724">
        <w:rPr>
          <w:rFonts w:ascii="Times New Roman" w:hAnsi="Times New Roman" w:cs="Times New Roman"/>
          <w:i/>
          <w:iCs/>
          <w:sz w:val="28"/>
          <w:szCs w:val="28"/>
          <w:lang w:val="ro-RO"/>
        </w:rPr>
        <w:t>Saccharomyces cerevisiae</w:t>
      </w:r>
      <w:r w:rsidR="00427724" w:rsidRPr="00427724">
        <w:rPr>
          <w:rFonts w:ascii="Times New Roman" w:hAnsi="Times New Roman" w:cs="Times New Roman"/>
          <w:sz w:val="28"/>
          <w:szCs w:val="28"/>
          <w:lang w:val="ro-RO"/>
        </w:rPr>
        <w:t> utilizată ca aditiv furajer</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lastRenderedPageBreak/>
        <w:t>SM EN 15510:2018</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Determinarea calciului, sodiului, fosforului, magneziului, potasiului, fierului, zincului, cuprului, manganului, cobaltului, molibdenului și plumbului prin ICP-AES (pentru analiza aditivilor furajeri cobalt și molibden)</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15621:2018</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Determinarea calciului, sodiului, fosforului, magneziului, potasiului, sulfului, fierului, zincului, cuprului, manganului și cobaltului după dizolvarea sub presiune prin ICP-AES (pentru analiza aditivului furajer cobalt)</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16159:2017</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Determinarea seleniului prin spectrometrie de absorbție atomică cu generare de hidruri (HGAAS) după dizolvarea cu microunde (dizolvare cu 65 % acid azotic și 30 % peroxid de hidrogen) (pentru analiza aditivului furajer seleniu)</w:t>
      </w:r>
    </w:p>
    <w:p w:rsidR="00427724" w:rsidRPr="00427724" w:rsidRDefault="006E1C6E" w:rsidP="00427724">
      <w:pPr>
        <w:tabs>
          <w:tab w:val="left" w:pos="210"/>
        </w:tabs>
        <w:jc w:val="both"/>
        <w:rPr>
          <w:rFonts w:ascii="Times New Roman" w:hAnsi="Times New Roman" w:cs="Times New Roman"/>
          <w:sz w:val="28"/>
          <w:szCs w:val="28"/>
          <w:lang w:val="ro-RO"/>
        </w:rPr>
      </w:pPr>
      <w:r w:rsidRPr="006E1C6E">
        <w:rPr>
          <w:rFonts w:ascii="Times New Roman" w:hAnsi="Times New Roman" w:cs="Times New Roman"/>
          <w:sz w:val="28"/>
          <w:szCs w:val="28"/>
          <w:lang w:val="ro-RO"/>
        </w:rPr>
        <w:t>SM EN 17053:2018</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Determinarea oligoelementelor, a metalelor grele și a altor elemente din furaje prin ICP-MS (multimetodă) (pentru analiza aditivilor furajeri cobalt, molibden și seleniu).</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DC6FF3" w:rsidRDefault="00DC6FF3" w:rsidP="00DC6FF3">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Pr="008C40D5">
        <w:rPr>
          <w:rFonts w:ascii="Times New Roman" w:hAnsi="Times New Roman" w:cs="Times New Roman"/>
          <w:sz w:val="28"/>
          <w:szCs w:val="28"/>
          <w:lang w:val="ro-MD"/>
        </w:rPr>
        <w:t xml:space="preserve">Anexă </w:t>
      </w:r>
      <w:r>
        <w:rPr>
          <w:rFonts w:ascii="Times New Roman" w:hAnsi="Times New Roman" w:cs="Times New Roman"/>
          <w:sz w:val="28"/>
          <w:szCs w:val="28"/>
          <w:lang w:val="ro-MD"/>
        </w:rPr>
        <w:t>nr.</w:t>
      </w:r>
      <w:r w:rsidR="002E5B2A">
        <w:rPr>
          <w:rFonts w:ascii="Times New Roman" w:hAnsi="Times New Roman" w:cs="Times New Roman"/>
          <w:sz w:val="28"/>
          <w:szCs w:val="28"/>
          <w:lang w:val="ro-MD"/>
        </w:rPr>
        <w:t>5</w:t>
      </w:r>
    </w:p>
    <w:p w:rsidR="00DC6FF3" w:rsidRDefault="00C767A3" w:rsidP="00DC6FF3">
      <w:pPr>
        <w:tabs>
          <w:tab w:val="left" w:pos="210"/>
        </w:tabs>
        <w:jc w:val="right"/>
        <w:rPr>
          <w:rFonts w:ascii="Times New Roman" w:hAnsi="Times New Roman" w:cs="Times New Roman"/>
          <w:b/>
          <w:bCs/>
          <w:sz w:val="28"/>
          <w:szCs w:val="28"/>
          <w:lang w:val="ro-RO"/>
        </w:rPr>
      </w:pPr>
      <w:r w:rsidRPr="00C767A3">
        <w:rPr>
          <w:rFonts w:ascii="Times New Roman" w:hAnsi="Times New Roman" w:cs="Times New Roman"/>
          <w:bCs/>
          <w:sz w:val="28"/>
          <w:szCs w:val="28"/>
          <w:lang w:val="ro-MD"/>
        </w:rPr>
        <w:t>la Hotărârea Guvernului nr.686/2012</w:t>
      </w:r>
    </w:p>
    <w:p w:rsidR="00427724" w:rsidRPr="00427724" w:rsidRDefault="00427724" w:rsidP="00DC6FF3">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ANALIZĂ PENTRU CONTROLUL SUBSTANȚELOR NEDORITE DIN FURAJE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   DETERMINAREA NIVELURILOR DE DIOXINE (PCDD/PCDF) ȘI DE PCB-URI</w:t>
      </w:r>
    </w:p>
    <w:p w:rsidR="00427724" w:rsidRPr="00F65483" w:rsidRDefault="00F65483" w:rsidP="00F65483">
      <w:pPr>
        <w:tabs>
          <w:tab w:val="left" w:pos="210"/>
        </w:tabs>
        <w:jc w:val="center"/>
        <w:rPr>
          <w:rFonts w:ascii="Times New Roman" w:hAnsi="Times New Roman" w:cs="Times New Roman"/>
          <w:b/>
          <w:i/>
          <w:iCs/>
          <w:sz w:val="28"/>
          <w:szCs w:val="28"/>
          <w:lang w:val="ro-RO"/>
        </w:rPr>
      </w:pPr>
      <w:bookmarkStart w:id="8" w:name="_Hlk220577416"/>
      <w:r w:rsidRPr="00F65483">
        <w:rPr>
          <w:rFonts w:ascii="Times New Roman" w:hAnsi="Times New Roman" w:cs="Times New Roman"/>
          <w:b/>
          <w:i/>
          <w:iCs/>
          <w:sz w:val="28"/>
          <w:szCs w:val="28"/>
          <w:lang w:val="ro-RO"/>
        </w:rPr>
        <w:t>Capitolul</w:t>
      </w:r>
      <w:r w:rsidR="00427724" w:rsidRPr="00F65483">
        <w:rPr>
          <w:rFonts w:ascii="Times New Roman" w:hAnsi="Times New Roman" w:cs="Times New Roman"/>
          <w:b/>
          <w:i/>
          <w:iCs/>
          <w:sz w:val="28"/>
          <w:szCs w:val="28"/>
          <w:lang w:val="ro-RO"/>
        </w:rPr>
        <w:t xml:space="preserve"> </w:t>
      </w:r>
      <w:r>
        <w:rPr>
          <w:rFonts w:ascii="Times New Roman" w:hAnsi="Times New Roman" w:cs="Times New Roman"/>
          <w:b/>
          <w:i/>
          <w:iCs/>
          <w:sz w:val="28"/>
          <w:szCs w:val="28"/>
          <w:lang w:val="ro-RO"/>
        </w:rPr>
        <w:t>nr.1</w:t>
      </w:r>
    </w:p>
    <w:bookmarkEnd w:id="8"/>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b/>
          <w:bCs/>
          <w:i/>
          <w:iCs/>
          <w:sz w:val="28"/>
          <w:szCs w:val="28"/>
          <w:lang w:val="ro-RO"/>
        </w:rPr>
        <w:t>METODE DE EȘANTIONARE ȘI DE INTERPRETARE A REZULTATELOR ANALITICE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Domeniu de aplicare și definiții</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destinate controlului oficial al nivelurilor de p-dibenzodioxine policlorurate (PCDD-uri), dibenzofurani policlorurați (PCDF-uri), bifenili policlorurați de tipul dioxinelor (PCB-uri) (</w:t>
      </w:r>
      <w:hyperlink r:id="rId83" w:anchor="E0048"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29</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 xml:space="preserve">) și PCB-uri care nu sunt de tipul </w:t>
      </w:r>
      <w:r w:rsidR="00427724" w:rsidRPr="00427724">
        <w:rPr>
          <w:rFonts w:ascii="Times New Roman" w:hAnsi="Times New Roman" w:cs="Times New Roman"/>
          <w:sz w:val="28"/>
          <w:szCs w:val="28"/>
          <w:lang w:val="ro-RO"/>
        </w:rPr>
        <w:lastRenderedPageBreak/>
        <w:t xml:space="preserve">dioxinelor din furaje sunt prelevate în conformitate cu dispozițiile din anexa </w:t>
      </w:r>
      <w:r w:rsidR="00DC6FF3">
        <w:rPr>
          <w:rFonts w:ascii="Times New Roman" w:hAnsi="Times New Roman" w:cs="Times New Roman"/>
          <w:sz w:val="28"/>
          <w:szCs w:val="28"/>
          <w:lang w:val="ro-RO"/>
        </w:rPr>
        <w:t>nr.</w:t>
      </w:r>
      <w:r w:rsidR="00526568">
        <w:rPr>
          <w:rFonts w:ascii="Times New Roman" w:hAnsi="Times New Roman" w:cs="Times New Roman"/>
          <w:sz w:val="28"/>
          <w:szCs w:val="28"/>
          <w:lang w:val="ro-RO"/>
        </w:rPr>
        <w:t xml:space="preserve"> </w:t>
      </w:r>
      <w:r w:rsidR="00DC6FF3">
        <w:rPr>
          <w:rFonts w:ascii="Times New Roman" w:hAnsi="Times New Roman" w:cs="Times New Roman"/>
          <w:sz w:val="28"/>
          <w:szCs w:val="28"/>
          <w:lang w:val="ro-RO"/>
        </w:rPr>
        <w:t xml:space="preserve">1 </w:t>
      </w:r>
      <w:r w:rsidR="00427724" w:rsidRPr="00427724">
        <w:rPr>
          <w:rFonts w:ascii="Times New Roman" w:hAnsi="Times New Roman" w:cs="Times New Roman"/>
          <w:sz w:val="28"/>
          <w:szCs w:val="28"/>
          <w:lang w:val="ro-RO"/>
        </w:rPr>
        <w:t xml:space="preserve">. Se aplică cerințele cantitative privind controlul substanțelor sau produselor repartizate uniform în furaje, așa cum sunt prevăzute la punctul 5.1 din anexa </w:t>
      </w:r>
      <w:r w:rsidR="00D2512E">
        <w:rPr>
          <w:rFonts w:ascii="Times New Roman" w:hAnsi="Times New Roman" w:cs="Times New Roman"/>
          <w:sz w:val="28"/>
          <w:szCs w:val="28"/>
          <w:lang w:val="ro-RO"/>
        </w:rPr>
        <w:t>nr.1</w:t>
      </w:r>
      <w:r w:rsidR="00427724" w:rsidRPr="00427724">
        <w:rPr>
          <w:rFonts w:ascii="Times New Roman" w:hAnsi="Times New Roman" w:cs="Times New Roman"/>
          <w:sz w:val="28"/>
          <w:szCs w:val="28"/>
          <w:lang w:val="ro-RO"/>
        </w:rPr>
        <w:t xml:space="preserve">. Eșantioanele agregat astfel obținute se consideră reprezentative pentru loturile sau subloturile din care sunt prelevate. Pe baza nivelurilor determinate în eșantioanele de laborator se stabilește dacă se respectă nivelurile maxime prevăzute </w:t>
      </w:r>
      <w:r w:rsidR="00EB3C62">
        <w:rPr>
          <w:rFonts w:ascii="Times New Roman" w:hAnsi="Times New Roman" w:cs="Times New Roman"/>
          <w:sz w:val="28"/>
          <w:szCs w:val="28"/>
          <w:lang w:val="ro-RO"/>
        </w:rPr>
        <w:t>la</w:t>
      </w:r>
      <w:r w:rsidR="00427724" w:rsidRPr="00427724">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Cerințele sanitar-veterinare față de hrana pentru animale, aprobate prin Hotărârea Guvernului nr.</w:t>
      </w:r>
      <w:r w:rsidR="00EB3C62">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910/2020</w:t>
      </w:r>
      <w:r w:rsidR="00427724" w:rsidRPr="00427724">
        <w:rPr>
          <w:rFonts w:ascii="Times New Roman" w:hAnsi="Times New Roman" w:cs="Times New Roman"/>
          <w:sz w:val="28"/>
          <w:szCs w:val="28"/>
          <w:lang w:val="ro-RO"/>
        </w:rPr>
        <w:t>.</w:t>
      </w:r>
    </w:p>
    <w:p w:rsidR="00427724" w:rsidRPr="00427724" w:rsidRDefault="00F65483" w:rsidP="00103782">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sensul prezentei părți, se aplică definițiile menționate la </w:t>
      </w:r>
      <w:r w:rsidR="00103782" w:rsidRPr="00103782">
        <w:rPr>
          <w:rFonts w:ascii="Times New Roman" w:hAnsi="Times New Roman" w:cs="Times New Roman"/>
          <w:sz w:val="28"/>
          <w:szCs w:val="28"/>
          <w:lang w:val="ro-RO"/>
        </w:rPr>
        <w:t>Norm</w:t>
      </w:r>
      <w:r w:rsidR="00103782">
        <w:rPr>
          <w:rFonts w:ascii="Times New Roman" w:hAnsi="Times New Roman" w:cs="Times New Roman"/>
          <w:sz w:val="28"/>
          <w:szCs w:val="28"/>
          <w:lang w:val="ro-RO"/>
        </w:rPr>
        <w:t xml:space="preserve">a </w:t>
      </w:r>
      <w:r w:rsidR="00103782" w:rsidRPr="00103782">
        <w:rPr>
          <w:rFonts w:ascii="Times New Roman" w:hAnsi="Times New Roman" w:cs="Times New Roman"/>
          <w:sz w:val="28"/>
          <w:szCs w:val="28"/>
          <w:lang w:val="ro-RO"/>
        </w:rPr>
        <w:t>sanitar</w:t>
      </w:r>
      <w:r w:rsidR="00103782">
        <w:rPr>
          <w:rFonts w:ascii="Times New Roman" w:hAnsi="Times New Roman" w:cs="Times New Roman"/>
          <w:sz w:val="28"/>
          <w:szCs w:val="28"/>
          <w:lang w:val="ro-RO"/>
        </w:rPr>
        <w:t xml:space="preserve">ă </w:t>
      </w:r>
      <w:r w:rsidR="00103782" w:rsidRPr="00103782">
        <w:rPr>
          <w:rFonts w:ascii="Times New Roman" w:hAnsi="Times New Roman" w:cs="Times New Roman"/>
          <w:sz w:val="28"/>
          <w:szCs w:val="28"/>
          <w:lang w:val="ro-RO"/>
        </w:rPr>
        <w:t>veterinar</w:t>
      </w:r>
      <w:r w:rsidR="00103782">
        <w:rPr>
          <w:rFonts w:ascii="Times New Roman" w:hAnsi="Times New Roman" w:cs="Times New Roman"/>
          <w:sz w:val="28"/>
          <w:szCs w:val="28"/>
          <w:lang w:val="ro-RO"/>
        </w:rPr>
        <w:t>ă</w:t>
      </w:r>
      <w:r w:rsidR="00103782" w:rsidRPr="00103782">
        <w:rPr>
          <w:rFonts w:ascii="Times New Roman" w:hAnsi="Times New Roman" w:cs="Times New Roman"/>
          <w:sz w:val="28"/>
          <w:szCs w:val="28"/>
          <w:lang w:val="ro-RO"/>
        </w:rPr>
        <w:t xml:space="preserve"> privind metodele analitice pentru</w:t>
      </w:r>
      <w:r w:rsidR="00103782">
        <w:rPr>
          <w:rFonts w:ascii="Times New Roman" w:hAnsi="Times New Roman" w:cs="Times New Roman"/>
          <w:sz w:val="28"/>
          <w:szCs w:val="28"/>
          <w:lang w:val="ro-RO"/>
        </w:rPr>
        <w:t xml:space="preserve"> </w:t>
      </w:r>
      <w:r w:rsidR="00103782" w:rsidRPr="00103782">
        <w:rPr>
          <w:rFonts w:ascii="Times New Roman" w:hAnsi="Times New Roman" w:cs="Times New Roman"/>
          <w:sz w:val="28"/>
          <w:szCs w:val="28"/>
          <w:lang w:val="ro-RO"/>
        </w:rPr>
        <w:t>reziduurile de substanțe farmacologic  active</w:t>
      </w:r>
      <w:r w:rsidR="00103782">
        <w:rPr>
          <w:rFonts w:ascii="Times New Roman" w:hAnsi="Times New Roman" w:cs="Times New Roman"/>
          <w:sz w:val="28"/>
          <w:szCs w:val="28"/>
          <w:lang w:val="ro-RO"/>
        </w:rPr>
        <w:t xml:space="preserve"> </w:t>
      </w:r>
      <w:r w:rsidR="00103782" w:rsidRPr="00103782">
        <w:rPr>
          <w:rFonts w:ascii="Times New Roman" w:hAnsi="Times New Roman" w:cs="Times New Roman"/>
          <w:sz w:val="28"/>
          <w:szCs w:val="28"/>
          <w:lang w:val="ro-RO"/>
        </w:rPr>
        <w:t>utilizate la animalele de la care se obțin produse</w:t>
      </w:r>
      <w:r w:rsidR="00103782">
        <w:rPr>
          <w:rFonts w:ascii="Times New Roman" w:hAnsi="Times New Roman" w:cs="Times New Roman"/>
          <w:sz w:val="28"/>
          <w:szCs w:val="28"/>
          <w:lang w:val="ro-RO"/>
        </w:rPr>
        <w:t xml:space="preserve"> </w:t>
      </w:r>
      <w:r w:rsidR="00103782" w:rsidRPr="00103782">
        <w:rPr>
          <w:rFonts w:ascii="Times New Roman" w:hAnsi="Times New Roman" w:cs="Times New Roman"/>
          <w:sz w:val="28"/>
          <w:szCs w:val="28"/>
          <w:lang w:val="ro-RO"/>
        </w:rPr>
        <w:t>alimentare și la interpretarea rezultatelor</w:t>
      </w:r>
      <w:r w:rsidR="00103782">
        <w:rPr>
          <w:rFonts w:ascii="Times New Roman" w:hAnsi="Times New Roman" w:cs="Times New Roman"/>
          <w:sz w:val="28"/>
          <w:szCs w:val="28"/>
          <w:lang w:val="ro-RO"/>
        </w:rPr>
        <w:t>, aprobată prin Hotărârea Guvernului nr. 721/2023</w:t>
      </w:r>
      <w:r w:rsidR="00427724" w:rsidRPr="00427724">
        <w:rPr>
          <w:rFonts w:ascii="Times New Roman" w:hAnsi="Times New Roman" w:cs="Times New Roman"/>
          <w:sz w:val="28"/>
          <w:szCs w:val="28"/>
          <w:lang w:val="ro-RO"/>
        </w:rPr>
        <w:t>.</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plus față de aceste definiții, în sensul prezentei părți se aplică următoarele definiții: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 de screening” înseamnă metode utilizate pentru selectarea eșantioanelor cu niveluri de PCDD-uri/PCDF-uri și PCB-uri de tipul dioxinelor care depășesc nivelurile maxime sau pragurile de acțiune. Ele permit o capacitate sporită de analiză a eșantioanelor, eficientă din punctul de vedere al costurilor, sporind astfel șansa de a descoperi noi incidente cu un nivel mare de expunere și riscuri de sănătate importante pentru consumatori. Metodele de screening se bazează pe metode bioanalitice sau metode GC-MS. Rezultatele de la eșantioanele care depășesc valoarea-limită utilizată pentru verificarea conformității cu nivelul maxim trebuie să fie verificate printr-o nouă analiză completă din proba originală printr-o metodă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 de confirmare” înseamnă metode care furnizează informații complete sau complementare care permit identificarea și cuantificarea certă a PCDD-urilor/PCDF-urilor și a PCB-urilor de tipul dioxinelor la pragul maxim sau, la nevoie, la pragul de acțiune. Aceste metode utilizează cromatografia în fază gazoasă/spectrometria de masă de înaltă rezoluție (GC-HRMS) sau cromatografia în fază gazoasă/spectrometria de masă în tandem (GC-MS/MS).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Conformitatea lotului sau a sublotului cu nivelul maxim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În ceea ce privește PCB-urile care nu sunt de tipul dioxinelor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Lotul sau sublotul respectă nivelul maxim în cazul în care rezultatul analitic al sumei PCB 28, PCB 52, PCB 101, PCB 138, PCB 153 și PCB 180 (PCB-uri care nu </w:t>
      </w:r>
      <w:r w:rsidR="00427724" w:rsidRPr="00427724">
        <w:rPr>
          <w:rFonts w:ascii="Times New Roman" w:hAnsi="Times New Roman" w:cs="Times New Roman"/>
          <w:sz w:val="28"/>
          <w:szCs w:val="28"/>
          <w:lang w:val="ro-RO"/>
        </w:rPr>
        <w:lastRenderedPageBreak/>
        <w:t xml:space="preserve">sunt de tipul dioxinelor) nu depășește nivelul maxim prescris </w:t>
      </w:r>
      <w:r w:rsidR="00EB3C62">
        <w:rPr>
          <w:rFonts w:ascii="Times New Roman" w:hAnsi="Times New Roman" w:cs="Times New Roman"/>
          <w:sz w:val="28"/>
          <w:szCs w:val="28"/>
          <w:lang w:val="ro-RO"/>
        </w:rPr>
        <w:t xml:space="preserve">la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00EB3C62">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ținând cont de incertitudinea de măsurare extinsă (</w:t>
      </w:r>
      <w:hyperlink r:id="rId84" w:anchor="E0050"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31</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 xml:space="preserve">). Lotul sau sublotul nu respectă nivelul maxim prescris </w:t>
      </w:r>
      <w:r w:rsidR="00EB3C62">
        <w:rPr>
          <w:rFonts w:ascii="Times New Roman" w:hAnsi="Times New Roman" w:cs="Times New Roman"/>
          <w:sz w:val="28"/>
          <w:szCs w:val="28"/>
          <w:lang w:val="ro-RO"/>
        </w:rPr>
        <w:t>la aceeași hotărâre</w:t>
      </w:r>
      <w:r w:rsidR="00427724" w:rsidRPr="00427724">
        <w:rPr>
          <w:rFonts w:ascii="Times New Roman" w:hAnsi="Times New Roman" w:cs="Times New Roman"/>
          <w:sz w:val="28"/>
          <w:szCs w:val="28"/>
          <w:lang w:val="ro-RO"/>
        </w:rPr>
        <w:t xml:space="preserve"> în cazul în care media celor două rezultate analitice ale estimării superioare (</w:t>
      </w:r>
      <w:hyperlink r:id="rId85" w:anchor="E0051"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32</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 obținută printr-o analiză duplicat (</w:t>
      </w:r>
      <w:hyperlink r:id="rId86" w:anchor="E0052"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33</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 luându-se în considerare incertitudinea de măsurare extinsă, depășește dincolo de orice îndoială rezonabilă nivelul maxim, adică, pentru a evalua conformitatea, se folosește concentrația analizată după ce s-a dedus incertitudinea de măsurare extinsă.</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Normele menționate la paragrafele de mai sus din cadrul acestui punct se aplică pentru rezultatul analitic obținut pe proba pentru controlul oficial. În cazul analizei efectuate pentru o a doua expertiză sau pentru referință, se aplică reglementările naționale.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Referitor la PCDD-uri/PCDF-uri și PCB-uri de tipul dioxinelor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Lotul sau sublotul respectă nivelul maxim în cazul în care rezultatul unei singure analize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efectuate printr-o metodă de screening, cu o rată a rezultatelor fals conforme sub 5 %, indică faptul că nivelul nu depășește nivelul maxim respectiv de PCDD-uri/PCDF-uri și suma de PCDD-uri/PCDF-uri și PCB-uri de tipul dioxinelor prevăzute </w:t>
      </w:r>
      <w:r w:rsidR="00EB3C62">
        <w:rPr>
          <w:rFonts w:ascii="Times New Roman" w:hAnsi="Times New Roman" w:cs="Times New Roman"/>
          <w:sz w:val="28"/>
          <w:szCs w:val="28"/>
          <w:lang w:val="ro-RO"/>
        </w:rPr>
        <w:t xml:space="preserve">la </w:t>
      </w:r>
      <w:r w:rsidR="00EB3C62" w:rsidRPr="00EB3C62">
        <w:rPr>
          <w:rFonts w:ascii="Times New Roman" w:hAnsi="Times New Roman" w:cs="Times New Roman"/>
          <w:sz w:val="28"/>
          <w:szCs w:val="28"/>
          <w:lang w:val="ro-RO"/>
        </w:rPr>
        <w:t>Cerințele sanitar-veterinare față de hrana pentru animale, aprobate prin Hotărârea Guvernului nr.</w:t>
      </w:r>
      <w:r w:rsidR="00EB3C62">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910/2020</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efectuate printr-o metodă de confirmare, nu depășește nivelul maxim respectiv de PCDD-uri/PCDF-uri și suma de PCDD-uri/PCDF-uri și PCB-uri de tipul dioxinelor prevăzute </w:t>
      </w:r>
      <w:r w:rsidR="00EB3C62">
        <w:rPr>
          <w:rFonts w:ascii="Times New Roman" w:hAnsi="Times New Roman" w:cs="Times New Roman"/>
          <w:sz w:val="28"/>
          <w:szCs w:val="28"/>
          <w:lang w:val="ro-RO"/>
        </w:rPr>
        <w:t xml:space="preserve">la </w:t>
      </w:r>
      <w:r w:rsidR="00EB3C62" w:rsidRPr="00EB3C62">
        <w:rPr>
          <w:rFonts w:ascii="Times New Roman" w:hAnsi="Times New Roman" w:cs="Times New Roman"/>
          <w:sz w:val="28"/>
          <w:szCs w:val="28"/>
          <w:lang w:val="ro-RO"/>
        </w:rPr>
        <w:t>Cerințele sanitar-veterinare față de hrana pentru animale, aprobate prin Hotărârea Guvernului nr.</w:t>
      </w:r>
      <w:r w:rsidR="00EB3C62">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910/2020</w:t>
      </w:r>
      <w:r w:rsidRPr="00427724">
        <w:rPr>
          <w:rFonts w:ascii="Times New Roman" w:hAnsi="Times New Roman" w:cs="Times New Roman"/>
          <w:sz w:val="28"/>
          <w:szCs w:val="28"/>
          <w:lang w:val="ro-RO"/>
        </w:rPr>
        <w:t>, luându-se în considerare incertitudinea de măsurare extinsă.</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testele de screening, se stabilește o valoare-limită pentru deciziile privind conformitatea eșantioanelor cu nivelurile maxime respective stabilite fie pentru PCDD-uri/PCDF-uri, fie pentru suma de PCDD-uri/PCDF-uri și PCB-uri de tipul dioxinelor.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Lotul sau sublotul este considerat neconform cu nivelul maxim conform </w:t>
      </w:r>
      <w:r w:rsidR="00EB3C62" w:rsidRPr="00EB3C62">
        <w:rPr>
          <w:rFonts w:ascii="Times New Roman" w:hAnsi="Times New Roman" w:cs="Times New Roman"/>
          <w:sz w:val="28"/>
          <w:szCs w:val="28"/>
          <w:lang w:val="ro-RO"/>
        </w:rPr>
        <w:t>Cerințel</w:t>
      </w:r>
      <w:r w:rsidR="00EB3C62">
        <w:rPr>
          <w:rFonts w:ascii="Times New Roman" w:hAnsi="Times New Roman" w:cs="Times New Roman"/>
          <w:sz w:val="28"/>
          <w:szCs w:val="28"/>
          <w:lang w:val="ro-RO"/>
        </w:rPr>
        <w:t>or</w:t>
      </w:r>
      <w:r w:rsidR="00EB3C62" w:rsidRPr="00EB3C62">
        <w:rPr>
          <w:rFonts w:ascii="Times New Roman" w:hAnsi="Times New Roman" w:cs="Times New Roman"/>
          <w:sz w:val="28"/>
          <w:szCs w:val="28"/>
          <w:lang w:val="ro-RO"/>
        </w:rPr>
        <w:t xml:space="preserve"> sanitar-veterinare față de hrana pentru animale, aprobate prin Hotărârea Guvernului nr.</w:t>
      </w:r>
      <w:r w:rsidR="00EB3C62">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910/2020</w:t>
      </w:r>
      <w:r w:rsidR="00EB3C62">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dacă media celor două rezultate analitice ale estimării superioare obținute în urma unei analize duplicat depășește dincolo de orice îndoială rezonabilă nivelul maxim, ținând seama de incertitudinea de măsurare extinsă, adică pentru a evalua conformitatea, este utilizată concentrația analizată după ce s-a dedus incertitudinea de măsurare extinsă.</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Incertitudinea de măsurare extinsă se calculează utilizându-se un coeficient de acoperire cu valoarea 2, care conferă un nivel de încredere de aproximativ 95 %. Un lot sau un sublot nu este conform dacă media valorilor măsurate minus incertitudinea extinsă a mediei este mai mare decât nivelul maxim.</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utilizează suma incertitudinilor extinse estimate a rezultatelor analitice separate ale PCDD-urilor/PCDF-urilor și a PCB-urilor de tipul dioxinelor pentru suma PCDD-urilor/PCDF-urilor și a PCB-urilor de tipul dioxinelor.</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Normele menționate la paragrafele de mai sus din cadrul acestui punct se aplică pentru rezultatul analitic obținut pe proba pentru controlul oficial. În cazul analizei efectuate în scop de apărare sau pentru referință, se aplică reglementările naționale.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xml:space="preserve">3.    Rezultate care depășesc pragurile de acțiune stabilite la </w:t>
      </w:r>
      <w:r w:rsidR="00EB3C62" w:rsidRPr="00EB3C62">
        <w:rPr>
          <w:rFonts w:ascii="Times New Roman" w:hAnsi="Times New Roman" w:cs="Times New Roman"/>
          <w:b/>
          <w:bCs/>
          <w:sz w:val="28"/>
          <w:szCs w:val="28"/>
          <w:lang w:val="ro-RO"/>
        </w:rPr>
        <w:t>Cerințele sanitar-veterinare față de hrana pentru animale, aprobate prin Hotărârea Guvernului nr.910/2020</w:t>
      </w:r>
    </w:p>
    <w:p w:rsidR="00427724" w:rsidRPr="00427724" w:rsidRDefault="00F65483"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Pragurile de acțiune servesc ca instrument pentru selectarea eșantioanelor în cazurile în care este necesar să se identifice o sursă de contaminare și să se ia măsuri pentru reducerea sau eliminarea acesteia. Metodele de screening stabilesc valori-limită corespunzătoare pentru selectarea acelor eșantioane. În cazul în care sunt necesare eforturi importante pentru a identifica o sursă și pentru a reduce sau elimina contaminarea, s-ar putea să fie adecvat să se confirme depășirea pragurilor de acțiune printr-o analiză duplicat folosind o metodă de confirmare și luându-se în considerare incertitudinea de măsurare extinsă .</w:t>
      </w:r>
    </w:p>
    <w:p w:rsidR="00980AD4" w:rsidRPr="00F65483" w:rsidRDefault="00980AD4" w:rsidP="00980AD4">
      <w:pPr>
        <w:tabs>
          <w:tab w:val="left" w:pos="210"/>
        </w:tabs>
        <w:jc w:val="center"/>
        <w:rPr>
          <w:rFonts w:ascii="Times New Roman" w:hAnsi="Times New Roman" w:cs="Times New Roman"/>
          <w:b/>
          <w:i/>
          <w:iCs/>
          <w:sz w:val="28"/>
          <w:szCs w:val="28"/>
          <w:lang w:val="ro-RO"/>
        </w:rPr>
      </w:pPr>
      <w:r w:rsidRPr="00F65483">
        <w:rPr>
          <w:rFonts w:ascii="Times New Roman" w:hAnsi="Times New Roman" w:cs="Times New Roman"/>
          <w:b/>
          <w:i/>
          <w:iCs/>
          <w:sz w:val="28"/>
          <w:szCs w:val="28"/>
          <w:lang w:val="ro-RO"/>
        </w:rPr>
        <w:t xml:space="preserve">Capitolul </w:t>
      </w:r>
      <w:r>
        <w:rPr>
          <w:rFonts w:ascii="Times New Roman" w:hAnsi="Times New Roman" w:cs="Times New Roman"/>
          <w:b/>
          <w:i/>
          <w:iCs/>
          <w:sz w:val="28"/>
          <w:szCs w:val="28"/>
          <w:lang w:val="ro-RO"/>
        </w:rPr>
        <w:t>nr.</w:t>
      </w:r>
      <w:r w:rsidR="00D065E6">
        <w:rPr>
          <w:rFonts w:ascii="Times New Roman" w:hAnsi="Times New Roman" w:cs="Times New Roman"/>
          <w:b/>
          <w:i/>
          <w:iCs/>
          <w:sz w:val="28"/>
          <w:szCs w:val="28"/>
          <w:lang w:val="ro-RO"/>
        </w:rPr>
        <w:t xml:space="preserve"> 2</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b/>
          <w:bCs/>
          <w:i/>
          <w:iCs/>
          <w:sz w:val="28"/>
          <w:szCs w:val="28"/>
          <w:lang w:val="ro-RO"/>
        </w:rPr>
        <w:t>PREGĂTIREA EȘANTIOANELOR ȘI CERINȚE PRIVIND METODELE DE ANALIZĂ UTILIZATE PENTRU CONTROLUL OFICIAL AL NIVELURILOR DE DIOXINE (PCDD/PCDF) ȘI DE PCB-URI DE TIPUL DIOXINELOR DIN FURAJE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1.    Domeniu de aplicare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Cerințele stabilite în prezentul capitol se aplică atunci când furajele sunt analizate pentru controlul oficial al nivelurilor de PCDD/PCDF substituite la pozițiile 2,3,7,8 și PCB-uri de tipul dioxinelor, precum și în ceea ce privește pregătirea eșantioanelor și cerințele analitice pentru alte scopuri de reglementare, care includ controalele oficiale efectuate de operatorii din sectorul hranei pentru animale pentru a asigura conformitatea cu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Monitorizarea prezenței PCDD-urilor/PCDF-urilor și a PCB-urilor de tipul dioxinelor în furaje poate fi efectuată cu două tipuri diferite de metode analitice: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Metode de screening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Obiectivul metodelor de screening este selectarea acelor eșantioane cu niveluri de PCDD-uri/PCDF-uri și PCB-uri de tipul dioxinelor care depășesc nivelurile maxime sau pragurile de acțiune. Metodele de screening trebuie să garanteze o capacitate sporită de analiză a eșantioanelor, eficientă din punctul de vedere al costurilor, sporind astfel șansa de a descoperi noi incidente cu un nivel mare de expunere și riscuri de sănătate importante pentru consumatori. Aplicarea lor trebuie să urmărească evitarea rezultatelor fals conforme. Ele pot să cuprindă metode bioanalitice și metode GC-MS.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de screening compară rezultatul analitic cu o valoare-limită, determinând o decizie de tip da/nu în legătură cu eventuala depășire a nivelului maxim sau a pragului de acțiune. Concentrația PCDD-urilor/PCDF-urilor și suma de PCDD-uri/PCDF-uri și PCB-uri de tipul dioxinelor din eșantioanele suspectate a fi neconforme cu nivelul maxim trebuie determinate sau confirmate printr-o metodă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În plus, metodele de screening pot oferi o indicație a nivelului de PCDD/F-uri și PCB-uri de tipul dioxinelor prezente în probă. În cazul aplicării metodelor bioanalitice de screening, rezultatul se exprimă ca echivalente bioanalitice (BEQ), iar în cazul aplicării metodelor GC-MS fizico-chimice se exprimă ca echivalente toxice (TEQ). Rezultatele exprimate numeric ale metodelor de screening sunt utile pentru a dovedi conformitatea sau suspiciunea de neconformitate sau depășirea pragurilor de acțiune și oferă o indicație a intervalului în care se situează nivelurile în vederea monitorizării prin metode de confirmare. Acestea nu sunt adecvate pentru scopuri precum evaluarea nivelurilor de fond, aprecierea prelevării, urmărirea </w:t>
      </w:r>
      <w:r w:rsidRPr="00427724">
        <w:rPr>
          <w:rFonts w:ascii="Times New Roman" w:hAnsi="Times New Roman" w:cs="Times New Roman"/>
          <w:sz w:val="28"/>
          <w:szCs w:val="28"/>
          <w:lang w:val="ro-RO"/>
        </w:rPr>
        <w:lastRenderedPageBreak/>
        <w:t>tendințelor pe care le urmează nivelurile în timp sau reevaluarea pragurilor de acțiune și a nivelurilor maxime.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Metode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de confirmare permit identificarea și cuantificarea fără echivoc a PCDD-urilor/PCDF-urilor și PCB-urilor de tipul dioxinelor prezente într-o probă și oferă informații depline la nivel de congeneri individuali. Prin urmare, aceste metode permit controlarea nivelurilor maxime și a pragurilor de acțiune, inclusiv confirmarea rezultatelor obținute prin metodele de screening. În plus, rezultatele pot fi folosite și pentru alte scopuri, precum determinarea nivelurilor de fond scăzute în monitorizarea furajelor, urmărirea tendințelor în timp, evaluarea expunerii și crearea unei baze de date pentru eventuala reevaluare a pragurilor de acțiune și a nivelurilor maxime. Acestea sunt, de asemenea, importante pentru stabilirea modelelor pentru congeneri în scopul de a identifica sursa unei posibile contaminări. Astfel de metode utilizează GC-HRMS. Pentru a confirma respectarea sau nerespectarea nivelului maxim, se poate utiliza, de asemenea, GC-MS/MS.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Context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Pentru calcularea concentrațiilor echivalentelor toxice (TEQ), concentrațiile fiecărei substanțe dintr-o probă dată se înmulțesc cu factorul de echivalență toxică (TEF) corespunzător (a se vedea nota de subsol 1 de la capitolul </w:t>
      </w:r>
      <w:r w:rsidR="00D065E6">
        <w:rPr>
          <w:rFonts w:ascii="Times New Roman" w:hAnsi="Times New Roman" w:cs="Times New Roman"/>
          <w:sz w:val="28"/>
          <w:szCs w:val="28"/>
          <w:lang w:val="ro-RO"/>
        </w:rPr>
        <w:t>nr.1</w:t>
      </w:r>
      <w:r w:rsidRPr="00427724">
        <w:rPr>
          <w:rFonts w:ascii="Times New Roman" w:hAnsi="Times New Roman" w:cs="Times New Roman"/>
          <w:sz w:val="28"/>
          <w:szCs w:val="28"/>
          <w:lang w:val="ro-RO"/>
        </w:rPr>
        <w:t>) și apoi se adună pentru a obține concentrația totală de compuși de tipul dioxinelor exprimată ca TEQ-uri.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În sensul prezentei părți A, limita specifică acceptată de cuantificare a unui congener individual înseamnă conținutul minim al unui analit care poate fi măsurat cu certitudine statistică rezonabilă și îndeplinește criteriile de identificare, astfel cum sunt descrise în standarde recunoscute la nivel internațional, de exemplu, </w:t>
      </w:r>
      <w:r w:rsidR="005C3D1C" w:rsidRPr="005C3D1C">
        <w:rPr>
          <w:rFonts w:ascii="Times New Roman" w:hAnsi="Times New Roman" w:cs="Times New Roman"/>
          <w:sz w:val="28"/>
          <w:szCs w:val="28"/>
          <w:lang w:val="ro-RO"/>
        </w:rPr>
        <w:t xml:space="preserve">SM EN 16215:2021 </w:t>
      </w:r>
      <w:r w:rsidRPr="00427724">
        <w:rPr>
          <w:rFonts w:ascii="Times New Roman" w:hAnsi="Times New Roman" w:cs="Times New Roman"/>
          <w:sz w:val="28"/>
          <w:szCs w:val="28"/>
          <w:lang w:val="ro-RO"/>
        </w:rPr>
        <w:t>(Hrană pentru animale – Determinarea conținutului de dioxină, a PCB-urilor de tip dioxină și a indicatorilor PCB prin GC-HRMS).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Limita de cuantificare a unui congener individual poate fi identificată drept: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concentrația unui analit din extractul unui eșantion care produce un răspuns instrumental la doi ioni diferiți care urmează să fie monitorizată printr-un raport S/Z (semnal/zgomot) de 3:1 pentru semnalul de date primare cel mai puțin intens; sau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(b) în cazul în care, din motive tehnice, calculul raportului semnal/zgomot nu furnizează rezultate fiabile, punctul cel mai mic de concentrație de pe o curbă de calibrare care oferă o deviație acceptabilă (≤ 30 %) și coerentă (măsurată cel puțin la </w:t>
      </w:r>
      <w:r w:rsidRPr="00427724">
        <w:rPr>
          <w:rFonts w:ascii="Times New Roman" w:hAnsi="Times New Roman" w:cs="Times New Roman"/>
          <w:sz w:val="28"/>
          <w:szCs w:val="28"/>
          <w:lang w:val="ro-RO"/>
        </w:rPr>
        <w:lastRenderedPageBreak/>
        <w:t>începutul și la sfârșitul unei serii analitice de eșantioane) de la factorul de răspuns relativ mediu calculat pentru toate punctele de pe curba de calibrare pentru fiecare serie de eșantioane. Limita de cuantificare (LOQ) se calculează de la cel mai mic punct de concentrație ținând seama de recuperarea etaloanelor interne și de prelevarea de eșantioane.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bioanalitice de screening nu vor da rezultate la nivel de congener, ci doar o indicație (</w:t>
      </w:r>
      <w:hyperlink r:id="rId87" w:anchor="E0057"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38</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 a nivelului TEQ, exprimată în echivalente bioanalitice (BEQ) pentru a ține cont de faptul că nu toți compușii prezenți într-un extract de probă care produce un răspuns în cadrul testului pot să îndeplinească toate cerințele principiului TEQ.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de screening și de confirmare pot fi aplicate pentru controlul unei anumite matrice numai dacă metodele sunt suficient de sensibile pentru a detecta în mod fiabil niveluri la pragul de acțiune sau nivelul maxim.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Cerințe de asigurare a calității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Se iau măsuri pentru a se evita contaminarea încrucișată la fiecare etapă a procedurii de eșantionare și de analiză.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Eșantioanele se depozitează și se transportă în recipiente de sticlă, aluminiu, polipropilenă sau polietilenă corespunzătoare pentru depozitare, fără nicio influență asupra nivelurilor de PCDD-uri/PCDF-uri și PCB-uri de tipul dioxinelor din probe. Urmele de praf de hârtie se îndepărtează de pe recipientul pentru probe.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Depozitarea și transportul probelor se efectuează astfel încât să se păstreze integritatea probei de furaj.</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În măsura în care acest lucru este relevant, fiecare probă de laborator se mărunțește și se amestecă cu grijă printr-un procedeu care s-a dovedit că realizează o omogenizare completă (de exemplu, proba mărunțită astfel încât să treacă printr-o sită cu ochiuri de 1 mm). Probele se usucă înainte de mărunțire, dacă conținutul de umiditate este prea 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3.5. Se efectuează controlul reactivilor, al sticlăriei și al echipamentului pentru o posibilă influență a rezultatelor pe bază de TEQ sau BEQ.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3.6. Se realizează o analiză-martor parcurgând întreaga procedură analitică, însă fără probă.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3.7. Pentru metodele bioanalitice, toată sticlăria și toți solvenții utilizați în cadrul analizei sunt testați pentru a se verifica dacă sunt liberi de compuși care perturbă </w:t>
      </w:r>
      <w:r w:rsidRPr="00427724">
        <w:rPr>
          <w:rFonts w:ascii="Times New Roman" w:hAnsi="Times New Roman" w:cs="Times New Roman"/>
          <w:sz w:val="28"/>
          <w:szCs w:val="28"/>
          <w:lang w:val="ro-RO"/>
        </w:rPr>
        <w:lastRenderedPageBreak/>
        <w:t>detectarea compușilor-țintă în intervalul de lucru. Sticlăria se clătește cu solvenți sau se încălzește la temperaturi adecvate pentru a elimina urmele de PCDD-uri/PCDF-uri, de compuși de tipul dioxinelor și de compuși interferenți de pe suprafața acesteia.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3.8. Cantitatea de probă utilizată pentru extracție este suficientă pentru a îndeplini cerințele referitoare la un interval de lucru suficient de redus, inclusiv concentrațiile nivelurilor maxime sau pragul de acțiune.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3.9. Procedurile specifice de pregătire a probelor utilizate pentru produsele avute în vedere urmează orientări recunoscute la nivel internațional, și anume </w:t>
      </w:r>
      <w:r w:rsidR="006E1C6E" w:rsidRPr="006E1C6E">
        <w:rPr>
          <w:rFonts w:ascii="Times New Roman" w:hAnsi="Times New Roman" w:cs="Times New Roman"/>
          <w:sz w:val="28"/>
          <w:szCs w:val="28"/>
          <w:lang w:val="ro-RO"/>
        </w:rPr>
        <w:t>SM EN ISO 6498:2016</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Cerințe pentru laboratoare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4.1. În conformitate cu dispozițiile </w:t>
      </w:r>
      <w:r w:rsidR="000C0236" w:rsidRPr="000C0236">
        <w:rPr>
          <w:rFonts w:ascii="Times New Roman" w:hAnsi="Times New Roman" w:cs="Times New Roman"/>
          <w:sz w:val="28"/>
          <w:szCs w:val="28"/>
          <w:lang w:val="ro-RO"/>
        </w:rPr>
        <w:t>Leg</w:t>
      </w:r>
      <w:r w:rsidR="000C0236">
        <w:rPr>
          <w:rFonts w:ascii="Times New Roman" w:hAnsi="Times New Roman" w:cs="Times New Roman"/>
          <w:sz w:val="28"/>
          <w:szCs w:val="28"/>
          <w:lang w:val="ro-RO"/>
        </w:rPr>
        <w:t>ii</w:t>
      </w:r>
      <w:r w:rsidR="000C0236" w:rsidRPr="000C0236">
        <w:rPr>
          <w:rFonts w:ascii="Times New Roman" w:hAnsi="Times New Roman" w:cs="Times New Roman"/>
          <w:sz w:val="28"/>
          <w:szCs w:val="28"/>
          <w:lang w:val="ro-RO"/>
        </w:rPr>
        <w:t xml:space="preserve"> 82/2024 privind controalele oficiale în domeniul agroalimentar</w:t>
      </w:r>
      <w:r w:rsidRPr="00427724">
        <w:rPr>
          <w:rFonts w:ascii="Times New Roman" w:hAnsi="Times New Roman" w:cs="Times New Roman"/>
          <w:sz w:val="28"/>
          <w:szCs w:val="28"/>
          <w:lang w:val="ro-RO"/>
        </w:rPr>
        <w:t>, laboratoarele sunt acreditate de un organism recunoscut care funcționează în conformitate cu Ghidul </w:t>
      </w:r>
      <w:r w:rsidR="006E1C6E">
        <w:rPr>
          <w:rFonts w:ascii="Times New Roman" w:hAnsi="Times New Roman" w:cs="Times New Roman"/>
          <w:sz w:val="28"/>
          <w:szCs w:val="28"/>
          <w:lang w:val="ro-RO"/>
        </w:rPr>
        <w:t xml:space="preserve">SM </w:t>
      </w:r>
      <w:r w:rsidRPr="00427724">
        <w:rPr>
          <w:rFonts w:ascii="Times New Roman" w:hAnsi="Times New Roman" w:cs="Times New Roman"/>
          <w:sz w:val="28"/>
          <w:szCs w:val="28"/>
          <w:lang w:val="ro-RO"/>
        </w:rPr>
        <w:t xml:space="preserve">ISO/IEC 58, pentru a se asigura aplicarea de către acestea a procedurilor de asigurare a calității analizelor. Laboratoarele sunt acreditate conform standardului </w:t>
      </w:r>
      <w:r w:rsidR="006E1C6E" w:rsidRPr="006E1C6E">
        <w:rPr>
          <w:rFonts w:ascii="Times New Roman" w:hAnsi="Times New Roman" w:cs="Times New Roman"/>
          <w:sz w:val="28"/>
          <w:szCs w:val="28"/>
          <w:lang w:val="ro-RO"/>
        </w:rPr>
        <w:t>SM EN ISO/IEC 17025:2018</w:t>
      </w:r>
      <w:r w:rsidRPr="00427724">
        <w:rPr>
          <w:rFonts w:ascii="Times New Roman" w:hAnsi="Times New Roman" w:cs="Times New Roman"/>
          <w:sz w:val="28"/>
          <w:szCs w:val="28"/>
          <w:lang w:val="ro-RO"/>
        </w:rPr>
        <w:t>. Trebuie respectate principiile descrise în Orientările tehnice pentru estimarea incertitudinii de măsurare și a limitelor de cuantificare pentru analiza PCDD/F-urilor și a PCB-urilor (</w:t>
      </w:r>
      <w:hyperlink r:id="rId88" w:anchor="E0058"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39</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4.2. Competența laboratoarelor se demonstrează prin participarea continuă și cu succes la studiile interlaboratoare pentru determinarea PCDD-urilor/PCDF-urilor și a PCB-urilor de tipul dioxinelor în matricele de furaje și în intervalele de concentrații relevante.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4.3. Laboratoarele care aplică metode de screening pentru controlul de rutină al probelor stabilesc o cooperare strânsă cu laboratoarele care aplică metoda de confirmare, atât pentru controlul calității, cât și pentru confirmarea rezultatului analitic al probelor suspectate.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Cerințe de bază privind procedura analitică pentru dioxine (PCDD/F-uri) și PCB-uri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Intervalul de lucru la niveluri mici și limitele de cuantificare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Pentru PCDD-uri/PCDF-uri, cantitățile detectabile sunt de ordinul femtogramelor (10-15g), extremitatea superioară a intervalului, din cauza toxicității extreme a unora dintre acești compuși. Pentru majoritatea congenerilor PCB, limita de cuantificare de ordinul nanogramelor (10-9 g) este deja suficientă. Pentru măsurarea congenerilor </w:t>
      </w:r>
      <w:r w:rsidRPr="00427724">
        <w:rPr>
          <w:rFonts w:ascii="Times New Roman" w:hAnsi="Times New Roman" w:cs="Times New Roman"/>
          <w:sz w:val="28"/>
          <w:szCs w:val="28"/>
          <w:lang w:val="ro-RO"/>
        </w:rPr>
        <w:lastRenderedPageBreak/>
        <w:t>PCB-urilor de tipul dioxinelor mai toxici (în special a congenerilor substituiți non-orto), extremitatea inferioară a intervalului de lucru ajunge la niveluri mici de ordinul picogramelor (10-12g). Pentru toți ceilalți congeneri PCB, o limită de cuantificare de ordinul nanogramelor (10-9 g) este suficientă.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Selectivitate (specificitate) 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5.2.1. Este necesar să se facă o distincție între PCDD-uri/PCDF-uri și PCB-uri de tipul dioxinelor și o multitudine de alți compuși coextrași și care pot să interfereze, prezenți în concentrații cu până la câteva ordine de mărime mai mari decât cele ale analiților de interes. Pentru metodele GC-MS, este necesar să se facă deosebirea între diferiții congeneri, cum ar fi între cei toxici (de exemplu, cele 17 PCDD-uri/PCDF-uri substituite la pozițiile 2,3,7,8 și cele 12 PCB-uri de tipul dioxinelor) și alți congeneri.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5.2.2. Metodele bioanalitice sunt capabile să detecteze compușii-țintă ca sumă de PCDD/F-uri și/sau PCB-uri de tipul dioxinelor. Curățarea probelor are drept scop eliminarea compușilor care duc la rezultate fals neconforme sau a compușilor care pot atenua răspunsul, ducând la rezultate fals conforme.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Acuratețe ridicată (autenticitate și precizie, recuperare aparentă a biotestului)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5.3.1. Pentru metodele GC-MS, determinarea oferă o estimare valabilă a concentrației reale dintr-o probă. Acuratețea ridicată este necesară pentru a se evita respingerea rezultatului analizei unei probe din cauza fiabilității reduse a nivelului TEQ determinat. Acuratețea se exprimă prin </w:t>
      </w:r>
      <w:r w:rsidRPr="00427724">
        <w:rPr>
          <w:rFonts w:ascii="Times New Roman" w:hAnsi="Times New Roman" w:cs="Times New Roman"/>
          <w:i/>
          <w:iCs/>
          <w:sz w:val="28"/>
          <w:szCs w:val="28"/>
          <w:lang w:val="ro-RO"/>
        </w:rPr>
        <w:t>autenticitate</w:t>
      </w:r>
      <w:r w:rsidRPr="00427724">
        <w:rPr>
          <w:rFonts w:ascii="Times New Roman" w:hAnsi="Times New Roman" w:cs="Times New Roman"/>
          <w:sz w:val="28"/>
          <w:szCs w:val="28"/>
          <w:lang w:val="ro-RO"/>
        </w:rPr>
        <w:t> (diferența dintre valoarea medie măsurată pentru un analit pe un material certificat și valoarea sa certificată, exprimată ca procent din această valoare) și </w:t>
      </w:r>
      <w:r w:rsidRPr="00427724">
        <w:rPr>
          <w:rFonts w:ascii="Times New Roman" w:hAnsi="Times New Roman" w:cs="Times New Roman"/>
          <w:i/>
          <w:iCs/>
          <w:sz w:val="28"/>
          <w:szCs w:val="28"/>
          <w:lang w:val="ro-RO"/>
        </w:rPr>
        <w:t>precizie</w:t>
      </w:r>
      <w:r w:rsidRPr="00427724">
        <w:rPr>
          <w:rFonts w:ascii="Times New Roman" w:hAnsi="Times New Roman" w:cs="Times New Roman"/>
          <w:sz w:val="28"/>
          <w:szCs w:val="28"/>
          <w:lang w:val="ro-RO"/>
        </w:rPr>
        <w:t> (deviația standard relativă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calculată pe baza rezultatelor generate în condiții de reproductibilitate).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5.3.2. Pentru metodele bioanalitice, se determină recuperarea aparentă a biotestului. Recuperarea aparentă a biotestului înseamnă nivelul BEQ calculat pornind de la curba de calibrare a TCDD sau PCB 126 corectată în funcție de determinarea-martor și apoi divizată la nivelul TEQ determinat prin metoda de confirmare. Aceasta vizează corectarea factorilor cum ar fi pierderea de PCDD-uri/PCDF-uri și compuși de tipul dioxinelor în timpul etapelor de extracție și curățare, coextragerea compușilor care duc la intensificarea sau atenuarea răspunsului (efecte agoniste și antagoniste), calitatea de ajustare a curbei sau diferențele dintre valorile factorilor de echivalență toxică (TEF) și ale potenței relative (REP). Recuperarea aparentă a </w:t>
      </w:r>
      <w:r w:rsidRPr="00427724">
        <w:rPr>
          <w:rFonts w:ascii="Times New Roman" w:hAnsi="Times New Roman" w:cs="Times New Roman"/>
          <w:sz w:val="28"/>
          <w:szCs w:val="28"/>
          <w:lang w:val="ro-RO"/>
        </w:rPr>
        <w:lastRenderedPageBreak/>
        <w:t>biotestului se calculează pornind de la probe de referință adecvate cu modele pentru congeneri reprezentativi în jurul nivelului de interes.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Validarea în intervalul nivelului maxim și măsuri generale de control al calității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5.4.1. Laboratoarele demonstrează performanța unei metode în intervalul nivelului maxim, de exemplu, 0,5x, 1x și 2x nivelul maxim, cu un coeficient de variație acceptabil pentru analize repetate, în timpul procedurii de validare și în timpul analizei de rutină.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5.4.2. Ca măsuri interne de control al calității, se efectuează periodic controale ale martorului, experimente cu îmbogățire sau analize ale unor probe de control (dacă este posibil, cu material de referință certificat). Se înregistrează și se verifică graficele de control al calității pentru controalele martorului, experimentele cu îmbogățire sau analizele unor probe de control, pentru a se garanta că performanța analitică este conformă cerințelor.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Limita de cuantificare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5.5.1. Pentru o metodă bioanalitică de screening, stabilirea limitei de cuantificare (LOQ) nu este o cerință indispensabilă, însă metoda trebuie să dovedească că se poate face distincție între valoarea-martor și valoarea-limită. La furnizarea unui nivel BEQ, se stabilește un nivel de raportare pentru a se lua decizii legate de probele care prezintă un răspuns sub acest nivel. Nivelul de raportare se dovedește a fi diferit de probele-martor din cadrul procedurii cel puțin cu un factor de trei, cu un răspuns inferior intervalului de lucru. Prin urmare, se calculează pornind de la probe care conțin compușii-țintă în jurul nivelului minim necesar, și nu de la un raport S/Z sau un test-martor.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5.5.2. Limita de cuantificare (LOQ) pentru o metodă de confirmare se situează la aproximativ o cincime din nivelul maxim.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5.6.   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Criterii analitice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Pentru rezultate fiabile în urma metodelor de confirmare sau de screening, trebuie să fie respectate următoarele criterii în intervalul nivelului maxim pentru valoarea TEQ sau, respectiv, BEQ, indiferent dacă este determinată ca TEQ total sau BEQ total (ca sumă de PCDD-uri/PCDF-uri și PCB-uri de tipul dioxinelor) sau separat pentru PCDD-uri/PCDF-uri și PCB-uri de tipul dioxinelor:</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24"/>
        <w:gridCol w:w="4437"/>
        <w:gridCol w:w="2229"/>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Screening cu metode bioanalitice sau fizico-chimice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confirmare</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Rată fals conforme </w:t>
            </w:r>
            <w:hyperlink r:id="rId89" w:anchor="E0059" w:history="1">
              <w:r w:rsidRPr="00427724">
                <w:rPr>
                  <w:rStyle w:val="Hyperlink"/>
                  <w:rFonts w:ascii="Times New Roman" w:hAnsi="Times New Roman" w:cs="Times New Roman"/>
                  <w:sz w:val="28"/>
                  <w:szCs w:val="28"/>
                  <w:lang w:val="ro-RO"/>
                </w:rPr>
                <w:t>(</w:t>
              </w:r>
              <w:r w:rsidRPr="00427724">
                <w:rPr>
                  <w:rStyle w:val="Hyperlink"/>
                  <w:rFonts w:ascii="Times New Roman" w:hAnsi="Times New Roman" w:cs="Times New Roman"/>
                  <w:sz w:val="28"/>
                  <w:szCs w:val="28"/>
                  <w:vertAlign w:val="superscript"/>
                  <w:lang w:val="ro-RO"/>
                </w:rPr>
                <w:t>*1</w:t>
              </w:r>
              <w:r w:rsidRPr="00427724">
                <w:rPr>
                  <w:rStyle w:val="Hyperlink"/>
                  <w:rFonts w:ascii="Times New Roman" w:hAnsi="Times New Roman" w:cs="Times New Roman"/>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5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Autenticitate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între -20  % și 20  %</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Repetabilitate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20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Precizie intermediară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25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&lt; 15  %</w:t>
            </w:r>
          </w:p>
        </w:tc>
      </w:tr>
      <w:tr w:rsidR="00427724" w:rsidRPr="00427724" w:rsidTr="00427724">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În raport cu nivelurile maxime.</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Cerințe specifice pentru metodele de screening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5.7.1. Pot fi folosite pentru screening atât metodele GC-MS, cât și metodele bioanalitice. Pentru metodele GC-MS, trebuie respectate cerințele prevăzute la punctul 6. Pentru metodele bioanalitice bazate pe celule, sunt prevăzute cerințe specifice la punctul 7.</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5.7.2. Laboratoarele care aplică metode de screening pentru controlul de rutină al probelor stabilesc o cooperare strânsă cu laboratoarele care aplică metoda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5.7.3. Performanța metodei de screening trebuie verificată în timpul analizei de rutină, printr-un control al calității analizelor și printr-o validare continuă a metodei. Trebuie să existe un program continuu pentru controlul rezultatelor conforme.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5.7.4. Verificarea posibilei suprimări a răspunsului celular și a citotoxicității: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20 % din extractele de probe sunt măsurate în screeningul de rutină cu și fără 2,3,7,8-TCDD care se adaugă în funcție de nivelul maxim sau de pragul de acțiune, pentru a verifica dacă răspunsul este, eventual, suprimat de către substanțele interferente prezente în extractul de probă. Concentrația măsurată a probei îmbogățite se compară cu suma concentrației extractului neîmbogățit, plus concentrația cu îmbogățire. Dacă această concentrație măsurată este cu peste 25 % mai mică decât concentrația (suma) calculată, aceasta indică posibilitatea eliminării semnalului, iar proba respectivă este </w:t>
      </w:r>
      <w:r w:rsidRPr="00427724">
        <w:rPr>
          <w:rFonts w:ascii="Times New Roman" w:hAnsi="Times New Roman" w:cs="Times New Roman"/>
          <w:sz w:val="28"/>
          <w:szCs w:val="28"/>
          <w:lang w:val="ro-RO"/>
        </w:rPr>
        <w:lastRenderedPageBreak/>
        <w:t>supusă analizei de confirmare prin GC-HRMS. Rezultatele sunt monitorizate prin grafice de control al calității.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5.7.5. Controlul calității probelor conforme: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Aproximativ 2-10 % din probele conforme, în funcție de matricea probei și de experiența laboratorului, sunt confirmate prin GC-HRMS.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5.7.6. Determinarea ratelor rezultatelor fals conforme pornind de la datele de control al calității: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determină rata rezultatelor fals conforme care rezultă din screeningul probelor sub și peste nivelul maxim sau pragul de acțiune. Ratele rezultatelor fals conforme reale trebuie să fie sub 5 %. Atunci când, în urma controlului de calitate al probelor conforme, sunt disponibile cel puțin 20 de rezultate confirmate per matrice/grup de matrice, concluziile privind rata rezultatelor fals conforme trebuie să fie desprinse din această bază de date. Rezultatele probelor analizate prin intermediul testărilor interlaboratoare sau în timpul incidentelor de contaminare, care acoperă un interval de concentrații de până la, de exemplu, 2 × nivelul maxim (NM), pot fi, de asemenea, incluse în cele cel puțin 20 de rezultate pentru evaluarea ratei rezultatelor fals conforme. Probele acoperă cele mai frecvente modele pentru congeneri, reprezentând diverse surse.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Deși testele de screening au, preferabil, ca scop detectarea probelor care depășesc pragul de acțiune, criteriul de determinare a ratelor rezultatelor fals conforme este nivelul maxim, ținând seama de incertitudinea de măsurare extinsă a metodei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5.7.7. Probele potențial neconforme care rezultă în urma screeningului se verifică întotdeauna printr-o nouă analiză completă a probei originale printr-o metodă analitică de confirmare. Aceste probe pot fi, de asemenea, folosite pentru a evalua rata rezultatelor fals neconforme. Pentru metodele de screening, rata rezultatelor fals neconforme este procentul rezultatelor confirmate ca fiind conforme în urma analizei de confirmare, în timp ce, în screeningul anterior, s-a declarat în legătură cu proba că este potențial neconformă. Evaluarea avantajelor metodei de screening se bazează pe compararea probelor fals neconforme cu numărul total de probe verificate. Această rată este suficient de scăzută pentru a face ca utilizarea unui instrument de screening să fie avantajoasă.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5.7.8. În condiții de validare, metodele bioanalitice oferă o indicație valabilă a nivelului TEQ, calculat și exprimat ca BEQ.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Și pentru metodele bioanalitice efectuate în condiții de repetabilitate, valoarea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intralaborator ar fi, în general, mai mică decât în condiții de reproductibilitate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Cerințe specifice privind metodele GC-MS care trebuie respectate în scop de screening sau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Diferențe acceptabile între estimarea superioară și estimarea inferioară a rezultatelor OMS-TEQ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nivelul estimării superioare și cel al estimării inferioare nu depășește 20 % pentru confirmarea depășirii nivelului maxim sau în cazul în care sunt necesare praguri de acțiune.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Controlul recuperărilor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6.2.1. La începutul metodei de analiză, de exemplu, înaintea fazei de extracție, trebuie să se adauge etaloane interne de PCDD-uri/PCDF-uri substituite cu clor la pozițiile 2,3,7,8 și marcate cu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 și etaloane interne de PCB-uri de tipul dioxinelor marcate cu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 pentru a se valida procedura analitică. Trebuie adăugat cel puțin un congener pentru fiecare din grupele omoloage tetra- până la octo-clorurate de PCDD/F-uri și cel puțin un congener pentru fiecare dintre grupele omoloage de PCB-uri de tipul dioxinelor (alternativ, cel puțin un congener pentru fiecare funcție de înregistrare a ionului selecționat prin spectrometrie de masă utilizat pentru monitorizarea PCDD/F-urilor și a PCB-urilor de tipul dioxinelor). În cazul metodelor de confirmare, trebuie utilizate toate cele 17 etaloane interne de PCDD-uri/PCDF-uri substituite la pozițiile 2,3,7,8, marcate cu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 și toate cele 12 etaloane interne de PCB-uri de tipul dioxinelor marcate cu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6.2.2. De asemenea, se determină factorii de răspuns relativ pentru acei congeneri pentru care nu se adaugă niciun analog marcat cu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 utilizându-se soluții de calibrare corespunzătoare.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6.2.3. Pentru furajele de origine vegetală și furajele de origine animală care conțin mai puțin de 10 % grăsime, este obligatorie adăugarea etaloanelor interne înainte de extracție. Pentru furajele de origine animală care conțin mai mult de 10 % grăsime, etaloanele interne se pot adăuga fie înaintea extracției, fie după extracția grăsimii. Se procedează la o validare corespunzătoare a eficacității extracției, în funcție de etapa în care se introduc etaloanele interne.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6.2.4. Înaintea analizei GC-MS, trebuie să se adauge unul sau două etaloane de recuperare (surogat).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6.2.5. Este necesar controlul recuperării. Pentru metodele de confirmare, recuperările de etaloane interne individuale trebuie să se situeze în intervalul 60-120 %. Se acceptă și recuperări inferioare sau superioare pentru congeneri individuali, în special pentru unele p-dibenzodioxine și unii dibenzofurani hepta- și octo-clorurați, atât timp cât contribuția acestora la valoarea TEQ nu depășește 10 % din valoarea TEQ totală (bazată pe suma de PCDD-uri/PCDF-uri și PCB-uri de tipul dioxinelor). Pentru metodele de screening prin GC-MS, recuperările trebuie să se situeze în intervalul 30-140 %.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Eliminarea substanțelor interferente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Separarea PCDD/PCDF-urilor de compușii clorurați interferenți, cum sunt PCB-urile care nu sunt de tipul dioxinelor și bifenileterii clorurați, se realizează prin tehnici cromatografice adecvate (de preferință pe coloană de florisil, alumină și/sau cărbune).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Separarea izomerilor prin cromatografie în fază gazoasă este &lt; 25 % de la pic la pic între 1,2,3,4,7,8-HxCDF și 1,2,3,6,7,8-HxCDF.</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Calibrarea cu curba standard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Intervalul curbei de calibrare trebuie să acopere intervalul relevant de niveluri maxime sau praguri de acțiune.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6.5.   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Criterii specifice pentru metodele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Pentru GC-HRMS: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HRMS, rezoluția caracteristică trebuie să fie mai mare sau egală cu 10 000 pentru întregul interval al maselor, cu o concavitate de 10 %.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Îndeplinirea criteriilor de identificare și confirmare suplimentare, astfel cum sunt descrise în standardele recunoscute la nivel internațional, de exemplu, în standardul </w:t>
      </w:r>
      <w:r w:rsidR="005C3D1C" w:rsidRPr="005C3D1C">
        <w:rPr>
          <w:rFonts w:ascii="Times New Roman" w:hAnsi="Times New Roman" w:cs="Times New Roman"/>
          <w:sz w:val="28"/>
          <w:szCs w:val="28"/>
          <w:lang w:val="ro-RO"/>
        </w:rPr>
        <w:t xml:space="preserve">SM EN 16215:2021 </w:t>
      </w:r>
      <w:r w:rsidRPr="00427724">
        <w:rPr>
          <w:rFonts w:ascii="Times New Roman" w:hAnsi="Times New Roman" w:cs="Times New Roman"/>
          <w:sz w:val="28"/>
          <w:szCs w:val="28"/>
          <w:lang w:val="ro-RO"/>
        </w:rPr>
        <w:t>(Hrană pentru animale – Determinarea conținutului de dioxină, a PCB-urilor de tip dioxină și a indicatorilor PCB prin GC-HRMS).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Pentru GC-MS/MS: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Monitorizarea a cel puțin doi ioni precursori specifici, fiecăruia corespunzându-i un anumit ion produs, pentru toți analiții etichetați și neetichetați din domeniul de aplicare al analizei.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Toleranța maximă admisă a intensităților relative ale ionilor de ± 15 % pentru ionii de tranziție selecționați produși în comparație cu valorile calculate sau măsurate (medie din standardele de calibrare), aplicând condiții MS/MS identice, în special energia de coliziune și presiunea gazului de coliziune, pentru fiecare tranziție a unui analit.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Rezoluția fiecărui cuadrupol trebuie să fie stabilită ca fiind egală sau mai mare decât rezoluția unității de masă (rezoluția unității de masă: rezoluție suficientă pentru a separa două vârfuri ale unei unități de masă) în scopul de a reduce la minimum interferențele posibile cu analiții de interes.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Îndeplinirea criteriilor suplimentare, astfel cum sunt descrise în standardele recunoscute la nivel internațional, de exemplu, în standardul </w:t>
      </w:r>
      <w:r w:rsidR="005C3D1C" w:rsidRPr="005C3D1C">
        <w:rPr>
          <w:rFonts w:ascii="Times New Roman" w:hAnsi="Times New Roman" w:cs="Times New Roman"/>
          <w:sz w:val="28"/>
          <w:szCs w:val="28"/>
          <w:lang w:val="ro-RO"/>
        </w:rPr>
        <w:t xml:space="preserve">SM EN 16215:2021 </w:t>
      </w:r>
      <w:r w:rsidRPr="00427724">
        <w:rPr>
          <w:rFonts w:ascii="Times New Roman" w:hAnsi="Times New Roman" w:cs="Times New Roman"/>
          <w:sz w:val="28"/>
          <w:szCs w:val="28"/>
          <w:lang w:val="ro-RO"/>
        </w:rPr>
        <w:t>(Hrană pentru animale – Determinarea conținutului de dioxină, a PCB-urilor de tip dioxină și a indicatorilor PCB prin GC-HRMS), cu excepția obligației de a utiliza GC-HRMS.</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Cerințe specifice pentru metodele bioanalitice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Metodele bioanalitice sunt metode bazate pe utilizarea de principii biologice precum testele pe bază de celule sau de receptori sau imunodozări. Prezentul punct stabilește cerințe pentru metodele bioanalitice în general.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O metodă de screening, în principiu, clasifică o probă ca fiind conformă sau suspectată a fi neconformă. În acest scop, nivelul BEQ calculat este comparat cu valoarea-limită (a se vedea punctul 7.3). Probele sub valoarea-limită sunt declarate conforme, probele egale sau peste valoarea-limită sunt suspectate a fi neconforme, necesitând o analiză printr-o metodă de confirmare. În practică, un nivel BEQ echivalent cu două treimi din nivelul maxim poate servi drept valoare-limită, cu condiția să se asigure o rată a rezultatelor fals conforme de sub 5 % și o rată acceptabilă pentru rezultate fals neconforme. Cu niveluri maxime diferite pentru PCDD-uri/PCDF-uri și pentru suma de PCDD-uri/PCDF-uri și PCB-uri de tipul dioxinelor, verificarea conformității probelor fără fracționare necesită valori-limită corespunzătoare ale biotestelor pentru PCDD-uri/PCDF-uri. Pentru verificarea probelor care depășesc pragurile de acțiune, un procentaj corespunzător al pragului de acțiune respectiv este considerat adecvat ca valoare-limită.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Dacă un nivel indicativ este exprimat în BEQ, rezultatele probelor trebuie să fie în intervalul de lucru și să depășească limita de raportare (a se vedea punctele 7.1.1 și 7.1.6).</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Evaluarea răspunsului la test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7.1.1.   </w:t>
      </w:r>
      <w:r w:rsidRPr="00427724">
        <w:rPr>
          <w:rFonts w:ascii="Times New Roman" w:hAnsi="Times New Roman" w:cs="Times New Roman"/>
          <w:b/>
          <w:bCs/>
          <w:sz w:val="28"/>
          <w:szCs w:val="28"/>
          <w:lang w:val="ro-RO"/>
        </w:rPr>
        <w:t> Condiții generale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Atunci când se calculează concentrațiile pornind de la o curbă de calibrare a TCDD, valorile la extremitățile superioare ale curbei vor prezenta o variație importantă [coeficient de variație ridicat (CV)]. Intervalul de lucru este aria în care acest CV este mai mic de 15 %. Extremitatea inferioară a intervalului de lucru (limita de raportare) se fixează cel puțin cu un factor de trei peste martorii procedurii. Extremitatea superioară a intervalului de lucru este, de obicei, reprezentată de valoarea EC</w:t>
      </w:r>
      <w:r w:rsidRPr="00427724">
        <w:rPr>
          <w:rFonts w:ascii="Times New Roman" w:hAnsi="Times New Roman" w:cs="Times New Roman"/>
          <w:sz w:val="28"/>
          <w:szCs w:val="28"/>
          <w:vertAlign w:val="subscript"/>
          <w:lang w:val="ro-RO"/>
        </w:rPr>
        <w:t>70</w:t>
      </w:r>
      <w:r w:rsidRPr="00427724">
        <w:rPr>
          <w:rFonts w:ascii="Times New Roman" w:hAnsi="Times New Roman" w:cs="Times New Roman"/>
          <w:sz w:val="28"/>
          <w:szCs w:val="28"/>
          <w:lang w:val="ro-RO"/>
        </w:rPr>
        <w:t> (70 % din concentrația maximă efectivă), dar mai scăzută dacă CV este mai mare de 15 % în acest interval. Intervalul de lucru se stabilește în timpul validării. Valorile-limită (a se vedea punctul 7.3) se situează în intervalul de lucru.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Soluțiile etalon și extractele de probe trebuie să fie testate în triplicat sau cel puțin în duplicat. Atunci când se utilizează duplicate, o soluție etalon sau un extract de control testată (testat) în patru până la șase godeuri repartizate pe placă trebuie să producă un răspuns sau o concentrație (posibilă doar în intervalul de lucru) pe baza unui CV &lt; 15 %.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7.1.2.   </w:t>
      </w:r>
      <w:r w:rsidRPr="00427724">
        <w:rPr>
          <w:rFonts w:ascii="Times New Roman" w:hAnsi="Times New Roman" w:cs="Times New Roman"/>
          <w:b/>
          <w:bCs/>
          <w:sz w:val="28"/>
          <w:szCs w:val="28"/>
          <w:lang w:val="ro-RO"/>
        </w:rPr>
        <w:t> Calibrarea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7.1.2.1.   </w:t>
      </w:r>
      <w:r w:rsidRPr="00427724">
        <w:rPr>
          <w:rFonts w:ascii="Times New Roman" w:hAnsi="Times New Roman" w:cs="Times New Roman"/>
          <w:b/>
          <w:bCs/>
          <w:sz w:val="28"/>
          <w:szCs w:val="28"/>
          <w:lang w:val="ro-RO"/>
        </w:rPr>
        <w:t>Calibrarea cu curba standard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Nivelurile din probe se estimează prin compararea răspunsului la test cu o curbă de calibrare a TCDD (sau a PCB 126 sau a unui amestec etalon de PCDD/PCDF/PCB de tipul dioxinelor) pentru a se calcula nivelul BEQ din extract și, prin urmare, din probă.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Curbele de calibrare conțin între opt și 12 concentrații (cel puțin în duplicate), cu concentrații suficiente în partea inferioară a curbei (intervalul de lucru). Se acordă atenție specială calității ajustării curbei în intervalul de lucru. Ca atare, valoarea R</w:t>
      </w:r>
      <w:r w:rsidRPr="00427724">
        <w:rPr>
          <w:rFonts w:ascii="Times New Roman" w:hAnsi="Times New Roman" w:cs="Times New Roman"/>
          <w:sz w:val="28"/>
          <w:szCs w:val="28"/>
          <w:vertAlign w:val="superscript"/>
          <w:lang w:val="ro-RO"/>
        </w:rPr>
        <w:t>2</w:t>
      </w:r>
      <w:r w:rsidRPr="00427724">
        <w:rPr>
          <w:rFonts w:ascii="Times New Roman" w:hAnsi="Times New Roman" w:cs="Times New Roman"/>
          <w:sz w:val="28"/>
          <w:szCs w:val="28"/>
          <w:lang w:val="ro-RO"/>
        </w:rPr>
        <w:t> are valoare redusă sau nicio valoare în estimarea calității ajustării în regresia nelineară. Se ajunge la o ajustare mai bună prin reducerea la minimum a diferenței între nivelurile calculate și cele observate în intervalul de lucru al curbei, de exemplu prin reducerea la minimum a sumei pătratelor rezidualelor.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Nivelul estimat din extractul de probă este corectat ulterior pentru nivelul BEQ calculat pentru o probă-martor de matrice/solvent (pentru a se ține cont de impuritățile din solvenți și din substanțele chimice utilizate) și recuperarea aparentă (calculată pornind de la nivelul BEQ al probelor de referință adecvate cu modele reprezentative pentru congeneri în jurul nivelului maxim sau al pragului de acțiune). Pentru a efectua o corecție în funcție de recuperare, recuperarea aparentă se situează în intervalul necesar (a se vedea punctul 7.1.4). Probele de referință utilizate pentru corecția în funcție de recuperare sunt în conformitate cu cerințele prevăzute la punctul 7.2.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7.1.2.2.   </w:t>
      </w:r>
      <w:r w:rsidRPr="00427724">
        <w:rPr>
          <w:rFonts w:ascii="Times New Roman" w:hAnsi="Times New Roman" w:cs="Times New Roman"/>
          <w:b/>
          <w:bCs/>
          <w:sz w:val="28"/>
          <w:szCs w:val="28"/>
          <w:lang w:val="ro-RO"/>
        </w:rPr>
        <w:t>Calibrarea cu eșantioane de referință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Alternativ, poate fi utilizată o curbă de calibrare realizată pe baza a cel puțin patru eșantioane de referință (a se vedea punctul 7.2.4): poate fi utilizată un eșantion martor de matrice, plus trei eșantioane de referință de 0,5x, 1x și 2x nivelul maxim sau pragul de acțiune, eliminând necesitatea de a corecta în funcție de martor și de recuperare. În acest caz, răspunsul la test echivalent cu două treimi din nivelul maxim (a se vedea punctul 7.3) poate fi calculat direct din aceste probe și utilizat ca valoare-limită. Pentru verificarea probelor care depășesc pragurile de acțiune, un procentaj corespunzător al acestor praguri de acțiune este considerat adecvat ca valoare-limită.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7.1.3.   </w:t>
      </w:r>
      <w:r w:rsidRPr="00427724">
        <w:rPr>
          <w:rFonts w:ascii="Times New Roman" w:hAnsi="Times New Roman" w:cs="Times New Roman"/>
          <w:b/>
          <w:bCs/>
          <w:sz w:val="28"/>
          <w:szCs w:val="28"/>
          <w:lang w:val="ro-RO"/>
        </w:rPr>
        <w:t> Determinarea separată a PCDD/F-urilor și a PCB-urilor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Extractele pot fi divizate în fracțiuni care conțin PCDD/F-uri și PCB-uri de tipul dioxinelor, permițând o indicare separată a nivelurilor TEQ pentru PCDD/F-uri și PCB-uri de tipul dioxinelor (în BEQ). Se utilizează, de preferință, o curbă de calibrare standard a PCB 126 pentru evaluarea rezultatelor fracțiunii care conține PCB-uri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7.1.4.   </w:t>
      </w:r>
      <w:r w:rsidRPr="00427724">
        <w:rPr>
          <w:rFonts w:ascii="Times New Roman" w:hAnsi="Times New Roman" w:cs="Times New Roman"/>
          <w:b/>
          <w:bCs/>
          <w:sz w:val="28"/>
          <w:szCs w:val="28"/>
          <w:lang w:val="ro-RO"/>
        </w:rPr>
        <w:t> Recuperări aparente ale biotestului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„Recuperarea aparentă a biotestului” se calculează pornind de la probe de referință adecvate cu modele reprezentative pentru congeneri în jurul nivelului maxim sau al pragului de acțiune și exprimate ca procentaj al nivelului BEQ în comparație cu nivelul TEQ. În funcție de tipul de test și de TEF (</w:t>
      </w:r>
      <w:hyperlink r:id="rId90" w:anchor="E0060" w:history="1">
        <w:r w:rsidRPr="00427724">
          <w:rPr>
            <w:rStyle w:val="Hyperlink"/>
            <w:rFonts w:ascii="Times New Roman" w:hAnsi="Times New Roman" w:cs="Times New Roman"/>
            <w:sz w:val="28"/>
            <w:szCs w:val="28"/>
            <w:lang w:val="ro-RO"/>
          </w:rPr>
          <w:t> </w:t>
        </w:r>
        <w:r w:rsidRPr="00427724">
          <w:rPr>
            <w:rStyle w:val="Hyperlink"/>
            <w:rFonts w:ascii="Times New Roman" w:hAnsi="Times New Roman" w:cs="Times New Roman"/>
            <w:sz w:val="28"/>
            <w:szCs w:val="28"/>
            <w:vertAlign w:val="superscript"/>
            <w:lang w:val="ro-RO"/>
          </w:rPr>
          <w:t>40</w:t>
        </w:r>
        <w:r w:rsidRPr="00427724">
          <w:rPr>
            <w:rStyle w:val="Hyperlink"/>
            <w:rFonts w:ascii="Times New Roman" w:hAnsi="Times New Roman" w:cs="Times New Roman"/>
            <w:sz w:val="28"/>
            <w:szCs w:val="28"/>
            <w:lang w:val="ro-RO"/>
          </w:rPr>
          <w:t> </w:t>
        </w:r>
      </w:hyperlink>
      <w:r w:rsidRPr="00427724">
        <w:rPr>
          <w:rFonts w:ascii="Times New Roman" w:hAnsi="Times New Roman" w:cs="Times New Roman"/>
          <w:sz w:val="28"/>
          <w:szCs w:val="28"/>
          <w:lang w:val="ro-RO"/>
        </w:rPr>
        <w:t xml:space="preserve">) utilizați, diferențele între factorii TEF și REP pentru PCB-urile de tipul dioxinelor pot cauza recuperări aparente reduse pentru PCB-urile de tipul dioxinelor în comparație cu PCDD-uri/PCDF-uri. Prin urmare, în cazul în care se efectuează o determinare separată a PCDD/F-urilor și a PCB-urilor de tipul dioxinelor, recuperările aparente ale testului </w:t>
      </w:r>
      <w:r w:rsidRPr="00427724">
        <w:rPr>
          <w:rFonts w:ascii="Times New Roman" w:hAnsi="Times New Roman" w:cs="Times New Roman"/>
          <w:sz w:val="28"/>
          <w:szCs w:val="28"/>
          <w:lang w:val="ro-RO"/>
        </w:rPr>
        <w:lastRenderedPageBreak/>
        <w:t>biologic sunt: pentru PCB-uri de tipul dioxinelor, între 20 % și 60 %, pentru PCDD-uri/PCDF-uri, între 50 % și 130 % (intervalele se aplică pentru curba de calibrare a TCDD). Deoarece contribuția PCB-urilor de tipul dioxinelor la suma de PCDD-uri/PCDF-uri și PCB-uri de tipul dioxinelor poate varia între diferite matrice și probe, recuperările aparente ale biotestului pentru suma de PCDD-uri/PCDF-uri și PCB-uri de tipul dioxinelor reflectă aceste intervale și se situează între 30 % și 130 %. Orice implicare a valorilor TEF revizuite în mod substanțial pentru legislația Uniunii pentru PCDD-uri/PCDF-uri și PCB-uri de tipul dioxinelor necesită revizuirea acestor intervale.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7.1.5.   </w:t>
      </w:r>
      <w:r w:rsidRPr="00427724">
        <w:rPr>
          <w:rFonts w:ascii="Times New Roman" w:hAnsi="Times New Roman" w:cs="Times New Roman"/>
          <w:b/>
          <w:bCs/>
          <w:sz w:val="28"/>
          <w:szCs w:val="28"/>
          <w:lang w:val="ro-RO"/>
        </w:rPr>
        <w:t> Controlul recuperărilor pentru curățare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Pierderea de compuși în timpul curățării se verifică în timpul validării. Un eșantion martor îmbogățit cu un amestec de congeneri diferiți face obiectul curățării (n = 3 cel puțin), iar recuperarea și variabilitatea sunt verificate printr-o metodă de confirmare. Recuperarea se situează între 60 % și 120 %, mai ales pentru congeneri care contribuie cu mai mult de 10 % la nivelul TEQ în diverse amestecuri.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7.1.6.   </w:t>
      </w:r>
      <w:r w:rsidRPr="00427724">
        <w:rPr>
          <w:rFonts w:ascii="Times New Roman" w:hAnsi="Times New Roman" w:cs="Times New Roman"/>
          <w:b/>
          <w:bCs/>
          <w:sz w:val="28"/>
          <w:szCs w:val="28"/>
          <w:lang w:val="ro-RO"/>
        </w:rPr>
        <w:t> Limita de raportare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Atunci când se raportează nivelurile BEQ, se determină o limită de raportare pornind de la probele de matrice relevante care implică modele tipice pentru congeneri, dar nu pornind de la curba de calibrare a standardelor, din cauza preciziei reduse în intervalul inferior al curbei. Se iau în considerare efectele extracției și ale curățării. Limita de raportare se fixează cel puțin cu un factor de trei peste martorii procedurii.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Utilizarea eșantioanelor de referință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7.2.1. Eșantioanele de referință reprezintă matricea de eșantionare, modelele pentru congeneri și intervalele de concentrație pentru PCDD-uri/PCDF-uri și PCB-uri de tipul dioxinelor în jurul nivelului maxim sau al pragului de acțiune.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7.2.2. În fiecare serie de teste, se includ o matrice martor și, în cazul în care acest lucru nu este posibil, un eșantion martor din cadrul procedurii, precum și un eșantion de referință la nivelul maxim sau la pragul de acțiune. Aceste eșantioane se supun extracției și testării în același timp și în condiții identice. Eșantionul de referință prezintă un răspuns cu mult mai mare în comparație cu eșantionul martor, asigurând astfel conformitatea testului. Aceste eșantioane pot fi utilizate pentru corecțiile în funcție de martor și 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7.2.3. Probele de referință alese pentru a efectua o corecție în funcție de recuperare sunt reprezentative pentru probele de testare, în sensul că modelele pentru congeneri nu pot conduce la o subestimare a nivelurilor.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7.2.4. Se pot include probe de referință suplimentare de 0,5 × și 2 × nivelul maxim sau pragul de acțiune, de exemplu, pentru a se demonstra eficacitatea testului în intervalul de interes, pentru controlul nivelului maxim sau al pragului de acțiune. Combinate, aceste probe pot fi utilizate pentru calcularea nivelurilor BEQ în probele de testare (a se vedea punctul 7.1.2.2).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Determinarea valorilor-limită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stabilește relația dintre rezultatele bioanalitice în BEQ și rezultatele în urma metodei de confirmare în TEQ [de exemplu, prin experimente de calibrare în raport cu matricea, care implică probe de referință îmbogățite la 0, 0,5x, 1x și 2x față de nivelul maxim (NM), cu șase repetări la fiecare nivel (n = 24)]. Factorii de corecție (martor și recuperare) pot fi estimați pornind de la această relație, însă se verifică în conformitate cu punctul 7.2.2.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Valorile-limită se stabilesc pentru deciziile privind conformitatea probelor cu nivelurile maxime sau pentru controlul pragurilor de acțiune, în cazul în care acest lucru este relevant, cu nivelurile maxime sau pragul de acțiune respective stabilite fie numai pentru PCDD-uri/PCDF-uri și PCB-uri de tipul dioxinelor, fie pentru suma de PCDD-uri/PCDF-uri și PCB-uri de tipul dioxinelor. Acestea sunt reprezentate prin extremitatea inferioară a distribuției rezultatelor bioanalitice (corectate în funcție de martor și recuperare) care corespund limitei de decizie a metodei de confirmare bazată pe un nivel de încredere de 95 %, ceea ce înseamnă o rată a rezultatelor fals conforme &lt; 5 %, și pe o valoare a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&lt; 25 %. Limita de decizie a metodei de confirmare este nivelul maxim, ținând seama de incertitudinea de măsurare extinsă.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Valoarea-limită (în BEQ) poate fi calculată în conformitate cu una dintre abordările descrise la punctele 7.3.1, 7.3.2 și 7.3.3 (a se vedea figura 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7.3.1. Utilizarea sectorului </w:t>
      </w:r>
      <w:r w:rsidRPr="00427724">
        <w:rPr>
          <w:rFonts w:ascii="Times New Roman" w:hAnsi="Times New Roman" w:cs="Times New Roman"/>
          <w:i/>
          <w:iCs/>
          <w:sz w:val="28"/>
          <w:szCs w:val="28"/>
          <w:lang w:val="ro-RO"/>
        </w:rPr>
        <w:t>inferior</w:t>
      </w:r>
      <w:r w:rsidRPr="00427724">
        <w:rPr>
          <w:rFonts w:ascii="Times New Roman" w:hAnsi="Times New Roman" w:cs="Times New Roman"/>
          <w:sz w:val="28"/>
          <w:szCs w:val="28"/>
          <w:lang w:val="ro-RO"/>
        </w:rPr>
        <w:t> al intervalului de predicție de 95 % la limita de decizie aferentă metodei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7021195" cy="514985"/>
            <wp:effectExtent l="0" t="0" r="8255" b="0"/>
            <wp:docPr id="46" name="Imagine 46" descr="C:\Users\User MAIA\AppData\Local\Microsoft\Windows\INetCache\Content.MSO\F1205E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 MAIA\AppData\Local\Microsoft\Windows\INetCache\Content.MSO\F1205E61.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21195" cy="514985"/>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800"/>
        <w:gridCol w:w="8606"/>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BEQ</w:t>
            </w:r>
            <w:r w:rsidRPr="00427724">
              <w:rPr>
                <w:rFonts w:ascii="Times New Roman" w:hAnsi="Times New Roman" w:cs="Times New Roman"/>
                <w:sz w:val="28"/>
                <w:szCs w:val="28"/>
                <w:vertAlign w:val="subscript"/>
                <w:lang w:val="ro-RO"/>
              </w:rPr>
              <w:t>DL</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BEQ corespunzând limitei de decizie a metodei de confirmare este nivelul maxim, ținând seama de incertitudinea de măsurare extinsă</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914"/>
        <w:gridCol w:w="849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w:t>
            </w:r>
            <w:r w:rsidRPr="00427724">
              <w:rPr>
                <w:rFonts w:ascii="Times New Roman" w:hAnsi="Times New Roman" w:cs="Times New Roman"/>
                <w:sz w:val="28"/>
                <w:szCs w:val="28"/>
                <w:vertAlign w:val="subscript"/>
                <w:lang w:val="ro-RO"/>
              </w:rPr>
              <w:t>y,x</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reziduală</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059"/>
        <w:gridCol w:w="8347"/>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 </w:t>
            </w:r>
            <w:r w:rsidRPr="00427724">
              <w:rPr>
                <w:rFonts w:ascii="Times New Roman" w:hAnsi="Times New Roman" w:cs="Times New Roman"/>
                <w:sz w:val="28"/>
                <w:szCs w:val="28"/>
                <w:vertAlign w:val="subscript"/>
                <w:lang w:val="ro-RO"/>
              </w:rPr>
              <w:t>α,f = m-2</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factorul student (α = 5 %, f = grade de libertate, asimetric)</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64"/>
        <w:gridCol w:w="9042"/>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 numărul total de puncte de calibrare (indice j)</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08"/>
        <w:gridCol w:w="9098"/>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 numărul de repetări la fiecare nivel</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75"/>
        <w:gridCol w:w="9231"/>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x</w:t>
            </w:r>
            <w:r w:rsidRPr="00427724">
              <w:rPr>
                <w:rFonts w:ascii="Times New Roman" w:hAnsi="Times New Roman" w:cs="Times New Roman"/>
                <w:i/>
                <w:iCs/>
                <w:sz w:val="28"/>
                <w:szCs w:val="28"/>
                <w:vertAlign w:val="subscript"/>
                <w:lang w:val="ro-RO"/>
              </w:rPr>
              <w:t>i</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concentrația probei (în TEQ) a punctului de calibrare i determinat printr-o metodă de confirmare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67"/>
        <w:gridCol w:w="9239"/>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83820" cy="147320"/>
                  <wp:effectExtent l="0" t="0" r="0" b="5080"/>
                  <wp:docPr id="45" name="Imagine 45" descr="C:\Users\User MAIA\AppData\Local\Microsoft\Windows\INetCache\Content.MSO\2C9A90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 MAIA\AppData\Local\Microsoft\Windows\INetCache\Content.MSO\2C9A9017.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3820" cy="147320"/>
                          </a:xfrm>
                          <a:prstGeom prst="rect">
                            <a:avLst/>
                          </a:prstGeom>
                          <a:noFill/>
                          <a:ln>
                            <a:noFill/>
                          </a:ln>
                        </pic:spPr>
                      </pic:pic>
                    </a:graphicData>
                  </a:graphic>
                </wp:inline>
              </w:drawing>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medie a concentrațiilor (în TEQ) ale tuturor probelor de calibrare</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3277"/>
        <w:gridCol w:w="6129"/>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2080895" cy="767080"/>
                  <wp:effectExtent l="0" t="0" r="0" b="0"/>
                  <wp:docPr id="44" name="Imagine 44" descr="C:\Users\User MAIA\AppData\Local\Microsoft\Windows\INetCache\Content.MSO\93F2C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 MAIA\AppData\Local\Microsoft\Windows\INetCache\Content.MSO\93F2C93D.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0895" cy="767080"/>
                          </a:xfrm>
                          <a:prstGeom prst="rect">
                            <a:avLst/>
                          </a:prstGeom>
                          <a:noFill/>
                          <a:ln>
                            <a:noFill/>
                          </a:ln>
                        </pic:spPr>
                      </pic:pic>
                    </a:graphicData>
                  </a:graphic>
                </wp:inline>
              </w:drawing>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parametrul sumei pătratelor, i = indice pentru punctul de calibrare i</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7.3.2. Calcul pornind de la rezultatele bioanalitice (corectate în funcție de martor și recuperare) ale analizelor multiple ale probelor (n≥ 6) contaminate la limita de decizie a metodei de confirmare, ca extremitate </w:t>
      </w:r>
      <w:r w:rsidRPr="00427724">
        <w:rPr>
          <w:rFonts w:ascii="Times New Roman" w:hAnsi="Times New Roman" w:cs="Times New Roman"/>
          <w:i/>
          <w:iCs/>
          <w:sz w:val="28"/>
          <w:szCs w:val="28"/>
          <w:lang w:val="ro-RO"/>
        </w:rPr>
        <w:t>inferioară</w:t>
      </w:r>
      <w:r w:rsidRPr="00427724">
        <w:rPr>
          <w:rFonts w:ascii="Times New Roman" w:hAnsi="Times New Roman" w:cs="Times New Roman"/>
          <w:sz w:val="28"/>
          <w:szCs w:val="28"/>
          <w:lang w:val="ro-RO"/>
        </w:rPr>
        <w:t> a distribuției datelor la valoarea medie BEQ corespunzătoare: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3646805" cy="325755"/>
            <wp:effectExtent l="0" t="0" r="0" b="0"/>
            <wp:docPr id="43" name="Imagine 43" descr="C:\Users\User MAIA\AppData\Local\Microsoft\Windows\INetCache\Content.MSO\6C0A2B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 MAIA\AppData\Local\Microsoft\Windows\INetCache\Content.MSO\6C0A2B53.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6805" cy="325755"/>
                    </a:xfrm>
                    <a:prstGeom prst="rect">
                      <a:avLst/>
                    </a:prstGeom>
                    <a:noFill/>
                    <a:ln>
                      <a:noFill/>
                    </a:ln>
                  </pic:spPr>
                </pic:pic>
              </a:graphicData>
            </a:graphic>
          </wp:inline>
        </w:drawing>
      </w:r>
      <w:r w:rsidRPr="00427724">
        <w:rPr>
          <w:rFonts w:ascii="Times New Roman" w:hAnsi="Times New Roman" w:cs="Times New Roman"/>
          <w:sz w:val="28"/>
          <w:szCs w:val="28"/>
          <w:lang w:val="ro-RO"/>
        </w:rPr>
        <w:t>unde:</w:t>
      </w:r>
    </w:p>
    <w:tbl>
      <w:tblPr>
        <w:tblW w:w="5000" w:type="pct"/>
        <w:shd w:val="clear" w:color="auto" w:fill="FFFFFF"/>
        <w:tblCellMar>
          <w:left w:w="0" w:type="dxa"/>
          <w:right w:w="0" w:type="dxa"/>
        </w:tblCellMar>
        <w:tblLook w:val="04A0" w:firstRow="1" w:lastRow="0" w:firstColumn="1" w:lastColumn="0" w:noHBand="0" w:noVBand="1"/>
      </w:tblPr>
      <w:tblGrid>
        <w:gridCol w:w="478"/>
        <w:gridCol w:w="8928"/>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SD</w:t>
            </w:r>
            <w:r w:rsidRPr="00427724">
              <w:rPr>
                <w:rFonts w:ascii="Times New Roman" w:hAnsi="Times New Roman" w:cs="Times New Roman"/>
                <w:sz w:val="28"/>
                <w:szCs w:val="28"/>
                <w:vertAlign w:val="subscript"/>
                <w:lang w:val="ro-RO"/>
              </w:rPr>
              <w:t>R</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deviația standard a rezultatelor biotestului la BEQ</w:t>
            </w:r>
            <w:r w:rsidRPr="00427724">
              <w:rPr>
                <w:rFonts w:ascii="Times New Roman" w:hAnsi="Times New Roman" w:cs="Times New Roman"/>
                <w:sz w:val="28"/>
                <w:szCs w:val="28"/>
                <w:vertAlign w:val="subscript"/>
                <w:lang w:val="ro-RO"/>
              </w:rPr>
              <w:t>DL</w:t>
            </w:r>
            <w:r w:rsidRPr="00427724">
              <w:rPr>
                <w:rFonts w:ascii="Times New Roman" w:hAnsi="Times New Roman" w:cs="Times New Roman"/>
                <w:sz w:val="28"/>
                <w:szCs w:val="28"/>
                <w:lang w:val="ro-RO"/>
              </w:rPr>
              <w:t>, măsurată în condiții de reproductibilitate intralaborator</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7.3.3. Calcul ca valoare medie a rezultatelor bioanalitice (în BEQ, corectată în funcție de martor și recuperare) pornind de la analiza multiplă a probelor (n ≥ 6) contaminate la două treimi din nivelul maxim sau pragul de acțiune, având drept bază observația că acest nivel va fi în jurul valorii-limită determinate la punctul 7.3.1 sau la punctul 7.3.2: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Calcul al valorilor-limită, bazat pe un nivel de încredere de 95 %, implicând o rată a rezultatelor fals conforme &lt; 5 %, și pe o valoare a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&lt; 25 %: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 pornind de la spectrul </w:t>
      </w:r>
      <w:r w:rsidRPr="00427724">
        <w:rPr>
          <w:rFonts w:ascii="Times New Roman" w:hAnsi="Times New Roman" w:cs="Times New Roman"/>
          <w:i/>
          <w:iCs/>
          <w:sz w:val="28"/>
          <w:szCs w:val="28"/>
          <w:lang w:val="ro-RO"/>
        </w:rPr>
        <w:t>inferior</w:t>
      </w:r>
      <w:r w:rsidRPr="00427724">
        <w:rPr>
          <w:rFonts w:ascii="Times New Roman" w:hAnsi="Times New Roman" w:cs="Times New Roman"/>
          <w:sz w:val="28"/>
          <w:szCs w:val="28"/>
          <w:lang w:val="ro-RO"/>
        </w:rPr>
        <w:t> al intervalului de predicție de 95 % la limita de decizie a metodei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 pornind de la analiza multiplă a probelor (n ≥ 6) contaminate la limita de decizie a metodei de confirmare ca extremitate </w:t>
      </w:r>
      <w:r w:rsidRPr="00427724">
        <w:rPr>
          <w:rFonts w:ascii="Times New Roman" w:hAnsi="Times New Roman" w:cs="Times New Roman"/>
          <w:i/>
          <w:iCs/>
          <w:sz w:val="28"/>
          <w:szCs w:val="28"/>
          <w:lang w:val="ro-RO"/>
        </w:rPr>
        <w:t>inferioară</w:t>
      </w:r>
      <w:r w:rsidRPr="00427724">
        <w:rPr>
          <w:rFonts w:ascii="Times New Roman" w:hAnsi="Times New Roman" w:cs="Times New Roman"/>
          <w:sz w:val="28"/>
          <w:szCs w:val="28"/>
          <w:lang w:val="ro-RO"/>
        </w:rPr>
        <w:t> a distribuției datelor (reprezentată în Figură 1 printr-o curbă sub formă de clopot) la valoarea medie BEQ corespunzătoare.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Figura 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5202555" cy="3867785"/>
            <wp:effectExtent l="0" t="0" r="0" b="0"/>
            <wp:docPr id="42" name="Imagine 42" descr="C:\Users\User MAIA\AppData\Local\Microsoft\Windows\INetCache\Content.MSO\E989D3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 MAIA\AppData\Local\Microsoft\Windows\INetCache\Content.MSO\E989D3D9.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02555" cy="3867785"/>
                    </a:xfrm>
                    <a:prstGeom prst="rect">
                      <a:avLst/>
                    </a:prstGeom>
                    <a:noFill/>
                    <a:ln>
                      <a:noFill/>
                    </a:ln>
                  </pic:spPr>
                </pic:pic>
              </a:graphicData>
            </a:graphic>
          </wp:inline>
        </w:drawing>
      </w:r>
      <w:r w:rsidRPr="00427724">
        <w:rPr>
          <w:rFonts w:ascii="Times New Roman" w:hAnsi="Times New Roman" w:cs="Times New Roman"/>
          <w:sz w:val="28"/>
          <w:szCs w:val="28"/>
          <w:lang w:val="ro-RO"/>
        </w:rPr>
        <w:t>7.3.4. Restricții ale valorilor-limită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Valorile-limită bazate pe BEQ, calculate pornind de la valoarea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obținută în cursul validării utilizând un număr limitat de probe cu modele pentru matrice/congeneri diferite pot fi mai mari decât nivelurile maxime sau pragurile de acțiune bazate pe TEQ datorită unei precizii mai mari decât cea realizabilă în analizele de rutină atunci când trebuie controlat un spectru necunoscut de posibile modele pentru congeneri. În astfel de cazuri, valorile-limită se calculează pornind de la RSD</w:t>
      </w:r>
      <w:r w:rsidRPr="00427724">
        <w:rPr>
          <w:rFonts w:ascii="Times New Roman" w:hAnsi="Times New Roman" w:cs="Times New Roman"/>
          <w:sz w:val="28"/>
          <w:szCs w:val="28"/>
          <w:vertAlign w:val="subscript"/>
          <w:lang w:val="ro-RO"/>
        </w:rPr>
        <w:t>R</w:t>
      </w:r>
      <w:r w:rsidRPr="00427724">
        <w:rPr>
          <w:rFonts w:ascii="Times New Roman" w:hAnsi="Times New Roman" w:cs="Times New Roman"/>
          <w:sz w:val="28"/>
          <w:szCs w:val="28"/>
          <w:lang w:val="ro-RO"/>
        </w:rPr>
        <w:t> = 25 % sau se preferă două treimi din nivelul maxim sau pragul de acțiune.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Caracteristici de performanță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7.4.1. Având în vedere faptul că nu se pot utiliza etaloane interne în metodele bioanalitice, testele cu privire la repetabilitatea metodelor bioanalitice se efectuează </w:t>
      </w:r>
      <w:r w:rsidRPr="00427724">
        <w:rPr>
          <w:rFonts w:ascii="Times New Roman" w:hAnsi="Times New Roman" w:cs="Times New Roman"/>
          <w:sz w:val="28"/>
          <w:szCs w:val="28"/>
          <w:lang w:val="ro-RO"/>
        </w:rPr>
        <w:lastRenderedPageBreak/>
        <w:t>pentru obținerea unor informații privind deviația standard în cadrul unei serii de teste și între serii de teste. Repetabilitatea trebuie să fie sub 20 %, iar reproductibilitatea intralaborator sub 25 %. Aceasta se bazează pe nivelurile calculate în BEQ după corecția în funcție de martor și recuperare.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7.4.2. Ca parte din procesul de validare, testul trebuie să permită stabilirea diferenței între o probă-martor și un nivel la valoarea-limită, permițând identificarea probelor peste valoarea-limită corespunzătoare (a se vedea punctul 7.1.2).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7.4.3. Se definesc compușii-țintă, interferențele potențiale și nivelurile maxime tolerabile ale martorului.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7.4.4. Deviația standard procentuală a răspunsului sau a concentrației calculate pornind de la răspuns (posibilă numai în intervalul de lucru) a unei determinări triple a unui extract de probă nu poate fi mai mare de 15 %.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7.4.5. Rezultatele necorectate ale probei (probelor) de referință exprimată (exprimate) în BEQ (martor și nivelul maxim sau pragul de acțiune) sunt utilizate pentru evaluarea performanței metodei bioanalitice pe o perioadă de timp constantă.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7.4.6. Graficele de control al calității pentru martorii procedurii și fiecare tip de probă de referință se înregistrează și se verifică pentru a se garanta că performanța analitică este în conformitate cu cerințele, în special pentru martorii procedurii cu privire la diferența minimă solicitată la limita inferioară a intervalului de lucru și pentru probele de referință cu privire la reproductibilitatea intralaborator. Martorii procedurii sunt controlați într-un mod care să evite rezultatele fals conforme atunci când se scad.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7.4.7. Rezultatele metodelor de confirmare ale probelor suspectate și a 2-10 % din probele conforme (minimum 20 de probe pentru fiecare matrice) sunt colectate și folosite pentru a evalua performanța metodei de screening și relația între BEQ și TEQ. Această bază de date poate fi utilizată pentru reevaluarea valorilor-limită aplicabile probelor de rutină pentru matricele validate.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7.4.8. Buna performanță a metodelor poate fi, de asemenea, demonstrată prin participarea la testările interlaboratoare. Rezultatele probelor analizate în testările interlaboratoare, care acoperă un interval de concentrații care să ajungă până la, de exemplu, 2x nivelul maxim, pot fi incluse în evaluarea ratei rezultatelor fals conforme, în cazul în care un laborator este în măsură să demonstreze buna sa performanță. Probele acoperă cele mai frecvente modele pentru congeneri, reprezentând diverse surse.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7.4.9. În timpul incidentelor, valorile-limită pot fi reevaluate, reflectând matricea specifică și modelele pentru congeneri doar ale acestui incident.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Raportarea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Metode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8.1.1. Rezultatele analitice includ nivelurile de congeneri individuali ai PCDD/F-urilor și ai PCB-urilor de tipul dioxinelor și sunt raportate ca estimare inferioară, estimare superioară și estimare mediană, pentru a include o cantitate maximă de informații în raportarea rezultatelor, ceea ce permite o interpretare a rezultatelor în conformitate cu cerințe specifice.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8.1.2. Raportul include metoda utilizată pentru extracția PCDD-urilor/PCDF-urilor și a PCB-urilor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8.1.3.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8.1.4. Întrucât, atunci când se decide conformitatea unei probe, se ține seama de incertitudinea de măsurare extinsă, acest parametru trebuie pus la dispoziție. De aceea, rezultatele analitice se raportează ca x +/– U, unde x este rezultatul analitic și U este incertitudinea de măsurare extinsă, folosind un factor de acoperire 2, care dă un nivel de încredere de aproximativ 95 %. În cazul unei determinări separate a PCDD-urilor/PCDF-urilor și a PCB-urilor de tipul dioxinelor, se utilizează suma incertitudinii extinse estimate a rezultatelor analitice separate ale PCDD-urilor/PCDF-urilor și a PCB-urilor de tipul dioxinelor pentru suma PCDD-urilor/PCDF-urilor și a PCB-urilor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8.1.5. Rezultatele se exprimă în aceleași unități și prin cel puțin același număr de zecimale precum nivelurile maxime prevăzute </w:t>
      </w:r>
      <w:r w:rsidR="00EB3C62">
        <w:rPr>
          <w:rFonts w:ascii="Times New Roman" w:hAnsi="Times New Roman" w:cs="Times New Roman"/>
          <w:sz w:val="28"/>
          <w:szCs w:val="28"/>
          <w:lang w:val="ro-RO"/>
        </w:rPr>
        <w:t xml:space="preserve">la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Metode bioanalitice de screening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8.2.1. Rezultatul screeningului se exprimă ca și „conform” sau „suspectat a fi neconform” („suspectat”).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8.2.2. În plus, se poate da un rezultat indicativ pentru PCDD-uri/PCDF-uri și/sau PCB-uri de tipul dioxinelor exprimat în BEQ, și nu în TEQ.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8.2.3. Probele cu un răspuns inferior limitei de raportare se exprimă ca fiind „sub limita de raportare”. Rezultatul probelor cu un răspuns peste intervalul de lucru se raportează ca „depășind intervalul de lucru”, iar nivelul corespunzător extremității superioare a intervalului de lucru se furnizează în BEQ.</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8.2.4. Pentru fiecare tip de matrice a probei, raportul menționează nivelul maxim sau pragul de acțiune pe care se bazează evaluarea.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8.2.5. Raportul menționează tipul de test aplicat, principiul de bază al testului și tipul de calibrare.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8.2.6. Raportul include metoda utilizată pentru extracția PCDD-urilor/PCDF-urilor și a PCB-urilor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8.2.7. În cazul probelor suspectate a fi neconforme, raportul trebuie să includă o notă privind măsurile care urmează a fi adoptate. Concentrația de PCDD-uri/PCDF-uri și suma de PCDD-uri/PCDF-uri și PCB-uri de tipul dioxinelor din acele probe cu niveluri ridicate trebuie determinată/confirmată printr-o metodă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8.2.8. Rezultatele neconforme se raportează numai în urma analizei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Metode fizico-chimice de screening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8.3.1. Rezultatul screeningului se exprimă ca și „conform” sau „suspectat a fi neconform” („suspectat”).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8.3.2. Pentru fiecare tip de matrice a probei, raportul menționează nivelul maxim sau pragul de acțiune pe care se bazează evaluarea.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8.3.3. În plus, nivelurile de congeneri individuali ai PCDD/F-urilor și/sau ai PCB-urilor de tipul dioxinelor și valorile TEQ se pot furniza ca estimare inferioară, estimare superioară și estimare mediană. Rezultatele se exprimă în aceleași unități și prin cel puțin același număr de zecimale precum nivelurile maxime prevăzute</w:t>
      </w:r>
      <w:r w:rsidR="00EB3C62">
        <w:rPr>
          <w:rFonts w:ascii="Times New Roman" w:hAnsi="Times New Roman" w:cs="Times New Roman"/>
          <w:sz w:val="28"/>
          <w:szCs w:val="28"/>
          <w:lang w:val="ro-RO"/>
        </w:rPr>
        <w:t xml:space="preserve"> la</w:t>
      </w:r>
      <w:r w:rsidR="00EB3C62" w:rsidRPr="00EB3C62">
        <w:t xml:space="preserve">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8.3.4. Recuperările etaloanelor interne individuale sunt disponibile dacă recuperările se situează în afara intervalului menționat la punctul 6.2.5, dacă se depășește nivelul maxim (în acest caz, recuperările pentru una din cele două analize duplicat), iar în celelalte cazuri, la cerere.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8.3.5. Raportul trebuie să menționeze metoda GC-MS utilizată.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8.3.6. Raportul include metoda utilizată pentru extracția PCDD-urilor/PCDF-urilor și a PCB-urilor de tipul dioxinelor.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8.3.7. În cazul probelor suspectate a fi neconforme, raportul trebuie să includă o notă privind măsurile care urmează a fi adoptate. Concentrația de PCDD-uri/PCDF-uri și suma de PCDD-uri/PCDF-uri și PCB-uri de tipul dioxinelor din acele probe cu niveluri ridicate trebuie determinată/confirmată printr-o metodă de confirmare.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8.3.8. Neconformitatea poate fi decisă numai în urma analizei de confirmare.</w:t>
      </w:r>
    </w:p>
    <w:p w:rsidR="00D065E6" w:rsidRDefault="00D065E6" w:rsidP="00D065E6">
      <w:pPr>
        <w:tabs>
          <w:tab w:val="left" w:pos="210"/>
        </w:tabs>
        <w:jc w:val="center"/>
        <w:rPr>
          <w:rFonts w:ascii="Times New Roman" w:hAnsi="Times New Roman" w:cs="Times New Roman"/>
          <w:b/>
          <w:i/>
          <w:iCs/>
          <w:sz w:val="28"/>
          <w:szCs w:val="28"/>
          <w:lang w:val="ro-RO"/>
        </w:rPr>
      </w:pPr>
    </w:p>
    <w:p w:rsidR="00D065E6" w:rsidRPr="00F65483" w:rsidRDefault="00D065E6" w:rsidP="00D065E6">
      <w:pPr>
        <w:tabs>
          <w:tab w:val="left" w:pos="210"/>
        </w:tabs>
        <w:jc w:val="center"/>
        <w:rPr>
          <w:rFonts w:ascii="Times New Roman" w:hAnsi="Times New Roman" w:cs="Times New Roman"/>
          <w:b/>
          <w:i/>
          <w:iCs/>
          <w:sz w:val="28"/>
          <w:szCs w:val="28"/>
          <w:lang w:val="ro-RO"/>
        </w:rPr>
      </w:pPr>
      <w:r w:rsidRPr="00F65483">
        <w:rPr>
          <w:rFonts w:ascii="Times New Roman" w:hAnsi="Times New Roman" w:cs="Times New Roman"/>
          <w:b/>
          <w:i/>
          <w:iCs/>
          <w:sz w:val="28"/>
          <w:szCs w:val="28"/>
          <w:lang w:val="ro-RO"/>
        </w:rPr>
        <w:t xml:space="preserve">Capitolul </w:t>
      </w:r>
      <w:r>
        <w:rPr>
          <w:rFonts w:ascii="Times New Roman" w:hAnsi="Times New Roman" w:cs="Times New Roman"/>
          <w:b/>
          <w:i/>
          <w:iCs/>
          <w:sz w:val="28"/>
          <w:szCs w:val="28"/>
          <w:lang w:val="ro-RO"/>
        </w:rPr>
        <w:t>nr. 3</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b/>
          <w:bCs/>
          <w:i/>
          <w:iCs/>
          <w:sz w:val="28"/>
          <w:szCs w:val="28"/>
          <w:lang w:val="ro-RO"/>
        </w:rPr>
        <w:t>PREGĂTIREA PROBELOR ȘI CERINȚE PRIVIND METODELE DE ANALIZĂ UTILIZATE PENTRU CONTROLUL OFICIAL AL NIVELURILOR DE PCB-URI CARE NU SUNT DE TIPUL DIOXINELOR DIN FURAJE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    Domeniu de aplicare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Cerințele stabilite în prezentul capitol se aplică atunci când furajele sunt analizate pentru controlul oficial al nivelurilor de bifenili policlorurați care nu sunt de tipul dioxinelor (PCB-uri care nu sunt de tipul dioxinelor), precum și în ceea ce privește pregătirea probelor și cerințele analitice pentru alte scopuri de reglementare, care includ controalele oficiale efectuate de operatorii din sectorul hranei pentru animale pentru a asigura conformitatea cu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    Metode de detectare aplicabile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Gaz-cromatografie/detectare prin captură de electroni (GC-CDE), GC-LRMS, GC-MS/MS, GC-HRMS sau metode echivalente.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3.    Identificarea și confirmarea analiților de interes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3.1. Timpul de retenție relativ în raport cu etaloanele interne sau etaloanele de referință (deviație acceptabilă +/- 0,25 %).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3.2. Separarea gaz-cromatografică a PCB-urilor care nu sunt de tipul dioxinelor de substanțele interferente, în special PCB-uri co-eluante, mai ales în cazul în care nivelurile probelor sunt în limite legale și neconformitatea trebuie să se confirme.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3.3. Cerințe pentru tehnici GC-MS</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Monitorizarea cel puțin a următorului număr de ioni moleculari sau de ioni caracteristici din clusterul molecular: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doi ioni specifici pentru HRMS;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trei ioni specifici pentru LRMS;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doi ioni precursori specifici, fiecăruia corespunzându-i un anumit ion produs pentru MS-MS.</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Toleranțele maxime admisibile pentru raportul valorilor izotopilor pentru fragmentele de masă selecționate: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Deviația relativă a abundenței izotopice relative pentru fragmentele de masă selecționate și valoarea teoretică a abundenței izotopice sau standardul de calibrare pentru ionul țintă (ionul monitorizat cu cea mai ridicată abundență izotopică) și ionul (ionii) calificativ(i): ± 15 %.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3.4. Cerințe pentru tehnici GC-ECD</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Rezultatele care depășesc nivelul maxim sunt confirmate cu două coloane de GC cu faze staționare de polaritate diferită.</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4.    Demonstrarea randamentului metodei</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Randamentul metodei se validează în intervalul nivelului maxim (0,5 la 2 x nivelul maxim), cu un coeficient de variație acceptabil pentru analiza repetată (a se vedea cerințele pentru precizia intermediară de la punctul 9).</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5.    Limita de cuantificare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Suma limitelor de cuantificare (LOQ)  ale PCB-urilor care nu sunt de tipul dioxinelor nu trebuie să fie mai mare de o treime din nivelul maxim.</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6.    Controlul calității</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Controale ale martorului, analiză a probelor îmbogățite, probe pentru controlul calității, participarea la studii interlaboratoare pe matrice relevante, la intervale regulate.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7.    Controlul recuperărilor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7.1. Se utilizează etaloane interne adecvate cu proprietăți fizico-chimice comparabile cu cele ale analiților de interes.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7.2. Adăugarea de etaloane interne: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adăugare la produse (înaintea procesului de extracție și de curățare).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7.3. Cerințe privind metodele care utilizează toți cei șase congeneri ai PCB-urilor care nu sunt de tipul dioxinelor marcați cu un izotop:</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rezultatele sunt corectate pentru recuperările etaloanelor interne;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recuperările etaloanelor interne marcate cu un izotop sunt între 60 și 120 %;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recuperările inferioare sau superioare pentru congenerii individuali cu o contribuție la suma de șase PCB-uri care nu sunt de tipul dioxinelor mai mică de 10 % sunt acceptabile.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7.4. Cerințe privind metodele care nu utilizează toate cele șase etaloane interne marcate cu un izotop sau alte etaloane interne: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recuperarea etalonului (etaloanelor) intern(e) se controlează pentru fiecare probă;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recuperările etalonului (etaloanelor) intern(e) sunt între 60 % și 120 %;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 rezultatele sunt corectate pentru recuperările etaloanelor interne.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7.5. Recuperările congenerilor nemarcați se verifică prin probe îmbogățite sau probe pentru controlul calității cu concentrații în intervalul nivelului maxim. Recuperările acestor congeneri se consideră acceptabile, în cazul în care sunt între 60 și 120 %.</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8.    Cerințe pentru laboratoare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conformitate cu dispozițiile </w:t>
      </w:r>
      <w:r w:rsidR="000C0236" w:rsidRPr="000C0236">
        <w:rPr>
          <w:rFonts w:ascii="Times New Roman" w:hAnsi="Times New Roman" w:cs="Times New Roman"/>
          <w:sz w:val="28"/>
          <w:szCs w:val="28"/>
          <w:lang w:val="ro-RO"/>
        </w:rPr>
        <w:t>Leg</w:t>
      </w:r>
      <w:r w:rsidR="000C0236">
        <w:rPr>
          <w:rFonts w:ascii="Times New Roman" w:hAnsi="Times New Roman" w:cs="Times New Roman"/>
          <w:sz w:val="28"/>
          <w:szCs w:val="28"/>
          <w:lang w:val="ro-RO"/>
        </w:rPr>
        <w:t>ii</w:t>
      </w:r>
      <w:r w:rsidR="000C0236" w:rsidRPr="000C0236">
        <w:rPr>
          <w:rFonts w:ascii="Times New Roman" w:hAnsi="Times New Roman" w:cs="Times New Roman"/>
          <w:sz w:val="28"/>
          <w:szCs w:val="28"/>
          <w:lang w:val="ro-RO"/>
        </w:rPr>
        <w:t xml:space="preserve"> 82/2024 privind controalele oficiale în domeniul agroalimentar</w:t>
      </w:r>
      <w:r w:rsidR="00427724" w:rsidRPr="00427724">
        <w:rPr>
          <w:rFonts w:ascii="Times New Roman" w:hAnsi="Times New Roman" w:cs="Times New Roman"/>
          <w:sz w:val="28"/>
          <w:szCs w:val="28"/>
          <w:lang w:val="ro-RO"/>
        </w:rPr>
        <w:t>, laboratoarele sunt acreditate de un organism recunoscut care funcționează în conformitate cu Ghidul </w:t>
      </w:r>
      <w:r w:rsidR="006E1C6E">
        <w:rPr>
          <w:rFonts w:ascii="Times New Roman" w:hAnsi="Times New Roman" w:cs="Times New Roman"/>
          <w:sz w:val="28"/>
          <w:szCs w:val="28"/>
          <w:lang w:val="ro-RO"/>
        </w:rPr>
        <w:t xml:space="preserve"> SM </w:t>
      </w:r>
      <w:r w:rsidR="00427724" w:rsidRPr="00427724">
        <w:rPr>
          <w:rFonts w:ascii="Times New Roman" w:hAnsi="Times New Roman" w:cs="Times New Roman"/>
          <w:sz w:val="28"/>
          <w:szCs w:val="28"/>
          <w:lang w:val="ro-RO"/>
        </w:rPr>
        <w:t xml:space="preserve">ISO/IEC 58, pentru a se asigura aplicarea de către acestea a procedurilor de asigurare a calității analizelor. Laboratoarele sunt acreditate conform standardului </w:t>
      </w:r>
      <w:r w:rsidR="006E1C6E" w:rsidRPr="006E1C6E">
        <w:rPr>
          <w:rFonts w:ascii="Times New Roman" w:hAnsi="Times New Roman" w:cs="Times New Roman"/>
          <w:sz w:val="28"/>
          <w:szCs w:val="28"/>
          <w:lang w:val="ro-RO"/>
        </w:rPr>
        <w:t>SM EN ISO/IEC 17025:2018</w:t>
      </w:r>
      <w:r w:rsidR="00427724" w:rsidRPr="00427724">
        <w:rPr>
          <w:rFonts w:ascii="Times New Roman" w:hAnsi="Times New Roman" w:cs="Times New Roman"/>
          <w:sz w:val="28"/>
          <w:szCs w:val="28"/>
          <w:lang w:val="ro-RO"/>
        </w:rPr>
        <w:t>. În plus, trebuie respectate principiile descrise în Orientările tehnice pentru estimarea incertitudinii de măsurare și a limitelor de cuantificare pentru analiza PCB-urilor.</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9.    Caracteristici de performanță: criterii pentru suma celor șase PCB-uri care nu sunt de tipul dioxinelor la nivelul maxim</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14"/>
        <w:gridCol w:w="3877"/>
        <w:gridCol w:w="1499"/>
      </w:tblGrid>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Spectrometrie de masă prin metoda de diluție a izotopilor </w:t>
            </w:r>
            <w:hyperlink r:id="rId96" w:anchor="E0065" w:history="1">
              <w:r w:rsidRPr="00427724">
                <w:rPr>
                  <w:rStyle w:val="Hyperlink"/>
                  <w:rFonts w:ascii="Times New Roman" w:hAnsi="Times New Roman" w:cs="Times New Roman"/>
                  <w:b/>
                  <w:bCs/>
                  <w:sz w:val="28"/>
                  <w:szCs w:val="28"/>
                  <w:lang w:val="ro-RO"/>
                </w:rPr>
                <w:t>(</w:t>
              </w:r>
              <w:r w:rsidRPr="00427724">
                <w:rPr>
                  <w:rStyle w:val="Hyperlink"/>
                  <w:rFonts w:ascii="Times New Roman" w:hAnsi="Times New Roman" w:cs="Times New Roman"/>
                  <w:b/>
                  <w:bCs/>
                  <w:sz w:val="28"/>
                  <w:szCs w:val="28"/>
                  <w:vertAlign w:val="superscript"/>
                  <w:lang w:val="ro-RO"/>
                </w:rPr>
                <w:t>*1</w:t>
              </w:r>
              <w:r w:rsidRPr="00427724">
                <w:rPr>
                  <w:rStyle w:val="Hyperlink"/>
                  <w:rFonts w:ascii="Times New Roman" w:hAnsi="Times New Roman" w:cs="Times New Roman"/>
                  <w:b/>
                  <w:bCs/>
                  <w:sz w:val="28"/>
                  <w:szCs w:val="28"/>
                  <w:lang w:val="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Alte tehnici</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Autenticitate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între -20  % și 20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între -30  % și 30  %</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Precizie intermediară (RSD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15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w:t>
            </w:r>
          </w:p>
        </w:tc>
      </w:tr>
      <w:tr w:rsidR="00427724" w:rsidRPr="00427724" w:rsidTr="0042772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Diferența dintre estimarea superioară și estimarea inferioară a calculului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20  %</w:t>
            </w:r>
          </w:p>
        </w:tc>
      </w:tr>
      <w:tr w:rsidR="00427724" w:rsidRPr="00427724" w:rsidTr="00427724">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w:t>
            </w:r>
            <w:r w:rsidRPr="00427724">
              <w:rPr>
                <w:rFonts w:ascii="Times New Roman" w:hAnsi="Times New Roman" w:cs="Times New Roman"/>
                <w:sz w:val="28"/>
                <w:szCs w:val="28"/>
                <w:vertAlign w:val="superscript"/>
                <w:lang w:val="ro-RO"/>
              </w:rPr>
              <w:t>*1</w:t>
            </w:r>
            <w:r w:rsidRPr="00427724">
              <w:rPr>
                <w:rFonts w:ascii="Times New Roman" w:hAnsi="Times New Roman" w:cs="Times New Roman"/>
                <w:sz w:val="28"/>
                <w:szCs w:val="28"/>
                <w:lang w:val="ro-RO"/>
              </w:rPr>
              <w:t>)  Utilizarea tuturor celor șase analogi marcați </w:t>
            </w:r>
            <w:r w:rsidRPr="00427724">
              <w:rPr>
                <w:rFonts w:ascii="Times New Roman" w:hAnsi="Times New Roman" w:cs="Times New Roman"/>
                <w:sz w:val="28"/>
                <w:szCs w:val="28"/>
                <w:vertAlign w:val="superscript"/>
                <w:lang w:val="ro-RO"/>
              </w:rPr>
              <w:t>13</w:t>
            </w:r>
            <w:r w:rsidRPr="00427724">
              <w:rPr>
                <w:rFonts w:ascii="Times New Roman" w:hAnsi="Times New Roman" w:cs="Times New Roman"/>
                <w:sz w:val="28"/>
                <w:szCs w:val="28"/>
                <w:lang w:val="ro-RO"/>
              </w:rPr>
              <w:t>C, conform standardelor interne.</w:t>
            </w:r>
          </w:p>
        </w:tc>
      </w:tr>
    </w:tbl>
    <w:p w:rsidR="00881536" w:rsidRDefault="00881536" w:rsidP="00427724">
      <w:pPr>
        <w:tabs>
          <w:tab w:val="left" w:pos="210"/>
        </w:tabs>
        <w:jc w:val="both"/>
        <w:rPr>
          <w:rFonts w:ascii="Times New Roman" w:hAnsi="Times New Roman" w:cs="Times New Roman"/>
          <w:b/>
          <w:bCs/>
          <w:sz w:val="28"/>
          <w:szCs w:val="28"/>
          <w:lang w:val="ro-RO"/>
        </w:rPr>
      </w:pP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10.    Raportarea rezultatelor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10.1. Rezultatele analitice includ nivelurile de congeneri individuali ai PCB-urilor individuali care nu sunt de tipul dioxinelor și suma PCB-urilor congeneri raportați ca estimare inferioară, estimare superioară și estimare mediană, pentru a include o cantitate maximă de informații în raportarea rezultatelor, ceea ce permite o interpretare a rezultatelor în conformitate cu cerințele specifice.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10.2. Raportul include metoda utilizată pentru extracția PCB-urilor.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10.3. Recuperările etaloanelor interne individuale sunt disponibile dacă recuperările se situează în afara intervalului menționat la punctul 7, dacă se depășește nivelul maxim, iar în celelalte cazuri, la cerere.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10.4. Întrucât, atunci când se decide conformitatea unei probe, se ține seama de incertitudinea de măsurare extinsă, acest parametru trebuie pus și el la dispoziție. De aceea, rezultatele analitice se raportează ca x +/- U, unde x este rezultatul analitic și U este incertitudinea de măsurare extinsă, folosind un factor de acoperire 2, care dă un nivel de încredere de aproximativ 95 %.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10.5. Rezultatele se exprimă în aceleași unități și prin cel puțin același număr de zecimale precum nivelurile maxime prevăzute</w:t>
      </w:r>
      <w:r w:rsidR="00EB3C62">
        <w:rPr>
          <w:rFonts w:ascii="Times New Roman" w:hAnsi="Times New Roman" w:cs="Times New Roman"/>
          <w:sz w:val="28"/>
          <w:szCs w:val="28"/>
          <w:lang w:val="ro-RO"/>
        </w:rPr>
        <w:t xml:space="preserve"> la</w:t>
      </w:r>
      <w:r w:rsidRPr="00427724">
        <w:rPr>
          <w:rFonts w:ascii="Times New Roman" w:hAnsi="Times New Roman" w:cs="Times New Roman"/>
          <w:sz w:val="28"/>
          <w:szCs w:val="28"/>
          <w:lang w:val="ro-RO"/>
        </w:rPr>
        <w:t xml:space="preserve"> </w:t>
      </w:r>
      <w:r w:rsidR="00EB3C62" w:rsidRPr="00EB3C62">
        <w:rPr>
          <w:rFonts w:ascii="Times New Roman" w:hAnsi="Times New Roman" w:cs="Times New Roman"/>
          <w:sz w:val="28"/>
          <w:szCs w:val="28"/>
          <w:lang w:val="ro-RO"/>
        </w:rPr>
        <w:t>Cerințele sanitar-veterinare față de hrana pentru animale, aprobate prin Hotărârea Guvernului nr.910/2020</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 xml:space="preserve">B.   STANDARDE </w:t>
      </w:r>
      <w:r w:rsidR="000C27D1">
        <w:rPr>
          <w:rFonts w:ascii="Times New Roman" w:hAnsi="Times New Roman" w:cs="Times New Roman"/>
          <w:b/>
          <w:bCs/>
          <w:sz w:val="28"/>
          <w:szCs w:val="28"/>
          <w:lang w:val="ro-RO"/>
        </w:rPr>
        <w:t xml:space="preserve">SM </w:t>
      </w:r>
      <w:r w:rsidRPr="00427724">
        <w:rPr>
          <w:rFonts w:ascii="Times New Roman" w:hAnsi="Times New Roman" w:cs="Times New Roman"/>
          <w:b/>
          <w:bCs/>
          <w:sz w:val="28"/>
          <w:szCs w:val="28"/>
          <w:lang w:val="ro-RO"/>
        </w:rPr>
        <w:t>EN</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aplicarea art</w:t>
      </w:r>
      <w:r w:rsidR="00EB3C62">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3</w:t>
      </w:r>
      <w:r w:rsidR="00722E37">
        <w:rPr>
          <w:rFonts w:ascii="Times New Roman" w:hAnsi="Times New Roman" w:cs="Times New Roman"/>
          <w:sz w:val="28"/>
          <w:szCs w:val="28"/>
          <w:lang w:val="ro-RO"/>
        </w:rPr>
        <w:t>2</w:t>
      </w:r>
      <w:r w:rsidR="00427724" w:rsidRPr="00427724">
        <w:rPr>
          <w:rFonts w:ascii="Times New Roman" w:hAnsi="Times New Roman" w:cs="Times New Roman"/>
          <w:sz w:val="28"/>
          <w:szCs w:val="28"/>
          <w:lang w:val="ro-RO"/>
        </w:rPr>
        <w:t xml:space="preserve"> alin</w:t>
      </w:r>
      <w:r w:rsidR="00EB3C62">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(2) lit</w:t>
      </w:r>
      <w:r w:rsidR="00EB3C62">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a) din </w:t>
      </w:r>
      <w:r w:rsidR="00722E37" w:rsidRPr="00722E37">
        <w:rPr>
          <w:rFonts w:ascii="Times New Roman" w:hAnsi="Times New Roman" w:cs="Times New Roman"/>
          <w:sz w:val="28"/>
          <w:szCs w:val="28"/>
          <w:lang w:val="ro-RO"/>
        </w:rPr>
        <w:t>Legea 82/2024 privind controalele oficiale în domeniul agroalimentar</w:t>
      </w:r>
      <w:r w:rsidR="00427724" w:rsidRPr="00427724">
        <w:rPr>
          <w:rFonts w:ascii="Times New Roman" w:hAnsi="Times New Roman" w:cs="Times New Roman"/>
          <w:sz w:val="28"/>
          <w:szCs w:val="28"/>
          <w:lang w:val="ro-RO"/>
        </w:rPr>
        <w:t xml:space="preserve">, sunt relevante următoarele standarde </w:t>
      </w:r>
      <w:r w:rsidR="00EB3C62">
        <w:rPr>
          <w:rFonts w:ascii="Times New Roman" w:hAnsi="Times New Roman" w:cs="Times New Roman"/>
          <w:sz w:val="28"/>
          <w:szCs w:val="28"/>
          <w:lang w:val="ro-RO"/>
        </w:rPr>
        <w:t xml:space="preserve">SM </w:t>
      </w:r>
      <w:r w:rsidR="00427724" w:rsidRPr="00427724">
        <w:rPr>
          <w:rFonts w:ascii="Times New Roman" w:hAnsi="Times New Roman" w:cs="Times New Roman"/>
          <w:sz w:val="28"/>
          <w:szCs w:val="28"/>
          <w:lang w:val="ro-RO"/>
        </w:rPr>
        <w:t>EN:</w:t>
      </w:r>
    </w:p>
    <w:p w:rsidR="00427724" w:rsidRPr="00427724" w:rsidRDefault="005C3D1C" w:rsidP="00427724">
      <w:pPr>
        <w:tabs>
          <w:tab w:val="left" w:pos="210"/>
        </w:tabs>
        <w:jc w:val="both"/>
        <w:rPr>
          <w:rFonts w:ascii="Times New Roman" w:hAnsi="Times New Roman" w:cs="Times New Roman"/>
          <w:sz w:val="28"/>
          <w:szCs w:val="28"/>
          <w:lang w:val="ro-RO"/>
        </w:rPr>
      </w:pPr>
      <w:r w:rsidRPr="005C3D1C">
        <w:rPr>
          <w:rFonts w:ascii="Times New Roman" w:hAnsi="Times New Roman" w:cs="Times New Roman"/>
          <w:sz w:val="28"/>
          <w:szCs w:val="28"/>
          <w:lang w:val="ro-RO"/>
        </w:rPr>
        <w:t>SM EN 17194:2020</w:t>
      </w:r>
      <w:r w:rsidR="00427724" w:rsidRPr="00427724">
        <w:rPr>
          <w:rFonts w:ascii="Times New Roman" w:hAnsi="Times New Roman" w:cs="Times New Roman"/>
          <w:sz w:val="28"/>
          <w:szCs w:val="28"/>
          <w:lang w:val="ro-RO"/>
        </w:rPr>
        <w:t>: Hrană pentru animale: Metode de eșantionare și de analiză – Determinarea deoxinivalenolului, aflatoxinei B1, fumonisinei B1 și B2, T-2 și H-2, a zearalenonei și ochratoxinei A în materiile prime furajere și în furajele combinate prin LC-MS/MS</w:t>
      </w:r>
    </w:p>
    <w:p w:rsidR="00427724" w:rsidRPr="00427724" w:rsidRDefault="005C3D1C" w:rsidP="00427724">
      <w:pPr>
        <w:tabs>
          <w:tab w:val="left" w:pos="210"/>
        </w:tabs>
        <w:jc w:val="both"/>
        <w:rPr>
          <w:rFonts w:ascii="Times New Roman" w:hAnsi="Times New Roman" w:cs="Times New Roman"/>
          <w:sz w:val="28"/>
          <w:szCs w:val="28"/>
          <w:lang w:val="ro-RO"/>
        </w:rPr>
      </w:pPr>
      <w:r w:rsidRPr="005C3D1C">
        <w:rPr>
          <w:rFonts w:ascii="Times New Roman" w:hAnsi="Times New Roman" w:cs="Times New Roman"/>
          <w:sz w:val="28"/>
          <w:szCs w:val="28"/>
          <w:lang w:val="ro-RO"/>
        </w:rPr>
        <w:t>SM EN 17270:2020</w:t>
      </w:r>
      <w:r w:rsidR="00427724" w:rsidRPr="00427724">
        <w:rPr>
          <w:rFonts w:ascii="Times New Roman" w:hAnsi="Times New Roman" w:cs="Times New Roman"/>
          <w:sz w:val="28"/>
          <w:szCs w:val="28"/>
          <w:lang w:val="ro-RO"/>
        </w:rPr>
        <w:t>: Hrană pentru animale: Metode de eșantionare și de analiză – Determinarea teobrominei din materiile prime furajere și din furajele combinate, inclusiv ingredientele derivate din cacao, prin cromatografie lichidă</w:t>
      </w:r>
    </w:p>
    <w:p w:rsidR="00427724" w:rsidRPr="00427724" w:rsidRDefault="005C3D1C" w:rsidP="00427724">
      <w:pPr>
        <w:tabs>
          <w:tab w:val="left" w:pos="210"/>
        </w:tabs>
        <w:jc w:val="both"/>
        <w:rPr>
          <w:rFonts w:ascii="Times New Roman" w:hAnsi="Times New Roman" w:cs="Times New Roman"/>
          <w:sz w:val="28"/>
          <w:szCs w:val="28"/>
          <w:lang w:val="ro-RO"/>
        </w:rPr>
      </w:pPr>
      <w:r w:rsidRPr="005C3D1C">
        <w:rPr>
          <w:rFonts w:ascii="Times New Roman" w:hAnsi="Times New Roman" w:cs="Times New Roman"/>
          <w:sz w:val="28"/>
          <w:szCs w:val="28"/>
          <w:lang w:val="ro-RO"/>
        </w:rPr>
        <w:t>SM EN 17504:2022</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Determinarea gosipolului din semințele de bumbac și furaje prin LC-MS/MS</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17362:2020</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Determinarea pentaclorfenolului (PCP) în materiile prime furajere și în furajele combinate prin LCMS/MS</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16279:2017</w:t>
      </w:r>
      <w:r w:rsidR="00427724" w:rsidRPr="00427724">
        <w:rPr>
          <w:rFonts w:ascii="Times New Roman" w:hAnsi="Times New Roman" w:cs="Times New Roman"/>
          <w:sz w:val="28"/>
          <w:szCs w:val="28"/>
          <w:lang w:val="ro-RO"/>
        </w:rPr>
        <w:t>: Hrană pentru animale – Determinarea conținutului de fluorură după tratamentul cu acid clorhidric prin metoda electrozilor sensibili la ioni (ISE)</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17053:2018</w:t>
      </w:r>
      <w:r w:rsidR="00427724" w:rsidRPr="00427724">
        <w:rPr>
          <w:rFonts w:ascii="Times New Roman" w:hAnsi="Times New Roman" w:cs="Times New Roman"/>
          <w:sz w:val="28"/>
          <w:szCs w:val="28"/>
          <w:lang w:val="ro-RO"/>
        </w:rPr>
        <w:t>: Hrană pentru animale: Metode de eșantionare și de analiză – Determinarea oligoelementelor, a metalelor grele și a altor elemente din furaje prin ICP-MS (multimetodă)</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15550:2018</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Metode de eșantionare și de analiză – Determinarea cadmiului și a plumbului prin spectrometrie de absorbție atomică în cuptorul cu grafit (GF-AAS) după dizolvare sub presiune</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16206:2017</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Determinarea arsenului prin spectrometrie de absorbție atomică cu generare de hidruri (HGAAS) după dizolvarea cu microunde (dizolvare cu 65 % acid azotic și 30 % peroxid de hidrogen)</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16277:2017</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Determinarea mercurului prin spectrometrie de absorbție atomică cu vapori reci (CVAAS) după dizolvarea cu microunde (extracție cu 65 % acid azotic și 30 % peroxid de hidrogen)</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t>SM EN 16278:2017</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 Determinarea arsenului anorganic prin spectrometrie de absorbție atomică cu generare de hidruri (HG-AAS) după extracție cu microunde și separarea prin extracție în fază solidă (SPE)</w:t>
      </w:r>
    </w:p>
    <w:p w:rsidR="00427724" w:rsidRPr="00427724" w:rsidRDefault="00BB58F3" w:rsidP="00427724">
      <w:pPr>
        <w:tabs>
          <w:tab w:val="left" w:pos="210"/>
        </w:tabs>
        <w:jc w:val="both"/>
        <w:rPr>
          <w:rFonts w:ascii="Times New Roman" w:hAnsi="Times New Roman" w:cs="Times New Roman"/>
          <w:sz w:val="28"/>
          <w:szCs w:val="28"/>
          <w:lang w:val="ro-RO"/>
        </w:rPr>
      </w:pPr>
      <w:r w:rsidRPr="00BB58F3">
        <w:rPr>
          <w:rFonts w:ascii="Times New Roman" w:hAnsi="Times New Roman" w:cs="Times New Roman"/>
          <w:sz w:val="28"/>
          <w:szCs w:val="28"/>
          <w:lang w:val="ro-RO"/>
        </w:rPr>
        <w:lastRenderedPageBreak/>
        <w:t>SM EN 17374:2020</w:t>
      </w:r>
      <w:r>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Determinarea arsenului anorganic din furaje prin HPLC-ICP-MS cu schimbător de anioni.</w:t>
      </w: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427724" w:rsidRPr="00427724" w:rsidRDefault="00427724" w:rsidP="00427724">
      <w:pPr>
        <w:tabs>
          <w:tab w:val="left" w:pos="210"/>
        </w:tabs>
        <w:jc w:val="both"/>
        <w:rPr>
          <w:rFonts w:ascii="Times New Roman" w:hAnsi="Times New Roman" w:cs="Times New Roman"/>
          <w:sz w:val="28"/>
          <w:szCs w:val="28"/>
          <w:lang w:val="ro-RO"/>
        </w:rPr>
      </w:pPr>
    </w:p>
    <w:p w:rsidR="00D2512E" w:rsidRDefault="00D2512E" w:rsidP="00D2512E">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Pr="008C40D5">
        <w:rPr>
          <w:rFonts w:ascii="Times New Roman" w:hAnsi="Times New Roman" w:cs="Times New Roman"/>
          <w:sz w:val="28"/>
          <w:szCs w:val="28"/>
          <w:lang w:val="ro-MD"/>
        </w:rPr>
        <w:t xml:space="preserve">Anexă </w:t>
      </w:r>
      <w:r>
        <w:rPr>
          <w:rFonts w:ascii="Times New Roman" w:hAnsi="Times New Roman" w:cs="Times New Roman"/>
          <w:sz w:val="28"/>
          <w:szCs w:val="28"/>
          <w:lang w:val="ro-MD"/>
        </w:rPr>
        <w:t>nr.6</w:t>
      </w:r>
    </w:p>
    <w:p w:rsidR="00C767A3" w:rsidRDefault="00C767A3" w:rsidP="00C767A3">
      <w:pPr>
        <w:tabs>
          <w:tab w:val="left" w:pos="210"/>
        </w:tabs>
        <w:jc w:val="right"/>
        <w:rPr>
          <w:rFonts w:ascii="Times New Roman" w:hAnsi="Times New Roman" w:cs="Times New Roman"/>
          <w:bCs/>
          <w:sz w:val="28"/>
          <w:szCs w:val="28"/>
          <w:lang w:val="ro-MD"/>
        </w:rPr>
      </w:pPr>
      <w:r w:rsidRPr="00C767A3">
        <w:rPr>
          <w:rFonts w:ascii="Times New Roman" w:hAnsi="Times New Roman" w:cs="Times New Roman"/>
          <w:bCs/>
          <w:sz w:val="28"/>
          <w:szCs w:val="28"/>
          <w:lang w:val="ro-MD"/>
        </w:rPr>
        <w:t>la Hotărârea Guvernului nr.686/2012</w:t>
      </w:r>
    </w:p>
    <w:p w:rsidR="00427724" w:rsidRPr="00427724" w:rsidRDefault="00427724" w:rsidP="00D2512E">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METODE DE ANALIZĂ PENTRU DETERMINAREA CONSTITUENȚILOR DE ORIGINE ANIMALĂ PENTRU CONTROLUL OFICIAL AL FURAJELOR</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SCOP ȘI DOMENIU DE APLICARE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Determinarea constituenților de origine animală în hrana pentru animale se efectuează prin microscopie optică sau reacție în lanț a polimerazei (PCR), în conformitate cu dispozițiile stabilite în prezenta anexă.</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Aceste două metode fac posibilă depistarea prezenței constituenților de origine animală în preamestecuri, în materiile prime pentru hrana animalelor și în hrana combinată pentru animale. Totuși, ele nu fac posibilă calcularea cantității acestor constituenți în preamestecuri, în materiile prime pentru hrana animalelor și în hrana combinată pentru animale. Ambele metode au o limită de detecție sub 0,1 % (G/G).</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Metoda PCR face posibilă identificarea grupului taxonomic al constituenților de origine animală prezenți în preamestecuri, în materiile prime pentru hrana animalelor și în hrana combinată pentru animale.</w:t>
      </w:r>
    </w:p>
    <w:p w:rsidR="00427724" w:rsidRPr="00427724" w:rsidRDefault="00881536" w:rsidP="00F84A77">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Aceste metode se aplică pentru controlul aplicării interdicțiilor prevăzute la </w:t>
      </w:r>
      <w:r w:rsidR="00F97793">
        <w:rPr>
          <w:rFonts w:ascii="Times New Roman" w:hAnsi="Times New Roman" w:cs="Times New Roman"/>
          <w:sz w:val="28"/>
          <w:szCs w:val="28"/>
          <w:lang w:val="ro-RO"/>
        </w:rPr>
        <w:t>pct.31</w:t>
      </w:r>
      <w:r w:rsidR="00F84A77">
        <w:rPr>
          <w:rFonts w:ascii="Times New Roman" w:hAnsi="Times New Roman" w:cs="Times New Roman"/>
          <w:sz w:val="28"/>
          <w:szCs w:val="28"/>
          <w:lang w:val="ro-RO"/>
        </w:rPr>
        <w:t>din</w:t>
      </w:r>
      <w:r w:rsidR="00F84A77" w:rsidRPr="00F84A77">
        <w:t xml:space="preserve"> </w:t>
      </w:r>
      <w:r w:rsidR="00F84A77" w:rsidRPr="00F84A77">
        <w:rPr>
          <w:rFonts w:ascii="Times New Roman" w:hAnsi="Times New Roman" w:cs="Times New Roman"/>
          <w:sz w:val="28"/>
          <w:szCs w:val="28"/>
          <w:lang w:val="ro-RO"/>
        </w:rPr>
        <w:t>Normei</w:t>
      </w:r>
      <w:r w:rsidR="00F84A77">
        <w:rPr>
          <w:rFonts w:ascii="Times New Roman" w:hAnsi="Times New Roman" w:cs="Times New Roman"/>
          <w:sz w:val="28"/>
          <w:szCs w:val="28"/>
          <w:lang w:val="ro-RO"/>
        </w:rPr>
        <w:t xml:space="preserve"> </w:t>
      </w:r>
      <w:r w:rsidR="00F84A77" w:rsidRPr="00F84A77">
        <w:rPr>
          <w:rFonts w:ascii="Times New Roman" w:hAnsi="Times New Roman" w:cs="Times New Roman"/>
          <w:sz w:val="28"/>
          <w:szCs w:val="28"/>
          <w:lang w:val="ro-RO"/>
        </w:rPr>
        <w:t>privind stabilirea unor măsuri pentru prevenirea,</w:t>
      </w:r>
      <w:r w:rsidR="00F84A77">
        <w:rPr>
          <w:rFonts w:ascii="Times New Roman" w:hAnsi="Times New Roman" w:cs="Times New Roman"/>
          <w:sz w:val="28"/>
          <w:szCs w:val="28"/>
          <w:lang w:val="ro-RO"/>
        </w:rPr>
        <w:t xml:space="preserve"> </w:t>
      </w:r>
      <w:r w:rsidR="00F84A77" w:rsidRPr="00F84A77">
        <w:rPr>
          <w:rFonts w:ascii="Times New Roman" w:hAnsi="Times New Roman" w:cs="Times New Roman"/>
          <w:sz w:val="28"/>
          <w:szCs w:val="28"/>
          <w:lang w:val="ro-RO"/>
        </w:rPr>
        <w:t>controlul și eradicarea anumitor forme transmisibile</w:t>
      </w:r>
      <w:r w:rsidR="00F84A77">
        <w:rPr>
          <w:rFonts w:ascii="Times New Roman" w:hAnsi="Times New Roman" w:cs="Times New Roman"/>
          <w:sz w:val="28"/>
          <w:szCs w:val="28"/>
          <w:lang w:val="ro-RO"/>
        </w:rPr>
        <w:t xml:space="preserve"> </w:t>
      </w:r>
      <w:r w:rsidR="00F84A77" w:rsidRPr="00F84A77">
        <w:rPr>
          <w:rFonts w:ascii="Times New Roman" w:hAnsi="Times New Roman" w:cs="Times New Roman"/>
          <w:sz w:val="28"/>
          <w:szCs w:val="28"/>
          <w:lang w:val="ro-RO"/>
        </w:rPr>
        <w:t>de encefalopatie spongiformă</w:t>
      </w:r>
      <w:r w:rsidR="00427724" w:rsidRPr="00427724">
        <w:rPr>
          <w:rFonts w:ascii="Times New Roman" w:hAnsi="Times New Roman" w:cs="Times New Roman"/>
          <w:sz w:val="28"/>
          <w:szCs w:val="28"/>
          <w:lang w:val="ro-RO"/>
        </w:rPr>
        <w:t xml:space="preserve"> </w:t>
      </w:r>
      <w:r w:rsidR="00F84A77">
        <w:rPr>
          <w:rFonts w:ascii="Times New Roman" w:hAnsi="Times New Roman" w:cs="Times New Roman"/>
          <w:sz w:val="28"/>
          <w:szCs w:val="28"/>
          <w:lang w:val="ro-RO"/>
        </w:rPr>
        <w:t xml:space="preserve"> conform Hotărârii Guvernului nr. 713/2024</w:t>
      </w:r>
      <w:r w:rsidR="00427724" w:rsidRPr="00427724">
        <w:rPr>
          <w:rFonts w:ascii="Times New Roman" w:hAnsi="Times New Roman" w:cs="Times New Roman"/>
          <w:sz w:val="28"/>
          <w:szCs w:val="28"/>
          <w:lang w:val="ro-RO"/>
        </w:rPr>
        <w:t xml:space="preserve"> și în anexa</w:t>
      </w:r>
      <w:r w:rsidR="00F84A77">
        <w:rPr>
          <w:rFonts w:ascii="Times New Roman" w:hAnsi="Times New Roman" w:cs="Times New Roman"/>
          <w:sz w:val="28"/>
          <w:szCs w:val="28"/>
          <w:lang w:val="ro-RO"/>
        </w:rPr>
        <w:t xml:space="preserve"> nr.3</w:t>
      </w:r>
      <w:r w:rsidR="00427724" w:rsidRPr="00427724">
        <w:rPr>
          <w:rFonts w:ascii="Times New Roman" w:hAnsi="Times New Roman" w:cs="Times New Roman"/>
          <w:sz w:val="28"/>
          <w:szCs w:val="28"/>
          <w:lang w:val="ro-RO"/>
        </w:rPr>
        <w:t xml:space="preserve"> la </w:t>
      </w:r>
      <w:r w:rsidR="00F84A77">
        <w:rPr>
          <w:rFonts w:ascii="Times New Roman" w:hAnsi="Times New Roman" w:cs="Times New Roman"/>
          <w:sz w:val="28"/>
          <w:szCs w:val="28"/>
          <w:lang w:val="ro-RO"/>
        </w:rPr>
        <w:t>hotărârea</w:t>
      </w:r>
      <w:r w:rsidR="00427724" w:rsidRPr="00427724">
        <w:rPr>
          <w:rFonts w:ascii="Times New Roman" w:hAnsi="Times New Roman" w:cs="Times New Roman"/>
          <w:sz w:val="28"/>
          <w:szCs w:val="28"/>
          <w:lang w:val="ro-RO"/>
        </w:rPr>
        <w:t xml:space="preserve"> respectiv</w:t>
      </w:r>
      <w:r w:rsidR="00F84A77">
        <w:rPr>
          <w:rFonts w:ascii="Times New Roman" w:hAnsi="Times New Roman" w:cs="Times New Roman"/>
          <w:sz w:val="28"/>
          <w:szCs w:val="28"/>
          <w:lang w:val="ro-RO"/>
        </w:rPr>
        <w:t>ă</w:t>
      </w:r>
      <w:r w:rsidR="00427724" w:rsidRPr="00427724">
        <w:rPr>
          <w:rFonts w:ascii="Times New Roman" w:hAnsi="Times New Roman" w:cs="Times New Roman"/>
          <w:sz w:val="28"/>
          <w:szCs w:val="28"/>
          <w:lang w:val="ro-RO"/>
        </w:rPr>
        <w:t xml:space="preserve"> și la art</w:t>
      </w:r>
      <w:r w:rsidR="00F84A77">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11 alin</w:t>
      </w:r>
      <w:r w:rsidR="00F84A77">
        <w:rPr>
          <w:rFonts w:ascii="Times New Roman" w:hAnsi="Times New Roman" w:cs="Times New Roman"/>
          <w:sz w:val="28"/>
          <w:szCs w:val="28"/>
          <w:lang w:val="ro-RO"/>
        </w:rPr>
        <w:t>.</w:t>
      </w:r>
      <w:r w:rsidR="00427724" w:rsidRPr="00427724">
        <w:rPr>
          <w:rFonts w:ascii="Times New Roman" w:hAnsi="Times New Roman" w:cs="Times New Roman"/>
          <w:sz w:val="28"/>
          <w:szCs w:val="28"/>
          <w:lang w:val="ro-RO"/>
        </w:rPr>
        <w:t xml:space="preserve"> (1) </w:t>
      </w:r>
      <w:r w:rsidR="00F84A77">
        <w:rPr>
          <w:rFonts w:ascii="Times New Roman" w:hAnsi="Times New Roman" w:cs="Times New Roman"/>
          <w:sz w:val="28"/>
          <w:szCs w:val="28"/>
          <w:lang w:val="ro-RO"/>
        </w:rPr>
        <w:t>la Legea nr. 129/2019</w:t>
      </w:r>
      <w:r w:rsidR="00F84A77" w:rsidRPr="00F84A77">
        <w:t xml:space="preserve"> </w:t>
      </w:r>
      <w:r w:rsidR="00F84A77" w:rsidRPr="00F84A77">
        <w:rPr>
          <w:rFonts w:ascii="Times New Roman" w:hAnsi="Times New Roman" w:cs="Times New Roman"/>
          <w:sz w:val="28"/>
          <w:szCs w:val="28"/>
          <w:lang w:val="ro-RO"/>
        </w:rPr>
        <w:t>privind subprodusele de origine animală</w:t>
      </w:r>
      <w:r w:rsidR="00F84A77">
        <w:rPr>
          <w:rFonts w:ascii="Times New Roman" w:hAnsi="Times New Roman" w:cs="Times New Roman"/>
          <w:sz w:val="28"/>
          <w:szCs w:val="28"/>
          <w:lang w:val="ro-RO"/>
        </w:rPr>
        <w:t xml:space="preserve"> </w:t>
      </w:r>
      <w:r w:rsidR="00F84A77" w:rsidRPr="00F84A77">
        <w:rPr>
          <w:rFonts w:ascii="Times New Roman" w:hAnsi="Times New Roman" w:cs="Times New Roman"/>
          <w:sz w:val="28"/>
          <w:szCs w:val="28"/>
          <w:lang w:val="ro-RO"/>
        </w:rPr>
        <w:t>și produsele derivate care nu sunt destinate</w:t>
      </w:r>
      <w:r w:rsidR="00F84A77">
        <w:rPr>
          <w:rFonts w:ascii="Times New Roman" w:hAnsi="Times New Roman" w:cs="Times New Roman"/>
          <w:sz w:val="28"/>
          <w:szCs w:val="28"/>
          <w:lang w:val="ro-RO"/>
        </w:rPr>
        <w:t xml:space="preserve"> </w:t>
      </w:r>
      <w:r w:rsidR="00F84A77" w:rsidRPr="00F84A77">
        <w:rPr>
          <w:rFonts w:ascii="Times New Roman" w:hAnsi="Times New Roman" w:cs="Times New Roman"/>
          <w:sz w:val="28"/>
          <w:szCs w:val="28"/>
          <w:lang w:val="ro-RO"/>
        </w:rPr>
        <w:t>consumului uman</w:t>
      </w:r>
      <w:r w:rsidR="00F84A77">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funcție de tipul de hrană pentru animale testată, aceste metode pot fi utilizate, în cadrul unui singur protocol operațional, fie singure, fie combinate, în conformitate cu procedurile standard de operare (PSO) stabilite de laboratorul de </w:t>
      </w:r>
      <w:r w:rsidR="00427724" w:rsidRPr="00427724">
        <w:rPr>
          <w:rFonts w:ascii="Times New Roman" w:hAnsi="Times New Roman" w:cs="Times New Roman"/>
          <w:sz w:val="28"/>
          <w:szCs w:val="28"/>
          <w:lang w:val="ro-RO"/>
        </w:rPr>
        <w:lastRenderedPageBreak/>
        <w:t>referință pentru depistarea proteinelor animale în hrana pentru animale (EURL-AP) și publicate pe site-ul său de internet (</w:t>
      </w:r>
      <w:hyperlink r:id="rId97" w:anchor="E0068" w:history="1">
        <w:r w:rsidR="00427724" w:rsidRPr="00427724">
          <w:rPr>
            <w:rStyle w:val="Hyperlink"/>
            <w:rFonts w:ascii="Times New Roman" w:hAnsi="Times New Roman" w:cs="Times New Roman"/>
            <w:sz w:val="28"/>
            <w:szCs w:val="28"/>
            <w:lang w:val="ro-RO"/>
          </w:rPr>
          <w:t> </w:t>
        </w:r>
        <w:r w:rsidR="00427724" w:rsidRPr="00427724">
          <w:rPr>
            <w:rStyle w:val="Hyperlink"/>
            <w:rFonts w:ascii="Times New Roman" w:hAnsi="Times New Roman" w:cs="Times New Roman"/>
            <w:sz w:val="28"/>
            <w:szCs w:val="28"/>
            <w:vertAlign w:val="superscript"/>
            <w:lang w:val="ro-RO"/>
          </w:rPr>
          <w:t>47</w:t>
        </w:r>
        <w:r w:rsidR="00427724" w:rsidRPr="00427724">
          <w:rPr>
            <w:rStyle w:val="Hyperlink"/>
            <w:rFonts w:ascii="Times New Roman" w:hAnsi="Times New Roman" w:cs="Times New Roman"/>
            <w:sz w:val="28"/>
            <w:szCs w:val="28"/>
            <w:lang w:val="ro-RO"/>
          </w:rPr>
          <w:t> </w:t>
        </w:r>
      </w:hyperlink>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2.   </w:t>
      </w:r>
      <w:r w:rsidRPr="00427724">
        <w:rPr>
          <w:rFonts w:ascii="Times New Roman" w:hAnsi="Times New Roman" w:cs="Times New Roman"/>
          <w:b/>
          <w:bCs/>
          <w:i/>
          <w:iCs/>
          <w:sz w:val="28"/>
          <w:szCs w:val="28"/>
          <w:lang w:val="ro-RO"/>
        </w:rPr>
        <w:t>METODE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2.1.    Microscopie optică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Principiu</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Constituenții de origine animală care pot fi prezenți în preamestecuri, în materiile prime pentru hrana animalelor și în hrana combinată pentru animale, trimise spre analizare, sunt identificați pe baza caracteristicilor tipice și identificabile microscopic, cum ar fi fibrele musculare și alte particule de carne, cartilajul, oasele, coarnele, părul, părul, părul de porc, fragmentele cuticulare ale nevertebratelor, structurile traheale ale insectelor, produsele de sânge, globule din lapte, cristalele de lactoză, penele, cojile de ouă, oasele și solzii de pește.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Examinările microscopice se efectuează după prepararea eșantioanelor prin sedimentare.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Eșantioanele se supun unei etape de sedimentare, după cum urmează: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pentru depistarea constituenților de origine animală, alta decât nevertebratele terestre, o singură etapă de sedimentare cu tetracloretilenă (TCE), astfel cum se detaliază la punctul 2.1.3.4.3;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 pentru depistarea constituenților proveniți de la nevertebrate terestre, o etapă dublă de sedimentare cu eter de petrol/tetracloretilenă (PE/TCE), astfel cum se detaliază la punctul 2.1.3.4.4.</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Reactivi și echipamente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2.1.2.1.   </w:t>
      </w:r>
      <w:r w:rsidRPr="00427724">
        <w:rPr>
          <w:rFonts w:ascii="Times New Roman" w:hAnsi="Times New Roman" w:cs="Times New Roman"/>
          <w:b/>
          <w:bCs/>
          <w:sz w:val="28"/>
          <w:szCs w:val="28"/>
          <w:lang w:val="ro-RO"/>
        </w:rPr>
        <w:t>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2.1.2.1.1.   </w:t>
      </w:r>
      <w:r w:rsidRPr="00427724">
        <w:rPr>
          <w:rFonts w:ascii="Times New Roman" w:hAnsi="Times New Roman" w:cs="Times New Roman"/>
          <w:b/>
          <w:bCs/>
          <w:sz w:val="28"/>
          <w:szCs w:val="28"/>
          <w:lang w:val="ro-RO"/>
        </w:rPr>
        <w:t>Agent de concentrare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Tetracloretilenă (greutate specifică 1,62).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Eter de petrol (PE) punct de fierbere 40-60 °C (greutate specifică 0,65).</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2.1.2.1.2.   </w:t>
      </w:r>
      <w:r w:rsidRPr="00427724">
        <w:rPr>
          <w:rFonts w:ascii="Times New Roman" w:hAnsi="Times New Roman" w:cs="Times New Roman"/>
          <w:b/>
          <w:bCs/>
          <w:sz w:val="28"/>
          <w:szCs w:val="28"/>
          <w:lang w:val="ro-RO"/>
        </w:rPr>
        <w:t>Agent de colorare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Soluție de roșu de alizarină (se diluează 2,5 ml acid clorhidric 1M în 100 ml apă și se adaugă 200 mg roșu de alizarină în soluția obținută).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2.1.2.1.3.   </w:t>
      </w:r>
      <w:r w:rsidRPr="00427724">
        <w:rPr>
          <w:rFonts w:ascii="Times New Roman" w:hAnsi="Times New Roman" w:cs="Times New Roman"/>
          <w:b/>
          <w:bCs/>
          <w:sz w:val="28"/>
          <w:szCs w:val="28"/>
          <w:lang w:val="ro-RO"/>
        </w:rPr>
        <w:t>Medii de montare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Leșie (NaOH 2,5 % G/V sau KOH 2,5 % G/V).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Glicerol (nediluat, vâscozitate: 1 490 cP) sau un mediu de montare cu proprietăți echivalente pentru prepararea lamelor nepermanente.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Adeziv Norland ® Optical 65 (vâscozitate: 1 200 cP) sau o rășină cu proprietăți echivalente pentru prepararea lamelor nepermanente.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2.1.2.1.4.   </w:t>
      </w:r>
      <w:r w:rsidRPr="00427724">
        <w:rPr>
          <w:rFonts w:ascii="Times New Roman" w:hAnsi="Times New Roman" w:cs="Times New Roman"/>
          <w:b/>
          <w:bCs/>
          <w:sz w:val="28"/>
          <w:szCs w:val="28"/>
          <w:lang w:val="ro-RO"/>
        </w:rPr>
        <w:t>Mediu de montare cu proprietăți de colorare</w:t>
      </w:r>
      <w:r w:rsidRPr="00427724">
        <w:rPr>
          <w:rFonts w:ascii="Times New Roman" w:hAnsi="Times New Roman" w:cs="Times New Roman"/>
          <w:sz w:val="28"/>
          <w:szCs w:val="28"/>
          <w:lang w:val="ro-RO"/>
        </w:rPr>
        <w:t>—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Soluție Lugol (se dizolvă 2 g iodură de potasiu în 100 ml apă și se adaugă 1 g de iod agitând frecvent).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Reactiv cistină (2 g acetat de plumb, 10 g NaOH/100 ml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Reactiv Fehling [preparat înainte de utilizare din părți egale (1/1) de soluții bistoc A și B: soluția A [se dizolvă 6,9 g de sulfat de cupru (II) pentahidrat în 100 ml apă]; soluția B (se dizolvă 34,6 g de tartrat de potasiu și sodiu tetrahidrat și 12 g NaOH în 100 ml apă).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Tetrametilbenzidină/peroxid de hidrogen [se dizolvă 1 g de 3,3’, 5,5’ tetrametilbenzidină (TMB) în 100 ml acid acetic glacial și 150 ml apă. Înainte de utilizare, se amestecă patru părți din această soluție TMB cu o parte de soluție de peroxid de hidrogen 3 %].</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2.1.2.1.5.   </w:t>
      </w:r>
      <w:r w:rsidRPr="00427724">
        <w:rPr>
          <w:rFonts w:ascii="Times New Roman" w:hAnsi="Times New Roman" w:cs="Times New Roman"/>
          <w:b/>
          <w:bCs/>
          <w:sz w:val="28"/>
          <w:szCs w:val="28"/>
          <w:lang w:val="ro-RO"/>
        </w:rPr>
        <w:t>Agenți de limpezire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Etanol ≥ 96 % (puritate tehnică).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Acetonă (puritate tehnică).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2.1.2.1.6.   </w:t>
      </w:r>
      <w:r w:rsidRPr="00427724">
        <w:rPr>
          <w:rFonts w:ascii="Times New Roman" w:hAnsi="Times New Roman" w:cs="Times New Roman"/>
          <w:b/>
          <w:bCs/>
          <w:sz w:val="28"/>
          <w:szCs w:val="28"/>
          <w:lang w:val="ro-RO"/>
        </w:rPr>
        <w:t>Agent de decolorare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Soluție comercială de hipoclorit de sodiu (9-14 % clor activ).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2.1.2.2.   </w:t>
      </w:r>
      <w:r w:rsidRPr="00427724">
        <w:rPr>
          <w:rFonts w:ascii="Times New Roman" w:hAnsi="Times New Roman" w:cs="Times New Roman"/>
          <w:b/>
          <w:bCs/>
          <w:sz w:val="28"/>
          <w:szCs w:val="28"/>
          <w:lang w:val="ro-RO"/>
        </w:rPr>
        <w:t>„Echipamente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—Balanță analitică cu o precizie de 0,001 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Echipament de măcinare: moară cu cuțite sau cu rotor. Dacă este utilizată o moară cu rotor, sitele ≤ 0,5 mm sunt interzise.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Sitele cu ochiuri pătrate de 0,25 mm și 1 mm lățime. Cu excepția cernerii în prealabil a eșantioanelor, diametrul sitelor trebuie să nu depășească 10 cm pentru a evita pierderea de materiale. Nu este necesară calibrarea sitelor.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w:t>
      </w:r>
      <w:r w:rsidR="00881536">
        <w:rPr>
          <w:rFonts w:ascii="Times New Roman" w:hAnsi="Times New Roman" w:cs="Times New Roman"/>
          <w:sz w:val="28"/>
          <w:szCs w:val="28"/>
          <w:lang w:val="ro-RO"/>
        </w:rPr>
        <w:t xml:space="preserve"> </w:t>
      </w:r>
      <w:r w:rsidRPr="00427724">
        <w:rPr>
          <w:rFonts w:ascii="Times New Roman" w:hAnsi="Times New Roman" w:cs="Times New Roman"/>
          <w:sz w:val="28"/>
          <w:szCs w:val="28"/>
          <w:lang w:val="ro-RO"/>
        </w:rPr>
        <w:t>Pâlnie de separare conică din sticlă cu un conținut de 250 ml cu robinet din teflon sau din sticlă șlefuită la baza conului. Diametrul de deschidere al robinetului trebuie să fie ≥ 4 mm. De asemenea, pentru etapa de sedimentare doar cu TCE, se poate folosi un pahar de sedimentare conic, cu condiția ca laboratorul să fi demonstrat că nivelurile de detecție sunt echivalente cu cele obținute utilizând pâlnia de separare conică din sticlă.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drawing>
          <wp:inline distT="0" distB="0" distL="0" distR="0">
            <wp:extent cx="1681480" cy="2270125"/>
            <wp:effectExtent l="0" t="0" r="0" b="0"/>
            <wp:docPr id="41" name="Imagine 41" descr="C:\Users\User MAIA\AppData\Local\Microsoft\Windows\INetCache\Content.MSO\8AB03C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 MAIA\AppData\Local\Microsoft\Windows\INetCache\Content.MSO\8AB03C4F.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1480" cy="2270125"/>
                    </a:xfrm>
                    <a:prstGeom prst="rect">
                      <a:avLst/>
                    </a:prstGeom>
                    <a:noFill/>
                    <a:ln>
                      <a:noFill/>
                    </a:ln>
                  </pic:spPr>
                </pic:pic>
              </a:graphicData>
            </a:graphic>
          </wp:inline>
        </w:drawing>
      </w:r>
      <w:r w:rsidRPr="00427724">
        <w:rPr>
          <w:rFonts w:ascii="Times New Roman" w:hAnsi="Times New Roman" w:cs="Times New Roman"/>
          <w:i/>
          <w:iCs/>
          <w:sz w:val="28"/>
          <w:szCs w:val="28"/>
          <w:lang w:val="ro-RO"/>
        </w:rPr>
        <w:t>Pâlnie de separare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Microscop stereoscopic care acoperă un interval de amplificare finală de cel puțin 6,5 x-40 x.</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Microscop compus care acoperă un interval de amplificare finală de cel puțin 100 x-400 x, cu câmp luminos cu lumină transmisă. Se pot utiliza, în plus, lumină polarizată, contrast interferențial diferențial.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Sticlărie de laborator standard.</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—Echipamente pentru prepararea lamelor: lame de microscop clasice, lame tubulare, lamele (20 × 20 mm), pensete, spatulă fină.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Cuptor de laborator.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Centrifugă.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Filtru de hârtie: filtru din celuloză de calitate (dimensiunea porilor 4-11 μm).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Eșantionarea și prepararea eșantioanelor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2.1.3.1.   </w:t>
      </w:r>
      <w:r w:rsidRPr="00427724">
        <w:rPr>
          <w:rFonts w:ascii="Times New Roman" w:hAnsi="Times New Roman" w:cs="Times New Roman"/>
          <w:b/>
          <w:bCs/>
          <w:sz w:val="28"/>
          <w:szCs w:val="28"/>
          <w:lang w:val="ro-RO"/>
        </w:rPr>
        <w:t>Eșantionare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Se utilizează un eșantion reprezentativ, prelevat în conformitate cu anexa </w:t>
      </w:r>
      <w:r w:rsidR="00526568">
        <w:rPr>
          <w:rFonts w:ascii="Times New Roman" w:hAnsi="Times New Roman" w:cs="Times New Roman"/>
          <w:sz w:val="28"/>
          <w:szCs w:val="28"/>
          <w:lang w:val="ro-RO"/>
        </w:rPr>
        <w:t>nr. 1</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2.1.3.1.1.   </w:t>
      </w:r>
      <w:r w:rsidRPr="00427724">
        <w:rPr>
          <w:rFonts w:ascii="Times New Roman" w:hAnsi="Times New Roman" w:cs="Times New Roman"/>
          <w:b/>
          <w:bCs/>
          <w:sz w:val="28"/>
          <w:szCs w:val="28"/>
          <w:lang w:val="ro-RO"/>
        </w:rPr>
        <w:t>Uscarea eșantioanelor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xml:space="preserve">Eșantioanele cu un conținut de umiditate &gt; 14 % se usucă înainte de manipulare în conformitate cu anexa </w:t>
      </w:r>
      <w:r w:rsidR="00526568">
        <w:rPr>
          <w:rFonts w:ascii="Times New Roman" w:hAnsi="Times New Roman" w:cs="Times New Roman"/>
          <w:sz w:val="28"/>
          <w:szCs w:val="28"/>
          <w:lang w:val="ro-RO"/>
        </w:rPr>
        <w:t>nr. 3</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2.1.3.1.2.   </w:t>
      </w:r>
      <w:r w:rsidRPr="00427724">
        <w:rPr>
          <w:rFonts w:ascii="Times New Roman" w:hAnsi="Times New Roman" w:cs="Times New Roman"/>
          <w:b/>
          <w:bCs/>
          <w:sz w:val="28"/>
          <w:szCs w:val="28"/>
          <w:lang w:val="ro-RO"/>
        </w:rPr>
        <w:t>Cernerea în prealabil a eșantioanelor</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colecta informații privind posibila contaminare ambientală a hranei destinate animalelor, se recomandă să se cearnă în prealabil la dimensiunea de 1 mm hrana sub formă de pelete și grăunțe și apoi să se prepare, să se analizeze și să se raporteze separat cele două fracțiuni rezultate, care trebuie să fie considerate ca eșantioane distincte.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2.1.3.2.   </w:t>
      </w:r>
      <w:r w:rsidRPr="00427724">
        <w:rPr>
          <w:rFonts w:ascii="Times New Roman" w:hAnsi="Times New Roman" w:cs="Times New Roman"/>
          <w:b/>
          <w:bCs/>
          <w:sz w:val="28"/>
          <w:szCs w:val="28"/>
          <w:lang w:val="ro-RO"/>
        </w:rPr>
        <w:t>Măsuri de precauție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se evita contaminarea încrucișată în laborator, toate echipamentele reutilizabile se curăță cu grijă înainte de utilizare. Piesele pâlniei de separare se demontează înainte de curățare. Piesele pâlniei de separare și sticlăria se prespală manual și apoi se spală într-o mașină de spălat. Sitele se curăță utilizând o perie cu peri sintetici aspri. Se recomandă curățarea finală a sitelor cu acetonă și aer comprimat după cernerea materiilor grase, precum făina de pește.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2.1.3.3.   </w:t>
      </w:r>
      <w:r w:rsidRPr="00427724">
        <w:rPr>
          <w:rFonts w:ascii="Times New Roman" w:hAnsi="Times New Roman" w:cs="Times New Roman"/>
          <w:b/>
          <w:bCs/>
          <w:sz w:val="28"/>
          <w:szCs w:val="28"/>
          <w:lang w:val="ro-RO"/>
        </w:rPr>
        <w:t>Prepararea eșantioanelor constând în grăsimi sau uleiuri</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prepararea eșantioanelor constând în grăsimi se aplică următorul protocol: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Dacă grăsimea este solidă, se încălzește într-un cuptor până când devine lichidă.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Cu ajutorul unei pipete, 40 ml de grăsime se transferă din partea inferioară a eșantionului într-un tub de centrifugă.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Eșantionul se centrifughează timp de 10 minute la 4 000 r.p.m.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Dacă grăsimea este solidă după centrifugare, se încălzește într-un cuptor până când devine lichidă.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Centrifugarea se repetă timp de 5 minute la 4 000 r.p.m.</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Cu ajutorul unei lingurițe sau al unei spatule, jumătate din impuritățile decantate se transferă spre examinare pe lame de microscopie. Ca mediu de montare se recomandă glicerolul.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Impuritățile rămase se utilizează pentru prepararea sedimentului astfel cum se descrie la punctul 2.1.3.4.3, prima liniuță.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Același protocol, cu excepția primei și a celei de a patra liniuțe, se aplică pentru prepararea eșantioanelor de ulei.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2.1.3.4.   </w:t>
      </w:r>
      <w:r w:rsidRPr="00427724">
        <w:rPr>
          <w:rFonts w:ascii="Times New Roman" w:hAnsi="Times New Roman" w:cs="Times New Roman"/>
          <w:b/>
          <w:bCs/>
          <w:sz w:val="28"/>
          <w:szCs w:val="28"/>
          <w:lang w:val="ro-RO"/>
        </w:rPr>
        <w:t>Prepararea altor eșantioane decât de grăsimi sau uleiuri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2.1.3.4.1. Subeșantionare și măcinare: cel puțin 50 g din eșantion se subeșantionează pentru analizare și ulterior se macină.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2.1.3.4.2. Prepararea materiei prime: se prepară o porțiune de cel puțin 5 g de subeșantion măcinat. Se cerne la dimensiunea de 0,25 mm și se examinează cele două fracțiuni rezultate.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2.1.3.4.3. Sedimentarea doar cu TCE pentru depistarea constituenților de origine animală, alta decât nevertebratele terestre.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Extragerea și prepararea sedimentului:</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O porțiune de 10 g (cu o precizie de 0,01 g) din subeșantionul măcinat se transferă în pâlnia de separare sau în paharul de sedimentare conic și se adaugă 50 ml de TCE. Porțiunea transferată în pâlnie se limitează la 3 g în cazul făinii de pește sau al altor produse de origine pur animală, al ingredientelor minerale sau al preamestecurilor care generează sedimente în proporție de peste 10 %. Amestecul se agită energic cel puțin 30 de secunde și se mai adaugă cu atenție 50 ml de TCE în timp ce se spală suprafața interioară a pâlniei pentru a îndepărta orice urmă de particule aderente. Amestecul rezultat se lasă să stea cel puțin 5 minute înainte de a separa sedimentul prin deschiderea robinetului.</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se utilizează un pahar de sedimentare conic, se agită energic amestecul timp de cel puțin 15 secunde, iar particulele care aderă la pereții paharului se spală cu atenție de pe suprafața interioară cu cel puțin 10 ml de TCE curată. Amestecul se lasă să stea 3 minute și apoi se agită din nou timp de 15 secunde, iar particulele care aderă pe pereții paharului se spală cu atenție de pe suprafața interioară cu cel puțin 10 ml de TCE curată. Amestecul rezultat se lasă să stea cel puțin 5 minute, iar apoi fracțiunea lichidă se înlătură și se elimină prin decantare atentă, având grijă să nu se piardă nimic din sediment.</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Sedimentul se colectează într-un filtru de hârtie plasat într-o pâlnie pentru a permite separarea restului de TCE, evitându-se în același timp depunerile de grăsime în sediment. Sedimentul se usucă. Se recomandă cântărirea ulterioară a sedimentului (cu o precizie de 0,001 g) pentru a controla etapa de sedimentare. La final, sedimentul </w:t>
      </w:r>
      <w:r w:rsidR="00427724" w:rsidRPr="00427724">
        <w:rPr>
          <w:rFonts w:ascii="Times New Roman" w:hAnsi="Times New Roman" w:cs="Times New Roman"/>
          <w:sz w:val="28"/>
          <w:szCs w:val="28"/>
          <w:lang w:val="ro-RO"/>
        </w:rPr>
        <w:lastRenderedPageBreak/>
        <w:t>se cerne la dimensiunea de 0,25 mm și se examinează cele două fracțiuni rezultate, cu excepția cazului în care cernerea nu este considerată necesară.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Extragerea și prepararea materiei flotante: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După recuperarea sedimentului prin metoda descrisă mai sus, rămân două faze în pâlnia de separare: una lichidă constând în TCE și una solidă alcătuită din materie flotantă. Această fază solidă este materia flotantă și se recuperează vărsând afară toată TCE din pâlnie prin deschiderea robinetului. Prin răsturnarea pâlniei de separare, materia flotantă este transferată într-o placă Petri mare și uscat cu aer într-o hotă de tiraj. Se cerne la dimensiunea de 0,25 mm și se examinează cele două fracțiuni rezultate.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Utilizarea agenților de colorare:</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facilita identificarea corectă a constituenților de origine animală, operatorul poate utiliza agenți de colorare în timpul preparării eșantioanelor, în conformitate cu orientările emise de EURL-AP și publicate pe site-ul său de internet.</w:t>
      </w:r>
    </w:p>
    <w:p w:rsidR="00427724" w:rsidRPr="00427724" w:rsidRDefault="00881536"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se utilizează soluție de roșu de alizarină pentru colorarea sedimentului, se aplică următorul protocol: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Sedimentul uscat se transferă într-o eprubetă de sticlă și se clătește de două ori cu aproximativ 5 ml de etanol (de fiecare dată se utilizează un agitator timp de 30 de secunde, solventul se lasă să se decanteze timp de aproximativ 1 minut și 30 de secunde și se elimină prin vărsare).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Sedimentul se decolorează adăugându-se cel puțin 1 ml de soluție de hipoclorit de sodiu. Se permite ca reacția să continue timp de 10 minute. Eprubeta se umple cu apă, sedimentul se lasă să se decanteze timp de 2-3 minute, iar apa și particulele în suspensie se elimină cu grijă prin vărsare.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Sedimentul se mai clătește de două ori cu aproximativ 10 ml de apă (se utilizează un agitator timp de 30 de secunde, se lasă să se decanteze și se varsă apa de fiecare dată).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adaugă între 2 și 10 picături de soluție de roșu de alizarină, iar amestecul se agită. Se permite desfășurarea reacției timp de 30 de secunde, iar sedimentul colorat se clătește de două ori cu aproximativ 5 ml de etanol, apoi o dată cu acetonă (de fiecare dată se utilizează un agitator timp de 30 de secunde, solventul se lasă să se decanteze timp de aproximativ 1 minut și se varsă afară).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Sedimentul colorat se usucă.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2.1.3.4.4. Sedimentarea dublă PE/TCE pentru depistarea constituenților proveniți de la nevertebrate.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Toate etapele se realizează într-o pâlnie de separare conică din sticlă de 250 ml, astfel cum se descrie la punctul 2.1.2.2, a patra liniuță.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O porțiune de 10 g (cu o precizie de 0,01 g) din subeșantionul măcinat se transferă în pâlnia de separare și se supune mai întâi unei singure sedimentări cu TCE, astfel cum se descrie la punctul 2.1.3.4.3, inclusiv recuperării sedimentului pe o hârtie de filtru plasată pe o pâlnie. Acest sediment poate fi utilizat ca cel obținut la punctul 2.1.3.4.3.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Volumul mic de TCE drenat împreună cu sedimentul se transferă într-un cilindru gradat. Prin deschiderea robinetului pâlniei de separare, cilindrul gradat trebuie umplut suplimentar până la obținerea a 30 ml de TCE. După atingerea acestui volum, robinetul se închide.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Acest volum colectat de TCE se înlocuiește prin adăugarea unui volum de 30 ml de eter de petrol cu punct de fierbere 40-60 °C în pâlnia de separare. Conținutul pâlniei de separare se amestecă minuțios pentru a obține un amestec 30 % PE/70 % TCE (cu o densitate de aproximativ 1,26 g x cm</w:t>
      </w:r>
      <w:r w:rsidRPr="00427724">
        <w:rPr>
          <w:rFonts w:ascii="Times New Roman" w:hAnsi="Times New Roman" w:cs="Times New Roman"/>
          <w:sz w:val="28"/>
          <w:szCs w:val="28"/>
          <w:vertAlign w:val="superscript"/>
          <w:lang w:val="ro-RO"/>
        </w:rPr>
        <w:t>-3</w:t>
      </w:r>
      <w:r w:rsidRPr="00427724">
        <w:rPr>
          <w:rFonts w:ascii="Times New Roman" w:hAnsi="Times New Roman" w:cs="Times New Roman"/>
          <w:sz w:val="28"/>
          <w:szCs w:val="28"/>
          <w:lang w:val="ro-RO"/>
        </w:rPr>
        <w:t>). Se lasă materialul să se decanteze timp de 10 minute. Două fracțiuni noi se vor separa: un al doilea sediment și o materie flotantă finală (&lt; 1,26 g x cm</w:t>
      </w:r>
      <w:r w:rsidRPr="00427724">
        <w:rPr>
          <w:rFonts w:ascii="Times New Roman" w:hAnsi="Times New Roman" w:cs="Times New Roman"/>
          <w:sz w:val="28"/>
          <w:szCs w:val="28"/>
          <w:vertAlign w:val="superscript"/>
          <w:lang w:val="ro-RO"/>
        </w:rPr>
        <w:t>-3</w:t>
      </w:r>
      <w:r w:rsidRPr="00427724">
        <w:rPr>
          <w:rFonts w:ascii="Times New Roman" w:hAnsi="Times New Roman" w:cs="Times New Roman"/>
          <w:sz w:val="28"/>
          <w:szCs w:val="28"/>
          <w:lang w:val="ro-RO"/>
        </w:rPr>
        <w:t>). Al doilea sediment se recuperează într-o placă Petri (sau cu o hârtie de filtru plasată pe o pâlnie) prin deschiderea robinetului până când în pâlnia de separare rămân doar puțin amestec de solvent și puțină materie flotantă finală. Lichidul rămas și materia flotantă finală se colectează separat pe o hârtie de filtru plasată pe o pâlnie. Peretele pâlniei de separare se clătește cu un jet de PE pentru a colecta toate materialele din materia flotantă finală. Materia flotantă finală se lasă să se usuce. La final, materia flotantă finală se cerne la dimensiunea de 0,25 mm și se examinează cele două fracțiuni rezultate în vederea depistării constituenților proveniți de la animale nevertebrate, cu excepția cazului în care cernerea nu este considerată necesară.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Examinare microscopică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2.1.4.1.   </w:t>
      </w:r>
      <w:r w:rsidRPr="00427724">
        <w:rPr>
          <w:rFonts w:ascii="Times New Roman" w:hAnsi="Times New Roman" w:cs="Times New Roman"/>
          <w:b/>
          <w:bCs/>
          <w:sz w:val="28"/>
          <w:szCs w:val="28"/>
          <w:lang w:val="ro-RO"/>
        </w:rPr>
        <w:t>Prepararea lamelor</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Lamele de microscopie se prepară din sediment și, în funcție de alegerea operatorului, fie din materia flotantă, fie din materia primă. Dacă este cazul, numai </w:t>
      </w:r>
      <w:r w:rsidR="00427724" w:rsidRPr="00427724">
        <w:rPr>
          <w:rFonts w:ascii="Times New Roman" w:hAnsi="Times New Roman" w:cs="Times New Roman"/>
          <w:sz w:val="28"/>
          <w:szCs w:val="28"/>
          <w:lang w:val="ro-RO"/>
        </w:rPr>
        <w:lastRenderedPageBreak/>
        <w:t>pentru depistarea constituenților proveniți de la nevertebrate terestre, se prepară lame și din materia flotantă finală obținută conform descrierii de la punctul 2.1.3.4.4. Se prepară cele două fracțiuni rezultate (cea fină și cea grosieră). Porțiunile de testat din fracțiuni întinse pe lame trebuie să fie reprezentative pentru întreaga fracțiune.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pregătește un număr suficient de lame pentru a se asigura că se poate efectua un protocol complet de examinare, astfel cum se prevede la punctul 2.1.4.2.</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Lamele de microscopie se montează cu mediul de montare adecvat în conformitate cu PSO stabilite de EURL-AP și publicate pe site-ul său de internet. Lamele se acoperă cu lamele de acoperire.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2.1.4.2.   </w:t>
      </w:r>
      <w:r w:rsidRPr="00427724">
        <w:rPr>
          <w:rFonts w:ascii="Times New Roman" w:hAnsi="Times New Roman" w:cs="Times New Roman"/>
          <w:b/>
          <w:bCs/>
          <w:sz w:val="28"/>
          <w:szCs w:val="28"/>
          <w:lang w:val="ro-RO"/>
        </w:rPr>
        <w:t>Diagrama de observare pentru depistarea particulelor de origine animală în preamestecuri, în materiile prime pentru hrana animalelor și în hrana combinată pentru animale.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Lamele de microscopie preparate se observă în conformitate cu diagramele de observare stabilite în diagramele 1 și 2.</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Observațiile de microscopie se realizează utilizând microscopul compus pe sediment și, în funcție de alegerea operatorului, fie pe materia flotantă, fie pe materia primă. În plus, pentru depistarea constituenților proveniți de la nevertebrate terestre, se efectuează observații și asupra materiei flotante finale obținute conform descrierii de la punctul 2.1.3.4.4, în conformitate cu diagrama 3. Microscopul stereoscopic poate fi utilizat în plus față de microscopul compus pentru fracțiunile grosiere. Fiecare lamă se examinează în întregime la diferite amplificări. Explicații precise cu privire la modul de utilizare a diagramelor sunt detaliate printr-o PSO stabilită de EURL-AP și publicată pe site-ul său de internet.</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Numărul minim de lame care trebuie observate în fiecare etapă a diagramelor de observare trebuie să fie strict respectat, cu excepția cazului în care întregul material al fracțiunii nu permite să se ajungă la numărul prevăzut de lame, de exemplu atunci când nu se obține deloc sediment. Nu se utilizează mai mult de 6 lame pentru fiecare determinare pentru înregistrarea numărului de particule.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În cazul în care se prepară lame suplimentare cu ajutorul unui mediu de montare mai specific, cu proprietăți de colorare, astfel cum se descrie la punctul 2.1.2.1.4, pe materia flotantă sau pe materia primă pentru a caracteriza suplimentar structurile (de exemplu, pene, păr, mușchi sau particule de sânge), care au fost depistate pe lamele preparate cu alte medii de montare, astfel cum se descrie la punctul 2.1.2.1.3, numărul de particule se numără pe baza unui număr de lame per </w:t>
      </w:r>
      <w:r w:rsidR="00427724" w:rsidRPr="00427724">
        <w:rPr>
          <w:rFonts w:ascii="Times New Roman" w:hAnsi="Times New Roman" w:cs="Times New Roman"/>
          <w:sz w:val="28"/>
          <w:szCs w:val="28"/>
          <w:lang w:val="ro-RO"/>
        </w:rPr>
        <w:lastRenderedPageBreak/>
        <w:t>determinare care nu depășește 6, inclusiv lamele suplimentare cu un mediu de montare mai specific. Lamele suplimentare preparate din materia flotantă finală obținută, astfel cum se descrie la punctul 2.1.3.4.4, pentru depistarea constituenților proveniți de la nevertebrate terestre nu se iau în considerare pentru identificarea altor naturi (vertebrate terestre și pești).</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Pentru a facilita identificarea naturii și originii particulelor, operatorul poate utiliza instrumente de sprijin cum ar fi sisteme de asistare în luarea deciziilor, biblioteci de imagini și eșantioane de referință.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i/>
          <w:iCs/>
          <w:sz w:val="28"/>
          <w:szCs w:val="28"/>
          <w:lang w:val="ro-RO"/>
        </w:rPr>
        <w:t>Diagrama 1</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b/>
          <w:bCs/>
          <w:sz w:val="28"/>
          <w:szCs w:val="28"/>
          <w:lang w:val="ro-RO"/>
        </w:rPr>
        <w:t>Diagramă de observare după sedimentarea doar cu TCE pentru depistarea particulelor de origine animală, alta decât nevertebratele terestre, în preamestecuri, în materiile prime pentru hrana animalelor și în hrana combinată pentru animale, pentru prima determinare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5360035" cy="5307965"/>
            <wp:effectExtent l="0" t="0" r="0" b="6985"/>
            <wp:docPr id="40" name="Imagine 40" descr="C:\Users\User MAIA\AppData\Local\Microsoft\Windows\INetCache\Content.MSO\2E659A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 MAIA\AppData\Local\Microsoft\Windows\INetCache\Content.MSO\2E659A35.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60035" cy="5307965"/>
                    </a:xfrm>
                    <a:prstGeom prst="rect">
                      <a:avLst/>
                    </a:prstGeom>
                    <a:noFill/>
                    <a:ln>
                      <a:noFill/>
                    </a:ln>
                  </pic:spPr>
                </pic:pic>
              </a:graphicData>
            </a:graphic>
          </wp:inline>
        </w:drawing>
      </w:r>
      <w:r w:rsidRPr="00427724">
        <w:rPr>
          <w:rFonts w:ascii="Times New Roman" w:hAnsi="Times New Roman" w:cs="Times New Roman"/>
          <w:i/>
          <w:iCs/>
          <w:sz w:val="28"/>
          <w:szCs w:val="28"/>
          <w:lang w:val="ro-RO"/>
        </w:rPr>
        <w:t>Diagrama 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b/>
          <w:bCs/>
          <w:sz w:val="28"/>
          <w:szCs w:val="28"/>
          <w:lang w:val="ro-RO"/>
        </w:rPr>
        <w:t>Diagramă de observare după sedimentarea doar cu TCE pentru depistarea particulelor de origine animală, alta decât nevertebratele terestre, în preamestecuri, în materiile prime pentru hrana animalelor și în hrana combinată pentru animale, pentru a doua determinare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4403725" cy="4509135"/>
            <wp:effectExtent l="0" t="0" r="0" b="5715"/>
            <wp:docPr id="39" name="Imagine 39" descr="C:\Users\User MAIA\AppData\Local\Microsoft\Windows\INetCache\Content.MSO\A32F3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 MAIA\AppData\Local\Microsoft\Windows\INetCache\Content.MSO\A32F3F0B.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03725" cy="4509135"/>
                    </a:xfrm>
                    <a:prstGeom prst="rect">
                      <a:avLst/>
                    </a:prstGeom>
                    <a:noFill/>
                    <a:ln>
                      <a:noFill/>
                    </a:ln>
                  </pic:spPr>
                </pic:pic>
              </a:graphicData>
            </a:graphic>
          </wp:inline>
        </w:drawing>
      </w:r>
      <w:r w:rsidRPr="00427724">
        <w:rPr>
          <w:rFonts w:ascii="Times New Roman" w:hAnsi="Times New Roman" w:cs="Times New Roman"/>
          <w:i/>
          <w:iCs/>
          <w:sz w:val="28"/>
          <w:szCs w:val="28"/>
          <w:lang w:val="ro-RO"/>
        </w:rPr>
        <w:t>Diagrama 3</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b/>
          <w:bCs/>
          <w:sz w:val="28"/>
          <w:szCs w:val="28"/>
          <w:lang w:val="ro-RO"/>
        </w:rPr>
        <w:t>Diagramă de observare după sedimentarea dublă cu PE/TCE pentru depistarea constituenților proveniți de la nevertebrate terestre, în preamestecuri, în materiile prime pentru hrana animalelor și în hrana combinată pentru animale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noProof/>
          <w:sz w:val="28"/>
          <w:szCs w:val="28"/>
          <w:lang w:val="ro-MD"/>
        </w:rPr>
        <w:lastRenderedPageBreak/>
        <w:drawing>
          <wp:inline distT="0" distB="0" distL="0" distR="0">
            <wp:extent cx="5402580" cy="3342005"/>
            <wp:effectExtent l="0" t="0" r="7620" b="0"/>
            <wp:docPr id="38" name="Imagine 38" descr="C:\Users\User MAIA\AppData\Local\Microsoft\Windows\INetCache\Content.MSO\7C59F8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 MAIA\AppData\Local\Microsoft\Windows\INetCache\Content.MSO\7C59F851.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2580" cy="3342005"/>
                    </a:xfrm>
                    <a:prstGeom prst="rect">
                      <a:avLst/>
                    </a:prstGeom>
                    <a:noFill/>
                    <a:ln>
                      <a:noFill/>
                    </a:ln>
                  </pic:spPr>
                </pic:pic>
              </a:graphicData>
            </a:graphic>
          </wp:inline>
        </w:drawing>
      </w:r>
      <w:r w:rsidRPr="00427724">
        <w:rPr>
          <w:rFonts w:ascii="Times New Roman" w:hAnsi="Times New Roman" w:cs="Times New Roman"/>
          <w:sz w:val="28"/>
          <w:szCs w:val="28"/>
          <w:lang w:val="ro-RO"/>
        </w:rPr>
        <w:t>2.1.4.3.   </w:t>
      </w:r>
      <w:r w:rsidRPr="00427724">
        <w:rPr>
          <w:rFonts w:ascii="Times New Roman" w:hAnsi="Times New Roman" w:cs="Times New Roman"/>
          <w:b/>
          <w:bCs/>
          <w:sz w:val="28"/>
          <w:szCs w:val="28"/>
          <w:lang w:val="ro-RO"/>
        </w:rPr>
        <w:t>Numărul de determinări</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Determinările se efectuează pe subeșantioane diferite de 50 g fiecare.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în urma primei determinări efectuate în conformitate cu diagrama de observare din diagrama 1 sau, după caz, din diagrama 3, nu se depistează deloc particule de origine animală, nu este necesară o determinare suplimentară, iar rezultatul analizei se raportează utilizând formularea de la punctul 2.1.5.1.</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în urma unei prime determinări efectuate în conformitate cu diagrama de observare din diagrama 1, se depistează una sau mai multe particule de origine animală de o anumită natură (și anume, vertebrate terestre sau pești), iar natura particulelor găsite confirmă conținutul declarat al eșantionului, nu este necesară o a doua determinare. Dacă numărul particulelor de origine animală de o anumită natură depistate pe parcursul acestei prime determinări este mai mare de 5, rezultatul analizei se raportează în funcție de natura animală utilizând formularea de la punctul 2.1.5.3. Altminteri, rezultatul analizei se raportează în funcție de natura animală utilizând formularea de la punctul 2.1.5.2.</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Dacă, în urma primei determinări efectuate în conformitate cu diagrama de observare din diagrama 3 se depistează mai mult de 5 particule provenite de la nevertebrate terestre, nu este necesară o a doua determinare, iar rezultatul analizei se raportează utilizând formularea de la punctul 2.1.5.3 pentru această natură.</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toate celelalte cazuri, inclusiv atunci când nu a fost furnizată laboratorului nicio declarație cu privire la conținut, se efectuează o a doua determinare pornind de la un nou subeșantion. Dacă, în urma celei de-a doua determinări efectuate în conformitate cu diagrama de observare din diagrama 2 sau, după caz, din diagrama 3, suma particulelor de origine animală de o anumită natură depistate pe parcursul celor două determinări este mai mare de 10, rezultatul analizei se raportează în funcție de natura animală utilizând formularea de la punctul 2.1.5.3. Altminteri, rezultatul analizei se raportează în funcție de natura animală utilizând formularea de la punctul 2.1.5.2.</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2.1.5.   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Exprimarea rezultatelor</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Atunci când raportează rezultatele, laboratorul indică tipul de material care a fost analizat (sediment, materie flotantă, materie flotantă finală sau materie primă). Raportarea indică în mod clar numărul de determinări care au fost efectuate și dacă cernerea fracțiunilor înainte de prepararea lamelor, în conformitate cu punctul 2.1.3.4.3, prima liniuță, al treilea paragraf sau cu punctul 2.1.3.4.4, a treia liniuță, nu a fost efectuată.</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Raportul laboratorului conține cel puțin informații privind prezența constituenților derivați din vertebrate terestre și din pești.</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Diferitele situații se raportează în modul următor: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2.1.5.1. Nu este depistată nicio particulă de origine animală de o anumită natură: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 fost depistată nicio particulă derivată de la vertebrate terestre.”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 fost depistată nicio particulă derivată de la pești.”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 fost depistată nicio particulă derivată de la nevertebrate terestre.”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2.1.5.2. Între 1 și 5 particule de origine animală de o anumită natură sunt depistate în cazul în care a fost efectuată o singură determinare, sau între 1 și 10 particule de o anumită natură sunt depistate în cazul efectuării a două determinări (numărul de particule depistate este sub limita de decizie stabilită în PSO stabilite de EURL-AP și publicate pe site-ul său de internet):</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s-a efectuat o singură determinare: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„În măsura în care a fost posibil cu un microscop optic, în eșantionul transmis nu au fost depistate mai mult de 5 particule derivate de la vertebrate terestre. Particulele au fost identificate ca … [os, cartilaj, mușchi, păr, coarne, altele (vă rugăm precizați, după caz)]. Această prezență de nivel mic se situează sub limita de decizie stabilită pentru această metodă de microscopie.”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au fost depistate mai mult de 5 particule derivate de la pești. Particulele au fost identificate ca … [oase de pește, solzi de pește, cartilaj, mușchi, otolit, branhii, altele (vă rugăm precizați, după caz)]. Această prezență de nivel mic se situează sub limita de decizie stabilită pentru această metodă de microscopie.”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Atunci când au fost efectuate două determinări: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au fost depistate mai mult de 10 particule derivate de la vertebrate terestre pe parcursul celor două determinări. Particulele au fost identificate ca … [os, cartilaj, mușchi, păr, coarne, altele (vă rugăm precizați, după caz)]. Această prezență de nivel mic se situează sub limita de decizie stabilită pentru această metodă de microscopie.”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au fost depistate mai mult de 10 particule derivate de la pești pe parcursul celor două determinări. Particulele au fost identificate ca … [oase de pește, solzi de pește, cartilaj, mușchi, otolit, branhii, altele (vă rugăm precizați, după caz)]. Această prezență de nivel mic se situează sub limita de decizie stabilită pentru această metodă de microscopie.”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nu au fost depistate mai mult de 10 particule derivate de la nevertebrate terestre pe parcursul celor două determinări. Particulele au fost identificate ca … [fragmente de cuticulă, părți de gură, mușchi, structuri traheale, altele (vă rugăm precizați, după caz)]. Această prezență de nivel mic se situează sub limita de decizie stabilită pentru această metodă de microscopie.”</w:t>
      </w:r>
    </w:p>
    <w:p w:rsid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plus: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 Atunci când se depistează doar particule de origine animală care nu pot fi clasificate ca provenind de la vertebrate terestre sau de la pești (de exemplu, fibre musculare), raportul menționează că doar astfel de particule de origine animală au fost depistate și că nu se poate exclude faptul că provin de la vertebrate terestre.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2.1.5.3. Mai mult de 5 particule de origine animală de o anumită natură sunt depistate atunci când s-a efectuat o singură determinare sau mai mult de 10 particule de o anumită natură sunt depistate în cazul a două determinări: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cazul în care s-a efectuat o singură determinare: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au fost depistate mai mult de 5 particule derivate de la vertebrate terestre. Particulele au fost identificate ca … [os, cartilaj, mușchi, păr, coarne,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cu un microscop optic, în eșantionul transmis au fost depistate mai mult de 5 particule derivate de la pești. Particulele au fost identificate ca … [oase de pește, solzi de pește, cartilaj, mușchi, otolit, branhii,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au fost depistate mai mult de 5 particule derivate de la nevertebrate terestre. Particulele au fost identificate ca … [fragmente de cuticulă, părți de gură, mușchi, structuri traheale,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Atunci când au fost efectuate două determinări: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au fost depistate pe parcursul celor două determinări mai mult de 10 particule derivate de la vertebrate terestre. Particulele au fost identificate ca … [os, cartilaj, mușchi, păr, coarne,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măsura în care a fost posibil cu un microscop optic, în eșantionul transmis au fost depistate pe parcursul celor două determinări mai mult de 10 particule derivate de la pești. Particulele au fost identificate ca … [oase de pește, solzi de pește, cartilaj, mușchi, otolit, branhii,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„În măsura în care a fost posibil cu un microscop optic, în eșantionul transmis au fost depistate pe parcursul celor două determinări mai mult de 10 particule derivate de la nevertebrate terestre. Particulele au fost identificate ca … [fragmente de </w:t>
      </w:r>
      <w:r w:rsidRPr="00427724">
        <w:rPr>
          <w:rFonts w:ascii="Times New Roman" w:hAnsi="Times New Roman" w:cs="Times New Roman"/>
          <w:sz w:val="28"/>
          <w:szCs w:val="28"/>
          <w:lang w:val="ro-RO"/>
        </w:rPr>
        <w:lastRenderedPageBreak/>
        <w:t>cuticulă, părți de gură, mușchi, structuri traheale, altele (vă rugăm precizați, după caz)].”</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În plus: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În cazul cernerii în prealabil a eșantioanelor, raportul laboratorului menționează fracțiunea în care (fracțiune cernută, fracțiune sub formă de pelete sau grăunțe) au fost depistate particulele de origine animală, întrucât depistarea particulelor de origine animală numai în fracțiunea cernută poate fi semnul unei contaminări a mediului.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Atunci când se depistează doar particule de origine animală care nu pot fi clasificate ca provenind de la vertebrate terestre sau de la pești (de exemplu, fibre musculare), raportul menționează că doar astfel de particule de origine animală au fost depistate și că nu se poate exclude faptul că provin de la vertebrate terestre.</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2.2.    PCR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2.2.1.   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Principiu</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Fragmentele de acid dezoxiribonucleic (ADN) de origine animală care pot fi prezente în materiile prime furajere și furajele combinate sunt detectate printr-o tehnică de amplificare genetică prin PCR, care vizează secvențe de ADN specifice speciei.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Metoda PCR necesită, în primul rând, o etapă de extragere a ADN-ului. Etapa de amplificare se aplică ulterior extractului de ADN astfel obținut, în vederea detectării speciilor de animale vizate de test.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Reactivi și echipamente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2.2.2.1.   </w:t>
      </w:r>
      <w:r w:rsidRPr="00427724">
        <w:rPr>
          <w:rFonts w:ascii="Times New Roman" w:hAnsi="Times New Roman" w:cs="Times New Roman"/>
          <w:b/>
          <w:bCs/>
          <w:sz w:val="28"/>
          <w:szCs w:val="28"/>
          <w:lang w:val="ro-RO"/>
        </w:rPr>
        <w:t>Reactivi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2.2.2.1.1.   </w:t>
      </w:r>
      <w:r w:rsidRPr="00427724">
        <w:rPr>
          <w:rFonts w:ascii="Times New Roman" w:hAnsi="Times New Roman" w:cs="Times New Roman"/>
          <w:b/>
          <w:bCs/>
          <w:sz w:val="28"/>
          <w:szCs w:val="28"/>
          <w:lang w:val="ro-RO"/>
        </w:rPr>
        <w:t>Reactivi pentru etapa de extragere a ADN-ului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utilizează numai reactivii aprobați de laboratorul de referință pentru detectarea proteinelor animale în hrana pentru animale și publicați pe site-ul internet al acestuia.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2.2.2.1.2.   </w:t>
      </w:r>
      <w:r w:rsidRPr="00427724">
        <w:rPr>
          <w:rFonts w:ascii="Times New Roman" w:hAnsi="Times New Roman" w:cs="Times New Roman"/>
          <w:b/>
          <w:bCs/>
          <w:sz w:val="28"/>
          <w:szCs w:val="28"/>
          <w:lang w:val="ro-RO"/>
        </w:rPr>
        <w:t>Reactivi pentru etapa de amplificare genetică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2.2.2.1.2.1.   </w:t>
      </w:r>
      <w:r w:rsidRPr="00427724">
        <w:rPr>
          <w:rFonts w:ascii="Times New Roman" w:hAnsi="Times New Roman" w:cs="Times New Roman"/>
          <w:b/>
          <w:bCs/>
          <w:sz w:val="28"/>
          <w:szCs w:val="28"/>
          <w:lang w:val="ro-RO"/>
        </w:rPr>
        <w:t>Primeri și sonde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utilizează numai primerii și sondele cu secvențe de oligonucleotide validate de către laboratorul de referință pentru detectarea proteinelor animale în hrana pentru animale.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lastRenderedPageBreak/>
        <w:t>2.2.2.1.2.2.   </w:t>
      </w:r>
      <w:r w:rsidRPr="00427724">
        <w:rPr>
          <w:rFonts w:ascii="Times New Roman" w:hAnsi="Times New Roman" w:cs="Times New Roman"/>
          <w:b/>
          <w:bCs/>
          <w:sz w:val="28"/>
          <w:szCs w:val="28"/>
          <w:lang w:val="ro-RO"/>
        </w:rPr>
        <w:t>Amestecul principal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Se utilizează doar soluțiile de amestec principal care nu conțin reactivi susceptibili să conducă la rezultate false datorită prezenței de ADN animal.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2.2.2.1.2.3.   </w:t>
      </w:r>
      <w:r w:rsidRPr="00427724">
        <w:rPr>
          <w:rFonts w:ascii="Times New Roman" w:hAnsi="Times New Roman" w:cs="Times New Roman"/>
          <w:b/>
          <w:bCs/>
          <w:sz w:val="28"/>
          <w:szCs w:val="28"/>
          <w:lang w:val="ro-RO"/>
        </w:rPr>
        <w:t>Reactivi de decontaminare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2.2.2.1.2.3.1.   </w:t>
      </w:r>
      <w:r w:rsidRPr="00427724">
        <w:rPr>
          <w:rFonts w:ascii="Times New Roman" w:hAnsi="Times New Roman" w:cs="Times New Roman"/>
          <w:b/>
          <w:bCs/>
          <w:sz w:val="28"/>
          <w:szCs w:val="28"/>
          <w:lang w:val="ro-RO"/>
        </w:rPr>
        <w:t>Soluție de acid clorhidric (0,1N)</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2.2.2.1.2.3.2.   </w:t>
      </w:r>
      <w:r w:rsidRPr="00427724">
        <w:rPr>
          <w:rFonts w:ascii="Times New Roman" w:hAnsi="Times New Roman" w:cs="Times New Roman"/>
          <w:b/>
          <w:bCs/>
          <w:sz w:val="28"/>
          <w:szCs w:val="28"/>
          <w:lang w:val="ro-RO"/>
        </w:rPr>
        <w:t>Înălbitor (soluție de hipoclorit de sodiu la 0,15 % din clor activ)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2.2.2.1.2.3.3.   </w:t>
      </w:r>
      <w:r w:rsidRPr="00427724">
        <w:rPr>
          <w:rFonts w:ascii="Times New Roman" w:hAnsi="Times New Roman" w:cs="Times New Roman"/>
          <w:b/>
          <w:bCs/>
          <w:sz w:val="28"/>
          <w:szCs w:val="28"/>
          <w:lang w:val="ro-RO"/>
        </w:rPr>
        <w:t>Reactivi necorozivi pentru decontaminarea dispozitivelor costisitoare, precum balanțele analitice (de exemplu, DNA Erase</w:t>
      </w:r>
      <w:r w:rsidRPr="00427724">
        <w:rPr>
          <w:rFonts w:ascii="Times New Roman" w:hAnsi="Times New Roman" w:cs="Times New Roman"/>
          <w:b/>
          <w:bCs/>
          <w:sz w:val="28"/>
          <w:szCs w:val="28"/>
          <w:vertAlign w:val="superscript"/>
          <w:lang w:val="ro-RO"/>
        </w:rPr>
        <w:t>TM</w:t>
      </w:r>
      <w:r w:rsidRPr="00427724">
        <w:rPr>
          <w:rFonts w:ascii="Times New Roman" w:hAnsi="Times New Roman" w:cs="Times New Roman"/>
          <w:b/>
          <w:bCs/>
          <w:sz w:val="28"/>
          <w:szCs w:val="28"/>
          <w:lang w:val="ro-RO"/>
        </w:rPr>
        <w:t> al MP Biomedicals)</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2.2.2.2.   </w:t>
      </w:r>
      <w:r w:rsidRPr="00427724">
        <w:rPr>
          <w:rFonts w:ascii="Times New Roman" w:hAnsi="Times New Roman" w:cs="Times New Roman"/>
          <w:b/>
          <w:bCs/>
          <w:sz w:val="28"/>
          <w:szCs w:val="28"/>
          <w:lang w:val="ro-RO"/>
        </w:rPr>
        <w:t>Echipamente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2.2.2.2.1.   </w:t>
      </w:r>
      <w:r w:rsidRPr="00427724">
        <w:rPr>
          <w:rFonts w:ascii="Times New Roman" w:hAnsi="Times New Roman" w:cs="Times New Roman"/>
          <w:b/>
          <w:bCs/>
          <w:sz w:val="28"/>
          <w:szCs w:val="28"/>
          <w:lang w:val="ro-RO"/>
        </w:rPr>
        <w:t>Balanță analitică cu o precizie de 0,001 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2.2.2.2.2.   </w:t>
      </w:r>
      <w:r w:rsidRPr="00427724">
        <w:rPr>
          <w:rFonts w:ascii="Times New Roman" w:hAnsi="Times New Roman" w:cs="Times New Roman"/>
          <w:b/>
          <w:bCs/>
          <w:sz w:val="28"/>
          <w:szCs w:val="28"/>
          <w:lang w:val="ro-RO"/>
        </w:rPr>
        <w:t>Echipament de măcinare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2.2.2.2.3.   </w:t>
      </w:r>
      <w:r w:rsidRPr="00427724">
        <w:rPr>
          <w:rFonts w:ascii="Times New Roman" w:hAnsi="Times New Roman" w:cs="Times New Roman"/>
          <w:b/>
          <w:bCs/>
          <w:sz w:val="28"/>
          <w:szCs w:val="28"/>
          <w:lang w:val="ro-RO"/>
        </w:rPr>
        <w:t>Thermocycler care permite PCR în timp real</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2.2.2.2.4.   </w:t>
      </w:r>
      <w:r w:rsidRPr="00427724">
        <w:rPr>
          <w:rFonts w:ascii="Times New Roman" w:hAnsi="Times New Roman" w:cs="Times New Roman"/>
          <w:b/>
          <w:bCs/>
          <w:sz w:val="28"/>
          <w:szCs w:val="28"/>
          <w:lang w:val="ro-RO"/>
        </w:rPr>
        <w:t>Microcentrifugă pentru tuburi de microcentrifugare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2.2.2.2.5.   </w:t>
      </w:r>
      <w:r w:rsidRPr="00427724">
        <w:rPr>
          <w:rFonts w:ascii="Times New Roman" w:hAnsi="Times New Roman" w:cs="Times New Roman"/>
          <w:b/>
          <w:bCs/>
          <w:sz w:val="28"/>
          <w:szCs w:val="28"/>
          <w:lang w:val="ro-RO"/>
        </w:rPr>
        <w:t>Set de micropipete care permit introducerea cu pipeta de la 1 μl până la 1 000 μl</w:t>
      </w:r>
    </w:p>
    <w:tbl>
      <w:tblPr>
        <w:tblW w:w="5000" w:type="pct"/>
        <w:shd w:val="clear" w:color="auto" w:fill="FFFFFF"/>
        <w:tblCellMar>
          <w:left w:w="0" w:type="dxa"/>
          <w:right w:w="0" w:type="dxa"/>
        </w:tblCellMar>
        <w:tblLook w:val="04A0" w:firstRow="1" w:lastRow="0" w:firstColumn="1" w:lastColumn="0" w:noHBand="0" w:noVBand="1"/>
      </w:tblPr>
      <w:tblGrid>
        <w:gridCol w:w="1050"/>
        <w:gridCol w:w="8356"/>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2.2.2.2.6.</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Material de plastic standard de biologie moleculară: tuburi de microcentrifugare, vârfuri de plastic filtrate pentru micropipete, plăci adecvate pentru thermocycler.</w:t>
            </w:r>
          </w:p>
        </w:tc>
      </w:tr>
    </w:tbl>
    <w:p w:rsidR="00427724" w:rsidRPr="00427724" w:rsidRDefault="00427724" w:rsidP="00427724">
      <w:pPr>
        <w:tabs>
          <w:tab w:val="left" w:pos="210"/>
        </w:tabs>
        <w:jc w:val="both"/>
        <w:rPr>
          <w:rFonts w:ascii="Times New Roman" w:hAnsi="Times New Roman" w:cs="Times New Roman"/>
          <w:vanish/>
          <w:sz w:val="28"/>
          <w:szCs w:val="28"/>
          <w:lang w:val="ro-RO"/>
        </w:rPr>
      </w:pPr>
    </w:p>
    <w:tbl>
      <w:tblPr>
        <w:tblW w:w="5000" w:type="pct"/>
        <w:shd w:val="clear" w:color="auto" w:fill="FFFFFF"/>
        <w:tblCellMar>
          <w:left w:w="0" w:type="dxa"/>
          <w:right w:w="0" w:type="dxa"/>
        </w:tblCellMar>
        <w:tblLook w:val="04A0" w:firstRow="1" w:lastRow="0" w:firstColumn="1" w:lastColumn="0" w:noHBand="0" w:noVBand="1"/>
      </w:tblPr>
      <w:tblGrid>
        <w:gridCol w:w="1278"/>
        <w:gridCol w:w="8128"/>
      </w:tblGrid>
      <w:tr w:rsidR="00427724" w:rsidRPr="00427724" w:rsidTr="00427724">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2.2.2.2.7.</w:t>
            </w:r>
          </w:p>
        </w:tc>
        <w:tc>
          <w:tcPr>
            <w:tcW w:w="0" w:type="auto"/>
            <w:shd w:val="clear" w:color="auto" w:fill="FFFFFF"/>
            <w:hideMark/>
          </w:tcPr>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Congelatoare pentru depozitarea eșantioanelor și reactivilor</w:t>
            </w:r>
          </w:p>
        </w:tc>
      </w:tr>
    </w:tbl>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2.2.3.   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Eșantionarea și pregătirea eșantioanelor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2.2.3.1.   </w:t>
      </w:r>
      <w:r w:rsidRPr="00427724">
        <w:rPr>
          <w:rFonts w:ascii="Times New Roman" w:hAnsi="Times New Roman" w:cs="Times New Roman"/>
          <w:b/>
          <w:bCs/>
          <w:sz w:val="28"/>
          <w:szCs w:val="28"/>
          <w:lang w:val="ro-RO"/>
        </w:rPr>
        <w:t>Eșantionare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utilizează un eșantion reprezentativ, prelevat în conformitate cu dispozițiile prevăzute în anexa </w:t>
      </w:r>
      <w:r w:rsidR="00526568">
        <w:rPr>
          <w:rFonts w:ascii="Times New Roman" w:hAnsi="Times New Roman" w:cs="Times New Roman"/>
          <w:sz w:val="28"/>
          <w:szCs w:val="28"/>
          <w:lang w:val="ro-RO"/>
        </w:rPr>
        <w:t>nr. 1</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2.2.3.2.   </w:t>
      </w:r>
      <w:r w:rsidRPr="00427724">
        <w:rPr>
          <w:rFonts w:ascii="Times New Roman" w:hAnsi="Times New Roman" w:cs="Times New Roman"/>
          <w:b/>
          <w:bCs/>
          <w:sz w:val="28"/>
          <w:szCs w:val="28"/>
          <w:lang w:val="ro-RO"/>
        </w:rPr>
        <w:t>Pregătirea eșantioanelor</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Pregătirea eșantioanelor de laborator înainte de extragerea ADN-ului respectă cerințele prevăzute în anexa </w:t>
      </w:r>
      <w:r w:rsidR="00526568">
        <w:rPr>
          <w:rFonts w:ascii="Times New Roman" w:hAnsi="Times New Roman" w:cs="Times New Roman"/>
          <w:sz w:val="28"/>
          <w:szCs w:val="28"/>
          <w:lang w:val="ro-RO"/>
        </w:rPr>
        <w:t>nr. 2</w:t>
      </w:r>
      <w:r w:rsidR="00427724" w:rsidRPr="00427724">
        <w:rPr>
          <w:rFonts w:ascii="Times New Roman" w:hAnsi="Times New Roman" w:cs="Times New Roman"/>
          <w:sz w:val="28"/>
          <w:szCs w:val="28"/>
          <w:lang w:val="ro-RO"/>
        </w:rPr>
        <w:t>. Cel puțin 50 g din eșantion constituie subeșantioane pentru a fi analizate și ulterior măcinate.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Pregătirea eșantioanelor se efectuează într-o încăpere diferită de cele dedicate extragerii ADN-ului și reacțiilor de amplificare genetică descrise în </w:t>
      </w:r>
      <w:r w:rsidR="006E1C6E" w:rsidRPr="006E1C6E">
        <w:rPr>
          <w:rFonts w:ascii="Times New Roman" w:hAnsi="Times New Roman" w:cs="Times New Roman"/>
          <w:sz w:val="28"/>
          <w:szCs w:val="28"/>
          <w:lang w:val="ro-RO"/>
        </w:rPr>
        <w:t>SM EN ISO 24276:2014</w:t>
      </w:r>
      <w:r w:rsidR="00427724" w:rsidRPr="00427724">
        <w:rPr>
          <w:rFonts w:ascii="Times New Roman" w:hAnsi="Times New Roman" w:cs="Times New Roman"/>
          <w:sz w:val="28"/>
          <w:szCs w:val="28"/>
          <w:lang w:val="ro-RO"/>
        </w:rPr>
        <w:t>.</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pregătesc două porțiuni de testat de cel puțin 100 mg fiecare.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2.2.4.   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Extragerea ADN-ului</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Extragerea ADN-ului se efectuează pe fiecare porțiune de testat pregătită utilizând PSO stabilite de laboratorul de referință pentru detectarea proteinelor animale în hrana pentru animale și publicate pe site-ul internet al acestuia.</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Se pregătesc două controale de extragere pentru fiecare serie de extrageri descrise în </w:t>
      </w:r>
      <w:r w:rsidR="00B408AF" w:rsidRPr="00B408AF">
        <w:rPr>
          <w:rFonts w:ascii="Times New Roman" w:hAnsi="Times New Roman" w:cs="Times New Roman"/>
          <w:sz w:val="28"/>
          <w:szCs w:val="28"/>
          <w:lang w:val="ro-RO"/>
        </w:rPr>
        <w:t>SM EN ISO 24276:2014</w:t>
      </w:r>
      <w:r w:rsidR="00427724"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un control martor de extragere;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un control de extragere al ADN-ului pozitiv.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2.2.5.   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Amplificarea genetică</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Amplificarea genetică se efectuează utilizând metodele validate pentru fiecare specie care necesită identificare. Aceste metode sunt prevăzute în PSO stabilite de laboratorul de referință pentru detectarea proteinelor animale în hrana pentru animale și publicate pe site-ul internet al acestuia. Fiecare extract de ADN se analizează în cel puțin două diluții diferite în scopul de a evalua inhibarea.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Se pregătesc două controale de amplificare pentru fiecare specie țintă, astfel cum se descrie în </w:t>
      </w:r>
      <w:r w:rsidR="00B408AF" w:rsidRPr="00B408AF">
        <w:rPr>
          <w:rFonts w:ascii="Times New Roman" w:hAnsi="Times New Roman" w:cs="Times New Roman"/>
          <w:sz w:val="28"/>
          <w:szCs w:val="28"/>
          <w:lang w:val="ro-RO"/>
        </w:rPr>
        <w:t>SM EN ISO 24276:2014</w:t>
      </w:r>
      <w:r w:rsidRPr="00427724">
        <w:rPr>
          <w:rFonts w:ascii="Times New Roman" w:hAnsi="Times New Roman" w:cs="Times New Roman"/>
          <w:sz w:val="28"/>
          <w:szCs w:val="28"/>
          <w:lang w:val="ro-RO"/>
        </w:rPr>
        <w: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utilizează un control țintă al ADN-ului pozitiv pentru fiecare placă sau serie de teste PCR;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se utilizează un control al reactivului de amplificare (denumit, de asemenea, control fără etalon) pentru fiecare placă sau serie de teste PCR.</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2.2.6.   </w:t>
      </w:r>
      <w:r w:rsidRPr="00427724">
        <w:rPr>
          <w:rFonts w:ascii="Times New Roman" w:hAnsi="Times New Roman" w:cs="Times New Roman"/>
          <w:b/>
          <w:bCs/>
          <w:sz w:val="28"/>
          <w:szCs w:val="28"/>
          <w:lang w:val="ro-RO"/>
        </w:rPr>
        <w:t> </w:t>
      </w:r>
      <w:r w:rsidRPr="00427724">
        <w:rPr>
          <w:rFonts w:ascii="Times New Roman" w:hAnsi="Times New Roman" w:cs="Times New Roman"/>
          <w:b/>
          <w:bCs/>
          <w:i/>
          <w:iCs/>
          <w:sz w:val="28"/>
          <w:szCs w:val="28"/>
          <w:lang w:val="ro-RO"/>
        </w:rPr>
        <w:t>Interpretarea și exprimarea rezultatelor</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Atunci când raportează rezultatele, laboratorul indică cel puțin greutatea porțiunilor de testat utilizate, tehnica de extragere utilizată, numărul de determinări efectuate și limita de detecție a metodei.</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Rezultatele nu sunt interpretate și raportate în cazul în care controlul de extragere al ADN-ului pozitiv și controalele țintă ale ADN-ului pozitiv nu oferă </w:t>
      </w:r>
      <w:r w:rsidR="00427724" w:rsidRPr="00427724">
        <w:rPr>
          <w:rFonts w:ascii="Times New Roman" w:hAnsi="Times New Roman" w:cs="Times New Roman"/>
          <w:sz w:val="28"/>
          <w:szCs w:val="28"/>
          <w:lang w:val="ro-RO"/>
        </w:rPr>
        <w:lastRenderedPageBreak/>
        <w:t>rezultate pozitive pentru obiectivul care face obiectul testului, în timp ce controlul reactivului de amplificare este negativ.</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rezultatele celor două porțiuni de testat nu sunt consecvente, se repetă cel puțin etapa de amplificare genetică. În cazul în care laboratorul suspectează că extractele de ADN pot fi cauza inconsecvenței, se efectuează o nouă extracție de ADN și o altă amplificare genetică înainte de interpretarea rezultatelor.</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Exprimarea finală a rezultatelor se bazează pe integrarea și interpretarea rezultatelor celor două porțiuni de testat în conformitate cu PSO stabilite de laboratorul de referință pentru detectarea proteinelor animale în hrana pentru animale și publicate pe site-ul internet al acestuia.</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2.2.6.1.   </w:t>
      </w:r>
      <w:r w:rsidRPr="00427724">
        <w:rPr>
          <w:rFonts w:ascii="Times New Roman" w:hAnsi="Times New Roman" w:cs="Times New Roman"/>
          <w:b/>
          <w:bCs/>
          <w:sz w:val="28"/>
          <w:szCs w:val="28"/>
          <w:lang w:val="ro-RO"/>
        </w:rPr>
        <w:t>Rezultat negativ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Un rezultat negativ este raportat după cum urmează: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Niciun ADN de la X nu a fost detectat în eșantionul prezentat (X fiind specia de animale sau grupul de specii de animale care sunt vizate de test).</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2.2.6.2.   </w:t>
      </w:r>
      <w:r w:rsidRPr="00427724">
        <w:rPr>
          <w:rFonts w:ascii="Times New Roman" w:hAnsi="Times New Roman" w:cs="Times New Roman"/>
          <w:b/>
          <w:bCs/>
          <w:sz w:val="28"/>
          <w:szCs w:val="28"/>
          <w:lang w:val="ro-RO"/>
        </w:rPr>
        <w:t>Rezultat pozitiv</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Un rezultat pozitiv este raportat după cum urmează:</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A fost detectat ADN de la X în eșantionul prezentat (X fiind specia de animale sau grupul de specii de animale care sunt vizate de test).</w:t>
      </w:r>
    </w:p>
    <w:p w:rsidR="00427724" w:rsidRPr="00427724" w:rsidRDefault="00427724" w:rsidP="00427724">
      <w:pPr>
        <w:tabs>
          <w:tab w:val="left" w:pos="210"/>
        </w:tabs>
        <w:jc w:val="both"/>
        <w:rPr>
          <w:rFonts w:ascii="Times New Roman" w:hAnsi="Times New Roman" w:cs="Times New Roman"/>
          <w:sz w:val="28"/>
          <w:szCs w:val="28"/>
          <w:lang w:val="ro-RO"/>
        </w:rPr>
      </w:pPr>
    </w:p>
    <w:p w:rsidR="00526568" w:rsidRDefault="00526568" w:rsidP="00526568">
      <w:pPr>
        <w:spacing w:after="0"/>
        <w:jc w:val="right"/>
        <w:rPr>
          <w:rFonts w:ascii="Times New Roman" w:hAnsi="Times New Roman" w:cs="Times New Roman"/>
          <w:sz w:val="28"/>
          <w:szCs w:val="28"/>
          <w:lang w:val="ro-MD"/>
        </w:rPr>
      </w:pPr>
      <w:r>
        <w:rPr>
          <w:rFonts w:ascii="Times New Roman" w:hAnsi="Times New Roman" w:cs="Times New Roman"/>
          <w:i/>
          <w:iCs/>
          <w:sz w:val="28"/>
          <w:szCs w:val="28"/>
          <w:lang w:val="ro-RO"/>
        </w:rPr>
        <w:t xml:space="preserve">                                                                                                                    </w:t>
      </w:r>
      <w:r w:rsidRPr="008C40D5">
        <w:rPr>
          <w:rFonts w:ascii="Times New Roman" w:hAnsi="Times New Roman" w:cs="Times New Roman"/>
          <w:sz w:val="28"/>
          <w:szCs w:val="28"/>
          <w:lang w:val="ro-MD"/>
        </w:rPr>
        <w:t xml:space="preserve">Anexă </w:t>
      </w:r>
      <w:r>
        <w:rPr>
          <w:rFonts w:ascii="Times New Roman" w:hAnsi="Times New Roman" w:cs="Times New Roman"/>
          <w:sz w:val="28"/>
          <w:szCs w:val="28"/>
          <w:lang w:val="ro-MD"/>
        </w:rPr>
        <w:t>nr.7</w:t>
      </w:r>
    </w:p>
    <w:p w:rsidR="00C767A3" w:rsidRDefault="00C767A3" w:rsidP="00C767A3">
      <w:pPr>
        <w:tabs>
          <w:tab w:val="left" w:pos="210"/>
        </w:tabs>
        <w:jc w:val="right"/>
        <w:rPr>
          <w:rFonts w:ascii="Times New Roman" w:hAnsi="Times New Roman" w:cs="Times New Roman"/>
          <w:bCs/>
          <w:sz w:val="28"/>
          <w:szCs w:val="28"/>
          <w:lang w:val="ro-MD"/>
        </w:rPr>
      </w:pPr>
      <w:r w:rsidRPr="00C767A3">
        <w:rPr>
          <w:rFonts w:ascii="Times New Roman" w:hAnsi="Times New Roman" w:cs="Times New Roman"/>
          <w:bCs/>
          <w:sz w:val="28"/>
          <w:szCs w:val="28"/>
          <w:lang w:val="ro-MD"/>
        </w:rPr>
        <w:t>la Hotărârea Guvernului nr.686/2012</w:t>
      </w:r>
    </w:p>
    <w:p w:rsidR="00427724" w:rsidRPr="00427724" w:rsidRDefault="00427724" w:rsidP="00526568">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METODA DE CALCUL A VALORII ENERGETICE A FURAJELOR PENTRU PĂSĂRI DE CURTE</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1.   </w:t>
      </w:r>
      <w:r w:rsidRPr="00427724">
        <w:rPr>
          <w:rFonts w:ascii="Times New Roman" w:hAnsi="Times New Roman" w:cs="Times New Roman"/>
          <w:b/>
          <w:bCs/>
          <w:i/>
          <w:iCs/>
          <w:sz w:val="28"/>
          <w:szCs w:val="28"/>
          <w:lang w:val="ro-RO"/>
        </w:rPr>
        <w:t>METODA DE CALCUL ȘI EXPRIMAREA VALORII ENERGETICE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Valoarea energetică a hranei combinate pentru păsările de curte se calculează aplicându-se formula de mai jos, pe baza procentajului anumitor compuși analitici ai furajelor pentru păsări de curte. Această valoare se exprimă în megajouli (MJ) de energie metabolizabilă (EM), corectată pentru azot, per kilogram de furaje combinate: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MJ/kg de EM = 0,1551 × % proteină brută + 0,3431 × % grăsime brută + 0,1669 × % amidon + 0,1301 × % zaharuri totale (exprimate în zaharoză).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lastRenderedPageBreak/>
        <w:t>2.   </w:t>
      </w:r>
      <w:r w:rsidRPr="00427724">
        <w:rPr>
          <w:rFonts w:ascii="Times New Roman" w:hAnsi="Times New Roman" w:cs="Times New Roman"/>
          <w:b/>
          <w:bCs/>
          <w:i/>
          <w:iCs/>
          <w:sz w:val="28"/>
          <w:szCs w:val="28"/>
          <w:lang w:val="ro-RO"/>
        </w:rPr>
        <w:t>TOLERANȚE APLICABILE VALORILOR DECLARATE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În cazul în care la inspecția oficială se constată o diferență (valoare energetică mai mare sau mai mică a furajului) între rezultatul inspecției și valoarea energetică menționată, se admite o toleranță de 0,4 MJ/kg EM.</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3.   </w:t>
      </w:r>
      <w:r w:rsidRPr="00427724">
        <w:rPr>
          <w:rFonts w:ascii="Times New Roman" w:hAnsi="Times New Roman" w:cs="Times New Roman"/>
          <w:b/>
          <w:bCs/>
          <w:i/>
          <w:iCs/>
          <w:sz w:val="28"/>
          <w:szCs w:val="28"/>
          <w:lang w:val="ro-RO"/>
        </w:rPr>
        <w:t>EXPRIMAREA REZULTATULUI</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Rezultatul obținut prin aplicarea formulei menționate se exprimă cu o zecimală.</w:t>
      </w:r>
    </w:p>
    <w:p w:rsidR="00427724" w:rsidRPr="00427724" w:rsidRDefault="00427724" w:rsidP="00427724">
      <w:pPr>
        <w:tabs>
          <w:tab w:val="left" w:pos="210"/>
        </w:tabs>
        <w:jc w:val="both"/>
        <w:rPr>
          <w:rFonts w:ascii="Times New Roman" w:hAnsi="Times New Roman" w:cs="Times New Roman"/>
          <w:i/>
          <w:iCs/>
          <w:sz w:val="28"/>
          <w:szCs w:val="28"/>
          <w:lang w:val="ro-RO"/>
        </w:rPr>
      </w:pPr>
      <w:r w:rsidRPr="00427724">
        <w:rPr>
          <w:rFonts w:ascii="Times New Roman" w:hAnsi="Times New Roman" w:cs="Times New Roman"/>
          <w:i/>
          <w:iCs/>
          <w:sz w:val="28"/>
          <w:szCs w:val="28"/>
          <w:lang w:val="ro-RO"/>
        </w:rPr>
        <w:t>4.   </w:t>
      </w:r>
      <w:r w:rsidRPr="00427724">
        <w:rPr>
          <w:rFonts w:ascii="Times New Roman" w:hAnsi="Times New Roman" w:cs="Times New Roman"/>
          <w:b/>
          <w:bCs/>
          <w:i/>
          <w:iCs/>
          <w:sz w:val="28"/>
          <w:szCs w:val="28"/>
          <w:lang w:val="ro-RO"/>
        </w:rPr>
        <w:t>METODE DE EȘANTIONARE ȘI DE ANALIZĂ</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Prelevarea eșantionului din furajele combinate și determinarea conținutului de compuși analitici indicați în metoda de calcul trebuie să se efectueze în conformitate cu metodele Uniunii de eșantionare și de analiză pentru controlul oficial al hranei pentru animale.</w:t>
      </w:r>
    </w:p>
    <w:p w:rsidR="00427724" w:rsidRPr="00427724"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Se aplică următoarele metode:</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pentru determinarea conținutului de grăsime brută: procedura B a metodei de determinare a uleiurilor și a grăsimilor brute, din anexa </w:t>
      </w:r>
      <w:r w:rsidR="00526568">
        <w:rPr>
          <w:rFonts w:ascii="Times New Roman" w:hAnsi="Times New Roman" w:cs="Times New Roman"/>
          <w:sz w:val="28"/>
          <w:szCs w:val="28"/>
          <w:lang w:val="ro-RO"/>
        </w:rPr>
        <w:t>nr. 3</w:t>
      </w:r>
      <w:r w:rsidRPr="00427724">
        <w:rPr>
          <w:rFonts w:ascii="Times New Roman" w:hAnsi="Times New Roman" w:cs="Times New Roman"/>
          <w:sz w:val="28"/>
          <w:szCs w:val="28"/>
          <w:lang w:val="ro-RO"/>
        </w:rPr>
        <w:t xml:space="preserve"> partea G;</w:t>
      </w:r>
    </w:p>
    <w:p w:rsidR="00427724" w:rsidRPr="00427724" w:rsidRDefault="00427724" w:rsidP="00427724">
      <w:pPr>
        <w:tabs>
          <w:tab w:val="left" w:pos="210"/>
        </w:tabs>
        <w:jc w:val="both"/>
        <w:rPr>
          <w:rFonts w:ascii="Times New Roman" w:hAnsi="Times New Roman" w:cs="Times New Roman"/>
          <w:sz w:val="28"/>
          <w:szCs w:val="28"/>
          <w:lang w:val="ro-RO"/>
        </w:rPr>
      </w:pPr>
      <w:r w:rsidRPr="00427724">
        <w:rPr>
          <w:rFonts w:ascii="Times New Roman" w:hAnsi="Times New Roman" w:cs="Times New Roman"/>
          <w:sz w:val="28"/>
          <w:szCs w:val="28"/>
          <w:lang w:val="ro-RO"/>
        </w:rPr>
        <w:t xml:space="preserve">— pentru determinarea conținutului de amidon: metoda polarimetrică, din anexa </w:t>
      </w:r>
      <w:r w:rsidR="00526568">
        <w:rPr>
          <w:rFonts w:ascii="Times New Roman" w:hAnsi="Times New Roman" w:cs="Times New Roman"/>
          <w:sz w:val="28"/>
          <w:szCs w:val="28"/>
          <w:lang w:val="ro-RO"/>
        </w:rPr>
        <w:t>nr. 3</w:t>
      </w:r>
      <w:r w:rsidRPr="00427724">
        <w:rPr>
          <w:rFonts w:ascii="Times New Roman" w:hAnsi="Times New Roman" w:cs="Times New Roman"/>
          <w:sz w:val="28"/>
          <w:szCs w:val="28"/>
          <w:lang w:val="ro-RO"/>
        </w:rPr>
        <w:t xml:space="preserve"> partea K.</w:t>
      </w:r>
    </w:p>
    <w:p w:rsidR="00427724" w:rsidRPr="00427724" w:rsidRDefault="00427724" w:rsidP="00427724">
      <w:pPr>
        <w:tabs>
          <w:tab w:val="left" w:pos="210"/>
        </w:tabs>
        <w:jc w:val="both"/>
        <w:rPr>
          <w:rFonts w:ascii="Times New Roman" w:hAnsi="Times New Roman" w:cs="Times New Roman"/>
          <w:b/>
          <w:bCs/>
          <w:sz w:val="28"/>
          <w:szCs w:val="28"/>
          <w:lang w:val="ro-RO"/>
        </w:rPr>
      </w:pPr>
      <w:r w:rsidRPr="00427724">
        <w:rPr>
          <w:rFonts w:ascii="Times New Roman" w:hAnsi="Times New Roman" w:cs="Times New Roman"/>
          <w:b/>
          <w:bCs/>
          <w:sz w:val="28"/>
          <w:szCs w:val="28"/>
          <w:lang w:val="ro-RO"/>
        </w:rPr>
        <w:t>METODA DE CALCUL A VALORII ENERGETICE A MATERIILOR PRIME DESTINATE HRANEI ANIMALELOR ȘI A HRANEI COMBINATE PENTRU PISICI ȘI CÂINI</w:t>
      </w:r>
    </w:p>
    <w:p w:rsidR="00427724" w:rsidRPr="00E571AA" w:rsidRDefault="00E571AA" w:rsidP="00427724">
      <w:pPr>
        <w:tabs>
          <w:tab w:val="left" w:pos="210"/>
        </w:tabs>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sz w:val="28"/>
          <w:szCs w:val="28"/>
          <w:lang w:val="ro-RO"/>
        </w:rPr>
        <w:tab/>
      </w:r>
      <w:r w:rsidR="00427724" w:rsidRPr="00427724">
        <w:rPr>
          <w:rFonts w:ascii="Times New Roman" w:hAnsi="Times New Roman" w:cs="Times New Roman"/>
          <w:sz w:val="28"/>
          <w:szCs w:val="28"/>
          <w:lang w:val="ro-RO"/>
        </w:rPr>
        <w:t xml:space="preserve">Valoarea energetică a materiilor prime destinate hranei animalelor și a hranei combinate pentru pisici și câini se calculează în conformitate cu </w:t>
      </w:r>
      <w:r w:rsidR="00B408AF" w:rsidRPr="00B408AF">
        <w:rPr>
          <w:rFonts w:ascii="Times New Roman" w:hAnsi="Times New Roman" w:cs="Times New Roman"/>
          <w:sz w:val="28"/>
          <w:szCs w:val="28"/>
          <w:lang w:val="ro-RO"/>
        </w:rPr>
        <w:t>SM EN 16967:2018</w:t>
      </w:r>
      <w:r w:rsidR="00B408AF">
        <w:rPr>
          <w:rFonts w:ascii="Times New Roman" w:hAnsi="Times New Roman" w:cs="Times New Roman"/>
          <w:sz w:val="28"/>
          <w:szCs w:val="28"/>
          <w:lang w:val="ro-RO"/>
        </w:rPr>
        <w:t xml:space="preserve"> </w:t>
      </w:r>
      <w:r w:rsidR="00427724" w:rsidRPr="00427724">
        <w:rPr>
          <w:rFonts w:ascii="Times New Roman" w:hAnsi="Times New Roman" w:cs="Times New Roman"/>
          <w:sz w:val="28"/>
          <w:szCs w:val="28"/>
          <w:lang w:val="ro-RO"/>
        </w:rPr>
        <w:t>Hrană pentru animale: Metode de eșantionare și de analiză – ecuații predictive pentru energia metabolizabilă în materiile prime destinate hranei animalelor și în hrana combinată pentru animale (hrană pentru animale de companie) pentru pisici și câini, inclusiv în alimentele dietetice.</w:t>
      </w:r>
    </w:p>
    <w:p w:rsidR="0043631F" w:rsidRDefault="008E283B" w:rsidP="0043631F">
      <w:pPr>
        <w:spacing w:after="0"/>
        <w:jc w:val="both"/>
        <w:rPr>
          <w:rFonts w:ascii="Times New Roman" w:hAnsi="Times New Roman" w:cs="Times New Roman"/>
          <w:sz w:val="28"/>
          <w:szCs w:val="28"/>
          <w:lang w:val="ro-MD"/>
        </w:rPr>
      </w:pPr>
      <w:r w:rsidRPr="008E283B">
        <w:rPr>
          <w:rFonts w:ascii="Times New Roman" w:hAnsi="Times New Roman" w:cs="Times New Roman"/>
          <w:sz w:val="28"/>
          <w:szCs w:val="28"/>
          <w:lang w:val="ro-MD"/>
        </w:rPr>
        <w:t>3.</w:t>
      </w:r>
      <w:r w:rsidRPr="008E283B">
        <w:rPr>
          <w:rFonts w:ascii="Times New Roman" w:hAnsi="Times New Roman" w:cs="Times New Roman"/>
          <w:sz w:val="28"/>
          <w:szCs w:val="28"/>
          <w:lang w:val="ro-MD"/>
        </w:rPr>
        <w:tab/>
        <w:t>Prezenta hotărâre intră în vigoare la expirarea termenului de o lună de la data publicării în Monitorul Oficial al Republicii Moldova.</w:t>
      </w:r>
    </w:p>
    <w:p w:rsidR="0043631F" w:rsidRDefault="0043631F" w:rsidP="0043631F">
      <w:pPr>
        <w:spacing w:after="0"/>
        <w:jc w:val="both"/>
        <w:rPr>
          <w:rFonts w:ascii="Times New Roman" w:hAnsi="Times New Roman" w:cs="Times New Roman"/>
          <w:sz w:val="28"/>
          <w:szCs w:val="28"/>
          <w:lang w:val="ro-MD"/>
        </w:rPr>
      </w:pPr>
    </w:p>
    <w:p w:rsidR="0043631F" w:rsidRPr="00EB2D47" w:rsidRDefault="0043631F" w:rsidP="0043631F">
      <w:pPr>
        <w:spacing w:after="0"/>
        <w:jc w:val="both"/>
        <w:rPr>
          <w:rFonts w:ascii="Times New Roman" w:hAnsi="Times New Roman" w:cs="Times New Roman"/>
          <w:b/>
          <w:bCs/>
          <w:sz w:val="28"/>
          <w:szCs w:val="28"/>
          <w:lang w:val="ro-MD"/>
        </w:rPr>
      </w:pPr>
      <w:r w:rsidRPr="00EB2D47">
        <w:rPr>
          <w:rFonts w:ascii="Times New Roman" w:hAnsi="Times New Roman" w:cs="Times New Roman"/>
          <w:b/>
          <w:bCs/>
          <w:sz w:val="28"/>
          <w:szCs w:val="28"/>
          <w:lang w:val="ro-MD"/>
        </w:rPr>
        <w:t>PRIM-MINISTRU</w:t>
      </w:r>
      <w:r w:rsidRPr="00EB2D47">
        <w:rPr>
          <w:rFonts w:ascii="Times New Roman" w:hAnsi="Times New Roman" w:cs="Times New Roman"/>
          <w:b/>
          <w:bCs/>
          <w:sz w:val="28"/>
          <w:szCs w:val="28"/>
          <w:lang w:val="ro-MD"/>
        </w:rPr>
        <w:tab/>
      </w:r>
      <w:r w:rsidRPr="00EB2D47">
        <w:rPr>
          <w:rFonts w:ascii="Times New Roman" w:hAnsi="Times New Roman" w:cs="Times New Roman"/>
          <w:b/>
          <w:bCs/>
          <w:sz w:val="28"/>
          <w:szCs w:val="28"/>
          <w:lang w:val="ro-MD"/>
        </w:rPr>
        <w:tab/>
      </w:r>
      <w:r w:rsidRPr="00EB2D47">
        <w:rPr>
          <w:rFonts w:ascii="Times New Roman" w:hAnsi="Times New Roman" w:cs="Times New Roman"/>
          <w:b/>
          <w:bCs/>
          <w:sz w:val="28"/>
          <w:szCs w:val="28"/>
          <w:lang w:val="ro-MD"/>
        </w:rPr>
        <w:tab/>
      </w:r>
      <w:r w:rsidRPr="00EB2D47">
        <w:rPr>
          <w:rFonts w:ascii="Times New Roman" w:hAnsi="Times New Roman" w:cs="Times New Roman"/>
          <w:b/>
          <w:bCs/>
          <w:sz w:val="28"/>
          <w:szCs w:val="28"/>
          <w:lang w:val="ro-MD"/>
        </w:rPr>
        <w:tab/>
      </w:r>
      <w:r w:rsidRPr="00EB2D47">
        <w:rPr>
          <w:rFonts w:ascii="Times New Roman" w:hAnsi="Times New Roman" w:cs="Times New Roman"/>
          <w:b/>
          <w:bCs/>
          <w:sz w:val="28"/>
          <w:szCs w:val="28"/>
          <w:lang w:val="ro-MD"/>
        </w:rPr>
        <w:tab/>
      </w:r>
      <w:r w:rsidR="00427724">
        <w:rPr>
          <w:rFonts w:ascii="Times New Roman" w:hAnsi="Times New Roman" w:cs="Times New Roman"/>
          <w:b/>
          <w:bCs/>
          <w:sz w:val="28"/>
          <w:szCs w:val="28"/>
          <w:lang w:val="ro-MD"/>
        </w:rPr>
        <w:t>Alexandru MUNTEANU</w:t>
      </w:r>
    </w:p>
    <w:p w:rsidR="0043631F" w:rsidRPr="00EB2D47" w:rsidRDefault="0043631F" w:rsidP="0043631F">
      <w:pPr>
        <w:spacing w:after="0"/>
        <w:jc w:val="both"/>
        <w:rPr>
          <w:rFonts w:ascii="Times New Roman" w:hAnsi="Times New Roman" w:cs="Times New Roman"/>
          <w:sz w:val="28"/>
          <w:szCs w:val="28"/>
          <w:lang w:val="ro-MD"/>
        </w:rPr>
      </w:pPr>
    </w:p>
    <w:p w:rsidR="0043631F" w:rsidRPr="00EB2D47" w:rsidRDefault="0043631F" w:rsidP="0043631F">
      <w:pPr>
        <w:spacing w:after="0"/>
        <w:jc w:val="both"/>
        <w:rPr>
          <w:rFonts w:ascii="Times New Roman" w:hAnsi="Times New Roman" w:cs="Times New Roman"/>
          <w:sz w:val="28"/>
          <w:szCs w:val="28"/>
          <w:lang w:val="ro-MD"/>
        </w:rPr>
      </w:pPr>
      <w:r w:rsidRPr="00EB2D47">
        <w:rPr>
          <w:rFonts w:ascii="Times New Roman" w:hAnsi="Times New Roman" w:cs="Times New Roman"/>
          <w:sz w:val="28"/>
          <w:szCs w:val="28"/>
          <w:lang w:val="ro-MD"/>
        </w:rPr>
        <w:t xml:space="preserve">Contrasemnează: </w:t>
      </w:r>
    </w:p>
    <w:p w:rsidR="0043631F" w:rsidRPr="00EB2D47" w:rsidRDefault="0043631F" w:rsidP="0043631F">
      <w:pPr>
        <w:spacing w:after="0"/>
        <w:jc w:val="both"/>
        <w:rPr>
          <w:rFonts w:ascii="Times New Roman" w:hAnsi="Times New Roman" w:cs="Times New Roman"/>
          <w:sz w:val="28"/>
          <w:szCs w:val="28"/>
          <w:lang w:val="ro-MD"/>
        </w:rPr>
      </w:pPr>
    </w:p>
    <w:p w:rsidR="0043631F" w:rsidRPr="00EB2D47" w:rsidRDefault="0043631F" w:rsidP="0043631F">
      <w:pPr>
        <w:spacing w:after="0"/>
        <w:jc w:val="both"/>
        <w:rPr>
          <w:rFonts w:ascii="Times New Roman" w:hAnsi="Times New Roman" w:cs="Times New Roman"/>
          <w:sz w:val="28"/>
          <w:szCs w:val="28"/>
          <w:lang w:val="ro-MD"/>
        </w:rPr>
      </w:pPr>
      <w:r w:rsidRPr="00EB2D47">
        <w:rPr>
          <w:rFonts w:ascii="Times New Roman" w:hAnsi="Times New Roman" w:cs="Times New Roman"/>
          <w:sz w:val="28"/>
          <w:szCs w:val="28"/>
          <w:lang w:val="ro-MD"/>
        </w:rPr>
        <w:lastRenderedPageBreak/>
        <w:t xml:space="preserve">Ministru agriculturii și </w:t>
      </w:r>
    </w:p>
    <w:p w:rsidR="0043631F" w:rsidRPr="008C40D5" w:rsidRDefault="0043631F" w:rsidP="0043631F">
      <w:pPr>
        <w:spacing w:after="0"/>
        <w:jc w:val="both"/>
        <w:rPr>
          <w:rFonts w:ascii="Times New Roman" w:hAnsi="Times New Roman" w:cs="Times New Roman"/>
          <w:sz w:val="28"/>
          <w:szCs w:val="28"/>
          <w:lang w:val="ro-MD"/>
        </w:rPr>
      </w:pPr>
      <w:r w:rsidRPr="00EB2D47">
        <w:rPr>
          <w:rFonts w:ascii="Times New Roman" w:hAnsi="Times New Roman" w:cs="Times New Roman"/>
          <w:sz w:val="28"/>
          <w:szCs w:val="28"/>
          <w:lang w:val="ro-MD"/>
        </w:rPr>
        <w:t>industriei alimentare</w:t>
      </w:r>
      <w:r w:rsidRPr="00EB2D47">
        <w:rPr>
          <w:rFonts w:ascii="Times New Roman" w:hAnsi="Times New Roman" w:cs="Times New Roman"/>
          <w:sz w:val="28"/>
          <w:szCs w:val="28"/>
          <w:lang w:val="ro-MD"/>
        </w:rPr>
        <w:tab/>
      </w:r>
      <w:r w:rsidRPr="00EB2D47">
        <w:rPr>
          <w:rFonts w:ascii="Times New Roman" w:hAnsi="Times New Roman" w:cs="Times New Roman"/>
          <w:sz w:val="28"/>
          <w:szCs w:val="28"/>
          <w:lang w:val="ro-MD"/>
        </w:rPr>
        <w:tab/>
      </w:r>
      <w:r w:rsidRPr="00EB2D47">
        <w:rPr>
          <w:rFonts w:ascii="Times New Roman" w:hAnsi="Times New Roman" w:cs="Times New Roman"/>
          <w:sz w:val="28"/>
          <w:szCs w:val="28"/>
          <w:lang w:val="ro-MD"/>
        </w:rPr>
        <w:tab/>
        <w:t xml:space="preserve">                    Ludmila  CATLABUGA</w:t>
      </w:r>
    </w:p>
    <w:p w:rsidR="0009608A" w:rsidRPr="0043631F" w:rsidRDefault="0009608A">
      <w:pPr>
        <w:rPr>
          <w:lang w:val="ro-MD"/>
        </w:rPr>
      </w:pPr>
    </w:p>
    <w:sectPr w:rsidR="0009608A" w:rsidRPr="0043631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E3D34"/>
    <w:multiLevelType w:val="multilevel"/>
    <w:tmpl w:val="50CE5224"/>
    <w:lvl w:ilvl="0">
      <w:start w:val="1"/>
      <w:numFmt w:val="decimal"/>
      <w:lvlText w:val="%1."/>
      <w:lvlJc w:val="left"/>
      <w:pPr>
        <w:ind w:left="927" w:hanging="360"/>
      </w:pPr>
      <w:rPr>
        <w:rFonts w:hint="default"/>
        <w:b/>
        <w:color w:val="auto"/>
      </w:rPr>
    </w:lvl>
    <w:lvl w:ilvl="1">
      <w:start w:val="2"/>
      <w:numFmt w:val="decimal"/>
      <w:isLgl/>
      <w:lvlText w:val="%1.%2."/>
      <w:lvlJc w:val="left"/>
      <w:pPr>
        <w:ind w:left="1561" w:hanging="900"/>
      </w:pPr>
      <w:rPr>
        <w:rFonts w:hint="default"/>
      </w:rPr>
    </w:lvl>
    <w:lvl w:ilvl="2">
      <w:start w:val="3"/>
      <w:numFmt w:val="decimal"/>
      <w:isLgl/>
      <w:lvlText w:val="%1.%2.%3."/>
      <w:lvlJc w:val="left"/>
      <w:pPr>
        <w:ind w:left="1655" w:hanging="900"/>
      </w:pPr>
      <w:rPr>
        <w:rFonts w:hint="default"/>
      </w:rPr>
    </w:lvl>
    <w:lvl w:ilvl="3">
      <w:start w:val="5"/>
      <w:numFmt w:val="decimal"/>
      <w:isLgl/>
      <w:lvlText w:val="%1.%2.%3.%4."/>
      <w:lvlJc w:val="left"/>
      <w:pPr>
        <w:ind w:left="2498" w:hanging="1080"/>
      </w:pPr>
      <w:rPr>
        <w:rFonts w:hint="default"/>
      </w:rPr>
    </w:lvl>
    <w:lvl w:ilvl="4">
      <w:start w:val="1"/>
      <w:numFmt w:val="decimal"/>
      <w:isLgl/>
      <w:lvlText w:val="%1.%2.%3.%4.%5."/>
      <w:lvlJc w:val="left"/>
      <w:pPr>
        <w:ind w:left="2023" w:hanging="1080"/>
      </w:pPr>
      <w:rPr>
        <w:rFonts w:hint="default"/>
      </w:rPr>
    </w:lvl>
    <w:lvl w:ilvl="5">
      <w:start w:val="1"/>
      <w:numFmt w:val="decimal"/>
      <w:isLgl/>
      <w:lvlText w:val="%1.%2.%3.%4.%5.%6."/>
      <w:lvlJc w:val="left"/>
      <w:pPr>
        <w:ind w:left="2477" w:hanging="1440"/>
      </w:pPr>
      <w:rPr>
        <w:rFonts w:hint="default"/>
      </w:rPr>
    </w:lvl>
    <w:lvl w:ilvl="6">
      <w:start w:val="1"/>
      <w:numFmt w:val="decimal"/>
      <w:isLgl/>
      <w:lvlText w:val="%1.%2.%3.%4.%5.%6.%7."/>
      <w:lvlJc w:val="left"/>
      <w:pPr>
        <w:ind w:left="2931" w:hanging="1800"/>
      </w:pPr>
      <w:rPr>
        <w:rFonts w:hint="default"/>
      </w:rPr>
    </w:lvl>
    <w:lvl w:ilvl="7">
      <w:start w:val="1"/>
      <w:numFmt w:val="decimal"/>
      <w:isLgl/>
      <w:lvlText w:val="%1.%2.%3.%4.%5.%6.%7.%8."/>
      <w:lvlJc w:val="left"/>
      <w:pPr>
        <w:ind w:left="3025" w:hanging="1800"/>
      </w:pPr>
      <w:rPr>
        <w:rFonts w:hint="default"/>
      </w:rPr>
    </w:lvl>
    <w:lvl w:ilvl="8">
      <w:start w:val="1"/>
      <w:numFmt w:val="decimal"/>
      <w:isLgl/>
      <w:lvlText w:val="%1.%2.%3.%4.%5.%6.%7.%8.%9."/>
      <w:lvlJc w:val="left"/>
      <w:pPr>
        <w:ind w:left="3479" w:hanging="2160"/>
      </w:pPr>
      <w:rPr>
        <w:rFonts w:hint="default"/>
      </w:rPr>
    </w:lvl>
  </w:abstractNum>
  <w:abstractNum w:abstractNumId="1" w15:restartNumberingAfterBreak="0">
    <w:nsid w:val="281A2FBA"/>
    <w:multiLevelType w:val="hybridMultilevel"/>
    <w:tmpl w:val="70784A98"/>
    <w:lvl w:ilvl="0" w:tplc="3372F04E">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CF47BDE"/>
    <w:multiLevelType w:val="multilevel"/>
    <w:tmpl w:val="6D6E8EE2"/>
    <w:lvl w:ilvl="0">
      <w:start w:val="1"/>
      <w:numFmt w:val="decimal"/>
      <w:lvlText w:val="%1."/>
      <w:lvlJc w:val="left"/>
      <w:pPr>
        <w:ind w:left="1211" w:hanging="360"/>
      </w:pPr>
      <w:rPr>
        <w:rFonts w:hint="default"/>
        <w:b/>
      </w:rPr>
    </w:lvl>
    <w:lvl w:ilvl="1">
      <w:start w:val="1"/>
      <w:numFmt w:val="decimal"/>
      <w:isLgl/>
      <w:lvlText w:val="%1.%2."/>
      <w:lvlJc w:val="left"/>
      <w:pPr>
        <w:ind w:left="1288" w:hanging="720"/>
      </w:pPr>
      <w:rPr>
        <w:rFonts w:ascii="Times New Roman" w:hAnsi="Times New Roman" w:cs="Times New Roman"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931" w:hanging="1080"/>
      </w:pPr>
      <w:rPr>
        <w:rFonts w:hint="default"/>
        <w:color w:val="auto"/>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 w15:restartNumberingAfterBreak="0">
    <w:nsid w:val="520668D3"/>
    <w:multiLevelType w:val="hybridMultilevel"/>
    <w:tmpl w:val="85466D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C9B6EB2"/>
    <w:multiLevelType w:val="multilevel"/>
    <w:tmpl w:val="F7E0F85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09F5323"/>
    <w:multiLevelType w:val="multilevel"/>
    <w:tmpl w:val="4A8EA3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1F"/>
    <w:rsid w:val="00024D90"/>
    <w:rsid w:val="00074B2E"/>
    <w:rsid w:val="0009608A"/>
    <w:rsid w:val="000C0236"/>
    <w:rsid w:val="000C1678"/>
    <w:rsid w:val="000C27D1"/>
    <w:rsid w:val="000D7F92"/>
    <w:rsid w:val="000F430C"/>
    <w:rsid w:val="00101A95"/>
    <w:rsid w:val="00103782"/>
    <w:rsid w:val="0012141D"/>
    <w:rsid w:val="00122588"/>
    <w:rsid w:val="0015704F"/>
    <w:rsid w:val="00172C4F"/>
    <w:rsid w:val="0018736D"/>
    <w:rsid w:val="00195D0F"/>
    <w:rsid w:val="001A5A22"/>
    <w:rsid w:val="001E4FB6"/>
    <w:rsid w:val="002E5B2A"/>
    <w:rsid w:val="003B02CB"/>
    <w:rsid w:val="003B1FC8"/>
    <w:rsid w:val="003B33FB"/>
    <w:rsid w:val="003C5135"/>
    <w:rsid w:val="003D5037"/>
    <w:rsid w:val="003E5069"/>
    <w:rsid w:val="003F202B"/>
    <w:rsid w:val="00427724"/>
    <w:rsid w:val="0043631F"/>
    <w:rsid w:val="00447044"/>
    <w:rsid w:val="00453061"/>
    <w:rsid w:val="00462112"/>
    <w:rsid w:val="00465E74"/>
    <w:rsid w:val="004A5A7F"/>
    <w:rsid w:val="004B5AAE"/>
    <w:rsid w:val="00526568"/>
    <w:rsid w:val="005520F8"/>
    <w:rsid w:val="0055484A"/>
    <w:rsid w:val="0056062C"/>
    <w:rsid w:val="00561D56"/>
    <w:rsid w:val="00570C5D"/>
    <w:rsid w:val="005950E2"/>
    <w:rsid w:val="005A19C6"/>
    <w:rsid w:val="005A3545"/>
    <w:rsid w:val="005A3567"/>
    <w:rsid w:val="005A6FD1"/>
    <w:rsid w:val="005A755B"/>
    <w:rsid w:val="005B6867"/>
    <w:rsid w:val="005C3D1C"/>
    <w:rsid w:val="005C7A18"/>
    <w:rsid w:val="0062008C"/>
    <w:rsid w:val="006335CD"/>
    <w:rsid w:val="00685005"/>
    <w:rsid w:val="006B3608"/>
    <w:rsid w:val="006D52A2"/>
    <w:rsid w:val="006E1C6E"/>
    <w:rsid w:val="00701055"/>
    <w:rsid w:val="00713251"/>
    <w:rsid w:val="00714139"/>
    <w:rsid w:val="00722E37"/>
    <w:rsid w:val="00731939"/>
    <w:rsid w:val="00792A2D"/>
    <w:rsid w:val="00796579"/>
    <w:rsid w:val="00796E2E"/>
    <w:rsid w:val="007A6330"/>
    <w:rsid w:val="007D4459"/>
    <w:rsid w:val="00815B9F"/>
    <w:rsid w:val="008278EA"/>
    <w:rsid w:val="0084338B"/>
    <w:rsid w:val="008445BA"/>
    <w:rsid w:val="00881536"/>
    <w:rsid w:val="00882C58"/>
    <w:rsid w:val="008E283B"/>
    <w:rsid w:val="00907996"/>
    <w:rsid w:val="00967D3B"/>
    <w:rsid w:val="00970194"/>
    <w:rsid w:val="00980AD4"/>
    <w:rsid w:val="0098154A"/>
    <w:rsid w:val="009C4887"/>
    <w:rsid w:val="009D07AD"/>
    <w:rsid w:val="009E48B2"/>
    <w:rsid w:val="00A20DA5"/>
    <w:rsid w:val="00A5101F"/>
    <w:rsid w:val="00AF7114"/>
    <w:rsid w:val="00B30E99"/>
    <w:rsid w:val="00B3443F"/>
    <w:rsid w:val="00B408AF"/>
    <w:rsid w:val="00BB58F3"/>
    <w:rsid w:val="00BC54BD"/>
    <w:rsid w:val="00BD1BCC"/>
    <w:rsid w:val="00C2569A"/>
    <w:rsid w:val="00C27C25"/>
    <w:rsid w:val="00C767A3"/>
    <w:rsid w:val="00C84795"/>
    <w:rsid w:val="00C92906"/>
    <w:rsid w:val="00CD0DDE"/>
    <w:rsid w:val="00CF1FE1"/>
    <w:rsid w:val="00CF34FE"/>
    <w:rsid w:val="00CF4C25"/>
    <w:rsid w:val="00D065E6"/>
    <w:rsid w:val="00D20754"/>
    <w:rsid w:val="00D2512E"/>
    <w:rsid w:val="00D53E32"/>
    <w:rsid w:val="00D6664B"/>
    <w:rsid w:val="00DB5609"/>
    <w:rsid w:val="00DC6FF3"/>
    <w:rsid w:val="00E00F4B"/>
    <w:rsid w:val="00E05D41"/>
    <w:rsid w:val="00E07269"/>
    <w:rsid w:val="00E51E59"/>
    <w:rsid w:val="00E559BD"/>
    <w:rsid w:val="00E571AA"/>
    <w:rsid w:val="00E76515"/>
    <w:rsid w:val="00EB2A26"/>
    <w:rsid w:val="00EB383E"/>
    <w:rsid w:val="00EB3C62"/>
    <w:rsid w:val="00EC3425"/>
    <w:rsid w:val="00EE4FB8"/>
    <w:rsid w:val="00F046C1"/>
    <w:rsid w:val="00F17A00"/>
    <w:rsid w:val="00F35C9A"/>
    <w:rsid w:val="00F4089C"/>
    <w:rsid w:val="00F6310E"/>
    <w:rsid w:val="00F65483"/>
    <w:rsid w:val="00F84A77"/>
    <w:rsid w:val="00F97793"/>
    <w:rsid w:val="00FE29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50B4"/>
  <w15:chartTrackingRefBased/>
  <w15:docId w15:val="{8A429F5D-5D05-4A95-A026-BDA3739C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5E6"/>
    <w:rPr>
      <w:kern w:val="2"/>
      <w:lang w:val="en-US"/>
      <w14:ligatures w14:val="standardContextual"/>
    </w:rPr>
  </w:style>
  <w:style w:type="paragraph" w:styleId="Titlu4">
    <w:name w:val="heading 4"/>
    <w:basedOn w:val="Normal"/>
    <w:next w:val="Normal"/>
    <w:link w:val="Titlu4Caracter"/>
    <w:uiPriority w:val="9"/>
    <w:semiHidden/>
    <w:unhideWhenUsed/>
    <w:qFormat/>
    <w:rsid w:val="00E072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8">
    <w:name w:val="heading 8"/>
    <w:basedOn w:val="Normal"/>
    <w:next w:val="Normal"/>
    <w:link w:val="Titlu8Caracter"/>
    <w:uiPriority w:val="9"/>
    <w:unhideWhenUsed/>
    <w:qFormat/>
    <w:rsid w:val="0043631F"/>
    <w:pPr>
      <w:keepNext/>
      <w:keepLines/>
      <w:spacing w:after="0"/>
      <w:outlineLvl w:val="7"/>
    </w:pPr>
    <w:rPr>
      <w:rFonts w:eastAsiaTheme="majorEastAsia" w:cstheme="majorBidi"/>
      <w:i/>
      <w:iCs/>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8Caracter">
    <w:name w:val="Titlu 8 Caracter"/>
    <w:basedOn w:val="Fontdeparagrafimplicit"/>
    <w:link w:val="Titlu8"/>
    <w:uiPriority w:val="9"/>
    <w:rsid w:val="0043631F"/>
    <w:rPr>
      <w:rFonts w:eastAsiaTheme="majorEastAsia" w:cstheme="majorBidi"/>
      <w:i/>
      <w:iCs/>
      <w:color w:val="272727" w:themeColor="text1" w:themeTint="D8"/>
      <w:kern w:val="2"/>
      <w:lang w:val="en-US"/>
      <w14:ligatures w14:val="standardContextual"/>
    </w:rPr>
  </w:style>
  <w:style w:type="paragraph" w:styleId="Listparagraf">
    <w:name w:val="List Paragraph"/>
    <w:basedOn w:val="Normal"/>
    <w:uiPriority w:val="34"/>
    <w:qFormat/>
    <w:rsid w:val="0043631F"/>
    <w:pPr>
      <w:ind w:left="720"/>
      <w:contextualSpacing/>
    </w:pPr>
  </w:style>
  <w:style w:type="paragraph" w:customStyle="1" w:styleId="pb">
    <w:name w:val="pb"/>
    <w:basedOn w:val="Normal"/>
    <w:rsid w:val="004363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j-hd-date">
    <w:name w:val="oj-hd-date"/>
    <w:basedOn w:val="Normal"/>
    <w:rsid w:val="004363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MeniuneNerezolvat">
    <w:name w:val="Unresolved Mention"/>
    <w:basedOn w:val="Fontdeparagrafimplicit"/>
    <w:uiPriority w:val="99"/>
    <w:semiHidden/>
    <w:unhideWhenUsed/>
    <w:rsid w:val="00427724"/>
    <w:rPr>
      <w:color w:val="605E5C"/>
      <w:shd w:val="clear" w:color="auto" w:fill="E1DFDD"/>
    </w:rPr>
  </w:style>
  <w:style w:type="character" w:styleId="Hyperlink">
    <w:name w:val="Hyperlink"/>
    <w:basedOn w:val="Fontdeparagrafimplicit"/>
    <w:uiPriority w:val="99"/>
    <w:unhideWhenUsed/>
    <w:rsid w:val="00427724"/>
    <w:rPr>
      <w:color w:val="0000FF"/>
      <w:u w:val="single"/>
    </w:rPr>
  </w:style>
  <w:style w:type="character" w:customStyle="1" w:styleId="Titlu4Caracter">
    <w:name w:val="Titlu 4 Caracter"/>
    <w:basedOn w:val="Fontdeparagrafimplicit"/>
    <w:link w:val="Titlu4"/>
    <w:uiPriority w:val="9"/>
    <w:semiHidden/>
    <w:rsid w:val="00E07269"/>
    <w:rPr>
      <w:rFonts w:asciiTheme="majorHAnsi" w:eastAsiaTheme="majorEastAsia" w:hAnsiTheme="majorHAnsi" w:cstheme="majorBidi"/>
      <w:i/>
      <w:iCs/>
      <w:color w:val="2F5496" w:themeColor="accent1" w:themeShade="BF"/>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833">
      <w:marLeft w:val="0"/>
      <w:marRight w:val="0"/>
      <w:marTop w:val="0"/>
      <w:marBottom w:val="0"/>
      <w:divBdr>
        <w:top w:val="none" w:sz="0" w:space="0" w:color="auto"/>
        <w:left w:val="none" w:sz="0" w:space="0" w:color="auto"/>
        <w:bottom w:val="none" w:sz="0" w:space="0" w:color="auto"/>
        <w:right w:val="none" w:sz="0" w:space="0" w:color="auto"/>
      </w:divBdr>
      <w:divsChild>
        <w:div w:id="1491484277">
          <w:marLeft w:val="0"/>
          <w:marRight w:val="0"/>
          <w:marTop w:val="120"/>
          <w:marBottom w:val="0"/>
          <w:divBdr>
            <w:top w:val="none" w:sz="0" w:space="0" w:color="auto"/>
            <w:left w:val="none" w:sz="0" w:space="0" w:color="auto"/>
            <w:bottom w:val="none" w:sz="0" w:space="0" w:color="auto"/>
            <w:right w:val="none" w:sz="0" w:space="0" w:color="auto"/>
          </w:divBdr>
        </w:div>
        <w:div w:id="764115773">
          <w:marLeft w:val="0"/>
          <w:marRight w:val="0"/>
          <w:marTop w:val="0"/>
          <w:marBottom w:val="0"/>
          <w:divBdr>
            <w:top w:val="none" w:sz="0" w:space="0" w:color="auto"/>
            <w:left w:val="none" w:sz="0" w:space="0" w:color="auto"/>
            <w:bottom w:val="none" w:sz="0" w:space="0" w:color="auto"/>
            <w:right w:val="none" w:sz="0" w:space="0" w:color="auto"/>
          </w:divBdr>
        </w:div>
      </w:divsChild>
    </w:div>
    <w:div w:id="1902139">
      <w:marLeft w:val="960"/>
      <w:marRight w:val="0"/>
      <w:marTop w:val="0"/>
      <w:marBottom w:val="0"/>
      <w:divBdr>
        <w:top w:val="none" w:sz="0" w:space="0" w:color="auto"/>
        <w:left w:val="none" w:sz="0" w:space="0" w:color="auto"/>
        <w:bottom w:val="none" w:sz="0" w:space="0" w:color="auto"/>
        <w:right w:val="none" w:sz="0" w:space="0" w:color="auto"/>
      </w:divBdr>
    </w:div>
    <w:div w:id="4595790">
      <w:marLeft w:val="0"/>
      <w:marRight w:val="0"/>
      <w:marTop w:val="0"/>
      <w:marBottom w:val="0"/>
      <w:divBdr>
        <w:top w:val="none" w:sz="0" w:space="0" w:color="auto"/>
        <w:left w:val="none" w:sz="0" w:space="0" w:color="auto"/>
        <w:bottom w:val="none" w:sz="0" w:space="0" w:color="auto"/>
        <w:right w:val="none" w:sz="0" w:space="0" w:color="auto"/>
      </w:divBdr>
      <w:divsChild>
        <w:div w:id="42946810">
          <w:marLeft w:val="0"/>
          <w:marRight w:val="0"/>
          <w:marTop w:val="120"/>
          <w:marBottom w:val="0"/>
          <w:divBdr>
            <w:top w:val="none" w:sz="0" w:space="0" w:color="auto"/>
            <w:left w:val="none" w:sz="0" w:space="0" w:color="auto"/>
            <w:bottom w:val="none" w:sz="0" w:space="0" w:color="auto"/>
            <w:right w:val="none" w:sz="0" w:space="0" w:color="auto"/>
          </w:divBdr>
        </w:div>
        <w:div w:id="859583562">
          <w:marLeft w:val="0"/>
          <w:marRight w:val="0"/>
          <w:marTop w:val="0"/>
          <w:marBottom w:val="0"/>
          <w:divBdr>
            <w:top w:val="none" w:sz="0" w:space="0" w:color="auto"/>
            <w:left w:val="none" w:sz="0" w:space="0" w:color="auto"/>
            <w:bottom w:val="none" w:sz="0" w:space="0" w:color="auto"/>
            <w:right w:val="none" w:sz="0" w:space="0" w:color="auto"/>
          </w:divBdr>
          <w:divsChild>
            <w:div w:id="496192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54211">
      <w:marLeft w:val="720"/>
      <w:marRight w:val="0"/>
      <w:marTop w:val="0"/>
      <w:marBottom w:val="0"/>
      <w:divBdr>
        <w:top w:val="none" w:sz="0" w:space="0" w:color="auto"/>
        <w:left w:val="none" w:sz="0" w:space="0" w:color="auto"/>
        <w:bottom w:val="none" w:sz="0" w:space="0" w:color="auto"/>
        <w:right w:val="none" w:sz="0" w:space="0" w:color="auto"/>
      </w:divBdr>
    </w:div>
    <w:div w:id="13699310">
      <w:marLeft w:val="960"/>
      <w:marRight w:val="0"/>
      <w:marTop w:val="0"/>
      <w:marBottom w:val="0"/>
      <w:divBdr>
        <w:top w:val="none" w:sz="0" w:space="0" w:color="auto"/>
        <w:left w:val="none" w:sz="0" w:space="0" w:color="auto"/>
        <w:bottom w:val="none" w:sz="0" w:space="0" w:color="auto"/>
        <w:right w:val="none" w:sz="0" w:space="0" w:color="auto"/>
      </w:divBdr>
    </w:div>
    <w:div w:id="16541062">
      <w:marLeft w:val="960"/>
      <w:marRight w:val="0"/>
      <w:marTop w:val="0"/>
      <w:marBottom w:val="0"/>
      <w:divBdr>
        <w:top w:val="none" w:sz="0" w:space="0" w:color="auto"/>
        <w:left w:val="none" w:sz="0" w:space="0" w:color="auto"/>
        <w:bottom w:val="none" w:sz="0" w:space="0" w:color="auto"/>
        <w:right w:val="none" w:sz="0" w:space="0" w:color="auto"/>
      </w:divBdr>
    </w:div>
    <w:div w:id="17589726">
      <w:marLeft w:val="0"/>
      <w:marRight w:val="0"/>
      <w:marTop w:val="0"/>
      <w:marBottom w:val="0"/>
      <w:divBdr>
        <w:top w:val="none" w:sz="0" w:space="0" w:color="auto"/>
        <w:left w:val="none" w:sz="0" w:space="0" w:color="auto"/>
        <w:bottom w:val="none" w:sz="0" w:space="0" w:color="auto"/>
        <w:right w:val="none" w:sz="0" w:space="0" w:color="auto"/>
      </w:divBdr>
      <w:divsChild>
        <w:div w:id="660037174">
          <w:marLeft w:val="0"/>
          <w:marRight w:val="0"/>
          <w:marTop w:val="120"/>
          <w:marBottom w:val="0"/>
          <w:divBdr>
            <w:top w:val="none" w:sz="0" w:space="0" w:color="auto"/>
            <w:left w:val="none" w:sz="0" w:space="0" w:color="auto"/>
            <w:bottom w:val="none" w:sz="0" w:space="0" w:color="auto"/>
            <w:right w:val="none" w:sz="0" w:space="0" w:color="auto"/>
          </w:divBdr>
        </w:div>
        <w:div w:id="945843721">
          <w:marLeft w:val="0"/>
          <w:marRight w:val="0"/>
          <w:marTop w:val="0"/>
          <w:marBottom w:val="0"/>
          <w:divBdr>
            <w:top w:val="none" w:sz="0" w:space="0" w:color="auto"/>
            <w:left w:val="none" w:sz="0" w:space="0" w:color="auto"/>
            <w:bottom w:val="none" w:sz="0" w:space="0" w:color="auto"/>
            <w:right w:val="none" w:sz="0" w:space="0" w:color="auto"/>
          </w:divBdr>
          <w:divsChild>
            <w:div w:id="15479845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136990">
      <w:marLeft w:val="1080"/>
      <w:marRight w:val="0"/>
      <w:marTop w:val="0"/>
      <w:marBottom w:val="0"/>
      <w:divBdr>
        <w:top w:val="none" w:sz="0" w:space="0" w:color="auto"/>
        <w:left w:val="none" w:sz="0" w:space="0" w:color="auto"/>
        <w:bottom w:val="none" w:sz="0" w:space="0" w:color="auto"/>
        <w:right w:val="none" w:sz="0" w:space="0" w:color="auto"/>
      </w:divBdr>
    </w:div>
    <w:div w:id="28072976">
      <w:marLeft w:val="0"/>
      <w:marRight w:val="0"/>
      <w:marTop w:val="0"/>
      <w:marBottom w:val="0"/>
      <w:divBdr>
        <w:top w:val="none" w:sz="0" w:space="0" w:color="auto"/>
        <w:left w:val="none" w:sz="0" w:space="0" w:color="auto"/>
        <w:bottom w:val="none" w:sz="0" w:space="0" w:color="auto"/>
        <w:right w:val="none" w:sz="0" w:space="0" w:color="auto"/>
      </w:divBdr>
      <w:divsChild>
        <w:div w:id="1949391502">
          <w:marLeft w:val="0"/>
          <w:marRight w:val="0"/>
          <w:marTop w:val="120"/>
          <w:marBottom w:val="0"/>
          <w:divBdr>
            <w:top w:val="none" w:sz="0" w:space="0" w:color="auto"/>
            <w:left w:val="none" w:sz="0" w:space="0" w:color="auto"/>
            <w:bottom w:val="none" w:sz="0" w:space="0" w:color="auto"/>
            <w:right w:val="none" w:sz="0" w:space="0" w:color="auto"/>
          </w:divBdr>
        </w:div>
        <w:div w:id="1460296343">
          <w:marLeft w:val="0"/>
          <w:marRight w:val="0"/>
          <w:marTop w:val="0"/>
          <w:marBottom w:val="0"/>
          <w:divBdr>
            <w:top w:val="none" w:sz="0" w:space="0" w:color="auto"/>
            <w:left w:val="none" w:sz="0" w:space="0" w:color="auto"/>
            <w:bottom w:val="none" w:sz="0" w:space="0" w:color="auto"/>
            <w:right w:val="none" w:sz="0" w:space="0" w:color="auto"/>
          </w:divBdr>
          <w:divsChild>
            <w:div w:id="6484415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730093">
      <w:marLeft w:val="960"/>
      <w:marRight w:val="0"/>
      <w:marTop w:val="0"/>
      <w:marBottom w:val="0"/>
      <w:divBdr>
        <w:top w:val="none" w:sz="0" w:space="0" w:color="auto"/>
        <w:left w:val="none" w:sz="0" w:space="0" w:color="auto"/>
        <w:bottom w:val="none" w:sz="0" w:space="0" w:color="auto"/>
        <w:right w:val="none" w:sz="0" w:space="0" w:color="auto"/>
      </w:divBdr>
    </w:div>
    <w:div w:id="29571978">
      <w:marLeft w:val="0"/>
      <w:marRight w:val="0"/>
      <w:marTop w:val="120"/>
      <w:marBottom w:val="0"/>
      <w:divBdr>
        <w:top w:val="none" w:sz="0" w:space="0" w:color="auto"/>
        <w:left w:val="none" w:sz="0" w:space="0" w:color="auto"/>
        <w:bottom w:val="none" w:sz="0" w:space="0" w:color="auto"/>
        <w:right w:val="none" w:sz="0" w:space="0" w:color="auto"/>
      </w:divBdr>
    </w:div>
    <w:div w:id="30107876">
      <w:marLeft w:val="840"/>
      <w:marRight w:val="0"/>
      <w:marTop w:val="0"/>
      <w:marBottom w:val="0"/>
      <w:divBdr>
        <w:top w:val="none" w:sz="0" w:space="0" w:color="auto"/>
        <w:left w:val="none" w:sz="0" w:space="0" w:color="auto"/>
        <w:bottom w:val="none" w:sz="0" w:space="0" w:color="auto"/>
        <w:right w:val="none" w:sz="0" w:space="0" w:color="auto"/>
      </w:divBdr>
    </w:div>
    <w:div w:id="33359002">
      <w:marLeft w:val="0"/>
      <w:marRight w:val="0"/>
      <w:marTop w:val="0"/>
      <w:marBottom w:val="0"/>
      <w:divBdr>
        <w:top w:val="none" w:sz="0" w:space="0" w:color="auto"/>
        <w:left w:val="none" w:sz="0" w:space="0" w:color="auto"/>
        <w:bottom w:val="none" w:sz="0" w:space="0" w:color="auto"/>
        <w:right w:val="none" w:sz="0" w:space="0" w:color="auto"/>
      </w:divBdr>
      <w:divsChild>
        <w:div w:id="1574005865">
          <w:marLeft w:val="0"/>
          <w:marRight w:val="0"/>
          <w:marTop w:val="120"/>
          <w:marBottom w:val="0"/>
          <w:divBdr>
            <w:top w:val="none" w:sz="0" w:space="0" w:color="auto"/>
            <w:left w:val="none" w:sz="0" w:space="0" w:color="auto"/>
            <w:bottom w:val="none" w:sz="0" w:space="0" w:color="auto"/>
            <w:right w:val="none" w:sz="0" w:space="0" w:color="auto"/>
          </w:divBdr>
        </w:div>
        <w:div w:id="511460730">
          <w:marLeft w:val="0"/>
          <w:marRight w:val="0"/>
          <w:marTop w:val="0"/>
          <w:marBottom w:val="0"/>
          <w:divBdr>
            <w:top w:val="none" w:sz="0" w:space="0" w:color="auto"/>
            <w:left w:val="none" w:sz="0" w:space="0" w:color="auto"/>
            <w:bottom w:val="none" w:sz="0" w:space="0" w:color="auto"/>
            <w:right w:val="none" w:sz="0" w:space="0" w:color="auto"/>
          </w:divBdr>
        </w:div>
      </w:divsChild>
    </w:div>
    <w:div w:id="35278223">
      <w:marLeft w:val="0"/>
      <w:marRight w:val="0"/>
      <w:marTop w:val="0"/>
      <w:marBottom w:val="0"/>
      <w:divBdr>
        <w:top w:val="none" w:sz="0" w:space="0" w:color="auto"/>
        <w:left w:val="none" w:sz="0" w:space="0" w:color="auto"/>
        <w:bottom w:val="none" w:sz="0" w:space="0" w:color="auto"/>
        <w:right w:val="none" w:sz="0" w:space="0" w:color="auto"/>
      </w:divBdr>
      <w:divsChild>
        <w:div w:id="1720740626">
          <w:marLeft w:val="0"/>
          <w:marRight w:val="0"/>
          <w:marTop w:val="120"/>
          <w:marBottom w:val="0"/>
          <w:divBdr>
            <w:top w:val="none" w:sz="0" w:space="0" w:color="auto"/>
            <w:left w:val="none" w:sz="0" w:space="0" w:color="auto"/>
            <w:bottom w:val="none" w:sz="0" w:space="0" w:color="auto"/>
            <w:right w:val="none" w:sz="0" w:space="0" w:color="auto"/>
          </w:divBdr>
        </w:div>
        <w:div w:id="1486048245">
          <w:marLeft w:val="0"/>
          <w:marRight w:val="0"/>
          <w:marTop w:val="0"/>
          <w:marBottom w:val="0"/>
          <w:divBdr>
            <w:top w:val="none" w:sz="0" w:space="0" w:color="auto"/>
            <w:left w:val="none" w:sz="0" w:space="0" w:color="auto"/>
            <w:bottom w:val="none" w:sz="0" w:space="0" w:color="auto"/>
            <w:right w:val="none" w:sz="0" w:space="0" w:color="auto"/>
          </w:divBdr>
          <w:divsChild>
            <w:div w:id="7510497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125622">
      <w:marLeft w:val="960"/>
      <w:marRight w:val="0"/>
      <w:marTop w:val="0"/>
      <w:marBottom w:val="0"/>
      <w:divBdr>
        <w:top w:val="none" w:sz="0" w:space="0" w:color="auto"/>
        <w:left w:val="none" w:sz="0" w:space="0" w:color="auto"/>
        <w:bottom w:val="none" w:sz="0" w:space="0" w:color="auto"/>
        <w:right w:val="none" w:sz="0" w:space="0" w:color="auto"/>
      </w:divBdr>
    </w:div>
    <w:div w:id="37169895">
      <w:marLeft w:val="960"/>
      <w:marRight w:val="0"/>
      <w:marTop w:val="0"/>
      <w:marBottom w:val="0"/>
      <w:divBdr>
        <w:top w:val="none" w:sz="0" w:space="0" w:color="auto"/>
        <w:left w:val="none" w:sz="0" w:space="0" w:color="auto"/>
        <w:bottom w:val="none" w:sz="0" w:space="0" w:color="auto"/>
        <w:right w:val="none" w:sz="0" w:space="0" w:color="auto"/>
      </w:divBdr>
    </w:div>
    <w:div w:id="37902612">
      <w:marLeft w:val="0"/>
      <w:marRight w:val="0"/>
      <w:marTop w:val="0"/>
      <w:marBottom w:val="0"/>
      <w:divBdr>
        <w:top w:val="none" w:sz="0" w:space="0" w:color="auto"/>
        <w:left w:val="none" w:sz="0" w:space="0" w:color="auto"/>
        <w:bottom w:val="none" w:sz="0" w:space="0" w:color="auto"/>
        <w:right w:val="none" w:sz="0" w:space="0" w:color="auto"/>
      </w:divBdr>
      <w:divsChild>
        <w:div w:id="1989894593">
          <w:marLeft w:val="0"/>
          <w:marRight w:val="0"/>
          <w:marTop w:val="120"/>
          <w:marBottom w:val="0"/>
          <w:divBdr>
            <w:top w:val="none" w:sz="0" w:space="0" w:color="auto"/>
            <w:left w:val="none" w:sz="0" w:space="0" w:color="auto"/>
            <w:bottom w:val="none" w:sz="0" w:space="0" w:color="auto"/>
            <w:right w:val="none" w:sz="0" w:space="0" w:color="auto"/>
          </w:divBdr>
        </w:div>
        <w:div w:id="1859855739">
          <w:marLeft w:val="0"/>
          <w:marRight w:val="0"/>
          <w:marTop w:val="0"/>
          <w:marBottom w:val="0"/>
          <w:divBdr>
            <w:top w:val="none" w:sz="0" w:space="0" w:color="auto"/>
            <w:left w:val="none" w:sz="0" w:space="0" w:color="auto"/>
            <w:bottom w:val="none" w:sz="0" w:space="0" w:color="auto"/>
            <w:right w:val="none" w:sz="0" w:space="0" w:color="auto"/>
          </w:divBdr>
          <w:divsChild>
            <w:div w:id="1024014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939570">
      <w:marLeft w:val="960"/>
      <w:marRight w:val="0"/>
      <w:marTop w:val="0"/>
      <w:marBottom w:val="0"/>
      <w:divBdr>
        <w:top w:val="none" w:sz="0" w:space="0" w:color="auto"/>
        <w:left w:val="none" w:sz="0" w:space="0" w:color="auto"/>
        <w:bottom w:val="none" w:sz="0" w:space="0" w:color="auto"/>
        <w:right w:val="none" w:sz="0" w:space="0" w:color="auto"/>
      </w:divBdr>
    </w:div>
    <w:div w:id="43409871">
      <w:marLeft w:val="1080"/>
      <w:marRight w:val="0"/>
      <w:marTop w:val="0"/>
      <w:marBottom w:val="0"/>
      <w:divBdr>
        <w:top w:val="none" w:sz="0" w:space="0" w:color="auto"/>
        <w:left w:val="none" w:sz="0" w:space="0" w:color="auto"/>
        <w:bottom w:val="none" w:sz="0" w:space="0" w:color="auto"/>
        <w:right w:val="none" w:sz="0" w:space="0" w:color="auto"/>
      </w:divBdr>
    </w:div>
    <w:div w:id="45300496">
      <w:marLeft w:val="1080"/>
      <w:marRight w:val="0"/>
      <w:marTop w:val="0"/>
      <w:marBottom w:val="0"/>
      <w:divBdr>
        <w:top w:val="none" w:sz="0" w:space="0" w:color="auto"/>
        <w:left w:val="none" w:sz="0" w:space="0" w:color="auto"/>
        <w:bottom w:val="none" w:sz="0" w:space="0" w:color="auto"/>
        <w:right w:val="none" w:sz="0" w:space="0" w:color="auto"/>
      </w:divBdr>
    </w:div>
    <w:div w:id="56250836">
      <w:marLeft w:val="0"/>
      <w:marRight w:val="0"/>
      <w:marTop w:val="0"/>
      <w:marBottom w:val="0"/>
      <w:divBdr>
        <w:top w:val="none" w:sz="0" w:space="0" w:color="auto"/>
        <w:left w:val="none" w:sz="0" w:space="0" w:color="auto"/>
        <w:bottom w:val="none" w:sz="0" w:space="0" w:color="auto"/>
        <w:right w:val="none" w:sz="0" w:space="0" w:color="auto"/>
      </w:divBdr>
      <w:divsChild>
        <w:div w:id="2073772048">
          <w:marLeft w:val="0"/>
          <w:marRight w:val="0"/>
          <w:marTop w:val="120"/>
          <w:marBottom w:val="0"/>
          <w:divBdr>
            <w:top w:val="none" w:sz="0" w:space="0" w:color="auto"/>
            <w:left w:val="none" w:sz="0" w:space="0" w:color="auto"/>
            <w:bottom w:val="none" w:sz="0" w:space="0" w:color="auto"/>
            <w:right w:val="none" w:sz="0" w:space="0" w:color="auto"/>
          </w:divBdr>
        </w:div>
        <w:div w:id="122583522">
          <w:marLeft w:val="0"/>
          <w:marRight w:val="0"/>
          <w:marTop w:val="0"/>
          <w:marBottom w:val="0"/>
          <w:divBdr>
            <w:top w:val="none" w:sz="0" w:space="0" w:color="auto"/>
            <w:left w:val="none" w:sz="0" w:space="0" w:color="auto"/>
            <w:bottom w:val="none" w:sz="0" w:space="0" w:color="auto"/>
            <w:right w:val="none" w:sz="0" w:space="0" w:color="auto"/>
          </w:divBdr>
          <w:divsChild>
            <w:div w:id="11145223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9209641">
      <w:marLeft w:val="960"/>
      <w:marRight w:val="0"/>
      <w:marTop w:val="0"/>
      <w:marBottom w:val="0"/>
      <w:divBdr>
        <w:top w:val="none" w:sz="0" w:space="0" w:color="auto"/>
        <w:left w:val="none" w:sz="0" w:space="0" w:color="auto"/>
        <w:bottom w:val="none" w:sz="0" w:space="0" w:color="auto"/>
        <w:right w:val="none" w:sz="0" w:space="0" w:color="auto"/>
      </w:divBdr>
    </w:div>
    <w:div w:id="63070994">
      <w:marLeft w:val="0"/>
      <w:marRight w:val="0"/>
      <w:marTop w:val="0"/>
      <w:marBottom w:val="0"/>
      <w:divBdr>
        <w:top w:val="none" w:sz="0" w:space="0" w:color="auto"/>
        <w:left w:val="none" w:sz="0" w:space="0" w:color="auto"/>
        <w:bottom w:val="none" w:sz="0" w:space="0" w:color="auto"/>
        <w:right w:val="none" w:sz="0" w:space="0" w:color="auto"/>
      </w:divBdr>
    </w:div>
    <w:div w:id="63142504">
      <w:marLeft w:val="960"/>
      <w:marRight w:val="0"/>
      <w:marTop w:val="0"/>
      <w:marBottom w:val="0"/>
      <w:divBdr>
        <w:top w:val="none" w:sz="0" w:space="0" w:color="auto"/>
        <w:left w:val="none" w:sz="0" w:space="0" w:color="auto"/>
        <w:bottom w:val="none" w:sz="0" w:space="0" w:color="auto"/>
        <w:right w:val="none" w:sz="0" w:space="0" w:color="auto"/>
      </w:divBdr>
    </w:div>
    <w:div w:id="66391749">
      <w:marLeft w:val="1080"/>
      <w:marRight w:val="0"/>
      <w:marTop w:val="0"/>
      <w:marBottom w:val="0"/>
      <w:divBdr>
        <w:top w:val="none" w:sz="0" w:space="0" w:color="auto"/>
        <w:left w:val="none" w:sz="0" w:space="0" w:color="auto"/>
        <w:bottom w:val="none" w:sz="0" w:space="0" w:color="auto"/>
        <w:right w:val="none" w:sz="0" w:space="0" w:color="auto"/>
      </w:divBdr>
    </w:div>
    <w:div w:id="68888993">
      <w:marLeft w:val="960"/>
      <w:marRight w:val="0"/>
      <w:marTop w:val="0"/>
      <w:marBottom w:val="0"/>
      <w:divBdr>
        <w:top w:val="none" w:sz="0" w:space="0" w:color="auto"/>
        <w:left w:val="none" w:sz="0" w:space="0" w:color="auto"/>
        <w:bottom w:val="none" w:sz="0" w:space="0" w:color="auto"/>
        <w:right w:val="none" w:sz="0" w:space="0" w:color="auto"/>
      </w:divBdr>
    </w:div>
    <w:div w:id="70350646">
      <w:marLeft w:val="960"/>
      <w:marRight w:val="0"/>
      <w:marTop w:val="0"/>
      <w:marBottom w:val="0"/>
      <w:divBdr>
        <w:top w:val="none" w:sz="0" w:space="0" w:color="auto"/>
        <w:left w:val="none" w:sz="0" w:space="0" w:color="auto"/>
        <w:bottom w:val="none" w:sz="0" w:space="0" w:color="auto"/>
        <w:right w:val="none" w:sz="0" w:space="0" w:color="auto"/>
      </w:divBdr>
    </w:div>
    <w:div w:id="70926951">
      <w:marLeft w:val="960"/>
      <w:marRight w:val="0"/>
      <w:marTop w:val="0"/>
      <w:marBottom w:val="0"/>
      <w:divBdr>
        <w:top w:val="none" w:sz="0" w:space="0" w:color="auto"/>
        <w:left w:val="none" w:sz="0" w:space="0" w:color="auto"/>
        <w:bottom w:val="none" w:sz="0" w:space="0" w:color="auto"/>
        <w:right w:val="none" w:sz="0" w:space="0" w:color="auto"/>
      </w:divBdr>
    </w:div>
    <w:div w:id="72942856">
      <w:marLeft w:val="480"/>
      <w:marRight w:val="0"/>
      <w:marTop w:val="0"/>
      <w:marBottom w:val="0"/>
      <w:divBdr>
        <w:top w:val="none" w:sz="0" w:space="0" w:color="auto"/>
        <w:left w:val="none" w:sz="0" w:space="0" w:color="auto"/>
        <w:bottom w:val="none" w:sz="0" w:space="0" w:color="auto"/>
        <w:right w:val="none" w:sz="0" w:space="0" w:color="auto"/>
      </w:divBdr>
    </w:div>
    <w:div w:id="77141115">
      <w:marLeft w:val="1080"/>
      <w:marRight w:val="0"/>
      <w:marTop w:val="0"/>
      <w:marBottom w:val="0"/>
      <w:divBdr>
        <w:top w:val="none" w:sz="0" w:space="0" w:color="auto"/>
        <w:left w:val="none" w:sz="0" w:space="0" w:color="auto"/>
        <w:bottom w:val="none" w:sz="0" w:space="0" w:color="auto"/>
        <w:right w:val="none" w:sz="0" w:space="0" w:color="auto"/>
      </w:divBdr>
    </w:div>
    <w:div w:id="78059994">
      <w:marLeft w:val="480"/>
      <w:marRight w:val="0"/>
      <w:marTop w:val="0"/>
      <w:marBottom w:val="0"/>
      <w:divBdr>
        <w:top w:val="none" w:sz="0" w:space="0" w:color="auto"/>
        <w:left w:val="none" w:sz="0" w:space="0" w:color="auto"/>
        <w:bottom w:val="none" w:sz="0" w:space="0" w:color="auto"/>
        <w:right w:val="none" w:sz="0" w:space="0" w:color="auto"/>
      </w:divBdr>
    </w:div>
    <w:div w:id="83495776">
      <w:marLeft w:val="720"/>
      <w:marRight w:val="0"/>
      <w:marTop w:val="0"/>
      <w:marBottom w:val="0"/>
      <w:divBdr>
        <w:top w:val="none" w:sz="0" w:space="0" w:color="auto"/>
        <w:left w:val="none" w:sz="0" w:space="0" w:color="auto"/>
        <w:bottom w:val="none" w:sz="0" w:space="0" w:color="auto"/>
        <w:right w:val="none" w:sz="0" w:space="0" w:color="auto"/>
      </w:divBdr>
    </w:div>
    <w:div w:id="86462345">
      <w:marLeft w:val="720"/>
      <w:marRight w:val="0"/>
      <w:marTop w:val="0"/>
      <w:marBottom w:val="0"/>
      <w:divBdr>
        <w:top w:val="none" w:sz="0" w:space="0" w:color="auto"/>
        <w:left w:val="none" w:sz="0" w:space="0" w:color="auto"/>
        <w:bottom w:val="none" w:sz="0" w:space="0" w:color="auto"/>
        <w:right w:val="none" w:sz="0" w:space="0" w:color="auto"/>
      </w:divBdr>
    </w:div>
    <w:div w:id="89012915">
      <w:marLeft w:val="1080"/>
      <w:marRight w:val="0"/>
      <w:marTop w:val="0"/>
      <w:marBottom w:val="0"/>
      <w:divBdr>
        <w:top w:val="none" w:sz="0" w:space="0" w:color="auto"/>
        <w:left w:val="none" w:sz="0" w:space="0" w:color="auto"/>
        <w:bottom w:val="none" w:sz="0" w:space="0" w:color="auto"/>
        <w:right w:val="none" w:sz="0" w:space="0" w:color="auto"/>
      </w:divBdr>
    </w:div>
    <w:div w:id="89546171">
      <w:marLeft w:val="840"/>
      <w:marRight w:val="0"/>
      <w:marTop w:val="0"/>
      <w:marBottom w:val="0"/>
      <w:divBdr>
        <w:top w:val="none" w:sz="0" w:space="0" w:color="auto"/>
        <w:left w:val="none" w:sz="0" w:space="0" w:color="auto"/>
        <w:bottom w:val="none" w:sz="0" w:space="0" w:color="auto"/>
        <w:right w:val="none" w:sz="0" w:space="0" w:color="auto"/>
      </w:divBdr>
    </w:div>
    <w:div w:id="90203233">
      <w:marLeft w:val="960"/>
      <w:marRight w:val="0"/>
      <w:marTop w:val="0"/>
      <w:marBottom w:val="0"/>
      <w:divBdr>
        <w:top w:val="none" w:sz="0" w:space="0" w:color="auto"/>
        <w:left w:val="none" w:sz="0" w:space="0" w:color="auto"/>
        <w:bottom w:val="none" w:sz="0" w:space="0" w:color="auto"/>
        <w:right w:val="none" w:sz="0" w:space="0" w:color="auto"/>
      </w:divBdr>
    </w:div>
    <w:div w:id="94329526">
      <w:marLeft w:val="960"/>
      <w:marRight w:val="0"/>
      <w:marTop w:val="0"/>
      <w:marBottom w:val="0"/>
      <w:divBdr>
        <w:top w:val="none" w:sz="0" w:space="0" w:color="auto"/>
        <w:left w:val="none" w:sz="0" w:space="0" w:color="auto"/>
        <w:bottom w:val="none" w:sz="0" w:space="0" w:color="auto"/>
        <w:right w:val="none" w:sz="0" w:space="0" w:color="auto"/>
      </w:divBdr>
    </w:div>
    <w:div w:id="96291534">
      <w:marLeft w:val="960"/>
      <w:marRight w:val="0"/>
      <w:marTop w:val="0"/>
      <w:marBottom w:val="0"/>
      <w:divBdr>
        <w:top w:val="none" w:sz="0" w:space="0" w:color="auto"/>
        <w:left w:val="none" w:sz="0" w:space="0" w:color="auto"/>
        <w:bottom w:val="none" w:sz="0" w:space="0" w:color="auto"/>
        <w:right w:val="none" w:sz="0" w:space="0" w:color="auto"/>
      </w:divBdr>
    </w:div>
    <w:div w:id="96683150">
      <w:marLeft w:val="720"/>
      <w:marRight w:val="0"/>
      <w:marTop w:val="0"/>
      <w:marBottom w:val="0"/>
      <w:divBdr>
        <w:top w:val="none" w:sz="0" w:space="0" w:color="auto"/>
        <w:left w:val="none" w:sz="0" w:space="0" w:color="auto"/>
        <w:bottom w:val="none" w:sz="0" w:space="0" w:color="auto"/>
        <w:right w:val="none" w:sz="0" w:space="0" w:color="auto"/>
      </w:divBdr>
    </w:div>
    <w:div w:id="98180942">
      <w:marLeft w:val="960"/>
      <w:marRight w:val="0"/>
      <w:marTop w:val="0"/>
      <w:marBottom w:val="0"/>
      <w:divBdr>
        <w:top w:val="none" w:sz="0" w:space="0" w:color="auto"/>
        <w:left w:val="none" w:sz="0" w:space="0" w:color="auto"/>
        <w:bottom w:val="none" w:sz="0" w:space="0" w:color="auto"/>
        <w:right w:val="none" w:sz="0" w:space="0" w:color="auto"/>
      </w:divBdr>
    </w:div>
    <w:div w:id="98187865">
      <w:marLeft w:val="840"/>
      <w:marRight w:val="0"/>
      <w:marTop w:val="0"/>
      <w:marBottom w:val="0"/>
      <w:divBdr>
        <w:top w:val="none" w:sz="0" w:space="0" w:color="auto"/>
        <w:left w:val="none" w:sz="0" w:space="0" w:color="auto"/>
        <w:bottom w:val="none" w:sz="0" w:space="0" w:color="auto"/>
        <w:right w:val="none" w:sz="0" w:space="0" w:color="auto"/>
      </w:divBdr>
    </w:div>
    <w:div w:id="101268187">
      <w:marLeft w:val="1080"/>
      <w:marRight w:val="0"/>
      <w:marTop w:val="0"/>
      <w:marBottom w:val="0"/>
      <w:divBdr>
        <w:top w:val="none" w:sz="0" w:space="0" w:color="auto"/>
        <w:left w:val="none" w:sz="0" w:space="0" w:color="auto"/>
        <w:bottom w:val="none" w:sz="0" w:space="0" w:color="auto"/>
        <w:right w:val="none" w:sz="0" w:space="0" w:color="auto"/>
      </w:divBdr>
    </w:div>
    <w:div w:id="103815046">
      <w:marLeft w:val="720"/>
      <w:marRight w:val="0"/>
      <w:marTop w:val="0"/>
      <w:marBottom w:val="0"/>
      <w:divBdr>
        <w:top w:val="none" w:sz="0" w:space="0" w:color="auto"/>
        <w:left w:val="none" w:sz="0" w:space="0" w:color="auto"/>
        <w:bottom w:val="none" w:sz="0" w:space="0" w:color="auto"/>
        <w:right w:val="none" w:sz="0" w:space="0" w:color="auto"/>
      </w:divBdr>
    </w:div>
    <w:div w:id="109132558">
      <w:marLeft w:val="1080"/>
      <w:marRight w:val="0"/>
      <w:marTop w:val="0"/>
      <w:marBottom w:val="0"/>
      <w:divBdr>
        <w:top w:val="none" w:sz="0" w:space="0" w:color="auto"/>
        <w:left w:val="none" w:sz="0" w:space="0" w:color="auto"/>
        <w:bottom w:val="none" w:sz="0" w:space="0" w:color="auto"/>
        <w:right w:val="none" w:sz="0" w:space="0" w:color="auto"/>
      </w:divBdr>
    </w:div>
    <w:div w:id="112948572">
      <w:marLeft w:val="960"/>
      <w:marRight w:val="0"/>
      <w:marTop w:val="0"/>
      <w:marBottom w:val="0"/>
      <w:divBdr>
        <w:top w:val="none" w:sz="0" w:space="0" w:color="auto"/>
        <w:left w:val="none" w:sz="0" w:space="0" w:color="auto"/>
        <w:bottom w:val="none" w:sz="0" w:space="0" w:color="auto"/>
        <w:right w:val="none" w:sz="0" w:space="0" w:color="auto"/>
      </w:divBdr>
    </w:div>
    <w:div w:id="124857287">
      <w:marLeft w:val="960"/>
      <w:marRight w:val="0"/>
      <w:marTop w:val="0"/>
      <w:marBottom w:val="0"/>
      <w:divBdr>
        <w:top w:val="none" w:sz="0" w:space="0" w:color="auto"/>
        <w:left w:val="none" w:sz="0" w:space="0" w:color="auto"/>
        <w:bottom w:val="none" w:sz="0" w:space="0" w:color="auto"/>
        <w:right w:val="none" w:sz="0" w:space="0" w:color="auto"/>
      </w:divBdr>
    </w:div>
    <w:div w:id="125008552">
      <w:marLeft w:val="1080"/>
      <w:marRight w:val="0"/>
      <w:marTop w:val="0"/>
      <w:marBottom w:val="0"/>
      <w:divBdr>
        <w:top w:val="none" w:sz="0" w:space="0" w:color="auto"/>
        <w:left w:val="none" w:sz="0" w:space="0" w:color="auto"/>
        <w:bottom w:val="none" w:sz="0" w:space="0" w:color="auto"/>
        <w:right w:val="none" w:sz="0" w:space="0" w:color="auto"/>
      </w:divBdr>
    </w:div>
    <w:div w:id="126777747">
      <w:marLeft w:val="840"/>
      <w:marRight w:val="0"/>
      <w:marTop w:val="0"/>
      <w:marBottom w:val="0"/>
      <w:divBdr>
        <w:top w:val="none" w:sz="0" w:space="0" w:color="auto"/>
        <w:left w:val="none" w:sz="0" w:space="0" w:color="auto"/>
        <w:bottom w:val="none" w:sz="0" w:space="0" w:color="auto"/>
        <w:right w:val="none" w:sz="0" w:space="0" w:color="auto"/>
      </w:divBdr>
    </w:div>
    <w:div w:id="133453113">
      <w:marLeft w:val="720"/>
      <w:marRight w:val="0"/>
      <w:marTop w:val="0"/>
      <w:marBottom w:val="0"/>
      <w:divBdr>
        <w:top w:val="none" w:sz="0" w:space="0" w:color="auto"/>
        <w:left w:val="none" w:sz="0" w:space="0" w:color="auto"/>
        <w:bottom w:val="none" w:sz="0" w:space="0" w:color="auto"/>
        <w:right w:val="none" w:sz="0" w:space="0" w:color="auto"/>
      </w:divBdr>
    </w:div>
    <w:div w:id="134220454">
      <w:marLeft w:val="0"/>
      <w:marRight w:val="0"/>
      <w:marTop w:val="0"/>
      <w:marBottom w:val="0"/>
      <w:divBdr>
        <w:top w:val="none" w:sz="0" w:space="0" w:color="auto"/>
        <w:left w:val="none" w:sz="0" w:space="0" w:color="auto"/>
        <w:bottom w:val="none" w:sz="0" w:space="0" w:color="auto"/>
        <w:right w:val="none" w:sz="0" w:space="0" w:color="auto"/>
      </w:divBdr>
    </w:div>
    <w:div w:id="139352766">
      <w:marLeft w:val="0"/>
      <w:marRight w:val="0"/>
      <w:marTop w:val="0"/>
      <w:marBottom w:val="0"/>
      <w:divBdr>
        <w:top w:val="none" w:sz="0" w:space="0" w:color="auto"/>
        <w:left w:val="none" w:sz="0" w:space="0" w:color="auto"/>
        <w:bottom w:val="none" w:sz="0" w:space="0" w:color="auto"/>
        <w:right w:val="none" w:sz="0" w:space="0" w:color="auto"/>
      </w:divBdr>
      <w:divsChild>
        <w:div w:id="413865198">
          <w:marLeft w:val="0"/>
          <w:marRight w:val="0"/>
          <w:marTop w:val="120"/>
          <w:marBottom w:val="0"/>
          <w:divBdr>
            <w:top w:val="none" w:sz="0" w:space="0" w:color="auto"/>
            <w:left w:val="none" w:sz="0" w:space="0" w:color="auto"/>
            <w:bottom w:val="none" w:sz="0" w:space="0" w:color="auto"/>
            <w:right w:val="none" w:sz="0" w:space="0" w:color="auto"/>
          </w:divBdr>
        </w:div>
        <w:div w:id="2055541148">
          <w:marLeft w:val="0"/>
          <w:marRight w:val="0"/>
          <w:marTop w:val="0"/>
          <w:marBottom w:val="0"/>
          <w:divBdr>
            <w:top w:val="none" w:sz="0" w:space="0" w:color="auto"/>
            <w:left w:val="none" w:sz="0" w:space="0" w:color="auto"/>
            <w:bottom w:val="none" w:sz="0" w:space="0" w:color="auto"/>
            <w:right w:val="none" w:sz="0" w:space="0" w:color="auto"/>
          </w:divBdr>
          <w:divsChild>
            <w:div w:id="2120948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1894022">
      <w:marLeft w:val="840"/>
      <w:marRight w:val="0"/>
      <w:marTop w:val="0"/>
      <w:marBottom w:val="0"/>
      <w:divBdr>
        <w:top w:val="none" w:sz="0" w:space="0" w:color="auto"/>
        <w:left w:val="none" w:sz="0" w:space="0" w:color="auto"/>
        <w:bottom w:val="none" w:sz="0" w:space="0" w:color="auto"/>
        <w:right w:val="none" w:sz="0" w:space="0" w:color="auto"/>
      </w:divBdr>
    </w:div>
    <w:div w:id="145242740">
      <w:marLeft w:val="720"/>
      <w:marRight w:val="0"/>
      <w:marTop w:val="0"/>
      <w:marBottom w:val="0"/>
      <w:divBdr>
        <w:top w:val="none" w:sz="0" w:space="0" w:color="auto"/>
        <w:left w:val="none" w:sz="0" w:space="0" w:color="auto"/>
        <w:bottom w:val="none" w:sz="0" w:space="0" w:color="auto"/>
        <w:right w:val="none" w:sz="0" w:space="0" w:color="auto"/>
      </w:divBdr>
    </w:div>
    <w:div w:id="150682143">
      <w:marLeft w:val="960"/>
      <w:marRight w:val="0"/>
      <w:marTop w:val="0"/>
      <w:marBottom w:val="0"/>
      <w:divBdr>
        <w:top w:val="none" w:sz="0" w:space="0" w:color="auto"/>
        <w:left w:val="none" w:sz="0" w:space="0" w:color="auto"/>
        <w:bottom w:val="none" w:sz="0" w:space="0" w:color="auto"/>
        <w:right w:val="none" w:sz="0" w:space="0" w:color="auto"/>
      </w:divBdr>
    </w:div>
    <w:div w:id="151063229">
      <w:marLeft w:val="1080"/>
      <w:marRight w:val="0"/>
      <w:marTop w:val="0"/>
      <w:marBottom w:val="0"/>
      <w:divBdr>
        <w:top w:val="none" w:sz="0" w:space="0" w:color="auto"/>
        <w:left w:val="none" w:sz="0" w:space="0" w:color="auto"/>
        <w:bottom w:val="none" w:sz="0" w:space="0" w:color="auto"/>
        <w:right w:val="none" w:sz="0" w:space="0" w:color="auto"/>
      </w:divBdr>
    </w:div>
    <w:div w:id="156269311">
      <w:marLeft w:val="1080"/>
      <w:marRight w:val="0"/>
      <w:marTop w:val="0"/>
      <w:marBottom w:val="0"/>
      <w:divBdr>
        <w:top w:val="none" w:sz="0" w:space="0" w:color="auto"/>
        <w:left w:val="none" w:sz="0" w:space="0" w:color="auto"/>
        <w:bottom w:val="none" w:sz="0" w:space="0" w:color="auto"/>
        <w:right w:val="none" w:sz="0" w:space="0" w:color="auto"/>
      </w:divBdr>
    </w:div>
    <w:div w:id="159976644">
      <w:marLeft w:val="0"/>
      <w:marRight w:val="0"/>
      <w:marTop w:val="0"/>
      <w:marBottom w:val="0"/>
      <w:divBdr>
        <w:top w:val="none" w:sz="0" w:space="0" w:color="auto"/>
        <w:left w:val="none" w:sz="0" w:space="0" w:color="auto"/>
        <w:bottom w:val="none" w:sz="0" w:space="0" w:color="auto"/>
        <w:right w:val="none" w:sz="0" w:space="0" w:color="auto"/>
      </w:divBdr>
      <w:divsChild>
        <w:div w:id="1338193005">
          <w:marLeft w:val="0"/>
          <w:marRight w:val="0"/>
          <w:marTop w:val="120"/>
          <w:marBottom w:val="0"/>
          <w:divBdr>
            <w:top w:val="none" w:sz="0" w:space="0" w:color="auto"/>
            <w:left w:val="none" w:sz="0" w:space="0" w:color="auto"/>
            <w:bottom w:val="none" w:sz="0" w:space="0" w:color="auto"/>
            <w:right w:val="none" w:sz="0" w:space="0" w:color="auto"/>
          </w:divBdr>
        </w:div>
        <w:div w:id="505873899">
          <w:marLeft w:val="0"/>
          <w:marRight w:val="0"/>
          <w:marTop w:val="0"/>
          <w:marBottom w:val="0"/>
          <w:divBdr>
            <w:top w:val="none" w:sz="0" w:space="0" w:color="auto"/>
            <w:left w:val="none" w:sz="0" w:space="0" w:color="auto"/>
            <w:bottom w:val="none" w:sz="0" w:space="0" w:color="auto"/>
            <w:right w:val="none" w:sz="0" w:space="0" w:color="auto"/>
          </w:divBdr>
          <w:divsChild>
            <w:div w:id="14100341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446528">
      <w:marLeft w:val="1080"/>
      <w:marRight w:val="0"/>
      <w:marTop w:val="0"/>
      <w:marBottom w:val="0"/>
      <w:divBdr>
        <w:top w:val="none" w:sz="0" w:space="0" w:color="auto"/>
        <w:left w:val="none" w:sz="0" w:space="0" w:color="auto"/>
        <w:bottom w:val="none" w:sz="0" w:space="0" w:color="auto"/>
        <w:right w:val="none" w:sz="0" w:space="0" w:color="auto"/>
      </w:divBdr>
    </w:div>
    <w:div w:id="168064064">
      <w:marLeft w:val="1200"/>
      <w:marRight w:val="0"/>
      <w:marTop w:val="0"/>
      <w:marBottom w:val="0"/>
      <w:divBdr>
        <w:top w:val="none" w:sz="0" w:space="0" w:color="auto"/>
        <w:left w:val="none" w:sz="0" w:space="0" w:color="auto"/>
        <w:bottom w:val="none" w:sz="0" w:space="0" w:color="auto"/>
        <w:right w:val="none" w:sz="0" w:space="0" w:color="auto"/>
      </w:divBdr>
    </w:div>
    <w:div w:id="171720464">
      <w:marLeft w:val="0"/>
      <w:marRight w:val="0"/>
      <w:marTop w:val="0"/>
      <w:marBottom w:val="0"/>
      <w:divBdr>
        <w:top w:val="none" w:sz="0" w:space="0" w:color="auto"/>
        <w:left w:val="none" w:sz="0" w:space="0" w:color="auto"/>
        <w:bottom w:val="none" w:sz="0" w:space="0" w:color="auto"/>
        <w:right w:val="none" w:sz="0" w:space="0" w:color="auto"/>
      </w:divBdr>
      <w:divsChild>
        <w:div w:id="1048720820">
          <w:marLeft w:val="0"/>
          <w:marRight w:val="0"/>
          <w:marTop w:val="120"/>
          <w:marBottom w:val="0"/>
          <w:divBdr>
            <w:top w:val="none" w:sz="0" w:space="0" w:color="auto"/>
            <w:left w:val="none" w:sz="0" w:space="0" w:color="auto"/>
            <w:bottom w:val="none" w:sz="0" w:space="0" w:color="auto"/>
            <w:right w:val="none" w:sz="0" w:space="0" w:color="auto"/>
          </w:divBdr>
        </w:div>
        <w:div w:id="1642147833">
          <w:marLeft w:val="0"/>
          <w:marRight w:val="0"/>
          <w:marTop w:val="0"/>
          <w:marBottom w:val="0"/>
          <w:divBdr>
            <w:top w:val="none" w:sz="0" w:space="0" w:color="auto"/>
            <w:left w:val="none" w:sz="0" w:space="0" w:color="auto"/>
            <w:bottom w:val="none" w:sz="0" w:space="0" w:color="auto"/>
            <w:right w:val="none" w:sz="0" w:space="0" w:color="auto"/>
          </w:divBdr>
          <w:divsChild>
            <w:div w:id="14844659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157416">
      <w:marLeft w:val="720"/>
      <w:marRight w:val="0"/>
      <w:marTop w:val="0"/>
      <w:marBottom w:val="0"/>
      <w:divBdr>
        <w:top w:val="none" w:sz="0" w:space="0" w:color="auto"/>
        <w:left w:val="none" w:sz="0" w:space="0" w:color="auto"/>
        <w:bottom w:val="none" w:sz="0" w:space="0" w:color="auto"/>
        <w:right w:val="none" w:sz="0" w:space="0" w:color="auto"/>
      </w:divBdr>
    </w:div>
    <w:div w:id="175194604">
      <w:marLeft w:val="960"/>
      <w:marRight w:val="0"/>
      <w:marTop w:val="0"/>
      <w:marBottom w:val="0"/>
      <w:divBdr>
        <w:top w:val="none" w:sz="0" w:space="0" w:color="auto"/>
        <w:left w:val="none" w:sz="0" w:space="0" w:color="auto"/>
        <w:bottom w:val="none" w:sz="0" w:space="0" w:color="auto"/>
        <w:right w:val="none" w:sz="0" w:space="0" w:color="auto"/>
      </w:divBdr>
    </w:div>
    <w:div w:id="177232847">
      <w:marLeft w:val="1080"/>
      <w:marRight w:val="0"/>
      <w:marTop w:val="0"/>
      <w:marBottom w:val="0"/>
      <w:divBdr>
        <w:top w:val="none" w:sz="0" w:space="0" w:color="auto"/>
        <w:left w:val="none" w:sz="0" w:space="0" w:color="auto"/>
        <w:bottom w:val="none" w:sz="0" w:space="0" w:color="auto"/>
        <w:right w:val="none" w:sz="0" w:space="0" w:color="auto"/>
      </w:divBdr>
    </w:div>
    <w:div w:id="182088420">
      <w:marLeft w:val="1080"/>
      <w:marRight w:val="0"/>
      <w:marTop w:val="0"/>
      <w:marBottom w:val="0"/>
      <w:divBdr>
        <w:top w:val="none" w:sz="0" w:space="0" w:color="auto"/>
        <w:left w:val="none" w:sz="0" w:space="0" w:color="auto"/>
        <w:bottom w:val="none" w:sz="0" w:space="0" w:color="auto"/>
        <w:right w:val="none" w:sz="0" w:space="0" w:color="auto"/>
      </w:divBdr>
    </w:div>
    <w:div w:id="183401555">
      <w:marLeft w:val="720"/>
      <w:marRight w:val="0"/>
      <w:marTop w:val="0"/>
      <w:marBottom w:val="0"/>
      <w:divBdr>
        <w:top w:val="none" w:sz="0" w:space="0" w:color="auto"/>
        <w:left w:val="none" w:sz="0" w:space="0" w:color="auto"/>
        <w:bottom w:val="none" w:sz="0" w:space="0" w:color="auto"/>
        <w:right w:val="none" w:sz="0" w:space="0" w:color="auto"/>
      </w:divBdr>
    </w:div>
    <w:div w:id="189728992">
      <w:marLeft w:val="720"/>
      <w:marRight w:val="0"/>
      <w:marTop w:val="0"/>
      <w:marBottom w:val="0"/>
      <w:divBdr>
        <w:top w:val="none" w:sz="0" w:space="0" w:color="auto"/>
        <w:left w:val="none" w:sz="0" w:space="0" w:color="auto"/>
        <w:bottom w:val="none" w:sz="0" w:space="0" w:color="auto"/>
        <w:right w:val="none" w:sz="0" w:space="0" w:color="auto"/>
      </w:divBdr>
    </w:div>
    <w:div w:id="193428538">
      <w:marLeft w:val="1200"/>
      <w:marRight w:val="0"/>
      <w:marTop w:val="0"/>
      <w:marBottom w:val="0"/>
      <w:divBdr>
        <w:top w:val="none" w:sz="0" w:space="0" w:color="auto"/>
        <w:left w:val="none" w:sz="0" w:space="0" w:color="auto"/>
        <w:bottom w:val="none" w:sz="0" w:space="0" w:color="auto"/>
        <w:right w:val="none" w:sz="0" w:space="0" w:color="auto"/>
      </w:divBdr>
    </w:div>
    <w:div w:id="201291298">
      <w:marLeft w:val="840"/>
      <w:marRight w:val="0"/>
      <w:marTop w:val="0"/>
      <w:marBottom w:val="0"/>
      <w:divBdr>
        <w:top w:val="none" w:sz="0" w:space="0" w:color="auto"/>
        <w:left w:val="none" w:sz="0" w:space="0" w:color="auto"/>
        <w:bottom w:val="none" w:sz="0" w:space="0" w:color="auto"/>
        <w:right w:val="none" w:sz="0" w:space="0" w:color="auto"/>
      </w:divBdr>
    </w:div>
    <w:div w:id="206918412">
      <w:marLeft w:val="0"/>
      <w:marRight w:val="0"/>
      <w:marTop w:val="0"/>
      <w:marBottom w:val="0"/>
      <w:divBdr>
        <w:top w:val="none" w:sz="0" w:space="0" w:color="auto"/>
        <w:left w:val="none" w:sz="0" w:space="0" w:color="auto"/>
        <w:bottom w:val="none" w:sz="0" w:space="0" w:color="auto"/>
        <w:right w:val="none" w:sz="0" w:space="0" w:color="auto"/>
      </w:divBdr>
      <w:divsChild>
        <w:div w:id="392000157">
          <w:marLeft w:val="0"/>
          <w:marRight w:val="0"/>
          <w:marTop w:val="120"/>
          <w:marBottom w:val="0"/>
          <w:divBdr>
            <w:top w:val="none" w:sz="0" w:space="0" w:color="auto"/>
            <w:left w:val="none" w:sz="0" w:space="0" w:color="auto"/>
            <w:bottom w:val="none" w:sz="0" w:space="0" w:color="auto"/>
            <w:right w:val="none" w:sz="0" w:space="0" w:color="auto"/>
          </w:divBdr>
        </w:div>
        <w:div w:id="1408072583">
          <w:marLeft w:val="0"/>
          <w:marRight w:val="0"/>
          <w:marTop w:val="0"/>
          <w:marBottom w:val="0"/>
          <w:divBdr>
            <w:top w:val="none" w:sz="0" w:space="0" w:color="auto"/>
            <w:left w:val="none" w:sz="0" w:space="0" w:color="auto"/>
            <w:bottom w:val="none" w:sz="0" w:space="0" w:color="auto"/>
            <w:right w:val="none" w:sz="0" w:space="0" w:color="auto"/>
          </w:divBdr>
          <w:divsChild>
            <w:div w:id="202525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304993">
      <w:marLeft w:val="960"/>
      <w:marRight w:val="0"/>
      <w:marTop w:val="0"/>
      <w:marBottom w:val="0"/>
      <w:divBdr>
        <w:top w:val="none" w:sz="0" w:space="0" w:color="auto"/>
        <w:left w:val="none" w:sz="0" w:space="0" w:color="auto"/>
        <w:bottom w:val="none" w:sz="0" w:space="0" w:color="auto"/>
        <w:right w:val="none" w:sz="0" w:space="0" w:color="auto"/>
      </w:divBdr>
    </w:div>
    <w:div w:id="208495577">
      <w:marLeft w:val="0"/>
      <w:marRight w:val="0"/>
      <w:marTop w:val="0"/>
      <w:marBottom w:val="0"/>
      <w:divBdr>
        <w:top w:val="none" w:sz="0" w:space="0" w:color="auto"/>
        <w:left w:val="none" w:sz="0" w:space="0" w:color="auto"/>
        <w:bottom w:val="none" w:sz="0" w:space="0" w:color="auto"/>
        <w:right w:val="none" w:sz="0" w:space="0" w:color="auto"/>
      </w:divBdr>
      <w:divsChild>
        <w:div w:id="578637553">
          <w:marLeft w:val="0"/>
          <w:marRight w:val="0"/>
          <w:marTop w:val="120"/>
          <w:marBottom w:val="0"/>
          <w:divBdr>
            <w:top w:val="none" w:sz="0" w:space="0" w:color="auto"/>
            <w:left w:val="none" w:sz="0" w:space="0" w:color="auto"/>
            <w:bottom w:val="none" w:sz="0" w:space="0" w:color="auto"/>
            <w:right w:val="none" w:sz="0" w:space="0" w:color="auto"/>
          </w:divBdr>
        </w:div>
        <w:div w:id="1322613839">
          <w:marLeft w:val="0"/>
          <w:marRight w:val="0"/>
          <w:marTop w:val="0"/>
          <w:marBottom w:val="0"/>
          <w:divBdr>
            <w:top w:val="none" w:sz="0" w:space="0" w:color="auto"/>
            <w:left w:val="none" w:sz="0" w:space="0" w:color="auto"/>
            <w:bottom w:val="none" w:sz="0" w:space="0" w:color="auto"/>
            <w:right w:val="none" w:sz="0" w:space="0" w:color="auto"/>
          </w:divBdr>
          <w:divsChild>
            <w:div w:id="4736468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616406">
      <w:marLeft w:val="0"/>
      <w:marRight w:val="0"/>
      <w:marTop w:val="0"/>
      <w:marBottom w:val="0"/>
      <w:divBdr>
        <w:top w:val="none" w:sz="0" w:space="0" w:color="auto"/>
        <w:left w:val="none" w:sz="0" w:space="0" w:color="auto"/>
        <w:bottom w:val="none" w:sz="0" w:space="0" w:color="auto"/>
        <w:right w:val="none" w:sz="0" w:space="0" w:color="auto"/>
      </w:divBdr>
      <w:divsChild>
        <w:div w:id="1654488390">
          <w:marLeft w:val="0"/>
          <w:marRight w:val="0"/>
          <w:marTop w:val="120"/>
          <w:marBottom w:val="0"/>
          <w:divBdr>
            <w:top w:val="none" w:sz="0" w:space="0" w:color="auto"/>
            <w:left w:val="none" w:sz="0" w:space="0" w:color="auto"/>
            <w:bottom w:val="none" w:sz="0" w:space="0" w:color="auto"/>
            <w:right w:val="none" w:sz="0" w:space="0" w:color="auto"/>
          </w:divBdr>
        </w:div>
        <w:div w:id="1086222387">
          <w:marLeft w:val="0"/>
          <w:marRight w:val="0"/>
          <w:marTop w:val="0"/>
          <w:marBottom w:val="0"/>
          <w:divBdr>
            <w:top w:val="none" w:sz="0" w:space="0" w:color="auto"/>
            <w:left w:val="none" w:sz="0" w:space="0" w:color="auto"/>
            <w:bottom w:val="none" w:sz="0" w:space="0" w:color="auto"/>
            <w:right w:val="none" w:sz="0" w:space="0" w:color="auto"/>
          </w:divBdr>
          <w:divsChild>
            <w:div w:id="6225430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6746721">
      <w:marLeft w:val="0"/>
      <w:marRight w:val="0"/>
      <w:marTop w:val="0"/>
      <w:marBottom w:val="0"/>
      <w:divBdr>
        <w:top w:val="none" w:sz="0" w:space="0" w:color="auto"/>
        <w:left w:val="none" w:sz="0" w:space="0" w:color="auto"/>
        <w:bottom w:val="none" w:sz="0" w:space="0" w:color="auto"/>
        <w:right w:val="none" w:sz="0" w:space="0" w:color="auto"/>
      </w:divBdr>
      <w:divsChild>
        <w:div w:id="1028602776">
          <w:marLeft w:val="0"/>
          <w:marRight w:val="0"/>
          <w:marTop w:val="120"/>
          <w:marBottom w:val="0"/>
          <w:divBdr>
            <w:top w:val="none" w:sz="0" w:space="0" w:color="auto"/>
            <w:left w:val="none" w:sz="0" w:space="0" w:color="auto"/>
            <w:bottom w:val="none" w:sz="0" w:space="0" w:color="auto"/>
            <w:right w:val="none" w:sz="0" w:space="0" w:color="auto"/>
          </w:divBdr>
        </w:div>
        <w:div w:id="1432240066">
          <w:marLeft w:val="0"/>
          <w:marRight w:val="0"/>
          <w:marTop w:val="0"/>
          <w:marBottom w:val="0"/>
          <w:divBdr>
            <w:top w:val="none" w:sz="0" w:space="0" w:color="auto"/>
            <w:left w:val="none" w:sz="0" w:space="0" w:color="auto"/>
            <w:bottom w:val="none" w:sz="0" w:space="0" w:color="auto"/>
            <w:right w:val="none" w:sz="0" w:space="0" w:color="auto"/>
          </w:divBdr>
          <w:divsChild>
            <w:div w:id="1358313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1908382">
      <w:marLeft w:val="720"/>
      <w:marRight w:val="0"/>
      <w:marTop w:val="0"/>
      <w:marBottom w:val="0"/>
      <w:divBdr>
        <w:top w:val="none" w:sz="0" w:space="0" w:color="auto"/>
        <w:left w:val="none" w:sz="0" w:space="0" w:color="auto"/>
        <w:bottom w:val="none" w:sz="0" w:space="0" w:color="auto"/>
        <w:right w:val="none" w:sz="0" w:space="0" w:color="auto"/>
      </w:divBdr>
    </w:div>
    <w:div w:id="222103193">
      <w:marLeft w:val="720"/>
      <w:marRight w:val="0"/>
      <w:marTop w:val="0"/>
      <w:marBottom w:val="0"/>
      <w:divBdr>
        <w:top w:val="none" w:sz="0" w:space="0" w:color="auto"/>
        <w:left w:val="none" w:sz="0" w:space="0" w:color="auto"/>
        <w:bottom w:val="none" w:sz="0" w:space="0" w:color="auto"/>
        <w:right w:val="none" w:sz="0" w:space="0" w:color="auto"/>
      </w:divBdr>
    </w:div>
    <w:div w:id="223953871">
      <w:marLeft w:val="1080"/>
      <w:marRight w:val="0"/>
      <w:marTop w:val="0"/>
      <w:marBottom w:val="0"/>
      <w:divBdr>
        <w:top w:val="none" w:sz="0" w:space="0" w:color="auto"/>
        <w:left w:val="none" w:sz="0" w:space="0" w:color="auto"/>
        <w:bottom w:val="none" w:sz="0" w:space="0" w:color="auto"/>
        <w:right w:val="none" w:sz="0" w:space="0" w:color="auto"/>
      </w:divBdr>
    </w:div>
    <w:div w:id="234173803">
      <w:marLeft w:val="1080"/>
      <w:marRight w:val="0"/>
      <w:marTop w:val="0"/>
      <w:marBottom w:val="0"/>
      <w:divBdr>
        <w:top w:val="none" w:sz="0" w:space="0" w:color="auto"/>
        <w:left w:val="none" w:sz="0" w:space="0" w:color="auto"/>
        <w:bottom w:val="none" w:sz="0" w:space="0" w:color="auto"/>
        <w:right w:val="none" w:sz="0" w:space="0" w:color="auto"/>
      </w:divBdr>
    </w:div>
    <w:div w:id="242225478">
      <w:marLeft w:val="720"/>
      <w:marRight w:val="0"/>
      <w:marTop w:val="0"/>
      <w:marBottom w:val="0"/>
      <w:divBdr>
        <w:top w:val="none" w:sz="0" w:space="0" w:color="auto"/>
        <w:left w:val="none" w:sz="0" w:space="0" w:color="auto"/>
        <w:bottom w:val="none" w:sz="0" w:space="0" w:color="auto"/>
        <w:right w:val="none" w:sz="0" w:space="0" w:color="auto"/>
      </w:divBdr>
    </w:div>
    <w:div w:id="243104379">
      <w:marLeft w:val="960"/>
      <w:marRight w:val="0"/>
      <w:marTop w:val="0"/>
      <w:marBottom w:val="0"/>
      <w:divBdr>
        <w:top w:val="none" w:sz="0" w:space="0" w:color="auto"/>
        <w:left w:val="none" w:sz="0" w:space="0" w:color="auto"/>
        <w:bottom w:val="none" w:sz="0" w:space="0" w:color="auto"/>
        <w:right w:val="none" w:sz="0" w:space="0" w:color="auto"/>
      </w:divBdr>
    </w:div>
    <w:div w:id="245964995">
      <w:marLeft w:val="0"/>
      <w:marRight w:val="0"/>
      <w:marTop w:val="120"/>
      <w:marBottom w:val="0"/>
      <w:divBdr>
        <w:top w:val="none" w:sz="0" w:space="0" w:color="auto"/>
        <w:left w:val="none" w:sz="0" w:space="0" w:color="auto"/>
        <w:bottom w:val="none" w:sz="0" w:space="0" w:color="auto"/>
        <w:right w:val="none" w:sz="0" w:space="0" w:color="auto"/>
      </w:divBdr>
    </w:div>
    <w:div w:id="250771829">
      <w:marLeft w:val="720"/>
      <w:marRight w:val="0"/>
      <w:marTop w:val="0"/>
      <w:marBottom w:val="0"/>
      <w:divBdr>
        <w:top w:val="none" w:sz="0" w:space="0" w:color="auto"/>
        <w:left w:val="none" w:sz="0" w:space="0" w:color="auto"/>
        <w:bottom w:val="none" w:sz="0" w:space="0" w:color="auto"/>
        <w:right w:val="none" w:sz="0" w:space="0" w:color="auto"/>
      </w:divBdr>
    </w:div>
    <w:div w:id="250897472">
      <w:marLeft w:val="1080"/>
      <w:marRight w:val="0"/>
      <w:marTop w:val="0"/>
      <w:marBottom w:val="0"/>
      <w:divBdr>
        <w:top w:val="none" w:sz="0" w:space="0" w:color="auto"/>
        <w:left w:val="none" w:sz="0" w:space="0" w:color="auto"/>
        <w:bottom w:val="none" w:sz="0" w:space="0" w:color="auto"/>
        <w:right w:val="none" w:sz="0" w:space="0" w:color="auto"/>
      </w:divBdr>
    </w:div>
    <w:div w:id="251163832">
      <w:marLeft w:val="720"/>
      <w:marRight w:val="0"/>
      <w:marTop w:val="0"/>
      <w:marBottom w:val="0"/>
      <w:divBdr>
        <w:top w:val="none" w:sz="0" w:space="0" w:color="auto"/>
        <w:left w:val="none" w:sz="0" w:space="0" w:color="auto"/>
        <w:bottom w:val="none" w:sz="0" w:space="0" w:color="auto"/>
        <w:right w:val="none" w:sz="0" w:space="0" w:color="auto"/>
      </w:divBdr>
    </w:div>
    <w:div w:id="253322656">
      <w:marLeft w:val="1080"/>
      <w:marRight w:val="0"/>
      <w:marTop w:val="0"/>
      <w:marBottom w:val="0"/>
      <w:divBdr>
        <w:top w:val="none" w:sz="0" w:space="0" w:color="auto"/>
        <w:left w:val="none" w:sz="0" w:space="0" w:color="auto"/>
        <w:bottom w:val="none" w:sz="0" w:space="0" w:color="auto"/>
        <w:right w:val="none" w:sz="0" w:space="0" w:color="auto"/>
      </w:divBdr>
    </w:div>
    <w:div w:id="258948373">
      <w:marLeft w:val="720"/>
      <w:marRight w:val="0"/>
      <w:marTop w:val="0"/>
      <w:marBottom w:val="0"/>
      <w:divBdr>
        <w:top w:val="none" w:sz="0" w:space="0" w:color="auto"/>
        <w:left w:val="none" w:sz="0" w:space="0" w:color="auto"/>
        <w:bottom w:val="none" w:sz="0" w:space="0" w:color="auto"/>
        <w:right w:val="none" w:sz="0" w:space="0" w:color="auto"/>
      </w:divBdr>
    </w:div>
    <w:div w:id="260139835">
      <w:marLeft w:val="840"/>
      <w:marRight w:val="0"/>
      <w:marTop w:val="0"/>
      <w:marBottom w:val="0"/>
      <w:divBdr>
        <w:top w:val="none" w:sz="0" w:space="0" w:color="auto"/>
        <w:left w:val="none" w:sz="0" w:space="0" w:color="auto"/>
        <w:bottom w:val="none" w:sz="0" w:space="0" w:color="auto"/>
        <w:right w:val="none" w:sz="0" w:space="0" w:color="auto"/>
      </w:divBdr>
    </w:div>
    <w:div w:id="266037302">
      <w:marLeft w:val="0"/>
      <w:marRight w:val="0"/>
      <w:marTop w:val="0"/>
      <w:marBottom w:val="0"/>
      <w:divBdr>
        <w:top w:val="none" w:sz="0" w:space="0" w:color="auto"/>
        <w:left w:val="none" w:sz="0" w:space="0" w:color="auto"/>
        <w:bottom w:val="none" w:sz="0" w:space="0" w:color="auto"/>
        <w:right w:val="none" w:sz="0" w:space="0" w:color="auto"/>
      </w:divBdr>
      <w:divsChild>
        <w:div w:id="808939804">
          <w:marLeft w:val="0"/>
          <w:marRight w:val="0"/>
          <w:marTop w:val="120"/>
          <w:marBottom w:val="0"/>
          <w:divBdr>
            <w:top w:val="none" w:sz="0" w:space="0" w:color="auto"/>
            <w:left w:val="none" w:sz="0" w:space="0" w:color="auto"/>
            <w:bottom w:val="none" w:sz="0" w:space="0" w:color="auto"/>
            <w:right w:val="none" w:sz="0" w:space="0" w:color="auto"/>
          </w:divBdr>
        </w:div>
        <w:div w:id="1794708665">
          <w:marLeft w:val="0"/>
          <w:marRight w:val="0"/>
          <w:marTop w:val="0"/>
          <w:marBottom w:val="0"/>
          <w:divBdr>
            <w:top w:val="none" w:sz="0" w:space="0" w:color="auto"/>
            <w:left w:val="none" w:sz="0" w:space="0" w:color="auto"/>
            <w:bottom w:val="none" w:sz="0" w:space="0" w:color="auto"/>
            <w:right w:val="none" w:sz="0" w:space="0" w:color="auto"/>
          </w:divBdr>
        </w:div>
      </w:divsChild>
    </w:div>
    <w:div w:id="266083737">
      <w:marLeft w:val="960"/>
      <w:marRight w:val="0"/>
      <w:marTop w:val="0"/>
      <w:marBottom w:val="0"/>
      <w:divBdr>
        <w:top w:val="none" w:sz="0" w:space="0" w:color="auto"/>
        <w:left w:val="none" w:sz="0" w:space="0" w:color="auto"/>
        <w:bottom w:val="none" w:sz="0" w:space="0" w:color="auto"/>
        <w:right w:val="none" w:sz="0" w:space="0" w:color="auto"/>
      </w:divBdr>
    </w:div>
    <w:div w:id="274824064">
      <w:marLeft w:val="0"/>
      <w:marRight w:val="0"/>
      <w:marTop w:val="0"/>
      <w:marBottom w:val="0"/>
      <w:divBdr>
        <w:top w:val="none" w:sz="0" w:space="0" w:color="auto"/>
        <w:left w:val="none" w:sz="0" w:space="0" w:color="auto"/>
        <w:bottom w:val="none" w:sz="0" w:space="0" w:color="auto"/>
        <w:right w:val="none" w:sz="0" w:space="0" w:color="auto"/>
      </w:divBdr>
      <w:divsChild>
        <w:div w:id="118107536">
          <w:marLeft w:val="0"/>
          <w:marRight w:val="0"/>
          <w:marTop w:val="120"/>
          <w:marBottom w:val="0"/>
          <w:divBdr>
            <w:top w:val="none" w:sz="0" w:space="0" w:color="auto"/>
            <w:left w:val="none" w:sz="0" w:space="0" w:color="auto"/>
            <w:bottom w:val="none" w:sz="0" w:space="0" w:color="auto"/>
            <w:right w:val="none" w:sz="0" w:space="0" w:color="auto"/>
          </w:divBdr>
        </w:div>
        <w:div w:id="2083480073">
          <w:marLeft w:val="0"/>
          <w:marRight w:val="0"/>
          <w:marTop w:val="0"/>
          <w:marBottom w:val="0"/>
          <w:divBdr>
            <w:top w:val="none" w:sz="0" w:space="0" w:color="auto"/>
            <w:left w:val="none" w:sz="0" w:space="0" w:color="auto"/>
            <w:bottom w:val="none" w:sz="0" w:space="0" w:color="auto"/>
            <w:right w:val="none" w:sz="0" w:space="0" w:color="auto"/>
          </w:divBdr>
          <w:divsChild>
            <w:div w:id="2990717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75060395">
      <w:marLeft w:val="0"/>
      <w:marRight w:val="0"/>
      <w:marTop w:val="120"/>
      <w:marBottom w:val="0"/>
      <w:divBdr>
        <w:top w:val="none" w:sz="0" w:space="0" w:color="auto"/>
        <w:left w:val="none" w:sz="0" w:space="0" w:color="auto"/>
        <w:bottom w:val="none" w:sz="0" w:space="0" w:color="auto"/>
        <w:right w:val="none" w:sz="0" w:space="0" w:color="auto"/>
      </w:divBdr>
    </w:div>
    <w:div w:id="278029376">
      <w:marLeft w:val="1080"/>
      <w:marRight w:val="0"/>
      <w:marTop w:val="0"/>
      <w:marBottom w:val="0"/>
      <w:divBdr>
        <w:top w:val="none" w:sz="0" w:space="0" w:color="auto"/>
        <w:left w:val="none" w:sz="0" w:space="0" w:color="auto"/>
        <w:bottom w:val="none" w:sz="0" w:space="0" w:color="auto"/>
        <w:right w:val="none" w:sz="0" w:space="0" w:color="auto"/>
      </w:divBdr>
    </w:div>
    <w:div w:id="283775172">
      <w:marLeft w:val="720"/>
      <w:marRight w:val="0"/>
      <w:marTop w:val="0"/>
      <w:marBottom w:val="0"/>
      <w:divBdr>
        <w:top w:val="none" w:sz="0" w:space="0" w:color="auto"/>
        <w:left w:val="none" w:sz="0" w:space="0" w:color="auto"/>
        <w:bottom w:val="none" w:sz="0" w:space="0" w:color="auto"/>
        <w:right w:val="none" w:sz="0" w:space="0" w:color="auto"/>
      </w:divBdr>
    </w:div>
    <w:div w:id="284120092">
      <w:marLeft w:val="1080"/>
      <w:marRight w:val="0"/>
      <w:marTop w:val="0"/>
      <w:marBottom w:val="0"/>
      <w:divBdr>
        <w:top w:val="none" w:sz="0" w:space="0" w:color="auto"/>
        <w:left w:val="none" w:sz="0" w:space="0" w:color="auto"/>
        <w:bottom w:val="none" w:sz="0" w:space="0" w:color="auto"/>
        <w:right w:val="none" w:sz="0" w:space="0" w:color="auto"/>
      </w:divBdr>
    </w:div>
    <w:div w:id="284625414">
      <w:marLeft w:val="0"/>
      <w:marRight w:val="0"/>
      <w:marTop w:val="0"/>
      <w:marBottom w:val="0"/>
      <w:divBdr>
        <w:top w:val="none" w:sz="0" w:space="0" w:color="auto"/>
        <w:left w:val="none" w:sz="0" w:space="0" w:color="auto"/>
        <w:bottom w:val="none" w:sz="0" w:space="0" w:color="auto"/>
        <w:right w:val="none" w:sz="0" w:space="0" w:color="auto"/>
      </w:divBdr>
      <w:divsChild>
        <w:div w:id="1266884550">
          <w:marLeft w:val="0"/>
          <w:marRight w:val="0"/>
          <w:marTop w:val="120"/>
          <w:marBottom w:val="0"/>
          <w:divBdr>
            <w:top w:val="none" w:sz="0" w:space="0" w:color="auto"/>
            <w:left w:val="none" w:sz="0" w:space="0" w:color="auto"/>
            <w:bottom w:val="none" w:sz="0" w:space="0" w:color="auto"/>
            <w:right w:val="none" w:sz="0" w:space="0" w:color="auto"/>
          </w:divBdr>
        </w:div>
        <w:div w:id="337579426">
          <w:marLeft w:val="0"/>
          <w:marRight w:val="0"/>
          <w:marTop w:val="0"/>
          <w:marBottom w:val="0"/>
          <w:divBdr>
            <w:top w:val="none" w:sz="0" w:space="0" w:color="auto"/>
            <w:left w:val="none" w:sz="0" w:space="0" w:color="auto"/>
            <w:bottom w:val="none" w:sz="0" w:space="0" w:color="auto"/>
            <w:right w:val="none" w:sz="0" w:space="0" w:color="auto"/>
          </w:divBdr>
          <w:divsChild>
            <w:div w:id="39980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4772909">
      <w:marLeft w:val="0"/>
      <w:marRight w:val="0"/>
      <w:marTop w:val="0"/>
      <w:marBottom w:val="0"/>
      <w:divBdr>
        <w:top w:val="none" w:sz="0" w:space="0" w:color="auto"/>
        <w:left w:val="none" w:sz="0" w:space="0" w:color="auto"/>
        <w:bottom w:val="none" w:sz="0" w:space="0" w:color="auto"/>
        <w:right w:val="none" w:sz="0" w:space="0" w:color="auto"/>
      </w:divBdr>
      <w:divsChild>
        <w:div w:id="1436246428">
          <w:marLeft w:val="0"/>
          <w:marRight w:val="0"/>
          <w:marTop w:val="120"/>
          <w:marBottom w:val="0"/>
          <w:divBdr>
            <w:top w:val="none" w:sz="0" w:space="0" w:color="auto"/>
            <w:left w:val="none" w:sz="0" w:space="0" w:color="auto"/>
            <w:bottom w:val="none" w:sz="0" w:space="0" w:color="auto"/>
            <w:right w:val="none" w:sz="0" w:space="0" w:color="auto"/>
          </w:divBdr>
        </w:div>
        <w:div w:id="309680188">
          <w:marLeft w:val="0"/>
          <w:marRight w:val="0"/>
          <w:marTop w:val="0"/>
          <w:marBottom w:val="0"/>
          <w:divBdr>
            <w:top w:val="none" w:sz="0" w:space="0" w:color="auto"/>
            <w:left w:val="none" w:sz="0" w:space="0" w:color="auto"/>
            <w:bottom w:val="none" w:sz="0" w:space="0" w:color="auto"/>
            <w:right w:val="none" w:sz="0" w:space="0" w:color="auto"/>
          </w:divBdr>
          <w:divsChild>
            <w:div w:id="1337341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6205481">
      <w:marLeft w:val="0"/>
      <w:marRight w:val="0"/>
      <w:marTop w:val="0"/>
      <w:marBottom w:val="0"/>
      <w:divBdr>
        <w:top w:val="none" w:sz="0" w:space="0" w:color="auto"/>
        <w:left w:val="none" w:sz="0" w:space="0" w:color="auto"/>
        <w:bottom w:val="none" w:sz="0" w:space="0" w:color="auto"/>
        <w:right w:val="none" w:sz="0" w:space="0" w:color="auto"/>
      </w:divBdr>
      <w:divsChild>
        <w:div w:id="3435456">
          <w:marLeft w:val="0"/>
          <w:marRight w:val="0"/>
          <w:marTop w:val="120"/>
          <w:marBottom w:val="0"/>
          <w:divBdr>
            <w:top w:val="none" w:sz="0" w:space="0" w:color="auto"/>
            <w:left w:val="none" w:sz="0" w:space="0" w:color="auto"/>
            <w:bottom w:val="none" w:sz="0" w:space="0" w:color="auto"/>
            <w:right w:val="none" w:sz="0" w:space="0" w:color="auto"/>
          </w:divBdr>
        </w:div>
        <w:div w:id="1120758875">
          <w:marLeft w:val="0"/>
          <w:marRight w:val="0"/>
          <w:marTop w:val="0"/>
          <w:marBottom w:val="0"/>
          <w:divBdr>
            <w:top w:val="none" w:sz="0" w:space="0" w:color="auto"/>
            <w:left w:val="none" w:sz="0" w:space="0" w:color="auto"/>
            <w:bottom w:val="none" w:sz="0" w:space="0" w:color="auto"/>
            <w:right w:val="none" w:sz="0" w:space="0" w:color="auto"/>
          </w:divBdr>
          <w:divsChild>
            <w:div w:id="10729694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9553009">
      <w:marLeft w:val="960"/>
      <w:marRight w:val="0"/>
      <w:marTop w:val="0"/>
      <w:marBottom w:val="0"/>
      <w:divBdr>
        <w:top w:val="none" w:sz="0" w:space="0" w:color="auto"/>
        <w:left w:val="none" w:sz="0" w:space="0" w:color="auto"/>
        <w:bottom w:val="none" w:sz="0" w:space="0" w:color="auto"/>
        <w:right w:val="none" w:sz="0" w:space="0" w:color="auto"/>
      </w:divBdr>
    </w:div>
    <w:div w:id="291254088">
      <w:marLeft w:val="480"/>
      <w:marRight w:val="0"/>
      <w:marTop w:val="0"/>
      <w:marBottom w:val="0"/>
      <w:divBdr>
        <w:top w:val="none" w:sz="0" w:space="0" w:color="auto"/>
        <w:left w:val="none" w:sz="0" w:space="0" w:color="auto"/>
        <w:bottom w:val="none" w:sz="0" w:space="0" w:color="auto"/>
        <w:right w:val="none" w:sz="0" w:space="0" w:color="auto"/>
      </w:divBdr>
    </w:div>
    <w:div w:id="291524836">
      <w:marLeft w:val="960"/>
      <w:marRight w:val="0"/>
      <w:marTop w:val="0"/>
      <w:marBottom w:val="0"/>
      <w:divBdr>
        <w:top w:val="none" w:sz="0" w:space="0" w:color="auto"/>
        <w:left w:val="none" w:sz="0" w:space="0" w:color="auto"/>
        <w:bottom w:val="none" w:sz="0" w:space="0" w:color="auto"/>
        <w:right w:val="none" w:sz="0" w:space="0" w:color="auto"/>
      </w:divBdr>
    </w:div>
    <w:div w:id="295985600">
      <w:marLeft w:val="0"/>
      <w:marRight w:val="0"/>
      <w:marTop w:val="0"/>
      <w:marBottom w:val="0"/>
      <w:divBdr>
        <w:top w:val="none" w:sz="0" w:space="0" w:color="auto"/>
        <w:left w:val="none" w:sz="0" w:space="0" w:color="auto"/>
        <w:bottom w:val="none" w:sz="0" w:space="0" w:color="auto"/>
        <w:right w:val="none" w:sz="0" w:space="0" w:color="auto"/>
      </w:divBdr>
      <w:divsChild>
        <w:div w:id="1187056978">
          <w:marLeft w:val="0"/>
          <w:marRight w:val="0"/>
          <w:marTop w:val="120"/>
          <w:marBottom w:val="0"/>
          <w:divBdr>
            <w:top w:val="none" w:sz="0" w:space="0" w:color="auto"/>
            <w:left w:val="none" w:sz="0" w:space="0" w:color="auto"/>
            <w:bottom w:val="none" w:sz="0" w:space="0" w:color="auto"/>
            <w:right w:val="none" w:sz="0" w:space="0" w:color="auto"/>
          </w:divBdr>
        </w:div>
        <w:div w:id="1766264149">
          <w:marLeft w:val="0"/>
          <w:marRight w:val="0"/>
          <w:marTop w:val="0"/>
          <w:marBottom w:val="0"/>
          <w:divBdr>
            <w:top w:val="none" w:sz="0" w:space="0" w:color="auto"/>
            <w:left w:val="none" w:sz="0" w:space="0" w:color="auto"/>
            <w:bottom w:val="none" w:sz="0" w:space="0" w:color="auto"/>
            <w:right w:val="none" w:sz="0" w:space="0" w:color="auto"/>
          </w:divBdr>
          <w:divsChild>
            <w:div w:id="1771626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99305338">
      <w:marLeft w:val="960"/>
      <w:marRight w:val="0"/>
      <w:marTop w:val="0"/>
      <w:marBottom w:val="0"/>
      <w:divBdr>
        <w:top w:val="none" w:sz="0" w:space="0" w:color="auto"/>
        <w:left w:val="none" w:sz="0" w:space="0" w:color="auto"/>
        <w:bottom w:val="none" w:sz="0" w:space="0" w:color="auto"/>
        <w:right w:val="none" w:sz="0" w:space="0" w:color="auto"/>
      </w:divBdr>
    </w:div>
    <w:div w:id="303388092">
      <w:marLeft w:val="960"/>
      <w:marRight w:val="0"/>
      <w:marTop w:val="0"/>
      <w:marBottom w:val="0"/>
      <w:divBdr>
        <w:top w:val="none" w:sz="0" w:space="0" w:color="auto"/>
        <w:left w:val="none" w:sz="0" w:space="0" w:color="auto"/>
        <w:bottom w:val="none" w:sz="0" w:space="0" w:color="auto"/>
        <w:right w:val="none" w:sz="0" w:space="0" w:color="auto"/>
      </w:divBdr>
    </w:div>
    <w:div w:id="307327156">
      <w:marLeft w:val="0"/>
      <w:marRight w:val="0"/>
      <w:marTop w:val="0"/>
      <w:marBottom w:val="0"/>
      <w:divBdr>
        <w:top w:val="none" w:sz="0" w:space="0" w:color="auto"/>
        <w:left w:val="none" w:sz="0" w:space="0" w:color="auto"/>
        <w:bottom w:val="none" w:sz="0" w:space="0" w:color="auto"/>
        <w:right w:val="none" w:sz="0" w:space="0" w:color="auto"/>
      </w:divBdr>
      <w:divsChild>
        <w:div w:id="1150365544">
          <w:marLeft w:val="0"/>
          <w:marRight w:val="0"/>
          <w:marTop w:val="120"/>
          <w:marBottom w:val="0"/>
          <w:divBdr>
            <w:top w:val="none" w:sz="0" w:space="0" w:color="auto"/>
            <w:left w:val="none" w:sz="0" w:space="0" w:color="auto"/>
            <w:bottom w:val="none" w:sz="0" w:space="0" w:color="auto"/>
            <w:right w:val="none" w:sz="0" w:space="0" w:color="auto"/>
          </w:divBdr>
        </w:div>
        <w:div w:id="1874539033">
          <w:marLeft w:val="0"/>
          <w:marRight w:val="0"/>
          <w:marTop w:val="0"/>
          <w:marBottom w:val="0"/>
          <w:divBdr>
            <w:top w:val="none" w:sz="0" w:space="0" w:color="auto"/>
            <w:left w:val="none" w:sz="0" w:space="0" w:color="auto"/>
            <w:bottom w:val="none" w:sz="0" w:space="0" w:color="auto"/>
            <w:right w:val="none" w:sz="0" w:space="0" w:color="auto"/>
          </w:divBdr>
          <w:divsChild>
            <w:div w:id="87550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10015780">
      <w:marLeft w:val="0"/>
      <w:marRight w:val="0"/>
      <w:marTop w:val="0"/>
      <w:marBottom w:val="0"/>
      <w:divBdr>
        <w:top w:val="none" w:sz="0" w:space="0" w:color="auto"/>
        <w:left w:val="none" w:sz="0" w:space="0" w:color="auto"/>
        <w:bottom w:val="none" w:sz="0" w:space="0" w:color="auto"/>
        <w:right w:val="none" w:sz="0" w:space="0" w:color="auto"/>
      </w:divBdr>
      <w:divsChild>
        <w:div w:id="1490445478">
          <w:marLeft w:val="0"/>
          <w:marRight w:val="0"/>
          <w:marTop w:val="120"/>
          <w:marBottom w:val="0"/>
          <w:divBdr>
            <w:top w:val="none" w:sz="0" w:space="0" w:color="auto"/>
            <w:left w:val="none" w:sz="0" w:space="0" w:color="auto"/>
            <w:bottom w:val="none" w:sz="0" w:space="0" w:color="auto"/>
            <w:right w:val="none" w:sz="0" w:space="0" w:color="auto"/>
          </w:divBdr>
        </w:div>
        <w:div w:id="660043394">
          <w:marLeft w:val="0"/>
          <w:marRight w:val="0"/>
          <w:marTop w:val="0"/>
          <w:marBottom w:val="0"/>
          <w:divBdr>
            <w:top w:val="none" w:sz="0" w:space="0" w:color="auto"/>
            <w:left w:val="none" w:sz="0" w:space="0" w:color="auto"/>
            <w:bottom w:val="none" w:sz="0" w:space="0" w:color="auto"/>
            <w:right w:val="none" w:sz="0" w:space="0" w:color="auto"/>
          </w:divBdr>
          <w:divsChild>
            <w:div w:id="14524305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17266590">
      <w:marLeft w:val="1080"/>
      <w:marRight w:val="0"/>
      <w:marTop w:val="0"/>
      <w:marBottom w:val="0"/>
      <w:divBdr>
        <w:top w:val="none" w:sz="0" w:space="0" w:color="auto"/>
        <w:left w:val="none" w:sz="0" w:space="0" w:color="auto"/>
        <w:bottom w:val="none" w:sz="0" w:space="0" w:color="auto"/>
        <w:right w:val="none" w:sz="0" w:space="0" w:color="auto"/>
      </w:divBdr>
    </w:div>
    <w:div w:id="323554836">
      <w:marLeft w:val="0"/>
      <w:marRight w:val="0"/>
      <w:marTop w:val="0"/>
      <w:marBottom w:val="0"/>
      <w:divBdr>
        <w:top w:val="none" w:sz="0" w:space="0" w:color="auto"/>
        <w:left w:val="none" w:sz="0" w:space="0" w:color="auto"/>
        <w:bottom w:val="none" w:sz="0" w:space="0" w:color="auto"/>
        <w:right w:val="none" w:sz="0" w:space="0" w:color="auto"/>
      </w:divBdr>
      <w:divsChild>
        <w:div w:id="704864345">
          <w:marLeft w:val="0"/>
          <w:marRight w:val="0"/>
          <w:marTop w:val="120"/>
          <w:marBottom w:val="0"/>
          <w:divBdr>
            <w:top w:val="none" w:sz="0" w:space="0" w:color="auto"/>
            <w:left w:val="none" w:sz="0" w:space="0" w:color="auto"/>
            <w:bottom w:val="none" w:sz="0" w:space="0" w:color="auto"/>
            <w:right w:val="none" w:sz="0" w:space="0" w:color="auto"/>
          </w:divBdr>
        </w:div>
        <w:div w:id="1900702344">
          <w:marLeft w:val="0"/>
          <w:marRight w:val="0"/>
          <w:marTop w:val="0"/>
          <w:marBottom w:val="0"/>
          <w:divBdr>
            <w:top w:val="none" w:sz="0" w:space="0" w:color="auto"/>
            <w:left w:val="none" w:sz="0" w:space="0" w:color="auto"/>
            <w:bottom w:val="none" w:sz="0" w:space="0" w:color="auto"/>
            <w:right w:val="none" w:sz="0" w:space="0" w:color="auto"/>
          </w:divBdr>
          <w:divsChild>
            <w:div w:id="12320825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30333432">
      <w:marLeft w:val="720"/>
      <w:marRight w:val="0"/>
      <w:marTop w:val="0"/>
      <w:marBottom w:val="0"/>
      <w:divBdr>
        <w:top w:val="none" w:sz="0" w:space="0" w:color="auto"/>
        <w:left w:val="none" w:sz="0" w:space="0" w:color="auto"/>
        <w:bottom w:val="none" w:sz="0" w:space="0" w:color="auto"/>
        <w:right w:val="none" w:sz="0" w:space="0" w:color="auto"/>
      </w:divBdr>
    </w:div>
    <w:div w:id="335033794">
      <w:marLeft w:val="960"/>
      <w:marRight w:val="0"/>
      <w:marTop w:val="0"/>
      <w:marBottom w:val="0"/>
      <w:divBdr>
        <w:top w:val="none" w:sz="0" w:space="0" w:color="auto"/>
        <w:left w:val="none" w:sz="0" w:space="0" w:color="auto"/>
        <w:bottom w:val="none" w:sz="0" w:space="0" w:color="auto"/>
        <w:right w:val="none" w:sz="0" w:space="0" w:color="auto"/>
      </w:divBdr>
    </w:div>
    <w:div w:id="335891132">
      <w:marLeft w:val="720"/>
      <w:marRight w:val="0"/>
      <w:marTop w:val="0"/>
      <w:marBottom w:val="0"/>
      <w:divBdr>
        <w:top w:val="none" w:sz="0" w:space="0" w:color="auto"/>
        <w:left w:val="none" w:sz="0" w:space="0" w:color="auto"/>
        <w:bottom w:val="none" w:sz="0" w:space="0" w:color="auto"/>
        <w:right w:val="none" w:sz="0" w:space="0" w:color="auto"/>
      </w:divBdr>
    </w:div>
    <w:div w:id="335963072">
      <w:marLeft w:val="720"/>
      <w:marRight w:val="0"/>
      <w:marTop w:val="0"/>
      <w:marBottom w:val="0"/>
      <w:divBdr>
        <w:top w:val="none" w:sz="0" w:space="0" w:color="auto"/>
        <w:left w:val="none" w:sz="0" w:space="0" w:color="auto"/>
        <w:bottom w:val="none" w:sz="0" w:space="0" w:color="auto"/>
        <w:right w:val="none" w:sz="0" w:space="0" w:color="auto"/>
      </w:divBdr>
    </w:div>
    <w:div w:id="337197726">
      <w:marLeft w:val="720"/>
      <w:marRight w:val="0"/>
      <w:marTop w:val="0"/>
      <w:marBottom w:val="0"/>
      <w:divBdr>
        <w:top w:val="none" w:sz="0" w:space="0" w:color="auto"/>
        <w:left w:val="none" w:sz="0" w:space="0" w:color="auto"/>
        <w:bottom w:val="none" w:sz="0" w:space="0" w:color="auto"/>
        <w:right w:val="none" w:sz="0" w:space="0" w:color="auto"/>
      </w:divBdr>
    </w:div>
    <w:div w:id="338198308">
      <w:marLeft w:val="960"/>
      <w:marRight w:val="0"/>
      <w:marTop w:val="0"/>
      <w:marBottom w:val="0"/>
      <w:divBdr>
        <w:top w:val="none" w:sz="0" w:space="0" w:color="auto"/>
        <w:left w:val="none" w:sz="0" w:space="0" w:color="auto"/>
        <w:bottom w:val="none" w:sz="0" w:space="0" w:color="auto"/>
        <w:right w:val="none" w:sz="0" w:space="0" w:color="auto"/>
      </w:divBdr>
    </w:div>
    <w:div w:id="339088770">
      <w:marLeft w:val="720"/>
      <w:marRight w:val="0"/>
      <w:marTop w:val="0"/>
      <w:marBottom w:val="0"/>
      <w:divBdr>
        <w:top w:val="none" w:sz="0" w:space="0" w:color="auto"/>
        <w:left w:val="none" w:sz="0" w:space="0" w:color="auto"/>
        <w:bottom w:val="none" w:sz="0" w:space="0" w:color="auto"/>
        <w:right w:val="none" w:sz="0" w:space="0" w:color="auto"/>
      </w:divBdr>
    </w:div>
    <w:div w:id="342049582">
      <w:marLeft w:val="0"/>
      <w:marRight w:val="0"/>
      <w:marTop w:val="0"/>
      <w:marBottom w:val="0"/>
      <w:divBdr>
        <w:top w:val="none" w:sz="0" w:space="0" w:color="auto"/>
        <w:left w:val="none" w:sz="0" w:space="0" w:color="auto"/>
        <w:bottom w:val="none" w:sz="0" w:space="0" w:color="auto"/>
        <w:right w:val="none" w:sz="0" w:space="0" w:color="auto"/>
      </w:divBdr>
      <w:divsChild>
        <w:div w:id="1471246947">
          <w:marLeft w:val="0"/>
          <w:marRight w:val="0"/>
          <w:marTop w:val="120"/>
          <w:marBottom w:val="0"/>
          <w:divBdr>
            <w:top w:val="none" w:sz="0" w:space="0" w:color="auto"/>
            <w:left w:val="none" w:sz="0" w:space="0" w:color="auto"/>
            <w:bottom w:val="none" w:sz="0" w:space="0" w:color="auto"/>
            <w:right w:val="none" w:sz="0" w:space="0" w:color="auto"/>
          </w:divBdr>
        </w:div>
        <w:div w:id="1113475952">
          <w:marLeft w:val="0"/>
          <w:marRight w:val="0"/>
          <w:marTop w:val="0"/>
          <w:marBottom w:val="0"/>
          <w:divBdr>
            <w:top w:val="none" w:sz="0" w:space="0" w:color="auto"/>
            <w:left w:val="none" w:sz="0" w:space="0" w:color="auto"/>
            <w:bottom w:val="none" w:sz="0" w:space="0" w:color="auto"/>
            <w:right w:val="none" w:sz="0" w:space="0" w:color="auto"/>
          </w:divBdr>
          <w:divsChild>
            <w:div w:id="16335569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50033801">
      <w:marLeft w:val="1080"/>
      <w:marRight w:val="0"/>
      <w:marTop w:val="0"/>
      <w:marBottom w:val="0"/>
      <w:divBdr>
        <w:top w:val="none" w:sz="0" w:space="0" w:color="auto"/>
        <w:left w:val="none" w:sz="0" w:space="0" w:color="auto"/>
        <w:bottom w:val="none" w:sz="0" w:space="0" w:color="auto"/>
        <w:right w:val="none" w:sz="0" w:space="0" w:color="auto"/>
      </w:divBdr>
    </w:div>
    <w:div w:id="354582292">
      <w:marLeft w:val="0"/>
      <w:marRight w:val="0"/>
      <w:marTop w:val="0"/>
      <w:marBottom w:val="0"/>
      <w:divBdr>
        <w:top w:val="none" w:sz="0" w:space="0" w:color="auto"/>
        <w:left w:val="none" w:sz="0" w:space="0" w:color="auto"/>
        <w:bottom w:val="none" w:sz="0" w:space="0" w:color="auto"/>
        <w:right w:val="none" w:sz="0" w:space="0" w:color="auto"/>
      </w:divBdr>
      <w:divsChild>
        <w:div w:id="939217711">
          <w:marLeft w:val="0"/>
          <w:marRight w:val="0"/>
          <w:marTop w:val="120"/>
          <w:marBottom w:val="0"/>
          <w:divBdr>
            <w:top w:val="none" w:sz="0" w:space="0" w:color="auto"/>
            <w:left w:val="none" w:sz="0" w:space="0" w:color="auto"/>
            <w:bottom w:val="none" w:sz="0" w:space="0" w:color="auto"/>
            <w:right w:val="none" w:sz="0" w:space="0" w:color="auto"/>
          </w:divBdr>
        </w:div>
        <w:div w:id="1910535814">
          <w:marLeft w:val="0"/>
          <w:marRight w:val="0"/>
          <w:marTop w:val="0"/>
          <w:marBottom w:val="0"/>
          <w:divBdr>
            <w:top w:val="none" w:sz="0" w:space="0" w:color="auto"/>
            <w:left w:val="none" w:sz="0" w:space="0" w:color="auto"/>
            <w:bottom w:val="none" w:sz="0" w:space="0" w:color="auto"/>
            <w:right w:val="none" w:sz="0" w:space="0" w:color="auto"/>
          </w:divBdr>
          <w:divsChild>
            <w:div w:id="11219938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55228368">
      <w:marLeft w:val="0"/>
      <w:marRight w:val="0"/>
      <w:marTop w:val="0"/>
      <w:marBottom w:val="0"/>
      <w:divBdr>
        <w:top w:val="none" w:sz="0" w:space="0" w:color="auto"/>
        <w:left w:val="none" w:sz="0" w:space="0" w:color="auto"/>
        <w:bottom w:val="none" w:sz="0" w:space="0" w:color="auto"/>
        <w:right w:val="none" w:sz="0" w:space="0" w:color="auto"/>
      </w:divBdr>
    </w:div>
    <w:div w:id="356859526">
      <w:marLeft w:val="840"/>
      <w:marRight w:val="0"/>
      <w:marTop w:val="0"/>
      <w:marBottom w:val="0"/>
      <w:divBdr>
        <w:top w:val="none" w:sz="0" w:space="0" w:color="auto"/>
        <w:left w:val="none" w:sz="0" w:space="0" w:color="auto"/>
        <w:bottom w:val="none" w:sz="0" w:space="0" w:color="auto"/>
        <w:right w:val="none" w:sz="0" w:space="0" w:color="auto"/>
      </w:divBdr>
    </w:div>
    <w:div w:id="362361862">
      <w:marLeft w:val="960"/>
      <w:marRight w:val="0"/>
      <w:marTop w:val="0"/>
      <w:marBottom w:val="0"/>
      <w:divBdr>
        <w:top w:val="none" w:sz="0" w:space="0" w:color="auto"/>
        <w:left w:val="none" w:sz="0" w:space="0" w:color="auto"/>
        <w:bottom w:val="none" w:sz="0" w:space="0" w:color="auto"/>
        <w:right w:val="none" w:sz="0" w:space="0" w:color="auto"/>
      </w:divBdr>
    </w:div>
    <w:div w:id="367492453">
      <w:marLeft w:val="720"/>
      <w:marRight w:val="0"/>
      <w:marTop w:val="0"/>
      <w:marBottom w:val="0"/>
      <w:divBdr>
        <w:top w:val="none" w:sz="0" w:space="0" w:color="auto"/>
        <w:left w:val="none" w:sz="0" w:space="0" w:color="auto"/>
        <w:bottom w:val="none" w:sz="0" w:space="0" w:color="auto"/>
        <w:right w:val="none" w:sz="0" w:space="0" w:color="auto"/>
      </w:divBdr>
    </w:div>
    <w:div w:id="367998172">
      <w:marLeft w:val="0"/>
      <w:marRight w:val="0"/>
      <w:marTop w:val="0"/>
      <w:marBottom w:val="0"/>
      <w:divBdr>
        <w:top w:val="none" w:sz="0" w:space="0" w:color="auto"/>
        <w:left w:val="none" w:sz="0" w:space="0" w:color="auto"/>
        <w:bottom w:val="none" w:sz="0" w:space="0" w:color="auto"/>
        <w:right w:val="none" w:sz="0" w:space="0" w:color="auto"/>
      </w:divBdr>
      <w:divsChild>
        <w:div w:id="2044135648">
          <w:marLeft w:val="0"/>
          <w:marRight w:val="0"/>
          <w:marTop w:val="120"/>
          <w:marBottom w:val="0"/>
          <w:divBdr>
            <w:top w:val="none" w:sz="0" w:space="0" w:color="auto"/>
            <w:left w:val="none" w:sz="0" w:space="0" w:color="auto"/>
            <w:bottom w:val="none" w:sz="0" w:space="0" w:color="auto"/>
            <w:right w:val="none" w:sz="0" w:space="0" w:color="auto"/>
          </w:divBdr>
        </w:div>
        <w:div w:id="742407366">
          <w:marLeft w:val="0"/>
          <w:marRight w:val="0"/>
          <w:marTop w:val="0"/>
          <w:marBottom w:val="0"/>
          <w:divBdr>
            <w:top w:val="none" w:sz="0" w:space="0" w:color="auto"/>
            <w:left w:val="none" w:sz="0" w:space="0" w:color="auto"/>
            <w:bottom w:val="none" w:sz="0" w:space="0" w:color="auto"/>
            <w:right w:val="none" w:sz="0" w:space="0" w:color="auto"/>
          </w:divBdr>
          <w:divsChild>
            <w:div w:id="230425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8335705">
      <w:marLeft w:val="0"/>
      <w:marRight w:val="0"/>
      <w:marTop w:val="0"/>
      <w:marBottom w:val="0"/>
      <w:divBdr>
        <w:top w:val="none" w:sz="0" w:space="0" w:color="auto"/>
        <w:left w:val="none" w:sz="0" w:space="0" w:color="auto"/>
        <w:bottom w:val="none" w:sz="0" w:space="0" w:color="auto"/>
        <w:right w:val="none" w:sz="0" w:space="0" w:color="auto"/>
      </w:divBdr>
      <w:divsChild>
        <w:div w:id="1733967128">
          <w:marLeft w:val="0"/>
          <w:marRight w:val="0"/>
          <w:marTop w:val="120"/>
          <w:marBottom w:val="0"/>
          <w:divBdr>
            <w:top w:val="none" w:sz="0" w:space="0" w:color="auto"/>
            <w:left w:val="none" w:sz="0" w:space="0" w:color="auto"/>
            <w:bottom w:val="none" w:sz="0" w:space="0" w:color="auto"/>
            <w:right w:val="none" w:sz="0" w:space="0" w:color="auto"/>
          </w:divBdr>
        </w:div>
        <w:div w:id="344676772">
          <w:marLeft w:val="0"/>
          <w:marRight w:val="0"/>
          <w:marTop w:val="0"/>
          <w:marBottom w:val="0"/>
          <w:divBdr>
            <w:top w:val="none" w:sz="0" w:space="0" w:color="auto"/>
            <w:left w:val="none" w:sz="0" w:space="0" w:color="auto"/>
            <w:bottom w:val="none" w:sz="0" w:space="0" w:color="auto"/>
            <w:right w:val="none" w:sz="0" w:space="0" w:color="auto"/>
          </w:divBdr>
          <w:divsChild>
            <w:div w:id="15614803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9232637">
      <w:marLeft w:val="720"/>
      <w:marRight w:val="0"/>
      <w:marTop w:val="0"/>
      <w:marBottom w:val="0"/>
      <w:divBdr>
        <w:top w:val="none" w:sz="0" w:space="0" w:color="auto"/>
        <w:left w:val="none" w:sz="0" w:space="0" w:color="auto"/>
        <w:bottom w:val="none" w:sz="0" w:space="0" w:color="auto"/>
        <w:right w:val="none" w:sz="0" w:space="0" w:color="auto"/>
      </w:divBdr>
    </w:div>
    <w:div w:id="370151710">
      <w:marLeft w:val="720"/>
      <w:marRight w:val="0"/>
      <w:marTop w:val="0"/>
      <w:marBottom w:val="0"/>
      <w:divBdr>
        <w:top w:val="none" w:sz="0" w:space="0" w:color="auto"/>
        <w:left w:val="none" w:sz="0" w:space="0" w:color="auto"/>
        <w:bottom w:val="none" w:sz="0" w:space="0" w:color="auto"/>
        <w:right w:val="none" w:sz="0" w:space="0" w:color="auto"/>
      </w:divBdr>
    </w:div>
    <w:div w:id="372576653">
      <w:marLeft w:val="960"/>
      <w:marRight w:val="0"/>
      <w:marTop w:val="0"/>
      <w:marBottom w:val="0"/>
      <w:divBdr>
        <w:top w:val="none" w:sz="0" w:space="0" w:color="auto"/>
        <w:left w:val="none" w:sz="0" w:space="0" w:color="auto"/>
        <w:bottom w:val="none" w:sz="0" w:space="0" w:color="auto"/>
        <w:right w:val="none" w:sz="0" w:space="0" w:color="auto"/>
      </w:divBdr>
    </w:div>
    <w:div w:id="372923031">
      <w:marLeft w:val="720"/>
      <w:marRight w:val="0"/>
      <w:marTop w:val="0"/>
      <w:marBottom w:val="0"/>
      <w:divBdr>
        <w:top w:val="none" w:sz="0" w:space="0" w:color="auto"/>
        <w:left w:val="none" w:sz="0" w:space="0" w:color="auto"/>
        <w:bottom w:val="none" w:sz="0" w:space="0" w:color="auto"/>
        <w:right w:val="none" w:sz="0" w:space="0" w:color="auto"/>
      </w:divBdr>
    </w:div>
    <w:div w:id="374351474">
      <w:marLeft w:val="0"/>
      <w:marRight w:val="0"/>
      <w:marTop w:val="0"/>
      <w:marBottom w:val="0"/>
      <w:divBdr>
        <w:top w:val="none" w:sz="0" w:space="0" w:color="auto"/>
        <w:left w:val="none" w:sz="0" w:space="0" w:color="auto"/>
        <w:bottom w:val="none" w:sz="0" w:space="0" w:color="auto"/>
        <w:right w:val="none" w:sz="0" w:space="0" w:color="auto"/>
      </w:divBdr>
      <w:divsChild>
        <w:div w:id="954482638">
          <w:marLeft w:val="0"/>
          <w:marRight w:val="0"/>
          <w:marTop w:val="120"/>
          <w:marBottom w:val="0"/>
          <w:divBdr>
            <w:top w:val="none" w:sz="0" w:space="0" w:color="auto"/>
            <w:left w:val="none" w:sz="0" w:space="0" w:color="auto"/>
            <w:bottom w:val="none" w:sz="0" w:space="0" w:color="auto"/>
            <w:right w:val="none" w:sz="0" w:space="0" w:color="auto"/>
          </w:divBdr>
        </w:div>
        <w:div w:id="1094397525">
          <w:marLeft w:val="0"/>
          <w:marRight w:val="0"/>
          <w:marTop w:val="0"/>
          <w:marBottom w:val="0"/>
          <w:divBdr>
            <w:top w:val="none" w:sz="0" w:space="0" w:color="auto"/>
            <w:left w:val="none" w:sz="0" w:space="0" w:color="auto"/>
            <w:bottom w:val="none" w:sz="0" w:space="0" w:color="auto"/>
            <w:right w:val="none" w:sz="0" w:space="0" w:color="auto"/>
          </w:divBdr>
          <w:divsChild>
            <w:div w:id="12745548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4551857">
      <w:marLeft w:val="720"/>
      <w:marRight w:val="0"/>
      <w:marTop w:val="0"/>
      <w:marBottom w:val="0"/>
      <w:divBdr>
        <w:top w:val="none" w:sz="0" w:space="0" w:color="auto"/>
        <w:left w:val="none" w:sz="0" w:space="0" w:color="auto"/>
        <w:bottom w:val="none" w:sz="0" w:space="0" w:color="auto"/>
        <w:right w:val="none" w:sz="0" w:space="0" w:color="auto"/>
      </w:divBdr>
    </w:div>
    <w:div w:id="388722883">
      <w:marLeft w:val="720"/>
      <w:marRight w:val="0"/>
      <w:marTop w:val="0"/>
      <w:marBottom w:val="0"/>
      <w:divBdr>
        <w:top w:val="none" w:sz="0" w:space="0" w:color="auto"/>
        <w:left w:val="none" w:sz="0" w:space="0" w:color="auto"/>
        <w:bottom w:val="none" w:sz="0" w:space="0" w:color="auto"/>
        <w:right w:val="none" w:sz="0" w:space="0" w:color="auto"/>
      </w:divBdr>
    </w:div>
    <w:div w:id="391780950">
      <w:marLeft w:val="960"/>
      <w:marRight w:val="0"/>
      <w:marTop w:val="0"/>
      <w:marBottom w:val="0"/>
      <w:divBdr>
        <w:top w:val="none" w:sz="0" w:space="0" w:color="auto"/>
        <w:left w:val="none" w:sz="0" w:space="0" w:color="auto"/>
        <w:bottom w:val="none" w:sz="0" w:space="0" w:color="auto"/>
        <w:right w:val="none" w:sz="0" w:space="0" w:color="auto"/>
      </w:divBdr>
    </w:div>
    <w:div w:id="393620765">
      <w:marLeft w:val="840"/>
      <w:marRight w:val="0"/>
      <w:marTop w:val="0"/>
      <w:marBottom w:val="0"/>
      <w:divBdr>
        <w:top w:val="none" w:sz="0" w:space="0" w:color="auto"/>
        <w:left w:val="none" w:sz="0" w:space="0" w:color="auto"/>
        <w:bottom w:val="none" w:sz="0" w:space="0" w:color="auto"/>
        <w:right w:val="none" w:sz="0" w:space="0" w:color="auto"/>
      </w:divBdr>
    </w:div>
    <w:div w:id="395015387">
      <w:bodyDiv w:val="1"/>
      <w:marLeft w:val="0"/>
      <w:marRight w:val="0"/>
      <w:marTop w:val="0"/>
      <w:marBottom w:val="0"/>
      <w:divBdr>
        <w:top w:val="none" w:sz="0" w:space="0" w:color="auto"/>
        <w:left w:val="none" w:sz="0" w:space="0" w:color="auto"/>
        <w:bottom w:val="none" w:sz="0" w:space="0" w:color="auto"/>
        <w:right w:val="none" w:sz="0" w:space="0" w:color="auto"/>
      </w:divBdr>
    </w:div>
    <w:div w:id="395275094">
      <w:marLeft w:val="720"/>
      <w:marRight w:val="0"/>
      <w:marTop w:val="0"/>
      <w:marBottom w:val="0"/>
      <w:divBdr>
        <w:top w:val="none" w:sz="0" w:space="0" w:color="auto"/>
        <w:left w:val="none" w:sz="0" w:space="0" w:color="auto"/>
        <w:bottom w:val="none" w:sz="0" w:space="0" w:color="auto"/>
        <w:right w:val="none" w:sz="0" w:space="0" w:color="auto"/>
      </w:divBdr>
    </w:div>
    <w:div w:id="396787606">
      <w:marLeft w:val="720"/>
      <w:marRight w:val="0"/>
      <w:marTop w:val="0"/>
      <w:marBottom w:val="0"/>
      <w:divBdr>
        <w:top w:val="none" w:sz="0" w:space="0" w:color="auto"/>
        <w:left w:val="none" w:sz="0" w:space="0" w:color="auto"/>
        <w:bottom w:val="none" w:sz="0" w:space="0" w:color="auto"/>
        <w:right w:val="none" w:sz="0" w:space="0" w:color="auto"/>
      </w:divBdr>
    </w:div>
    <w:div w:id="399864572">
      <w:marLeft w:val="0"/>
      <w:marRight w:val="0"/>
      <w:marTop w:val="0"/>
      <w:marBottom w:val="0"/>
      <w:divBdr>
        <w:top w:val="none" w:sz="0" w:space="0" w:color="auto"/>
        <w:left w:val="none" w:sz="0" w:space="0" w:color="auto"/>
        <w:bottom w:val="none" w:sz="0" w:space="0" w:color="auto"/>
        <w:right w:val="none" w:sz="0" w:space="0" w:color="auto"/>
      </w:divBdr>
      <w:divsChild>
        <w:div w:id="2048488303">
          <w:marLeft w:val="0"/>
          <w:marRight w:val="0"/>
          <w:marTop w:val="120"/>
          <w:marBottom w:val="0"/>
          <w:divBdr>
            <w:top w:val="none" w:sz="0" w:space="0" w:color="auto"/>
            <w:left w:val="none" w:sz="0" w:space="0" w:color="auto"/>
            <w:bottom w:val="none" w:sz="0" w:space="0" w:color="auto"/>
            <w:right w:val="none" w:sz="0" w:space="0" w:color="auto"/>
          </w:divBdr>
        </w:div>
        <w:div w:id="1021930077">
          <w:marLeft w:val="0"/>
          <w:marRight w:val="0"/>
          <w:marTop w:val="0"/>
          <w:marBottom w:val="0"/>
          <w:divBdr>
            <w:top w:val="none" w:sz="0" w:space="0" w:color="auto"/>
            <w:left w:val="none" w:sz="0" w:space="0" w:color="auto"/>
            <w:bottom w:val="none" w:sz="0" w:space="0" w:color="auto"/>
            <w:right w:val="none" w:sz="0" w:space="0" w:color="auto"/>
          </w:divBdr>
          <w:divsChild>
            <w:div w:id="597368619">
              <w:marLeft w:val="0"/>
              <w:marRight w:val="0"/>
              <w:marTop w:val="120"/>
              <w:marBottom w:val="0"/>
              <w:divBdr>
                <w:top w:val="none" w:sz="0" w:space="0" w:color="auto"/>
                <w:left w:val="none" w:sz="0" w:space="0" w:color="auto"/>
                <w:bottom w:val="none" w:sz="0" w:space="0" w:color="auto"/>
                <w:right w:val="none" w:sz="0" w:space="0" w:color="auto"/>
              </w:divBdr>
            </w:div>
            <w:div w:id="9726420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7074701">
      <w:marLeft w:val="1080"/>
      <w:marRight w:val="0"/>
      <w:marTop w:val="0"/>
      <w:marBottom w:val="0"/>
      <w:divBdr>
        <w:top w:val="none" w:sz="0" w:space="0" w:color="auto"/>
        <w:left w:val="none" w:sz="0" w:space="0" w:color="auto"/>
        <w:bottom w:val="none" w:sz="0" w:space="0" w:color="auto"/>
        <w:right w:val="none" w:sz="0" w:space="0" w:color="auto"/>
      </w:divBdr>
    </w:div>
    <w:div w:id="407192317">
      <w:marLeft w:val="1080"/>
      <w:marRight w:val="0"/>
      <w:marTop w:val="0"/>
      <w:marBottom w:val="0"/>
      <w:divBdr>
        <w:top w:val="none" w:sz="0" w:space="0" w:color="auto"/>
        <w:left w:val="none" w:sz="0" w:space="0" w:color="auto"/>
        <w:bottom w:val="none" w:sz="0" w:space="0" w:color="auto"/>
        <w:right w:val="none" w:sz="0" w:space="0" w:color="auto"/>
      </w:divBdr>
    </w:div>
    <w:div w:id="407310333">
      <w:marLeft w:val="0"/>
      <w:marRight w:val="0"/>
      <w:marTop w:val="0"/>
      <w:marBottom w:val="0"/>
      <w:divBdr>
        <w:top w:val="none" w:sz="0" w:space="0" w:color="auto"/>
        <w:left w:val="none" w:sz="0" w:space="0" w:color="auto"/>
        <w:bottom w:val="none" w:sz="0" w:space="0" w:color="auto"/>
        <w:right w:val="none" w:sz="0" w:space="0" w:color="auto"/>
      </w:divBdr>
    </w:div>
    <w:div w:id="414279197">
      <w:marLeft w:val="0"/>
      <w:marRight w:val="0"/>
      <w:marTop w:val="0"/>
      <w:marBottom w:val="0"/>
      <w:divBdr>
        <w:top w:val="none" w:sz="0" w:space="0" w:color="auto"/>
        <w:left w:val="none" w:sz="0" w:space="0" w:color="auto"/>
        <w:bottom w:val="none" w:sz="0" w:space="0" w:color="auto"/>
        <w:right w:val="none" w:sz="0" w:space="0" w:color="auto"/>
      </w:divBdr>
      <w:divsChild>
        <w:div w:id="349066555">
          <w:marLeft w:val="0"/>
          <w:marRight w:val="0"/>
          <w:marTop w:val="120"/>
          <w:marBottom w:val="0"/>
          <w:divBdr>
            <w:top w:val="none" w:sz="0" w:space="0" w:color="auto"/>
            <w:left w:val="none" w:sz="0" w:space="0" w:color="auto"/>
            <w:bottom w:val="none" w:sz="0" w:space="0" w:color="auto"/>
            <w:right w:val="none" w:sz="0" w:space="0" w:color="auto"/>
          </w:divBdr>
        </w:div>
        <w:div w:id="104547223">
          <w:marLeft w:val="0"/>
          <w:marRight w:val="0"/>
          <w:marTop w:val="0"/>
          <w:marBottom w:val="0"/>
          <w:divBdr>
            <w:top w:val="none" w:sz="0" w:space="0" w:color="auto"/>
            <w:left w:val="none" w:sz="0" w:space="0" w:color="auto"/>
            <w:bottom w:val="none" w:sz="0" w:space="0" w:color="auto"/>
            <w:right w:val="none" w:sz="0" w:space="0" w:color="auto"/>
          </w:divBdr>
          <w:divsChild>
            <w:div w:id="1320501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4327146">
      <w:marLeft w:val="0"/>
      <w:marRight w:val="0"/>
      <w:marTop w:val="0"/>
      <w:marBottom w:val="0"/>
      <w:divBdr>
        <w:top w:val="none" w:sz="0" w:space="0" w:color="auto"/>
        <w:left w:val="none" w:sz="0" w:space="0" w:color="auto"/>
        <w:bottom w:val="none" w:sz="0" w:space="0" w:color="auto"/>
        <w:right w:val="none" w:sz="0" w:space="0" w:color="auto"/>
      </w:divBdr>
      <w:divsChild>
        <w:div w:id="1009872771">
          <w:marLeft w:val="0"/>
          <w:marRight w:val="0"/>
          <w:marTop w:val="120"/>
          <w:marBottom w:val="0"/>
          <w:divBdr>
            <w:top w:val="none" w:sz="0" w:space="0" w:color="auto"/>
            <w:left w:val="none" w:sz="0" w:space="0" w:color="auto"/>
            <w:bottom w:val="none" w:sz="0" w:space="0" w:color="auto"/>
            <w:right w:val="none" w:sz="0" w:space="0" w:color="auto"/>
          </w:divBdr>
        </w:div>
        <w:div w:id="1939216850">
          <w:marLeft w:val="0"/>
          <w:marRight w:val="0"/>
          <w:marTop w:val="0"/>
          <w:marBottom w:val="0"/>
          <w:divBdr>
            <w:top w:val="none" w:sz="0" w:space="0" w:color="auto"/>
            <w:left w:val="none" w:sz="0" w:space="0" w:color="auto"/>
            <w:bottom w:val="none" w:sz="0" w:space="0" w:color="auto"/>
            <w:right w:val="none" w:sz="0" w:space="0" w:color="auto"/>
          </w:divBdr>
          <w:divsChild>
            <w:div w:id="5543933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4596804">
      <w:marLeft w:val="720"/>
      <w:marRight w:val="0"/>
      <w:marTop w:val="0"/>
      <w:marBottom w:val="0"/>
      <w:divBdr>
        <w:top w:val="none" w:sz="0" w:space="0" w:color="auto"/>
        <w:left w:val="none" w:sz="0" w:space="0" w:color="auto"/>
        <w:bottom w:val="none" w:sz="0" w:space="0" w:color="auto"/>
        <w:right w:val="none" w:sz="0" w:space="0" w:color="auto"/>
      </w:divBdr>
    </w:div>
    <w:div w:id="416093929">
      <w:marLeft w:val="840"/>
      <w:marRight w:val="0"/>
      <w:marTop w:val="0"/>
      <w:marBottom w:val="0"/>
      <w:divBdr>
        <w:top w:val="none" w:sz="0" w:space="0" w:color="auto"/>
        <w:left w:val="none" w:sz="0" w:space="0" w:color="auto"/>
        <w:bottom w:val="none" w:sz="0" w:space="0" w:color="auto"/>
        <w:right w:val="none" w:sz="0" w:space="0" w:color="auto"/>
      </w:divBdr>
    </w:div>
    <w:div w:id="418328545">
      <w:marLeft w:val="1080"/>
      <w:marRight w:val="0"/>
      <w:marTop w:val="0"/>
      <w:marBottom w:val="0"/>
      <w:divBdr>
        <w:top w:val="none" w:sz="0" w:space="0" w:color="auto"/>
        <w:left w:val="none" w:sz="0" w:space="0" w:color="auto"/>
        <w:bottom w:val="none" w:sz="0" w:space="0" w:color="auto"/>
        <w:right w:val="none" w:sz="0" w:space="0" w:color="auto"/>
      </w:divBdr>
    </w:div>
    <w:div w:id="420836043">
      <w:marLeft w:val="720"/>
      <w:marRight w:val="0"/>
      <w:marTop w:val="0"/>
      <w:marBottom w:val="0"/>
      <w:divBdr>
        <w:top w:val="none" w:sz="0" w:space="0" w:color="auto"/>
        <w:left w:val="none" w:sz="0" w:space="0" w:color="auto"/>
        <w:bottom w:val="none" w:sz="0" w:space="0" w:color="auto"/>
        <w:right w:val="none" w:sz="0" w:space="0" w:color="auto"/>
      </w:divBdr>
    </w:div>
    <w:div w:id="425998406">
      <w:marLeft w:val="720"/>
      <w:marRight w:val="0"/>
      <w:marTop w:val="0"/>
      <w:marBottom w:val="0"/>
      <w:divBdr>
        <w:top w:val="none" w:sz="0" w:space="0" w:color="auto"/>
        <w:left w:val="none" w:sz="0" w:space="0" w:color="auto"/>
        <w:bottom w:val="none" w:sz="0" w:space="0" w:color="auto"/>
        <w:right w:val="none" w:sz="0" w:space="0" w:color="auto"/>
      </w:divBdr>
    </w:div>
    <w:div w:id="427510629">
      <w:marLeft w:val="0"/>
      <w:marRight w:val="0"/>
      <w:marTop w:val="0"/>
      <w:marBottom w:val="0"/>
      <w:divBdr>
        <w:top w:val="none" w:sz="0" w:space="0" w:color="auto"/>
        <w:left w:val="none" w:sz="0" w:space="0" w:color="auto"/>
        <w:bottom w:val="none" w:sz="0" w:space="0" w:color="auto"/>
        <w:right w:val="none" w:sz="0" w:space="0" w:color="auto"/>
      </w:divBdr>
      <w:divsChild>
        <w:div w:id="1833064316">
          <w:marLeft w:val="0"/>
          <w:marRight w:val="0"/>
          <w:marTop w:val="120"/>
          <w:marBottom w:val="0"/>
          <w:divBdr>
            <w:top w:val="none" w:sz="0" w:space="0" w:color="auto"/>
            <w:left w:val="none" w:sz="0" w:space="0" w:color="auto"/>
            <w:bottom w:val="none" w:sz="0" w:space="0" w:color="auto"/>
            <w:right w:val="none" w:sz="0" w:space="0" w:color="auto"/>
          </w:divBdr>
        </w:div>
        <w:div w:id="744887051">
          <w:marLeft w:val="0"/>
          <w:marRight w:val="0"/>
          <w:marTop w:val="0"/>
          <w:marBottom w:val="0"/>
          <w:divBdr>
            <w:top w:val="none" w:sz="0" w:space="0" w:color="auto"/>
            <w:left w:val="none" w:sz="0" w:space="0" w:color="auto"/>
            <w:bottom w:val="none" w:sz="0" w:space="0" w:color="auto"/>
            <w:right w:val="none" w:sz="0" w:space="0" w:color="auto"/>
          </w:divBdr>
          <w:divsChild>
            <w:div w:id="10607849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28821422">
      <w:marLeft w:val="1080"/>
      <w:marRight w:val="0"/>
      <w:marTop w:val="0"/>
      <w:marBottom w:val="0"/>
      <w:divBdr>
        <w:top w:val="none" w:sz="0" w:space="0" w:color="auto"/>
        <w:left w:val="none" w:sz="0" w:space="0" w:color="auto"/>
        <w:bottom w:val="none" w:sz="0" w:space="0" w:color="auto"/>
        <w:right w:val="none" w:sz="0" w:space="0" w:color="auto"/>
      </w:divBdr>
    </w:div>
    <w:div w:id="428936892">
      <w:marLeft w:val="840"/>
      <w:marRight w:val="0"/>
      <w:marTop w:val="0"/>
      <w:marBottom w:val="0"/>
      <w:divBdr>
        <w:top w:val="none" w:sz="0" w:space="0" w:color="auto"/>
        <w:left w:val="none" w:sz="0" w:space="0" w:color="auto"/>
        <w:bottom w:val="none" w:sz="0" w:space="0" w:color="auto"/>
        <w:right w:val="none" w:sz="0" w:space="0" w:color="auto"/>
      </w:divBdr>
    </w:div>
    <w:div w:id="429008390">
      <w:marLeft w:val="0"/>
      <w:marRight w:val="0"/>
      <w:marTop w:val="0"/>
      <w:marBottom w:val="0"/>
      <w:divBdr>
        <w:top w:val="none" w:sz="0" w:space="0" w:color="auto"/>
        <w:left w:val="none" w:sz="0" w:space="0" w:color="auto"/>
        <w:bottom w:val="none" w:sz="0" w:space="0" w:color="auto"/>
        <w:right w:val="none" w:sz="0" w:space="0" w:color="auto"/>
      </w:divBdr>
      <w:divsChild>
        <w:div w:id="1010137483">
          <w:marLeft w:val="0"/>
          <w:marRight w:val="0"/>
          <w:marTop w:val="120"/>
          <w:marBottom w:val="0"/>
          <w:divBdr>
            <w:top w:val="none" w:sz="0" w:space="0" w:color="auto"/>
            <w:left w:val="none" w:sz="0" w:space="0" w:color="auto"/>
            <w:bottom w:val="none" w:sz="0" w:space="0" w:color="auto"/>
            <w:right w:val="none" w:sz="0" w:space="0" w:color="auto"/>
          </w:divBdr>
        </w:div>
        <w:div w:id="312835235">
          <w:marLeft w:val="0"/>
          <w:marRight w:val="0"/>
          <w:marTop w:val="0"/>
          <w:marBottom w:val="0"/>
          <w:divBdr>
            <w:top w:val="none" w:sz="0" w:space="0" w:color="auto"/>
            <w:left w:val="none" w:sz="0" w:space="0" w:color="auto"/>
            <w:bottom w:val="none" w:sz="0" w:space="0" w:color="auto"/>
            <w:right w:val="none" w:sz="0" w:space="0" w:color="auto"/>
          </w:divBdr>
          <w:divsChild>
            <w:div w:id="1324536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39493348">
      <w:marLeft w:val="720"/>
      <w:marRight w:val="0"/>
      <w:marTop w:val="0"/>
      <w:marBottom w:val="0"/>
      <w:divBdr>
        <w:top w:val="none" w:sz="0" w:space="0" w:color="auto"/>
        <w:left w:val="none" w:sz="0" w:space="0" w:color="auto"/>
        <w:bottom w:val="none" w:sz="0" w:space="0" w:color="auto"/>
        <w:right w:val="none" w:sz="0" w:space="0" w:color="auto"/>
      </w:divBdr>
    </w:div>
    <w:div w:id="441658093">
      <w:marLeft w:val="0"/>
      <w:marRight w:val="0"/>
      <w:marTop w:val="0"/>
      <w:marBottom w:val="0"/>
      <w:divBdr>
        <w:top w:val="none" w:sz="0" w:space="0" w:color="auto"/>
        <w:left w:val="none" w:sz="0" w:space="0" w:color="auto"/>
        <w:bottom w:val="none" w:sz="0" w:space="0" w:color="auto"/>
        <w:right w:val="none" w:sz="0" w:space="0" w:color="auto"/>
      </w:divBdr>
      <w:divsChild>
        <w:div w:id="452747765">
          <w:marLeft w:val="0"/>
          <w:marRight w:val="0"/>
          <w:marTop w:val="120"/>
          <w:marBottom w:val="0"/>
          <w:divBdr>
            <w:top w:val="none" w:sz="0" w:space="0" w:color="auto"/>
            <w:left w:val="none" w:sz="0" w:space="0" w:color="auto"/>
            <w:bottom w:val="none" w:sz="0" w:space="0" w:color="auto"/>
            <w:right w:val="none" w:sz="0" w:space="0" w:color="auto"/>
          </w:divBdr>
        </w:div>
        <w:div w:id="1293826650">
          <w:marLeft w:val="0"/>
          <w:marRight w:val="0"/>
          <w:marTop w:val="0"/>
          <w:marBottom w:val="0"/>
          <w:divBdr>
            <w:top w:val="none" w:sz="0" w:space="0" w:color="auto"/>
            <w:left w:val="none" w:sz="0" w:space="0" w:color="auto"/>
            <w:bottom w:val="none" w:sz="0" w:space="0" w:color="auto"/>
            <w:right w:val="none" w:sz="0" w:space="0" w:color="auto"/>
          </w:divBdr>
          <w:divsChild>
            <w:div w:id="3314166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42654908">
      <w:marLeft w:val="840"/>
      <w:marRight w:val="0"/>
      <w:marTop w:val="0"/>
      <w:marBottom w:val="0"/>
      <w:divBdr>
        <w:top w:val="none" w:sz="0" w:space="0" w:color="auto"/>
        <w:left w:val="none" w:sz="0" w:space="0" w:color="auto"/>
        <w:bottom w:val="none" w:sz="0" w:space="0" w:color="auto"/>
        <w:right w:val="none" w:sz="0" w:space="0" w:color="auto"/>
      </w:divBdr>
    </w:div>
    <w:div w:id="444927784">
      <w:marLeft w:val="720"/>
      <w:marRight w:val="0"/>
      <w:marTop w:val="0"/>
      <w:marBottom w:val="0"/>
      <w:divBdr>
        <w:top w:val="none" w:sz="0" w:space="0" w:color="auto"/>
        <w:left w:val="none" w:sz="0" w:space="0" w:color="auto"/>
        <w:bottom w:val="none" w:sz="0" w:space="0" w:color="auto"/>
        <w:right w:val="none" w:sz="0" w:space="0" w:color="auto"/>
      </w:divBdr>
    </w:div>
    <w:div w:id="449666674">
      <w:marLeft w:val="840"/>
      <w:marRight w:val="0"/>
      <w:marTop w:val="0"/>
      <w:marBottom w:val="0"/>
      <w:divBdr>
        <w:top w:val="none" w:sz="0" w:space="0" w:color="auto"/>
        <w:left w:val="none" w:sz="0" w:space="0" w:color="auto"/>
        <w:bottom w:val="none" w:sz="0" w:space="0" w:color="auto"/>
        <w:right w:val="none" w:sz="0" w:space="0" w:color="auto"/>
      </w:divBdr>
    </w:div>
    <w:div w:id="453601028">
      <w:marLeft w:val="0"/>
      <w:marRight w:val="0"/>
      <w:marTop w:val="0"/>
      <w:marBottom w:val="0"/>
      <w:divBdr>
        <w:top w:val="none" w:sz="0" w:space="0" w:color="auto"/>
        <w:left w:val="none" w:sz="0" w:space="0" w:color="auto"/>
        <w:bottom w:val="none" w:sz="0" w:space="0" w:color="auto"/>
        <w:right w:val="none" w:sz="0" w:space="0" w:color="auto"/>
      </w:divBdr>
      <w:divsChild>
        <w:div w:id="1653172317">
          <w:marLeft w:val="0"/>
          <w:marRight w:val="0"/>
          <w:marTop w:val="120"/>
          <w:marBottom w:val="0"/>
          <w:divBdr>
            <w:top w:val="none" w:sz="0" w:space="0" w:color="auto"/>
            <w:left w:val="none" w:sz="0" w:space="0" w:color="auto"/>
            <w:bottom w:val="none" w:sz="0" w:space="0" w:color="auto"/>
            <w:right w:val="none" w:sz="0" w:space="0" w:color="auto"/>
          </w:divBdr>
        </w:div>
        <w:div w:id="350684057">
          <w:marLeft w:val="0"/>
          <w:marRight w:val="0"/>
          <w:marTop w:val="0"/>
          <w:marBottom w:val="0"/>
          <w:divBdr>
            <w:top w:val="none" w:sz="0" w:space="0" w:color="auto"/>
            <w:left w:val="none" w:sz="0" w:space="0" w:color="auto"/>
            <w:bottom w:val="none" w:sz="0" w:space="0" w:color="auto"/>
            <w:right w:val="none" w:sz="0" w:space="0" w:color="auto"/>
          </w:divBdr>
          <w:divsChild>
            <w:div w:id="16356712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56921258">
      <w:marLeft w:val="1080"/>
      <w:marRight w:val="0"/>
      <w:marTop w:val="0"/>
      <w:marBottom w:val="0"/>
      <w:divBdr>
        <w:top w:val="none" w:sz="0" w:space="0" w:color="auto"/>
        <w:left w:val="none" w:sz="0" w:space="0" w:color="auto"/>
        <w:bottom w:val="none" w:sz="0" w:space="0" w:color="auto"/>
        <w:right w:val="none" w:sz="0" w:space="0" w:color="auto"/>
      </w:divBdr>
    </w:div>
    <w:div w:id="463893237">
      <w:marLeft w:val="720"/>
      <w:marRight w:val="0"/>
      <w:marTop w:val="0"/>
      <w:marBottom w:val="0"/>
      <w:divBdr>
        <w:top w:val="none" w:sz="0" w:space="0" w:color="auto"/>
        <w:left w:val="none" w:sz="0" w:space="0" w:color="auto"/>
        <w:bottom w:val="none" w:sz="0" w:space="0" w:color="auto"/>
        <w:right w:val="none" w:sz="0" w:space="0" w:color="auto"/>
      </w:divBdr>
    </w:div>
    <w:div w:id="465314582">
      <w:marLeft w:val="0"/>
      <w:marRight w:val="0"/>
      <w:marTop w:val="120"/>
      <w:marBottom w:val="0"/>
      <w:divBdr>
        <w:top w:val="none" w:sz="0" w:space="0" w:color="auto"/>
        <w:left w:val="none" w:sz="0" w:space="0" w:color="auto"/>
        <w:bottom w:val="none" w:sz="0" w:space="0" w:color="auto"/>
        <w:right w:val="none" w:sz="0" w:space="0" w:color="auto"/>
      </w:divBdr>
    </w:div>
    <w:div w:id="467091073">
      <w:marLeft w:val="480"/>
      <w:marRight w:val="0"/>
      <w:marTop w:val="0"/>
      <w:marBottom w:val="0"/>
      <w:divBdr>
        <w:top w:val="none" w:sz="0" w:space="0" w:color="auto"/>
        <w:left w:val="none" w:sz="0" w:space="0" w:color="auto"/>
        <w:bottom w:val="none" w:sz="0" w:space="0" w:color="auto"/>
        <w:right w:val="none" w:sz="0" w:space="0" w:color="auto"/>
      </w:divBdr>
    </w:div>
    <w:div w:id="468014997">
      <w:marLeft w:val="0"/>
      <w:marRight w:val="0"/>
      <w:marTop w:val="120"/>
      <w:marBottom w:val="0"/>
      <w:divBdr>
        <w:top w:val="none" w:sz="0" w:space="0" w:color="auto"/>
        <w:left w:val="none" w:sz="0" w:space="0" w:color="auto"/>
        <w:bottom w:val="none" w:sz="0" w:space="0" w:color="auto"/>
        <w:right w:val="none" w:sz="0" w:space="0" w:color="auto"/>
      </w:divBdr>
    </w:div>
    <w:div w:id="472330985">
      <w:marLeft w:val="1080"/>
      <w:marRight w:val="0"/>
      <w:marTop w:val="0"/>
      <w:marBottom w:val="0"/>
      <w:divBdr>
        <w:top w:val="none" w:sz="0" w:space="0" w:color="auto"/>
        <w:left w:val="none" w:sz="0" w:space="0" w:color="auto"/>
        <w:bottom w:val="none" w:sz="0" w:space="0" w:color="auto"/>
        <w:right w:val="none" w:sz="0" w:space="0" w:color="auto"/>
      </w:divBdr>
    </w:div>
    <w:div w:id="472866598">
      <w:marLeft w:val="960"/>
      <w:marRight w:val="0"/>
      <w:marTop w:val="0"/>
      <w:marBottom w:val="0"/>
      <w:divBdr>
        <w:top w:val="none" w:sz="0" w:space="0" w:color="auto"/>
        <w:left w:val="none" w:sz="0" w:space="0" w:color="auto"/>
        <w:bottom w:val="none" w:sz="0" w:space="0" w:color="auto"/>
        <w:right w:val="none" w:sz="0" w:space="0" w:color="auto"/>
      </w:divBdr>
    </w:div>
    <w:div w:id="475995059">
      <w:marLeft w:val="840"/>
      <w:marRight w:val="0"/>
      <w:marTop w:val="0"/>
      <w:marBottom w:val="0"/>
      <w:divBdr>
        <w:top w:val="none" w:sz="0" w:space="0" w:color="auto"/>
        <w:left w:val="none" w:sz="0" w:space="0" w:color="auto"/>
        <w:bottom w:val="none" w:sz="0" w:space="0" w:color="auto"/>
        <w:right w:val="none" w:sz="0" w:space="0" w:color="auto"/>
      </w:divBdr>
    </w:div>
    <w:div w:id="480735549">
      <w:marLeft w:val="960"/>
      <w:marRight w:val="0"/>
      <w:marTop w:val="0"/>
      <w:marBottom w:val="0"/>
      <w:divBdr>
        <w:top w:val="none" w:sz="0" w:space="0" w:color="auto"/>
        <w:left w:val="none" w:sz="0" w:space="0" w:color="auto"/>
        <w:bottom w:val="none" w:sz="0" w:space="0" w:color="auto"/>
        <w:right w:val="none" w:sz="0" w:space="0" w:color="auto"/>
      </w:divBdr>
    </w:div>
    <w:div w:id="484666079">
      <w:marLeft w:val="1080"/>
      <w:marRight w:val="0"/>
      <w:marTop w:val="0"/>
      <w:marBottom w:val="0"/>
      <w:divBdr>
        <w:top w:val="none" w:sz="0" w:space="0" w:color="auto"/>
        <w:left w:val="none" w:sz="0" w:space="0" w:color="auto"/>
        <w:bottom w:val="none" w:sz="0" w:space="0" w:color="auto"/>
        <w:right w:val="none" w:sz="0" w:space="0" w:color="auto"/>
      </w:divBdr>
    </w:div>
    <w:div w:id="484971697">
      <w:marLeft w:val="0"/>
      <w:marRight w:val="0"/>
      <w:marTop w:val="0"/>
      <w:marBottom w:val="0"/>
      <w:divBdr>
        <w:top w:val="none" w:sz="0" w:space="0" w:color="auto"/>
        <w:left w:val="none" w:sz="0" w:space="0" w:color="auto"/>
        <w:bottom w:val="none" w:sz="0" w:space="0" w:color="auto"/>
        <w:right w:val="none" w:sz="0" w:space="0" w:color="auto"/>
      </w:divBdr>
      <w:divsChild>
        <w:div w:id="503864604">
          <w:marLeft w:val="0"/>
          <w:marRight w:val="0"/>
          <w:marTop w:val="120"/>
          <w:marBottom w:val="0"/>
          <w:divBdr>
            <w:top w:val="none" w:sz="0" w:space="0" w:color="auto"/>
            <w:left w:val="none" w:sz="0" w:space="0" w:color="auto"/>
            <w:bottom w:val="none" w:sz="0" w:space="0" w:color="auto"/>
            <w:right w:val="none" w:sz="0" w:space="0" w:color="auto"/>
          </w:divBdr>
        </w:div>
        <w:div w:id="1604217057">
          <w:marLeft w:val="0"/>
          <w:marRight w:val="0"/>
          <w:marTop w:val="0"/>
          <w:marBottom w:val="0"/>
          <w:divBdr>
            <w:top w:val="none" w:sz="0" w:space="0" w:color="auto"/>
            <w:left w:val="none" w:sz="0" w:space="0" w:color="auto"/>
            <w:bottom w:val="none" w:sz="0" w:space="0" w:color="auto"/>
            <w:right w:val="none" w:sz="0" w:space="0" w:color="auto"/>
          </w:divBdr>
          <w:divsChild>
            <w:div w:id="4705619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86243523">
      <w:marLeft w:val="1080"/>
      <w:marRight w:val="0"/>
      <w:marTop w:val="0"/>
      <w:marBottom w:val="0"/>
      <w:divBdr>
        <w:top w:val="none" w:sz="0" w:space="0" w:color="auto"/>
        <w:left w:val="none" w:sz="0" w:space="0" w:color="auto"/>
        <w:bottom w:val="none" w:sz="0" w:space="0" w:color="auto"/>
        <w:right w:val="none" w:sz="0" w:space="0" w:color="auto"/>
      </w:divBdr>
    </w:div>
    <w:div w:id="494999114">
      <w:marLeft w:val="720"/>
      <w:marRight w:val="0"/>
      <w:marTop w:val="0"/>
      <w:marBottom w:val="0"/>
      <w:divBdr>
        <w:top w:val="none" w:sz="0" w:space="0" w:color="auto"/>
        <w:left w:val="none" w:sz="0" w:space="0" w:color="auto"/>
        <w:bottom w:val="none" w:sz="0" w:space="0" w:color="auto"/>
        <w:right w:val="none" w:sz="0" w:space="0" w:color="auto"/>
      </w:divBdr>
    </w:div>
    <w:div w:id="495263951">
      <w:marLeft w:val="720"/>
      <w:marRight w:val="0"/>
      <w:marTop w:val="0"/>
      <w:marBottom w:val="0"/>
      <w:divBdr>
        <w:top w:val="none" w:sz="0" w:space="0" w:color="auto"/>
        <w:left w:val="none" w:sz="0" w:space="0" w:color="auto"/>
        <w:bottom w:val="none" w:sz="0" w:space="0" w:color="auto"/>
        <w:right w:val="none" w:sz="0" w:space="0" w:color="auto"/>
      </w:divBdr>
    </w:div>
    <w:div w:id="496531752">
      <w:marLeft w:val="840"/>
      <w:marRight w:val="0"/>
      <w:marTop w:val="0"/>
      <w:marBottom w:val="0"/>
      <w:divBdr>
        <w:top w:val="none" w:sz="0" w:space="0" w:color="auto"/>
        <w:left w:val="none" w:sz="0" w:space="0" w:color="auto"/>
        <w:bottom w:val="none" w:sz="0" w:space="0" w:color="auto"/>
        <w:right w:val="none" w:sz="0" w:space="0" w:color="auto"/>
      </w:divBdr>
    </w:div>
    <w:div w:id="501628611">
      <w:marLeft w:val="960"/>
      <w:marRight w:val="0"/>
      <w:marTop w:val="0"/>
      <w:marBottom w:val="0"/>
      <w:divBdr>
        <w:top w:val="none" w:sz="0" w:space="0" w:color="auto"/>
        <w:left w:val="none" w:sz="0" w:space="0" w:color="auto"/>
        <w:bottom w:val="none" w:sz="0" w:space="0" w:color="auto"/>
        <w:right w:val="none" w:sz="0" w:space="0" w:color="auto"/>
      </w:divBdr>
    </w:div>
    <w:div w:id="501701705">
      <w:marLeft w:val="840"/>
      <w:marRight w:val="0"/>
      <w:marTop w:val="0"/>
      <w:marBottom w:val="0"/>
      <w:divBdr>
        <w:top w:val="none" w:sz="0" w:space="0" w:color="auto"/>
        <w:left w:val="none" w:sz="0" w:space="0" w:color="auto"/>
        <w:bottom w:val="none" w:sz="0" w:space="0" w:color="auto"/>
        <w:right w:val="none" w:sz="0" w:space="0" w:color="auto"/>
      </w:divBdr>
    </w:div>
    <w:div w:id="505677324">
      <w:marLeft w:val="0"/>
      <w:marRight w:val="0"/>
      <w:marTop w:val="0"/>
      <w:marBottom w:val="0"/>
      <w:divBdr>
        <w:top w:val="none" w:sz="0" w:space="0" w:color="auto"/>
        <w:left w:val="none" w:sz="0" w:space="0" w:color="auto"/>
        <w:bottom w:val="none" w:sz="0" w:space="0" w:color="auto"/>
        <w:right w:val="none" w:sz="0" w:space="0" w:color="auto"/>
      </w:divBdr>
      <w:divsChild>
        <w:div w:id="48889874">
          <w:marLeft w:val="0"/>
          <w:marRight w:val="0"/>
          <w:marTop w:val="120"/>
          <w:marBottom w:val="0"/>
          <w:divBdr>
            <w:top w:val="none" w:sz="0" w:space="0" w:color="auto"/>
            <w:left w:val="none" w:sz="0" w:space="0" w:color="auto"/>
            <w:bottom w:val="none" w:sz="0" w:space="0" w:color="auto"/>
            <w:right w:val="none" w:sz="0" w:space="0" w:color="auto"/>
          </w:divBdr>
        </w:div>
        <w:div w:id="754010782">
          <w:marLeft w:val="0"/>
          <w:marRight w:val="0"/>
          <w:marTop w:val="0"/>
          <w:marBottom w:val="0"/>
          <w:divBdr>
            <w:top w:val="none" w:sz="0" w:space="0" w:color="auto"/>
            <w:left w:val="none" w:sz="0" w:space="0" w:color="auto"/>
            <w:bottom w:val="none" w:sz="0" w:space="0" w:color="auto"/>
            <w:right w:val="none" w:sz="0" w:space="0" w:color="auto"/>
          </w:divBdr>
          <w:divsChild>
            <w:div w:id="1010256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8065519">
      <w:marLeft w:val="720"/>
      <w:marRight w:val="0"/>
      <w:marTop w:val="0"/>
      <w:marBottom w:val="0"/>
      <w:divBdr>
        <w:top w:val="none" w:sz="0" w:space="0" w:color="auto"/>
        <w:left w:val="none" w:sz="0" w:space="0" w:color="auto"/>
        <w:bottom w:val="none" w:sz="0" w:space="0" w:color="auto"/>
        <w:right w:val="none" w:sz="0" w:space="0" w:color="auto"/>
      </w:divBdr>
    </w:div>
    <w:div w:id="513110404">
      <w:marLeft w:val="840"/>
      <w:marRight w:val="0"/>
      <w:marTop w:val="0"/>
      <w:marBottom w:val="0"/>
      <w:divBdr>
        <w:top w:val="none" w:sz="0" w:space="0" w:color="auto"/>
        <w:left w:val="none" w:sz="0" w:space="0" w:color="auto"/>
        <w:bottom w:val="none" w:sz="0" w:space="0" w:color="auto"/>
        <w:right w:val="none" w:sz="0" w:space="0" w:color="auto"/>
      </w:divBdr>
    </w:div>
    <w:div w:id="514654465">
      <w:marLeft w:val="720"/>
      <w:marRight w:val="0"/>
      <w:marTop w:val="0"/>
      <w:marBottom w:val="0"/>
      <w:divBdr>
        <w:top w:val="none" w:sz="0" w:space="0" w:color="auto"/>
        <w:left w:val="none" w:sz="0" w:space="0" w:color="auto"/>
        <w:bottom w:val="none" w:sz="0" w:space="0" w:color="auto"/>
        <w:right w:val="none" w:sz="0" w:space="0" w:color="auto"/>
      </w:divBdr>
    </w:div>
    <w:div w:id="515653965">
      <w:marLeft w:val="0"/>
      <w:marRight w:val="0"/>
      <w:marTop w:val="120"/>
      <w:marBottom w:val="0"/>
      <w:divBdr>
        <w:top w:val="none" w:sz="0" w:space="0" w:color="auto"/>
        <w:left w:val="none" w:sz="0" w:space="0" w:color="auto"/>
        <w:bottom w:val="none" w:sz="0" w:space="0" w:color="auto"/>
        <w:right w:val="none" w:sz="0" w:space="0" w:color="auto"/>
      </w:divBdr>
    </w:div>
    <w:div w:id="515967433">
      <w:marLeft w:val="720"/>
      <w:marRight w:val="0"/>
      <w:marTop w:val="0"/>
      <w:marBottom w:val="0"/>
      <w:divBdr>
        <w:top w:val="none" w:sz="0" w:space="0" w:color="auto"/>
        <w:left w:val="none" w:sz="0" w:space="0" w:color="auto"/>
        <w:bottom w:val="none" w:sz="0" w:space="0" w:color="auto"/>
        <w:right w:val="none" w:sz="0" w:space="0" w:color="auto"/>
      </w:divBdr>
    </w:div>
    <w:div w:id="517894823">
      <w:marLeft w:val="960"/>
      <w:marRight w:val="0"/>
      <w:marTop w:val="0"/>
      <w:marBottom w:val="0"/>
      <w:divBdr>
        <w:top w:val="none" w:sz="0" w:space="0" w:color="auto"/>
        <w:left w:val="none" w:sz="0" w:space="0" w:color="auto"/>
        <w:bottom w:val="none" w:sz="0" w:space="0" w:color="auto"/>
        <w:right w:val="none" w:sz="0" w:space="0" w:color="auto"/>
      </w:divBdr>
    </w:div>
    <w:div w:id="522132080">
      <w:marLeft w:val="960"/>
      <w:marRight w:val="0"/>
      <w:marTop w:val="0"/>
      <w:marBottom w:val="0"/>
      <w:divBdr>
        <w:top w:val="none" w:sz="0" w:space="0" w:color="auto"/>
        <w:left w:val="none" w:sz="0" w:space="0" w:color="auto"/>
        <w:bottom w:val="none" w:sz="0" w:space="0" w:color="auto"/>
        <w:right w:val="none" w:sz="0" w:space="0" w:color="auto"/>
      </w:divBdr>
    </w:div>
    <w:div w:id="523634821">
      <w:marLeft w:val="0"/>
      <w:marRight w:val="0"/>
      <w:marTop w:val="0"/>
      <w:marBottom w:val="0"/>
      <w:divBdr>
        <w:top w:val="none" w:sz="0" w:space="0" w:color="auto"/>
        <w:left w:val="none" w:sz="0" w:space="0" w:color="auto"/>
        <w:bottom w:val="none" w:sz="0" w:space="0" w:color="auto"/>
        <w:right w:val="none" w:sz="0" w:space="0" w:color="auto"/>
      </w:divBdr>
      <w:divsChild>
        <w:div w:id="1271085190">
          <w:marLeft w:val="0"/>
          <w:marRight w:val="0"/>
          <w:marTop w:val="120"/>
          <w:marBottom w:val="0"/>
          <w:divBdr>
            <w:top w:val="none" w:sz="0" w:space="0" w:color="auto"/>
            <w:left w:val="none" w:sz="0" w:space="0" w:color="auto"/>
            <w:bottom w:val="none" w:sz="0" w:space="0" w:color="auto"/>
            <w:right w:val="none" w:sz="0" w:space="0" w:color="auto"/>
          </w:divBdr>
        </w:div>
        <w:div w:id="610864283">
          <w:marLeft w:val="0"/>
          <w:marRight w:val="0"/>
          <w:marTop w:val="0"/>
          <w:marBottom w:val="0"/>
          <w:divBdr>
            <w:top w:val="none" w:sz="0" w:space="0" w:color="auto"/>
            <w:left w:val="none" w:sz="0" w:space="0" w:color="auto"/>
            <w:bottom w:val="none" w:sz="0" w:space="0" w:color="auto"/>
            <w:right w:val="none" w:sz="0" w:space="0" w:color="auto"/>
          </w:divBdr>
          <w:divsChild>
            <w:div w:id="1438149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9027727">
      <w:marLeft w:val="0"/>
      <w:marRight w:val="0"/>
      <w:marTop w:val="0"/>
      <w:marBottom w:val="0"/>
      <w:divBdr>
        <w:top w:val="none" w:sz="0" w:space="0" w:color="auto"/>
        <w:left w:val="none" w:sz="0" w:space="0" w:color="auto"/>
        <w:bottom w:val="none" w:sz="0" w:space="0" w:color="auto"/>
        <w:right w:val="none" w:sz="0" w:space="0" w:color="auto"/>
      </w:divBdr>
      <w:divsChild>
        <w:div w:id="1361197734">
          <w:marLeft w:val="0"/>
          <w:marRight w:val="0"/>
          <w:marTop w:val="120"/>
          <w:marBottom w:val="0"/>
          <w:divBdr>
            <w:top w:val="none" w:sz="0" w:space="0" w:color="auto"/>
            <w:left w:val="none" w:sz="0" w:space="0" w:color="auto"/>
            <w:bottom w:val="none" w:sz="0" w:space="0" w:color="auto"/>
            <w:right w:val="none" w:sz="0" w:space="0" w:color="auto"/>
          </w:divBdr>
        </w:div>
        <w:div w:id="481895691">
          <w:marLeft w:val="0"/>
          <w:marRight w:val="0"/>
          <w:marTop w:val="0"/>
          <w:marBottom w:val="0"/>
          <w:divBdr>
            <w:top w:val="none" w:sz="0" w:space="0" w:color="auto"/>
            <w:left w:val="none" w:sz="0" w:space="0" w:color="auto"/>
            <w:bottom w:val="none" w:sz="0" w:space="0" w:color="auto"/>
            <w:right w:val="none" w:sz="0" w:space="0" w:color="auto"/>
          </w:divBdr>
        </w:div>
      </w:divsChild>
    </w:div>
    <w:div w:id="534121925">
      <w:marLeft w:val="1080"/>
      <w:marRight w:val="0"/>
      <w:marTop w:val="0"/>
      <w:marBottom w:val="0"/>
      <w:divBdr>
        <w:top w:val="none" w:sz="0" w:space="0" w:color="auto"/>
        <w:left w:val="none" w:sz="0" w:space="0" w:color="auto"/>
        <w:bottom w:val="none" w:sz="0" w:space="0" w:color="auto"/>
        <w:right w:val="none" w:sz="0" w:space="0" w:color="auto"/>
      </w:divBdr>
    </w:div>
    <w:div w:id="534272695">
      <w:marLeft w:val="0"/>
      <w:marRight w:val="0"/>
      <w:marTop w:val="0"/>
      <w:marBottom w:val="0"/>
      <w:divBdr>
        <w:top w:val="none" w:sz="0" w:space="0" w:color="auto"/>
        <w:left w:val="none" w:sz="0" w:space="0" w:color="auto"/>
        <w:bottom w:val="none" w:sz="0" w:space="0" w:color="auto"/>
        <w:right w:val="none" w:sz="0" w:space="0" w:color="auto"/>
      </w:divBdr>
      <w:divsChild>
        <w:div w:id="1254361704">
          <w:marLeft w:val="0"/>
          <w:marRight w:val="0"/>
          <w:marTop w:val="120"/>
          <w:marBottom w:val="0"/>
          <w:divBdr>
            <w:top w:val="none" w:sz="0" w:space="0" w:color="auto"/>
            <w:left w:val="none" w:sz="0" w:space="0" w:color="auto"/>
            <w:bottom w:val="none" w:sz="0" w:space="0" w:color="auto"/>
            <w:right w:val="none" w:sz="0" w:space="0" w:color="auto"/>
          </w:divBdr>
        </w:div>
        <w:div w:id="930622281">
          <w:marLeft w:val="0"/>
          <w:marRight w:val="0"/>
          <w:marTop w:val="0"/>
          <w:marBottom w:val="0"/>
          <w:divBdr>
            <w:top w:val="none" w:sz="0" w:space="0" w:color="auto"/>
            <w:left w:val="none" w:sz="0" w:space="0" w:color="auto"/>
            <w:bottom w:val="none" w:sz="0" w:space="0" w:color="auto"/>
            <w:right w:val="none" w:sz="0" w:space="0" w:color="auto"/>
          </w:divBdr>
          <w:divsChild>
            <w:div w:id="1110902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34736299">
      <w:marLeft w:val="960"/>
      <w:marRight w:val="0"/>
      <w:marTop w:val="0"/>
      <w:marBottom w:val="0"/>
      <w:divBdr>
        <w:top w:val="none" w:sz="0" w:space="0" w:color="auto"/>
        <w:left w:val="none" w:sz="0" w:space="0" w:color="auto"/>
        <w:bottom w:val="none" w:sz="0" w:space="0" w:color="auto"/>
        <w:right w:val="none" w:sz="0" w:space="0" w:color="auto"/>
      </w:divBdr>
    </w:div>
    <w:div w:id="538128258">
      <w:marLeft w:val="1200"/>
      <w:marRight w:val="0"/>
      <w:marTop w:val="0"/>
      <w:marBottom w:val="0"/>
      <w:divBdr>
        <w:top w:val="none" w:sz="0" w:space="0" w:color="auto"/>
        <w:left w:val="none" w:sz="0" w:space="0" w:color="auto"/>
        <w:bottom w:val="none" w:sz="0" w:space="0" w:color="auto"/>
        <w:right w:val="none" w:sz="0" w:space="0" w:color="auto"/>
      </w:divBdr>
    </w:div>
    <w:div w:id="538321810">
      <w:marLeft w:val="0"/>
      <w:marRight w:val="0"/>
      <w:marTop w:val="0"/>
      <w:marBottom w:val="0"/>
      <w:divBdr>
        <w:top w:val="none" w:sz="0" w:space="0" w:color="auto"/>
        <w:left w:val="none" w:sz="0" w:space="0" w:color="auto"/>
        <w:bottom w:val="none" w:sz="0" w:space="0" w:color="auto"/>
        <w:right w:val="none" w:sz="0" w:space="0" w:color="auto"/>
      </w:divBdr>
      <w:divsChild>
        <w:div w:id="679506678">
          <w:marLeft w:val="0"/>
          <w:marRight w:val="0"/>
          <w:marTop w:val="120"/>
          <w:marBottom w:val="0"/>
          <w:divBdr>
            <w:top w:val="none" w:sz="0" w:space="0" w:color="auto"/>
            <w:left w:val="none" w:sz="0" w:space="0" w:color="auto"/>
            <w:bottom w:val="none" w:sz="0" w:space="0" w:color="auto"/>
            <w:right w:val="none" w:sz="0" w:space="0" w:color="auto"/>
          </w:divBdr>
        </w:div>
        <w:div w:id="1584021899">
          <w:marLeft w:val="0"/>
          <w:marRight w:val="0"/>
          <w:marTop w:val="0"/>
          <w:marBottom w:val="0"/>
          <w:divBdr>
            <w:top w:val="none" w:sz="0" w:space="0" w:color="auto"/>
            <w:left w:val="none" w:sz="0" w:space="0" w:color="auto"/>
            <w:bottom w:val="none" w:sz="0" w:space="0" w:color="auto"/>
            <w:right w:val="none" w:sz="0" w:space="0" w:color="auto"/>
          </w:divBdr>
          <w:divsChild>
            <w:div w:id="17539654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3637080">
      <w:marLeft w:val="0"/>
      <w:marRight w:val="0"/>
      <w:marTop w:val="0"/>
      <w:marBottom w:val="0"/>
      <w:divBdr>
        <w:top w:val="none" w:sz="0" w:space="0" w:color="auto"/>
        <w:left w:val="none" w:sz="0" w:space="0" w:color="auto"/>
        <w:bottom w:val="none" w:sz="0" w:space="0" w:color="auto"/>
        <w:right w:val="none" w:sz="0" w:space="0" w:color="auto"/>
      </w:divBdr>
      <w:divsChild>
        <w:div w:id="1219244347">
          <w:marLeft w:val="0"/>
          <w:marRight w:val="0"/>
          <w:marTop w:val="120"/>
          <w:marBottom w:val="0"/>
          <w:divBdr>
            <w:top w:val="none" w:sz="0" w:space="0" w:color="auto"/>
            <w:left w:val="none" w:sz="0" w:space="0" w:color="auto"/>
            <w:bottom w:val="none" w:sz="0" w:space="0" w:color="auto"/>
            <w:right w:val="none" w:sz="0" w:space="0" w:color="auto"/>
          </w:divBdr>
        </w:div>
        <w:div w:id="1516578506">
          <w:marLeft w:val="0"/>
          <w:marRight w:val="0"/>
          <w:marTop w:val="0"/>
          <w:marBottom w:val="0"/>
          <w:divBdr>
            <w:top w:val="none" w:sz="0" w:space="0" w:color="auto"/>
            <w:left w:val="none" w:sz="0" w:space="0" w:color="auto"/>
            <w:bottom w:val="none" w:sz="0" w:space="0" w:color="auto"/>
            <w:right w:val="none" w:sz="0" w:space="0" w:color="auto"/>
          </w:divBdr>
          <w:divsChild>
            <w:div w:id="715811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1815575">
      <w:marLeft w:val="0"/>
      <w:marRight w:val="0"/>
      <w:marTop w:val="120"/>
      <w:marBottom w:val="0"/>
      <w:divBdr>
        <w:top w:val="none" w:sz="0" w:space="0" w:color="auto"/>
        <w:left w:val="none" w:sz="0" w:space="0" w:color="auto"/>
        <w:bottom w:val="none" w:sz="0" w:space="0" w:color="auto"/>
        <w:right w:val="none" w:sz="0" w:space="0" w:color="auto"/>
      </w:divBdr>
    </w:div>
    <w:div w:id="553466048">
      <w:marLeft w:val="0"/>
      <w:marRight w:val="0"/>
      <w:marTop w:val="0"/>
      <w:marBottom w:val="0"/>
      <w:divBdr>
        <w:top w:val="none" w:sz="0" w:space="0" w:color="auto"/>
        <w:left w:val="none" w:sz="0" w:space="0" w:color="auto"/>
        <w:bottom w:val="none" w:sz="0" w:space="0" w:color="auto"/>
        <w:right w:val="none" w:sz="0" w:space="0" w:color="auto"/>
      </w:divBdr>
      <w:divsChild>
        <w:div w:id="1159150489">
          <w:marLeft w:val="0"/>
          <w:marRight w:val="0"/>
          <w:marTop w:val="120"/>
          <w:marBottom w:val="0"/>
          <w:divBdr>
            <w:top w:val="none" w:sz="0" w:space="0" w:color="auto"/>
            <w:left w:val="none" w:sz="0" w:space="0" w:color="auto"/>
            <w:bottom w:val="none" w:sz="0" w:space="0" w:color="auto"/>
            <w:right w:val="none" w:sz="0" w:space="0" w:color="auto"/>
          </w:divBdr>
        </w:div>
        <w:div w:id="1315909970">
          <w:marLeft w:val="0"/>
          <w:marRight w:val="0"/>
          <w:marTop w:val="0"/>
          <w:marBottom w:val="0"/>
          <w:divBdr>
            <w:top w:val="none" w:sz="0" w:space="0" w:color="auto"/>
            <w:left w:val="none" w:sz="0" w:space="0" w:color="auto"/>
            <w:bottom w:val="none" w:sz="0" w:space="0" w:color="auto"/>
            <w:right w:val="none" w:sz="0" w:space="0" w:color="auto"/>
          </w:divBdr>
          <w:divsChild>
            <w:div w:id="19771053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65069749">
      <w:marLeft w:val="960"/>
      <w:marRight w:val="0"/>
      <w:marTop w:val="0"/>
      <w:marBottom w:val="0"/>
      <w:divBdr>
        <w:top w:val="none" w:sz="0" w:space="0" w:color="auto"/>
        <w:left w:val="none" w:sz="0" w:space="0" w:color="auto"/>
        <w:bottom w:val="none" w:sz="0" w:space="0" w:color="auto"/>
        <w:right w:val="none" w:sz="0" w:space="0" w:color="auto"/>
      </w:divBdr>
    </w:div>
    <w:div w:id="566570838">
      <w:marLeft w:val="720"/>
      <w:marRight w:val="0"/>
      <w:marTop w:val="0"/>
      <w:marBottom w:val="0"/>
      <w:divBdr>
        <w:top w:val="none" w:sz="0" w:space="0" w:color="auto"/>
        <w:left w:val="none" w:sz="0" w:space="0" w:color="auto"/>
        <w:bottom w:val="none" w:sz="0" w:space="0" w:color="auto"/>
        <w:right w:val="none" w:sz="0" w:space="0" w:color="auto"/>
      </w:divBdr>
    </w:div>
    <w:div w:id="566691868">
      <w:marLeft w:val="1080"/>
      <w:marRight w:val="0"/>
      <w:marTop w:val="0"/>
      <w:marBottom w:val="0"/>
      <w:divBdr>
        <w:top w:val="none" w:sz="0" w:space="0" w:color="auto"/>
        <w:left w:val="none" w:sz="0" w:space="0" w:color="auto"/>
        <w:bottom w:val="none" w:sz="0" w:space="0" w:color="auto"/>
        <w:right w:val="none" w:sz="0" w:space="0" w:color="auto"/>
      </w:divBdr>
    </w:div>
    <w:div w:id="569653081">
      <w:marLeft w:val="720"/>
      <w:marRight w:val="0"/>
      <w:marTop w:val="0"/>
      <w:marBottom w:val="0"/>
      <w:divBdr>
        <w:top w:val="none" w:sz="0" w:space="0" w:color="auto"/>
        <w:left w:val="none" w:sz="0" w:space="0" w:color="auto"/>
        <w:bottom w:val="none" w:sz="0" w:space="0" w:color="auto"/>
        <w:right w:val="none" w:sz="0" w:space="0" w:color="auto"/>
      </w:divBdr>
    </w:div>
    <w:div w:id="570116897">
      <w:marLeft w:val="0"/>
      <w:marRight w:val="0"/>
      <w:marTop w:val="0"/>
      <w:marBottom w:val="0"/>
      <w:divBdr>
        <w:top w:val="none" w:sz="0" w:space="0" w:color="auto"/>
        <w:left w:val="none" w:sz="0" w:space="0" w:color="auto"/>
        <w:bottom w:val="none" w:sz="0" w:space="0" w:color="auto"/>
        <w:right w:val="none" w:sz="0" w:space="0" w:color="auto"/>
      </w:divBdr>
      <w:divsChild>
        <w:div w:id="516429395">
          <w:marLeft w:val="0"/>
          <w:marRight w:val="0"/>
          <w:marTop w:val="120"/>
          <w:marBottom w:val="0"/>
          <w:divBdr>
            <w:top w:val="none" w:sz="0" w:space="0" w:color="auto"/>
            <w:left w:val="none" w:sz="0" w:space="0" w:color="auto"/>
            <w:bottom w:val="none" w:sz="0" w:space="0" w:color="auto"/>
            <w:right w:val="none" w:sz="0" w:space="0" w:color="auto"/>
          </w:divBdr>
        </w:div>
        <w:div w:id="442463708">
          <w:marLeft w:val="0"/>
          <w:marRight w:val="0"/>
          <w:marTop w:val="0"/>
          <w:marBottom w:val="0"/>
          <w:divBdr>
            <w:top w:val="none" w:sz="0" w:space="0" w:color="auto"/>
            <w:left w:val="none" w:sz="0" w:space="0" w:color="auto"/>
            <w:bottom w:val="none" w:sz="0" w:space="0" w:color="auto"/>
            <w:right w:val="none" w:sz="0" w:space="0" w:color="auto"/>
          </w:divBdr>
          <w:divsChild>
            <w:div w:id="1071688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73130072">
      <w:marLeft w:val="0"/>
      <w:marRight w:val="0"/>
      <w:marTop w:val="0"/>
      <w:marBottom w:val="0"/>
      <w:divBdr>
        <w:top w:val="none" w:sz="0" w:space="0" w:color="auto"/>
        <w:left w:val="none" w:sz="0" w:space="0" w:color="auto"/>
        <w:bottom w:val="none" w:sz="0" w:space="0" w:color="auto"/>
        <w:right w:val="none" w:sz="0" w:space="0" w:color="auto"/>
      </w:divBdr>
      <w:divsChild>
        <w:div w:id="771631675">
          <w:marLeft w:val="0"/>
          <w:marRight w:val="0"/>
          <w:marTop w:val="120"/>
          <w:marBottom w:val="0"/>
          <w:divBdr>
            <w:top w:val="none" w:sz="0" w:space="0" w:color="auto"/>
            <w:left w:val="none" w:sz="0" w:space="0" w:color="auto"/>
            <w:bottom w:val="none" w:sz="0" w:space="0" w:color="auto"/>
            <w:right w:val="none" w:sz="0" w:space="0" w:color="auto"/>
          </w:divBdr>
        </w:div>
        <w:div w:id="974599483">
          <w:marLeft w:val="0"/>
          <w:marRight w:val="0"/>
          <w:marTop w:val="0"/>
          <w:marBottom w:val="0"/>
          <w:divBdr>
            <w:top w:val="none" w:sz="0" w:space="0" w:color="auto"/>
            <w:left w:val="none" w:sz="0" w:space="0" w:color="auto"/>
            <w:bottom w:val="none" w:sz="0" w:space="0" w:color="auto"/>
            <w:right w:val="none" w:sz="0" w:space="0" w:color="auto"/>
          </w:divBdr>
          <w:divsChild>
            <w:div w:id="10624136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75213378">
      <w:marLeft w:val="0"/>
      <w:marRight w:val="0"/>
      <w:marTop w:val="0"/>
      <w:marBottom w:val="0"/>
      <w:divBdr>
        <w:top w:val="none" w:sz="0" w:space="0" w:color="auto"/>
        <w:left w:val="none" w:sz="0" w:space="0" w:color="auto"/>
        <w:bottom w:val="none" w:sz="0" w:space="0" w:color="auto"/>
        <w:right w:val="none" w:sz="0" w:space="0" w:color="auto"/>
      </w:divBdr>
      <w:divsChild>
        <w:div w:id="800416572">
          <w:marLeft w:val="0"/>
          <w:marRight w:val="0"/>
          <w:marTop w:val="120"/>
          <w:marBottom w:val="0"/>
          <w:divBdr>
            <w:top w:val="none" w:sz="0" w:space="0" w:color="auto"/>
            <w:left w:val="none" w:sz="0" w:space="0" w:color="auto"/>
            <w:bottom w:val="none" w:sz="0" w:space="0" w:color="auto"/>
            <w:right w:val="none" w:sz="0" w:space="0" w:color="auto"/>
          </w:divBdr>
        </w:div>
        <w:div w:id="316809940">
          <w:marLeft w:val="0"/>
          <w:marRight w:val="0"/>
          <w:marTop w:val="0"/>
          <w:marBottom w:val="0"/>
          <w:divBdr>
            <w:top w:val="none" w:sz="0" w:space="0" w:color="auto"/>
            <w:left w:val="none" w:sz="0" w:space="0" w:color="auto"/>
            <w:bottom w:val="none" w:sz="0" w:space="0" w:color="auto"/>
            <w:right w:val="none" w:sz="0" w:space="0" w:color="auto"/>
          </w:divBdr>
          <w:divsChild>
            <w:div w:id="7611423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75676116">
      <w:marLeft w:val="720"/>
      <w:marRight w:val="0"/>
      <w:marTop w:val="0"/>
      <w:marBottom w:val="0"/>
      <w:divBdr>
        <w:top w:val="none" w:sz="0" w:space="0" w:color="auto"/>
        <w:left w:val="none" w:sz="0" w:space="0" w:color="auto"/>
        <w:bottom w:val="none" w:sz="0" w:space="0" w:color="auto"/>
        <w:right w:val="none" w:sz="0" w:space="0" w:color="auto"/>
      </w:divBdr>
    </w:div>
    <w:div w:id="577250006">
      <w:marLeft w:val="1080"/>
      <w:marRight w:val="0"/>
      <w:marTop w:val="0"/>
      <w:marBottom w:val="0"/>
      <w:divBdr>
        <w:top w:val="none" w:sz="0" w:space="0" w:color="auto"/>
        <w:left w:val="none" w:sz="0" w:space="0" w:color="auto"/>
        <w:bottom w:val="none" w:sz="0" w:space="0" w:color="auto"/>
        <w:right w:val="none" w:sz="0" w:space="0" w:color="auto"/>
      </w:divBdr>
    </w:div>
    <w:div w:id="580138092">
      <w:marLeft w:val="960"/>
      <w:marRight w:val="0"/>
      <w:marTop w:val="0"/>
      <w:marBottom w:val="0"/>
      <w:divBdr>
        <w:top w:val="none" w:sz="0" w:space="0" w:color="auto"/>
        <w:left w:val="none" w:sz="0" w:space="0" w:color="auto"/>
        <w:bottom w:val="none" w:sz="0" w:space="0" w:color="auto"/>
        <w:right w:val="none" w:sz="0" w:space="0" w:color="auto"/>
      </w:divBdr>
    </w:div>
    <w:div w:id="581525150">
      <w:marLeft w:val="720"/>
      <w:marRight w:val="0"/>
      <w:marTop w:val="0"/>
      <w:marBottom w:val="0"/>
      <w:divBdr>
        <w:top w:val="none" w:sz="0" w:space="0" w:color="auto"/>
        <w:left w:val="none" w:sz="0" w:space="0" w:color="auto"/>
        <w:bottom w:val="none" w:sz="0" w:space="0" w:color="auto"/>
        <w:right w:val="none" w:sz="0" w:space="0" w:color="auto"/>
      </w:divBdr>
    </w:div>
    <w:div w:id="582492623">
      <w:marLeft w:val="960"/>
      <w:marRight w:val="0"/>
      <w:marTop w:val="0"/>
      <w:marBottom w:val="0"/>
      <w:divBdr>
        <w:top w:val="none" w:sz="0" w:space="0" w:color="auto"/>
        <w:left w:val="none" w:sz="0" w:space="0" w:color="auto"/>
        <w:bottom w:val="none" w:sz="0" w:space="0" w:color="auto"/>
        <w:right w:val="none" w:sz="0" w:space="0" w:color="auto"/>
      </w:divBdr>
    </w:div>
    <w:div w:id="594021070">
      <w:marLeft w:val="840"/>
      <w:marRight w:val="0"/>
      <w:marTop w:val="0"/>
      <w:marBottom w:val="0"/>
      <w:divBdr>
        <w:top w:val="none" w:sz="0" w:space="0" w:color="auto"/>
        <w:left w:val="none" w:sz="0" w:space="0" w:color="auto"/>
        <w:bottom w:val="none" w:sz="0" w:space="0" w:color="auto"/>
        <w:right w:val="none" w:sz="0" w:space="0" w:color="auto"/>
      </w:divBdr>
    </w:div>
    <w:div w:id="599219291">
      <w:marLeft w:val="960"/>
      <w:marRight w:val="0"/>
      <w:marTop w:val="0"/>
      <w:marBottom w:val="0"/>
      <w:divBdr>
        <w:top w:val="none" w:sz="0" w:space="0" w:color="auto"/>
        <w:left w:val="none" w:sz="0" w:space="0" w:color="auto"/>
        <w:bottom w:val="none" w:sz="0" w:space="0" w:color="auto"/>
        <w:right w:val="none" w:sz="0" w:space="0" w:color="auto"/>
      </w:divBdr>
    </w:div>
    <w:div w:id="600799336">
      <w:marLeft w:val="0"/>
      <w:marRight w:val="0"/>
      <w:marTop w:val="0"/>
      <w:marBottom w:val="0"/>
      <w:divBdr>
        <w:top w:val="none" w:sz="0" w:space="0" w:color="auto"/>
        <w:left w:val="none" w:sz="0" w:space="0" w:color="auto"/>
        <w:bottom w:val="none" w:sz="0" w:space="0" w:color="auto"/>
        <w:right w:val="none" w:sz="0" w:space="0" w:color="auto"/>
      </w:divBdr>
      <w:divsChild>
        <w:div w:id="1870221150">
          <w:marLeft w:val="0"/>
          <w:marRight w:val="0"/>
          <w:marTop w:val="120"/>
          <w:marBottom w:val="0"/>
          <w:divBdr>
            <w:top w:val="none" w:sz="0" w:space="0" w:color="auto"/>
            <w:left w:val="none" w:sz="0" w:space="0" w:color="auto"/>
            <w:bottom w:val="none" w:sz="0" w:space="0" w:color="auto"/>
            <w:right w:val="none" w:sz="0" w:space="0" w:color="auto"/>
          </w:divBdr>
        </w:div>
        <w:div w:id="176192928">
          <w:marLeft w:val="0"/>
          <w:marRight w:val="0"/>
          <w:marTop w:val="0"/>
          <w:marBottom w:val="0"/>
          <w:divBdr>
            <w:top w:val="none" w:sz="0" w:space="0" w:color="auto"/>
            <w:left w:val="none" w:sz="0" w:space="0" w:color="auto"/>
            <w:bottom w:val="none" w:sz="0" w:space="0" w:color="auto"/>
            <w:right w:val="none" w:sz="0" w:space="0" w:color="auto"/>
          </w:divBdr>
          <w:divsChild>
            <w:div w:id="17365837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01230461">
      <w:marLeft w:val="840"/>
      <w:marRight w:val="0"/>
      <w:marTop w:val="0"/>
      <w:marBottom w:val="0"/>
      <w:divBdr>
        <w:top w:val="none" w:sz="0" w:space="0" w:color="auto"/>
        <w:left w:val="none" w:sz="0" w:space="0" w:color="auto"/>
        <w:bottom w:val="none" w:sz="0" w:space="0" w:color="auto"/>
        <w:right w:val="none" w:sz="0" w:space="0" w:color="auto"/>
      </w:divBdr>
    </w:div>
    <w:div w:id="601257958">
      <w:marLeft w:val="0"/>
      <w:marRight w:val="0"/>
      <w:marTop w:val="0"/>
      <w:marBottom w:val="0"/>
      <w:divBdr>
        <w:top w:val="none" w:sz="0" w:space="0" w:color="auto"/>
        <w:left w:val="none" w:sz="0" w:space="0" w:color="auto"/>
        <w:bottom w:val="none" w:sz="0" w:space="0" w:color="auto"/>
        <w:right w:val="none" w:sz="0" w:space="0" w:color="auto"/>
      </w:divBdr>
      <w:divsChild>
        <w:div w:id="1554391614">
          <w:marLeft w:val="0"/>
          <w:marRight w:val="0"/>
          <w:marTop w:val="120"/>
          <w:marBottom w:val="0"/>
          <w:divBdr>
            <w:top w:val="none" w:sz="0" w:space="0" w:color="auto"/>
            <w:left w:val="none" w:sz="0" w:space="0" w:color="auto"/>
            <w:bottom w:val="none" w:sz="0" w:space="0" w:color="auto"/>
            <w:right w:val="none" w:sz="0" w:space="0" w:color="auto"/>
          </w:divBdr>
        </w:div>
        <w:div w:id="1540897306">
          <w:marLeft w:val="0"/>
          <w:marRight w:val="0"/>
          <w:marTop w:val="0"/>
          <w:marBottom w:val="0"/>
          <w:divBdr>
            <w:top w:val="none" w:sz="0" w:space="0" w:color="auto"/>
            <w:left w:val="none" w:sz="0" w:space="0" w:color="auto"/>
            <w:bottom w:val="none" w:sz="0" w:space="0" w:color="auto"/>
            <w:right w:val="none" w:sz="0" w:space="0" w:color="auto"/>
          </w:divBdr>
          <w:divsChild>
            <w:div w:id="10662277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03610090">
      <w:marLeft w:val="720"/>
      <w:marRight w:val="0"/>
      <w:marTop w:val="0"/>
      <w:marBottom w:val="0"/>
      <w:divBdr>
        <w:top w:val="none" w:sz="0" w:space="0" w:color="auto"/>
        <w:left w:val="none" w:sz="0" w:space="0" w:color="auto"/>
        <w:bottom w:val="none" w:sz="0" w:space="0" w:color="auto"/>
        <w:right w:val="none" w:sz="0" w:space="0" w:color="auto"/>
      </w:divBdr>
    </w:div>
    <w:div w:id="603810353">
      <w:marLeft w:val="840"/>
      <w:marRight w:val="0"/>
      <w:marTop w:val="0"/>
      <w:marBottom w:val="0"/>
      <w:divBdr>
        <w:top w:val="none" w:sz="0" w:space="0" w:color="auto"/>
        <w:left w:val="none" w:sz="0" w:space="0" w:color="auto"/>
        <w:bottom w:val="none" w:sz="0" w:space="0" w:color="auto"/>
        <w:right w:val="none" w:sz="0" w:space="0" w:color="auto"/>
      </w:divBdr>
    </w:div>
    <w:div w:id="607202868">
      <w:marLeft w:val="0"/>
      <w:marRight w:val="0"/>
      <w:marTop w:val="0"/>
      <w:marBottom w:val="0"/>
      <w:divBdr>
        <w:top w:val="none" w:sz="0" w:space="0" w:color="auto"/>
        <w:left w:val="none" w:sz="0" w:space="0" w:color="auto"/>
        <w:bottom w:val="none" w:sz="0" w:space="0" w:color="auto"/>
        <w:right w:val="none" w:sz="0" w:space="0" w:color="auto"/>
      </w:divBdr>
      <w:divsChild>
        <w:div w:id="1263107008">
          <w:marLeft w:val="0"/>
          <w:marRight w:val="0"/>
          <w:marTop w:val="120"/>
          <w:marBottom w:val="0"/>
          <w:divBdr>
            <w:top w:val="none" w:sz="0" w:space="0" w:color="auto"/>
            <w:left w:val="none" w:sz="0" w:space="0" w:color="auto"/>
            <w:bottom w:val="none" w:sz="0" w:space="0" w:color="auto"/>
            <w:right w:val="none" w:sz="0" w:space="0" w:color="auto"/>
          </w:divBdr>
        </w:div>
        <w:div w:id="812720131">
          <w:marLeft w:val="0"/>
          <w:marRight w:val="0"/>
          <w:marTop w:val="0"/>
          <w:marBottom w:val="0"/>
          <w:divBdr>
            <w:top w:val="none" w:sz="0" w:space="0" w:color="auto"/>
            <w:left w:val="none" w:sz="0" w:space="0" w:color="auto"/>
            <w:bottom w:val="none" w:sz="0" w:space="0" w:color="auto"/>
            <w:right w:val="none" w:sz="0" w:space="0" w:color="auto"/>
          </w:divBdr>
        </w:div>
      </w:divsChild>
    </w:div>
    <w:div w:id="612975390">
      <w:marLeft w:val="720"/>
      <w:marRight w:val="0"/>
      <w:marTop w:val="0"/>
      <w:marBottom w:val="0"/>
      <w:divBdr>
        <w:top w:val="none" w:sz="0" w:space="0" w:color="auto"/>
        <w:left w:val="none" w:sz="0" w:space="0" w:color="auto"/>
        <w:bottom w:val="none" w:sz="0" w:space="0" w:color="auto"/>
        <w:right w:val="none" w:sz="0" w:space="0" w:color="auto"/>
      </w:divBdr>
    </w:div>
    <w:div w:id="615983526">
      <w:marLeft w:val="720"/>
      <w:marRight w:val="0"/>
      <w:marTop w:val="0"/>
      <w:marBottom w:val="0"/>
      <w:divBdr>
        <w:top w:val="none" w:sz="0" w:space="0" w:color="auto"/>
        <w:left w:val="none" w:sz="0" w:space="0" w:color="auto"/>
        <w:bottom w:val="none" w:sz="0" w:space="0" w:color="auto"/>
        <w:right w:val="none" w:sz="0" w:space="0" w:color="auto"/>
      </w:divBdr>
    </w:div>
    <w:div w:id="618531315">
      <w:marLeft w:val="0"/>
      <w:marRight w:val="0"/>
      <w:marTop w:val="0"/>
      <w:marBottom w:val="0"/>
      <w:divBdr>
        <w:top w:val="none" w:sz="0" w:space="0" w:color="auto"/>
        <w:left w:val="none" w:sz="0" w:space="0" w:color="auto"/>
        <w:bottom w:val="none" w:sz="0" w:space="0" w:color="auto"/>
        <w:right w:val="none" w:sz="0" w:space="0" w:color="auto"/>
      </w:divBdr>
      <w:divsChild>
        <w:div w:id="1616907572">
          <w:marLeft w:val="0"/>
          <w:marRight w:val="0"/>
          <w:marTop w:val="120"/>
          <w:marBottom w:val="0"/>
          <w:divBdr>
            <w:top w:val="none" w:sz="0" w:space="0" w:color="auto"/>
            <w:left w:val="none" w:sz="0" w:space="0" w:color="auto"/>
            <w:bottom w:val="none" w:sz="0" w:space="0" w:color="auto"/>
            <w:right w:val="none" w:sz="0" w:space="0" w:color="auto"/>
          </w:divBdr>
        </w:div>
        <w:div w:id="161702136">
          <w:marLeft w:val="0"/>
          <w:marRight w:val="0"/>
          <w:marTop w:val="0"/>
          <w:marBottom w:val="0"/>
          <w:divBdr>
            <w:top w:val="none" w:sz="0" w:space="0" w:color="auto"/>
            <w:left w:val="none" w:sz="0" w:space="0" w:color="auto"/>
            <w:bottom w:val="none" w:sz="0" w:space="0" w:color="auto"/>
            <w:right w:val="none" w:sz="0" w:space="0" w:color="auto"/>
          </w:divBdr>
          <w:divsChild>
            <w:div w:id="2052143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0304359">
      <w:marLeft w:val="0"/>
      <w:marRight w:val="0"/>
      <w:marTop w:val="0"/>
      <w:marBottom w:val="0"/>
      <w:divBdr>
        <w:top w:val="none" w:sz="0" w:space="0" w:color="auto"/>
        <w:left w:val="none" w:sz="0" w:space="0" w:color="auto"/>
        <w:bottom w:val="none" w:sz="0" w:space="0" w:color="auto"/>
        <w:right w:val="none" w:sz="0" w:space="0" w:color="auto"/>
      </w:divBdr>
      <w:divsChild>
        <w:div w:id="82462424">
          <w:marLeft w:val="0"/>
          <w:marRight w:val="0"/>
          <w:marTop w:val="120"/>
          <w:marBottom w:val="0"/>
          <w:divBdr>
            <w:top w:val="none" w:sz="0" w:space="0" w:color="auto"/>
            <w:left w:val="none" w:sz="0" w:space="0" w:color="auto"/>
            <w:bottom w:val="none" w:sz="0" w:space="0" w:color="auto"/>
            <w:right w:val="none" w:sz="0" w:space="0" w:color="auto"/>
          </w:divBdr>
        </w:div>
        <w:div w:id="239415117">
          <w:marLeft w:val="0"/>
          <w:marRight w:val="0"/>
          <w:marTop w:val="0"/>
          <w:marBottom w:val="0"/>
          <w:divBdr>
            <w:top w:val="none" w:sz="0" w:space="0" w:color="auto"/>
            <w:left w:val="none" w:sz="0" w:space="0" w:color="auto"/>
            <w:bottom w:val="none" w:sz="0" w:space="0" w:color="auto"/>
            <w:right w:val="none" w:sz="0" w:space="0" w:color="auto"/>
          </w:divBdr>
          <w:divsChild>
            <w:div w:id="19354305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3390388">
      <w:marLeft w:val="1080"/>
      <w:marRight w:val="0"/>
      <w:marTop w:val="0"/>
      <w:marBottom w:val="0"/>
      <w:divBdr>
        <w:top w:val="none" w:sz="0" w:space="0" w:color="auto"/>
        <w:left w:val="none" w:sz="0" w:space="0" w:color="auto"/>
        <w:bottom w:val="none" w:sz="0" w:space="0" w:color="auto"/>
        <w:right w:val="none" w:sz="0" w:space="0" w:color="auto"/>
      </w:divBdr>
    </w:div>
    <w:div w:id="624194541">
      <w:marLeft w:val="960"/>
      <w:marRight w:val="0"/>
      <w:marTop w:val="0"/>
      <w:marBottom w:val="0"/>
      <w:divBdr>
        <w:top w:val="none" w:sz="0" w:space="0" w:color="auto"/>
        <w:left w:val="none" w:sz="0" w:space="0" w:color="auto"/>
        <w:bottom w:val="none" w:sz="0" w:space="0" w:color="auto"/>
        <w:right w:val="none" w:sz="0" w:space="0" w:color="auto"/>
      </w:divBdr>
    </w:div>
    <w:div w:id="624697972">
      <w:marLeft w:val="1080"/>
      <w:marRight w:val="0"/>
      <w:marTop w:val="0"/>
      <w:marBottom w:val="0"/>
      <w:divBdr>
        <w:top w:val="none" w:sz="0" w:space="0" w:color="auto"/>
        <w:left w:val="none" w:sz="0" w:space="0" w:color="auto"/>
        <w:bottom w:val="none" w:sz="0" w:space="0" w:color="auto"/>
        <w:right w:val="none" w:sz="0" w:space="0" w:color="auto"/>
      </w:divBdr>
    </w:div>
    <w:div w:id="630675853">
      <w:marLeft w:val="720"/>
      <w:marRight w:val="0"/>
      <w:marTop w:val="0"/>
      <w:marBottom w:val="0"/>
      <w:divBdr>
        <w:top w:val="none" w:sz="0" w:space="0" w:color="auto"/>
        <w:left w:val="none" w:sz="0" w:space="0" w:color="auto"/>
        <w:bottom w:val="none" w:sz="0" w:space="0" w:color="auto"/>
        <w:right w:val="none" w:sz="0" w:space="0" w:color="auto"/>
      </w:divBdr>
    </w:div>
    <w:div w:id="634798169">
      <w:marLeft w:val="960"/>
      <w:marRight w:val="0"/>
      <w:marTop w:val="0"/>
      <w:marBottom w:val="0"/>
      <w:divBdr>
        <w:top w:val="none" w:sz="0" w:space="0" w:color="auto"/>
        <w:left w:val="none" w:sz="0" w:space="0" w:color="auto"/>
        <w:bottom w:val="none" w:sz="0" w:space="0" w:color="auto"/>
        <w:right w:val="none" w:sz="0" w:space="0" w:color="auto"/>
      </w:divBdr>
    </w:div>
    <w:div w:id="641733022">
      <w:marLeft w:val="960"/>
      <w:marRight w:val="0"/>
      <w:marTop w:val="0"/>
      <w:marBottom w:val="0"/>
      <w:divBdr>
        <w:top w:val="none" w:sz="0" w:space="0" w:color="auto"/>
        <w:left w:val="none" w:sz="0" w:space="0" w:color="auto"/>
        <w:bottom w:val="none" w:sz="0" w:space="0" w:color="auto"/>
        <w:right w:val="none" w:sz="0" w:space="0" w:color="auto"/>
      </w:divBdr>
    </w:div>
    <w:div w:id="644895446">
      <w:marLeft w:val="0"/>
      <w:marRight w:val="0"/>
      <w:marTop w:val="0"/>
      <w:marBottom w:val="0"/>
      <w:divBdr>
        <w:top w:val="none" w:sz="0" w:space="0" w:color="auto"/>
        <w:left w:val="none" w:sz="0" w:space="0" w:color="auto"/>
        <w:bottom w:val="none" w:sz="0" w:space="0" w:color="auto"/>
        <w:right w:val="none" w:sz="0" w:space="0" w:color="auto"/>
      </w:divBdr>
    </w:div>
    <w:div w:id="646588393">
      <w:marLeft w:val="0"/>
      <w:marRight w:val="0"/>
      <w:marTop w:val="0"/>
      <w:marBottom w:val="0"/>
      <w:divBdr>
        <w:top w:val="none" w:sz="0" w:space="0" w:color="auto"/>
        <w:left w:val="none" w:sz="0" w:space="0" w:color="auto"/>
        <w:bottom w:val="none" w:sz="0" w:space="0" w:color="auto"/>
        <w:right w:val="none" w:sz="0" w:space="0" w:color="auto"/>
      </w:divBdr>
      <w:divsChild>
        <w:div w:id="1531920036">
          <w:marLeft w:val="0"/>
          <w:marRight w:val="0"/>
          <w:marTop w:val="120"/>
          <w:marBottom w:val="0"/>
          <w:divBdr>
            <w:top w:val="none" w:sz="0" w:space="0" w:color="auto"/>
            <w:left w:val="none" w:sz="0" w:space="0" w:color="auto"/>
            <w:bottom w:val="none" w:sz="0" w:space="0" w:color="auto"/>
            <w:right w:val="none" w:sz="0" w:space="0" w:color="auto"/>
          </w:divBdr>
        </w:div>
        <w:div w:id="1107697307">
          <w:marLeft w:val="0"/>
          <w:marRight w:val="0"/>
          <w:marTop w:val="0"/>
          <w:marBottom w:val="0"/>
          <w:divBdr>
            <w:top w:val="none" w:sz="0" w:space="0" w:color="auto"/>
            <w:left w:val="none" w:sz="0" w:space="0" w:color="auto"/>
            <w:bottom w:val="none" w:sz="0" w:space="0" w:color="auto"/>
            <w:right w:val="none" w:sz="0" w:space="0" w:color="auto"/>
          </w:divBdr>
          <w:divsChild>
            <w:div w:id="9443381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47515059">
      <w:marLeft w:val="720"/>
      <w:marRight w:val="0"/>
      <w:marTop w:val="0"/>
      <w:marBottom w:val="0"/>
      <w:divBdr>
        <w:top w:val="none" w:sz="0" w:space="0" w:color="auto"/>
        <w:left w:val="none" w:sz="0" w:space="0" w:color="auto"/>
        <w:bottom w:val="none" w:sz="0" w:space="0" w:color="auto"/>
        <w:right w:val="none" w:sz="0" w:space="0" w:color="auto"/>
      </w:divBdr>
    </w:div>
    <w:div w:id="648096092">
      <w:marLeft w:val="720"/>
      <w:marRight w:val="0"/>
      <w:marTop w:val="0"/>
      <w:marBottom w:val="0"/>
      <w:divBdr>
        <w:top w:val="none" w:sz="0" w:space="0" w:color="auto"/>
        <w:left w:val="none" w:sz="0" w:space="0" w:color="auto"/>
        <w:bottom w:val="none" w:sz="0" w:space="0" w:color="auto"/>
        <w:right w:val="none" w:sz="0" w:space="0" w:color="auto"/>
      </w:divBdr>
    </w:div>
    <w:div w:id="656615859">
      <w:marLeft w:val="1080"/>
      <w:marRight w:val="0"/>
      <w:marTop w:val="0"/>
      <w:marBottom w:val="0"/>
      <w:divBdr>
        <w:top w:val="none" w:sz="0" w:space="0" w:color="auto"/>
        <w:left w:val="none" w:sz="0" w:space="0" w:color="auto"/>
        <w:bottom w:val="none" w:sz="0" w:space="0" w:color="auto"/>
        <w:right w:val="none" w:sz="0" w:space="0" w:color="auto"/>
      </w:divBdr>
    </w:div>
    <w:div w:id="658070818">
      <w:marLeft w:val="1080"/>
      <w:marRight w:val="0"/>
      <w:marTop w:val="0"/>
      <w:marBottom w:val="0"/>
      <w:divBdr>
        <w:top w:val="none" w:sz="0" w:space="0" w:color="auto"/>
        <w:left w:val="none" w:sz="0" w:space="0" w:color="auto"/>
        <w:bottom w:val="none" w:sz="0" w:space="0" w:color="auto"/>
        <w:right w:val="none" w:sz="0" w:space="0" w:color="auto"/>
      </w:divBdr>
    </w:div>
    <w:div w:id="660739054">
      <w:marLeft w:val="720"/>
      <w:marRight w:val="0"/>
      <w:marTop w:val="0"/>
      <w:marBottom w:val="0"/>
      <w:divBdr>
        <w:top w:val="none" w:sz="0" w:space="0" w:color="auto"/>
        <w:left w:val="none" w:sz="0" w:space="0" w:color="auto"/>
        <w:bottom w:val="none" w:sz="0" w:space="0" w:color="auto"/>
        <w:right w:val="none" w:sz="0" w:space="0" w:color="auto"/>
      </w:divBdr>
    </w:div>
    <w:div w:id="661274910">
      <w:marLeft w:val="720"/>
      <w:marRight w:val="0"/>
      <w:marTop w:val="0"/>
      <w:marBottom w:val="0"/>
      <w:divBdr>
        <w:top w:val="none" w:sz="0" w:space="0" w:color="auto"/>
        <w:left w:val="none" w:sz="0" w:space="0" w:color="auto"/>
        <w:bottom w:val="none" w:sz="0" w:space="0" w:color="auto"/>
        <w:right w:val="none" w:sz="0" w:space="0" w:color="auto"/>
      </w:divBdr>
    </w:div>
    <w:div w:id="676418797">
      <w:marLeft w:val="960"/>
      <w:marRight w:val="0"/>
      <w:marTop w:val="0"/>
      <w:marBottom w:val="0"/>
      <w:divBdr>
        <w:top w:val="none" w:sz="0" w:space="0" w:color="auto"/>
        <w:left w:val="none" w:sz="0" w:space="0" w:color="auto"/>
        <w:bottom w:val="none" w:sz="0" w:space="0" w:color="auto"/>
        <w:right w:val="none" w:sz="0" w:space="0" w:color="auto"/>
      </w:divBdr>
    </w:div>
    <w:div w:id="677662393">
      <w:marLeft w:val="720"/>
      <w:marRight w:val="0"/>
      <w:marTop w:val="0"/>
      <w:marBottom w:val="0"/>
      <w:divBdr>
        <w:top w:val="none" w:sz="0" w:space="0" w:color="auto"/>
        <w:left w:val="none" w:sz="0" w:space="0" w:color="auto"/>
        <w:bottom w:val="none" w:sz="0" w:space="0" w:color="auto"/>
        <w:right w:val="none" w:sz="0" w:space="0" w:color="auto"/>
      </w:divBdr>
    </w:div>
    <w:div w:id="680395885">
      <w:marLeft w:val="0"/>
      <w:marRight w:val="0"/>
      <w:marTop w:val="0"/>
      <w:marBottom w:val="0"/>
      <w:divBdr>
        <w:top w:val="none" w:sz="0" w:space="0" w:color="auto"/>
        <w:left w:val="none" w:sz="0" w:space="0" w:color="auto"/>
        <w:bottom w:val="none" w:sz="0" w:space="0" w:color="auto"/>
        <w:right w:val="none" w:sz="0" w:space="0" w:color="auto"/>
      </w:divBdr>
      <w:divsChild>
        <w:div w:id="404036101">
          <w:marLeft w:val="0"/>
          <w:marRight w:val="0"/>
          <w:marTop w:val="120"/>
          <w:marBottom w:val="0"/>
          <w:divBdr>
            <w:top w:val="none" w:sz="0" w:space="0" w:color="auto"/>
            <w:left w:val="none" w:sz="0" w:space="0" w:color="auto"/>
            <w:bottom w:val="none" w:sz="0" w:space="0" w:color="auto"/>
            <w:right w:val="none" w:sz="0" w:space="0" w:color="auto"/>
          </w:divBdr>
        </w:div>
        <w:div w:id="1481771333">
          <w:marLeft w:val="0"/>
          <w:marRight w:val="0"/>
          <w:marTop w:val="0"/>
          <w:marBottom w:val="0"/>
          <w:divBdr>
            <w:top w:val="none" w:sz="0" w:space="0" w:color="auto"/>
            <w:left w:val="none" w:sz="0" w:space="0" w:color="auto"/>
            <w:bottom w:val="none" w:sz="0" w:space="0" w:color="auto"/>
            <w:right w:val="none" w:sz="0" w:space="0" w:color="auto"/>
          </w:divBdr>
          <w:divsChild>
            <w:div w:id="12495768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86253802">
      <w:marLeft w:val="960"/>
      <w:marRight w:val="0"/>
      <w:marTop w:val="0"/>
      <w:marBottom w:val="0"/>
      <w:divBdr>
        <w:top w:val="none" w:sz="0" w:space="0" w:color="auto"/>
        <w:left w:val="none" w:sz="0" w:space="0" w:color="auto"/>
        <w:bottom w:val="none" w:sz="0" w:space="0" w:color="auto"/>
        <w:right w:val="none" w:sz="0" w:space="0" w:color="auto"/>
      </w:divBdr>
    </w:div>
    <w:div w:id="688260264">
      <w:marLeft w:val="720"/>
      <w:marRight w:val="0"/>
      <w:marTop w:val="0"/>
      <w:marBottom w:val="0"/>
      <w:divBdr>
        <w:top w:val="none" w:sz="0" w:space="0" w:color="auto"/>
        <w:left w:val="none" w:sz="0" w:space="0" w:color="auto"/>
        <w:bottom w:val="none" w:sz="0" w:space="0" w:color="auto"/>
        <w:right w:val="none" w:sz="0" w:space="0" w:color="auto"/>
      </w:divBdr>
    </w:div>
    <w:div w:id="694964979">
      <w:marLeft w:val="720"/>
      <w:marRight w:val="0"/>
      <w:marTop w:val="0"/>
      <w:marBottom w:val="0"/>
      <w:divBdr>
        <w:top w:val="none" w:sz="0" w:space="0" w:color="auto"/>
        <w:left w:val="none" w:sz="0" w:space="0" w:color="auto"/>
        <w:bottom w:val="none" w:sz="0" w:space="0" w:color="auto"/>
        <w:right w:val="none" w:sz="0" w:space="0" w:color="auto"/>
      </w:divBdr>
    </w:div>
    <w:div w:id="696201336">
      <w:marLeft w:val="1080"/>
      <w:marRight w:val="0"/>
      <w:marTop w:val="0"/>
      <w:marBottom w:val="0"/>
      <w:divBdr>
        <w:top w:val="none" w:sz="0" w:space="0" w:color="auto"/>
        <w:left w:val="none" w:sz="0" w:space="0" w:color="auto"/>
        <w:bottom w:val="none" w:sz="0" w:space="0" w:color="auto"/>
        <w:right w:val="none" w:sz="0" w:space="0" w:color="auto"/>
      </w:divBdr>
    </w:div>
    <w:div w:id="699403302">
      <w:marLeft w:val="0"/>
      <w:marRight w:val="0"/>
      <w:marTop w:val="0"/>
      <w:marBottom w:val="0"/>
      <w:divBdr>
        <w:top w:val="none" w:sz="0" w:space="0" w:color="auto"/>
        <w:left w:val="none" w:sz="0" w:space="0" w:color="auto"/>
        <w:bottom w:val="none" w:sz="0" w:space="0" w:color="auto"/>
        <w:right w:val="none" w:sz="0" w:space="0" w:color="auto"/>
      </w:divBdr>
      <w:divsChild>
        <w:div w:id="557016570">
          <w:marLeft w:val="0"/>
          <w:marRight w:val="0"/>
          <w:marTop w:val="120"/>
          <w:marBottom w:val="0"/>
          <w:divBdr>
            <w:top w:val="none" w:sz="0" w:space="0" w:color="auto"/>
            <w:left w:val="none" w:sz="0" w:space="0" w:color="auto"/>
            <w:bottom w:val="none" w:sz="0" w:space="0" w:color="auto"/>
            <w:right w:val="none" w:sz="0" w:space="0" w:color="auto"/>
          </w:divBdr>
        </w:div>
        <w:div w:id="140122061">
          <w:marLeft w:val="0"/>
          <w:marRight w:val="0"/>
          <w:marTop w:val="0"/>
          <w:marBottom w:val="0"/>
          <w:divBdr>
            <w:top w:val="none" w:sz="0" w:space="0" w:color="auto"/>
            <w:left w:val="none" w:sz="0" w:space="0" w:color="auto"/>
            <w:bottom w:val="none" w:sz="0" w:space="0" w:color="auto"/>
            <w:right w:val="none" w:sz="0" w:space="0" w:color="auto"/>
          </w:divBdr>
          <w:divsChild>
            <w:div w:id="14421440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99940591">
      <w:marLeft w:val="0"/>
      <w:marRight w:val="0"/>
      <w:marTop w:val="120"/>
      <w:marBottom w:val="0"/>
      <w:divBdr>
        <w:top w:val="none" w:sz="0" w:space="0" w:color="auto"/>
        <w:left w:val="none" w:sz="0" w:space="0" w:color="auto"/>
        <w:bottom w:val="none" w:sz="0" w:space="0" w:color="auto"/>
        <w:right w:val="none" w:sz="0" w:space="0" w:color="auto"/>
      </w:divBdr>
    </w:div>
    <w:div w:id="705569000">
      <w:marLeft w:val="1080"/>
      <w:marRight w:val="0"/>
      <w:marTop w:val="0"/>
      <w:marBottom w:val="0"/>
      <w:divBdr>
        <w:top w:val="none" w:sz="0" w:space="0" w:color="auto"/>
        <w:left w:val="none" w:sz="0" w:space="0" w:color="auto"/>
        <w:bottom w:val="none" w:sz="0" w:space="0" w:color="auto"/>
        <w:right w:val="none" w:sz="0" w:space="0" w:color="auto"/>
      </w:divBdr>
    </w:div>
    <w:div w:id="706881609">
      <w:marLeft w:val="0"/>
      <w:marRight w:val="0"/>
      <w:marTop w:val="0"/>
      <w:marBottom w:val="0"/>
      <w:divBdr>
        <w:top w:val="none" w:sz="0" w:space="0" w:color="auto"/>
        <w:left w:val="none" w:sz="0" w:space="0" w:color="auto"/>
        <w:bottom w:val="none" w:sz="0" w:space="0" w:color="auto"/>
        <w:right w:val="none" w:sz="0" w:space="0" w:color="auto"/>
      </w:divBdr>
      <w:divsChild>
        <w:div w:id="2098092443">
          <w:marLeft w:val="0"/>
          <w:marRight w:val="0"/>
          <w:marTop w:val="120"/>
          <w:marBottom w:val="0"/>
          <w:divBdr>
            <w:top w:val="none" w:sz="0" w:space="0" w:color="auto"/>
            <w:left w:val="none" w:sz="0" w:space="0" w:color="auto"/>
            <w:bottom w:val="none" w:sz="0" w:space="0" w:color="auto"/>
            <w:right w:val="none" w:sz="0" w:space="0" w:color="auto"/>
          </w:divBdr>
        </w:div>
        <w:div w:id="964236497">
          <w:marLeft w:val="0"/>
          <w:marRight w:val="0"/>
          <w:marTop w:val="0"/>
          <w:marBottom w:val="0"/>
          <w:divBdr>
            <w:top w:val="none" w:sz="0" w:space="0" w:color="auto"/>
            <w:left w:val="none" w:sz="0" w:space="0" w:color="auto"/>
            <w:bottom w:val="none" w:sz="0" w:space="0" w:color="auto"/>
            <w:right w:val="none" w:sz="0" w:space="0" w:color="auto"/>
          </w:divBdr>
          <w:divsChild>
            <w:div w:id="10883860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8265441">
      <w:marLeft w:val="1080"/>
      <w:marRight w:val="0"/>
      <w:marTop w:val="0"/>
      <w:marBottom w:val="0"/>
      <w:divBdr>
        <w:top w:val="none" w:sz="0" w:space="0" w:color="auto"/>
        <w:left w:val="none" w:sz="0" w:space="0" w:color="auto"/>
        <w:bottom w:val="none" w:sz="0" w:space="0" w:color="auto"/>
        <w:right w:val="none" w:sz="0" w:space="0" w:color="auto"/>
      </w:divBdr>
    </w:div>
    <w:div w:id="709458547">
      <w:marLeft w:val="0"/>
      <w:marRight w:val="0"/>
      <w:marTop w:val="0"/>
      <w:marBottom w:val="0"/>
      <w:divBdr>
        <w:top w:val="none" w:sz="0" w:space="0" w:color="auto"/>
        <w:left w:val="none" w:sz="0" w:space="0" w:color="auto"/>
        <w:bottom w:val="none" w:sz="0" w:space="0" w:color="auto"/>
        <w:right w:val="none" w:sz="0" w:space="0" w:color="auto"/>
      </w:divBdr>
      <w:divsChild>
        <w:div w:id="635526572">
          <w:marLeft w:val="0"/>
          <w:marRight w:val="0"/>
          <w:marTop w:val="120"/>
          <w:marBottom w:val="0"/>
          <w:divBdr>
            <w:top w:val="none" w:sz="0" w:space="0" w:color="auto"/>
            <w:left w:val="none" w:sz="0" w:space="0" w:color="auto"/>
            <w:bottom w:val="none" w:sz="0" w:space="0" w:color="auto"/>
            <w:right w:val="none" w:sz="0" w:space="0" w:color="auto"/>
          </w:divBdr>
        </w:div>
        <w:div w:id="592208016">
          <w:marLeft w:val="0"/>
          <w:marRight w:val="0"/>
          <w:marTop w:val="0"/>
          <w:marBottom w:val="0"/>
          <w:divBdr>
            <w:top w:val="none" w:sz="0" w:space="0" w:color="auto"/>
            <w:left w:val="none" w:sz="0" w:space="0" w:color="auto"/>
            <w:bottom w:val="none" w:sz="0" w:space="0" w:color="auto"/>
            <w:right w:val="none" w:sz="0" w:space="0" w:color="auto"/>
          </w:divBdr>
        </w:div>
      </w:divsChild>
    </w:div>
    <w:div w:id="718624212">
      <w:marLeft w:val="840"/>
      <w:marRight w:val="0"/>
      <w:marTop w:val="0"/>
      <w:marBottom w:val="0"/>
      <w:divBdr>
        <w:top w:val="none" w:sz="0" w:space="0" w:color="auto"/>
        <w:left w:val="none" w:sz="0" w:space="0" w:color="auto"/>
        <w:bottom w:val="none" w:sz="0" w:space="0" w:color="auto"/>
        <w:right w:val="none" w:sz="0" w:space="0" w:color="auto"/>
      </w:divBdr>
    </w:div>
    <w:div w:id="721370663">
      <w:marLeft w:val="720"/>
      <w:marRight w:val="0"/>
      <w:marTop w:val="0"/>
      <w:marBottom w:val="0"/>
      <w:divBdr>
        <w:top w:val="none" w:sz="0" w:space="0" w:color="auto"/>
        <w:left w:val="none" w:sz="0" w:space="0" w:color="auto"/>
        <w:bottom w:val="none" w:sz="0" w:space="0" w:color="auto"/>
        <w:right w:val="none" w:sz="0" w:space="0" w:color="auto"/>
      </w:divBdr>
    </w:div>
    <w:div w:id="721951654">
      <w:marLeft w:val="960"/>
      <w:marRight w:val="0"/>
      <w:marTop w:val="0"/>
      <w:marBottom w:val="0"/>
      <w:divBdr>
        <w:top w:val="none" w:sz="0" w:space="0" w:color="auto"/>
        <w:left w:val="none" w:sz="0" w:space="0" w:color="auto"/>
        <w:bottom w:val="none" w:sz="0" w:space="0" w:color="auto"/>
        <w:right w:val="none" w:sz="0" w:space="0" w:color="auto"/>
      </w:divBdr>
    </w:div>
    <w:div w:id="726538692">
      <w:marLeft w:val="720"/>
      <w:marRight w:val="0"/>
      <w:marTop w:val="0"/>
      <w:marBottom w:val="0"/>
      <w:divBdr>
        <w:top w:val="none" w:sz="0" w:space="0" w:color="auto"/>
        <w:left w:val="none" w:sz="0" w:space="0" w:color="auto"/>
        <w:bottom w:val="none" w:sz="0" w:space="0" w:color="auto"/>
        <w:right w:val="none" w:sz="0" w:space="0" w:color="auto"/>
      </w:divBdr>
    </w:div>
    <w:div w:id="727722771">
      <w:marLeft w:val="0"/>
      <w:marRight w:val="0"/>
      <w:marTop w:val="0"/>
      <w:marBottom w:val="0"/>
      <w:divBdr>
        <w:top w:val="none" w:sz="0" w:space="0" w:color="auto"/>
        <w:left w:val="none" w:sz="0" w:space="0" w:color="auto"/>
        <w:bottom w:val="none" w:sz="0" w:space="0" w:color="auto"/>
        <w:right w:val="none" w:sz="0" w:space="0" w:color="auto"/>
      </w:divBdr>
      <w:divsChild>
        <w:div w:id="1532763215">
          <w:marLeft w:val="0"/>
          <w:marRight w:val="0"/>
          <w:marTop w:val="120"/>
          <w:marBottom w:val="0"/>
          <w:divBdr>
            <w:top w:val="none" w:sz="0" w:space="0" w:color="auto"/>
            <w:left w:val="none" w:sz="0" w:space="0" w:color="auto"/>
            <w:bottom w:val="none" w:sz="0" w:space="0" w:color="auto"/>
            <w:right w:val="none" w:sz="0" w:space="0" w:color="auto"/>
          </w:divBdr>
        </w:div>
        <w:div w:id="1193107894">
          <w:marLeft w:val="0"/>
          <w:marRight w:val="0"/>
          <w:marTop w:val="0"/>
          <w:marBottom w:val="0"/>
          <w:divBdr>
            <w:top w:val="none" w:sz="0" w:space="0" w:color="auto"/>
            <w:left w:val="none" w:sz="0" w:space="0" w:color="auto"/>
            <w:bottom w:val="none" w:sz="0" w:space="0" w:color="auto"/>
            <w:right w:val="none" w:sz="0" w:space="0" w:color="auto"/>
          </w:divBdr>
          <w:divsChild>
            <w:div w:id="250646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0082934">
      <w:marLeft w:val="720"/>
      <w:marRight w:val="0"/>
      <w:marTop w:val="0"/>
      <w:marBottom w:val="0"/>
      <w:divBdr>
        <w:top w:val="none" w:sz="0" w:space="0" w:color="auto"/>
        <w:left w:val="none" w:sz="0" w:space="0" w:color="auto"/>
        <w:bottom w:val="none" w:sz="0" w:space="0" w:color="auto"/>
        <w:right w:val="none" w:sz="0" w:space="0" w:color="auto"/>
      </w:divBdr>
    </w:div>
    <w:div w:id="733092186">
      <w:marLeft w:val="1080"/>
      <w:marRight w:val="0"/>
      <w:marTop w:val="0"/>
      <w:marBottom w:val="0"/>
      <w:divBdr>
        <w:top w:val="none" w:sz="0" w:space="0" w:color="auto"/>
        <w:left w:val="none" w:sz="0" w:space="0" w:color="auto"/>
        <w:bottom w:val="none" w:sz="0" w:space="0" w:color="auto"/>
        <w:right w:val="none" w:sz="0" w:space="0" w:color="auto"/>
      </w:divBdr>
    </w:div>
    <w:div w:id="733816196">
      <w:marLeft w:val="840"/>
      <w:marRight w:val="0"/>
      <w:marTop w:val="0"/>
      <w:marBottom w:val="0"/>
      <w:divBdr>
        <w:top w:val="none" w:sz="0" w:space="0" w:color="auto"/>
        <w:left w:val="none" w:sz="0" w:space="0" w:color="auto"/>
        <w:bottom w:val="none" w:sz="0" w:space="0" w:color="auto"/>
        <w:right w:val="none" w:sz="0" w:space="0" w:color="auto"/>
      </w:divBdr>
    </w:div>
    <w:div w:id="734201718">
      <w:marLeft w:val="960"/>
      <w:marRight w:val="0"/>
      <w:marTop w:val="0"/>
      <w:marBottom w:val="0"/>
      <w:divBdr>
        <w:top w:val="none" w:sz="0" w:space="0" w:color="auto"/>
        <w:left w:val="none" w:sz="0" w:space="0" w:color="auto"/>
        <w:bottom w:val="none" w:sz="0" w:space="0" w:color="auto"/>
        <w:right w:val="none" w:sz="0" w:space="0" w:color="auto"/>
      </w:divBdr>
    </w:div>
    <w:div w:id="735124122">
      <w:marLeft w:val="840"/>
      <w:marRight w:val="0"/>
      <w:marTop w:val="0"/>
      <w:marBottom w:val="0"/>
      <w:divBdr>
        <w:top w:val="none" w:sz="0" w:space="0" w:color="auto"/>
        <w:left w:val="none" w:sz="0" w:space="0" w:color="auto"/>
        <w:bottom w:val="none" w:sz="0" w:space="0" w:color="auto"/>
        <w:right w:val="none" w:sz="0" w:space="0" w:color="auto"/>
      </w:divBdr>
    </w:div>
    <w:div w:id="739253343">
      <w:marLeft w:val="720"/>
      <w:marRight w:val="0"/>
      <w:marTop w:val="0"/>
      <w:marBottom w:val="0"/>
      <w:divBdr>
        <w:top w:val="none" w:sz="0" w:space="0" w:color="auto"/>
        <w:left w:val="none" w:sz="0" w:space="0" w:color="auto"/>
        <w:bottom w:val="none" w:sz="0" w:space="0" w:color="auto"/>
        <w:right w:val="none" w:sz="0" w:space="0" w:color="auto"/>
      </w:divBdr>
    </w:div>
    <w:div w:id="739405968">
      <w:marLeft w:val="720"/>
      <w:marRight w:val="0"/>
      <w:marTop w:val="0"/>
      <w:marBottom w:val="0"/>
      <w:divBdr>
        <w:top w:val="none" w:sz="0" w:space="0" w:color="auto"/>
        <w:left w:val="none" w:sz="0" w:space="0" w:color="auto"/>
        <w:bottom w:val="none" w:sz="0" w:space="0" w:color="auto"/>
        <w:right w:val="none" w:sz="0" w:space="0" w:color="auto"/>
      </w:divBdr>
    </w:div>
    <w:div w:id="743797313">
      <w:marLeft w:val="960"/>
      <w:marRight w:val="0"/>
      <w:marTop w:val="0"/>
      <w:marBottom w:val="0"/>
      <w:divBdr>
        <w:top w:val="none" w:sz="0" w:space="0" w:color="auto"/>
        <w:left w:val="none" w:sz="0" w:space="0" w:color="auto"/>
        <w:bottom w:val="none" w:sz="0" w:space="0" w:color="auto"/>
        <w:right w:val="none" w:sz="0" w:space="0" w:color="auto"/>
      </w:divBdr>
    </w:div>
    <w:div w:id="743799531">
      <w:marLeft w:val="960"/>
      <w:marRight w:val="0"/>
      <w:marTop w:val="0"/>
      <w:marBottom w:val="0"/>
      <w:divBdr>
        <w:top w:val="none" w:sz="0" w:space="0" w:color="auto"/>
        <w:left w:val="none" w:sz="0" w:space="0" w:color="auto"/>
        <w:bottom w:val="none" w:sz="0" w:space="0" w:color="auto"/>
        <w:right w:val="none" w:sz="0" w:space="0" w:color="auto"/>
      </w:divBdr>
    </w:div>
    <w:div w:id="744912811">
      <w:marLeft w:val="720"/>
      <w:marRight w:val="0"/>
      <w:marTop w:val="0"/>
      <w:marBottom w:val="0"/>
      <w:divBdr>
        <w:top w:val="none" w:sz="0" w:space="0" w:color="auto"/>
        <w:left w:val="none" w:sz="0" w:space="0" w:color="auto"/>
        <w:bottom w:val="none" w:sz="0" w:space="0" w:color="auto"/>
        <w:right w:val="none" w:sz="0" w:space="0" w:color="auto"/>
      </w:divBdr>
    </w:div>
    <w:div w:id="749808592">
      <w:marLeft w:val="0"/>
      <w:marRight w:val="0"/>
      <w:marTop w:val="0"/>
      <w:marBottom w:val="0"/>
      <w:divBdr>
        <w:top w:val="none" w:sz="0" w:space="0" w:color="auto"/>
        <w:left w:val="none" w:sz="0" w:space="0" w:color="auto"/>
        <w:bottom w:val="none" w:sz="0" w:space="0" w:color="auto"/>
        <w:right w:val="none" w:sz="0" w:space="0" w:color="auto"/>
      </w:divBdr>
      <w:divsChild>
        <w:div w:id="2042779555">
          <w:marLeft w:val="0"/>
          <w:marRight w:val="0"/>
          <w:marTop w:val="120"/>
          <w:marBottom w:val="0"/>
          <w:divBdr>
            <w:top w:val="none" w:sz="0" w:space="0" w:color="auto"/>
            <w:left w:val="none" w:sz="0" w:space="0" w:color="auto"/>
            <w:bottom w:val="none" w:sz="0" w:space="0" w:color="auto"/>
            <w:right w:val="none" w:sz="0" w:space="0" w:color="auto"/>
          </w:divBdr>
        </w:div>
        <w:div w:id="1674840139">
          <w:marLeft w:val="0"/>
          <w:marRight w:val="0"/>
          <w:marTop w:val="0"/>
          <w:marBottom w:val="0"/>
          <w:divBdr>
            <w:top w:val="none" w:sz="0" w:space="0" w:color="auto"/>
            <w:left w:val="none" w:sz="0" w:space="0" w:color="auto"/>
            <w:bottom w:val="none" w:sz="0" w:space="0" w:color="auto"/>
            <w:right w:val="none" w:sz="0" w:space="0" w:color="auto"/>
          </w:divBdr>
          <w:divsChild>
            <w:div w:id="8729582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0467964">
      <w:marLeft w:val="960"/>
      <w:marRight w:val="0"/>
      <w:marTop w:val="0"/>
      <w:marBottom w:val="0"/>
      <w:divBdr>
        <w:top w:val="none" w:sz="0" w:space="0" w:color="auto"/>
        <w:left w:val="none" w:sz="0" w:space="0" w:color="auto"/>
        <w:bottom w:val="none" w:sz="0" w:space="0" w:color="auto"/>
        <w:right w:val="none" w:sz="0" w:space="0" w:color="auto"/>
      </w:divBdr>
    </w:div>
    <w:div w:id="750741748">
      <w:marLeft w:val="1080"/>
      <w:marRight w:val="0"/>
      <w:marTop w:val="0"/>
      <w:marBottom w:val="0"/>
      <w:divBdr>
        <w:top w:val="none" w:sz="0" w:space="0" w:color="auto"/>
        <w:left w:val="none" w:sz="0" w:space="0" w:color="auto"/>
        <w:bottom w:val="none" w:sz="0" w:space="0" w:color="auto"/>
        <w:right w:val="none" w:sz="0" w:space="0" w:color="auto"/>
      </w:divBdr>
    </w:div>
    <w:div w:id="755517427">
      <w:marLeft w:val="960"/>
      <w:marRight w:val="0"/>
      <w:marTop w:val="0"/>
      <w:marBottom w:val="0"/>
      <w:divBdr>
        <w:top w:val="none" w:sz="0" w:space="0" w:color="auto"/>
        <w:left w:val="none" w:sz="0" w:space="0" w:color="auto"/>
        <w:bottom w:val="none" w:sz="0" w:space="0" w:color="auto"/>
        <w:right w:val="none" w:sz="0" w:space="0" w:color="auto"/>
      </w:divBdr>
    </w:div>
    <w:div w:id="759520688">
      <w:marLeft w:val="0"/>
      <w:marRight w:val="0"/>
      <w:marTop w:val="120"/>
      <w:marBottom w:val="0"/>
      <w:divBdr>
        <w:top w:val="none" w:sz="0" w:space="0" w:color="auto"/>
        <w:left w:val="none" w:sz="0" w:space="0" w:color="auto"/>
        <w:bottom w:val="none" w:sz="0" w:space="0" w:color="auto"/>
        <w:right w:val="none" w:sz="0" w:space="0" w:color="auto"/>
      </w:divBdr>
    </w:div>
    <w:div w:id="760831180">
      <w:marLeft w:val="0"/>
      <w:marRight w:val="0"/>
      <w:marTop w:val="120"/>
      <w:marBottom w:val="0"/>
      <w:divBdr>
        <w:top w:val="none" w:sz="0" w:space="0" w:color="auto"/>
        <w:left w:val="none" w:sz="0" w:space="0" w:color="auto"/>
        <w:bottom w:val="none" w:sz="0" w:space="0" w:color="auto"/>
        <w:right w:val="none" w:sz="0" w:space="0" w:color="auto"/>
      </w:divBdr>
    </w:div>
    <w:div w:id="764575542">
      <w:marLeft w:val="840"/>
      <w:marRight w:val="0"/>
      <w:marTop w:val="0"/>
      <w:marBottom w:val="0"/>
      <w:divBdr>
        <w:top w:val="none" w:sz="0" w:space="0" w:color="auto"/>
        <w:left w:val="none" w:sz="0" w:space="0" w:color="auto"/>
        <w:bottom w:val="none" w:sz="0" w:space="0" w:color="auto"/>
        <w:right w:val="none" w:sz="0" w:space="0" w:color="auto"/>
      </w:divBdr>
    </w:div>
    <w:div w:id="766392189">
      <w:marLeft w:val="0"/>
      <w:marRight w:val="0"/>
      <w:marTop w:val="0"/>
      <w:marBottom w:val="0"/>
      <w:divBdr>
        <w:top w:val="none" w:sz="0" w:space="0" w:color="auto"/>
        <w:left w:val="none" w:sz="0" w:space="0" w:color="auto"/>
        <w:bottom w:val="none" w:sz="0" w:space="0" w:color="auto"/>
        <w:right w:val="none" w:sz="0" w:space="0" w:color="auto"/>
      </w:divBdr>
      <w:divsChild>
        <w:div w:id="321785513">
          <w:marLeft w:val="0"/>
          <w:marRight w:val="0"/>
          <w:marTop w:val="120"/>
          <w:marBottom w:val="0"/>
          <w:divBdr>
            <w:top w:val="none" w:sz="0" w:space="0" w:color="auto"/>
            <w:left w:val="none" w:sz="0" w:space="0" w:color="auto"/>
            <w:bottom w:val="none" w:sz="0" w:space="0" w:color="auto"/>
            <w:right w:val="none" w:sz="0" w:space="0" w:color="auto"/>
          </w:divBdr>
        </w:div>
        <w:div w:id="174000757">
          <w:marLeft w:val="0"/>
          <w:marRight w:val="0"/>
          <w:marTop w:val="0"/>
          <w:marBottom w:val="0"/>
          <w:divBdr>
            <w:top w:val="none" w:sz="0" w:space="0" w:color="auto"/>
            <w:left w:val="none" w:sz="0" w:space="0" w:color="auto"/>
            <w:bottom w:val="none" w:sz="0" w:space="0" w:color="auto"/>
            <w:right w:val="none" w:sz="0" w:space="0" w:color="auto"/>
          </w:divBdr>
          <w:divsChild>
            <w:div w:id="19704349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6539544">
      <w:marLeft w:val="1080"/>
      <w:marRight w:val="0"/>
      <w:marTop w:val="0"/>
      <w:marBottom w:val="0"/>
      <w:divBdr>
        <w:top w:val="none" w:sz="0" w:space="0" w:color="auto"/>
        <w:left w:val="none" w:sz="0" w:space="0" w:color="auto"/>
        <w:bottom w:val="none" w:sz="0" w:space="0" w:color="auto"/>
        <w:right w:val="none" w:sz="0" w:space="0" w:color="auto"/>
      </w:divBdr>
    </w:div>
    <w:div w:id="784540420">
      <w:marLeft w:val="0"/>
      <w:marRight w:val="0"/>
      <w:marTop w:val="120"/>
      <w:marBottom w:val="0"/>
      <w:divBdr>
        <w:top w:val="none" w:sz="0" w:space="0" w:color="auto"/>
        <w:left w:val="none" w:sz="0" w:space="0" w:color="auto"/>
        <w:bottom w:val="none" w:sz="0" w:space="0" w:color="auto"/>
        <w:right w:val="none" w:sz="0" w:space="0" w:color="auto"/>
      </w:divBdr>
    </w:div>
    <w:div w:id="787435797">
      <w:marLeft w:val="960"/>
      <w:marRight w:val="0"/>
      <w:marTop w:val="0"/>
      <w:marBottom w:val="0"/>
      <w:divBdr>
        <w:top w:val="none" w:sz="0" w:space="0" w:color="auto"/>
        <w:left w:val="none" w:sz="0" w:space="0" w:color="auto"/>
        <w:bottom w:val="none" w:sz="0" w:space="0" w:color="auto"/>
        <w:right w:val="none" w:sz="0" w:space="0" w:color="auto"/>
      </w:divBdr>
    </w:div>
    <w:div w:id="792209553">
      <w:marLeft w:val="720"/>
      <w:marRight w:val="0"/>
      <w:marTop w:val="0"/>
      <w:marBottom w:val="0"/>
      <w:divBdr>
        <w:top w:val="none" w:sz="0" w:space="0" w:color="auto"/>
        <w:left w:val="none" w:sz="0" w:space="0" w:color="auto"/>
        <w:bottom w:val="none" w:sz="0" w:space="0" w:color="auto"/>
        <w:right w:val="none" w:sz="0" w:space="0" w:color="auto"/>
      </w:divBdr>
    </w:div>
    <w:div w:id="794326836">
      <w:marLeft w:val="960"/>
      <w:marRight w:val="0"/>
      <w:marTop w:val="0"/>
      <w:marBottom w:val="0"/>
      <w:divBdr>
        <w:top w:val="none" w:sz="0" w:space="0" w:color="auto"/>
        <w:left w:val="none" w:sz="0" w:space="0" w:color="auto"/>
        <w:bottom w:val="none" w:sz="0" w:space="0" w:color="auto"/>
        <w:right w:val="none" w:sz="0" w:space="0" w:color="auto"/>
      </w:divBdr>
    </w:div>
    <w:div w:id="798257807">
      <w:marLeft w:val="0"/>
      <w:marRight w:val="0"/>
      <w:marTop w:val="0"/>
      <w:marBottom w:val="0"/>
      <w:divBdr>
        <w:top w:val="none" w:sz="0" w:space="0" w:color="auto"/>
        <w:left w:val="none" w:sz="0" w:space="0" w:color="auto"/>
        <w:bottom w:val="none" w:sz="0" w:space="0" w:color="auto"/>
        <w:right w:val="none" w:sz="0" w:space="0" w:color="auto"/>
      </w:divBdr>
      <w:divsChild>
        <w:div w:id="602611483">
          <w:marLeft w:val="0"/>
          <w:marRight w:val="0"/>
          <w:marTop w:val="120"/>
          <w:marBottom w:val="0"/>
          <w:divBdr>
            <w:top w:val="none" w:sz="0" w:space="0" w:color="auto"/>
            <w:left w:val="none" w:sz="0" w:space="0" w:color="auto"/>
            <w:bottom w:val="none" w:sz="0" w:space="0" w:color="auto"/>
            <w:right w:val="none" w:sz="0" w:space="0" w:color="auto"/>
          </w:divBdr>
        </w:div>
        <w:div w:id="927810519">
          <w:marLeft w:val="0"/>
          <w:marRight w:val="0"/>
          <w:marTop w:val="0"/>
          <w:marBottom w:val="0"/>
          <w:divBdr>
            <w:top w:val="none" w:sz="0" w:space="0" w:color="auto"/>
            <w:left w:val="none" w:sz="0" w:space="0" w:color="auto"/>
            <w:bottom w:val="none" w:sz="0" w:space="0" w:color="auto"/>
            <w:right w:val="none" w:sz="0" w:space="0" w:color="auto"/>
          </w:divBdr>
          <w:divsChild>
            <w:div w:id="14736687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07472423">
      <w:marLeft w:val="1080"/>
      <w:marRight w:val="0"/>
      <w:marTop w:val="0"/>
      <w:marBottom w:val="0"/>
      <w:divBdr>
        <w:top w:val="none" w:sz="0" w:space="0" w:color="auto"/>
        <w:left w:val="none" w:sz="0" w:space="0" w:color="auto"/>
        <w:bottom w:val="none" w:sz="0" w:space="0" w:color="auto"/>
        <w:right w:val="none" w:sz="0" w:space="0" w:color="auto"/>
      </w:divBdr>
    </w:div>
    <w:div w:id="811485314">
      <w:marLeft w:val="720"/>
      <w:marRight w:val="0"/>
      <w:marTop w:val="0"/>
      <w:marBottom w:val="0"/>
      <w:divBdr>
        <w:top w:val="none" w:sz="0" w:space="0" w:color="auto"/>
        <w:left w:val="none" w:sz="0" w:space="0" w:color="auto"/>
        <w:bottom w:val="none" w:sz="0" w:space="0" w:color="auto"/>
        <w:right w:val="none" w:sz="0" w:space="0" w:color="auto"/>
      </w:divBdr>
    </w:div>
    <w:div w:id="821777644">
      <w:marLeft w:val="960"/>
      <w:marRight w:val="0"/>
      <w:marTop w:val="0"/>
      <w:marBottom w:val="0"/>
      <w:divBdr>
        <w:top w:val="none" w:sz="0" w:space="0" w:color="auto"/>
        <w:left w:val="none" w:sz="0" w:space="0" w:color="auto"/>
        <w:bottom w:val="none" w:sz="0" w:space="0" w:color="auto"/>
        <w:right w:val="none" w:sz="0" w:space="0" w:color="auto"/>
      </w:divBdr>
    </w:div>
    <w:div w:id="822504832">
      <w:marLeft w:val="1080"/>
      <w:marRight w:val="0"/>
      <w:marTop w:val="0"/>
      <w:marBottom w:val="0"/>
      <w:divBdr>
        <w:top w:val="none" w:sz="0" w:space="0" w:color="auto"/>
        <w:left w:val="none" w:sz="0" w:space="0" w:color="auto"/>
        <w:bottom w:val="none" w:sz="0" w:space="0" w:color="auto"/>
        <w:right w:val="none" w:sz="0" w:space="0" w:color="auto"/>
      </w:divBdr>
    </w:div>
    <w:div w:id="823550626">
      <w:marLeft w:val="1080"/>
      <w:marRight w:val="0"/>
      <w:marTop w:val="0"/>
      <w:marBottom w:val="0"/>
      <w:divBdr>
        <w:top w:val="none" w:sz="0" w:space="0" w:color="auto"/>
        <w:left w:val="none" w:sz="0" w:space="0" w:color="auto"/>
        <w:bottom w:val="none" w:sz="0" w:space="0" w:color="auto"/>
        <w:right w:val="none" w:sz="0" w:space="0" w:color="auto"/>
      </w:divBdr>
    </w:div>
    <w:div w:id="828254280">
      <w:marLeft w:val="960"/>
      <w:marRight w:val="0"/>
      <w:marTop w:val="0"/>
      <w:marBottom w:val="0"/>
      <w:divBdr>
        <w:top w:val="none" w:sz="0" w:space="0" w:color="auto"/>
        <w:left w:val="none" w:sz="0" w:space="0" w:color="auto"/>
        <w:bottom w:val="none" w:sz="0" w:space="0" w:color="auto"/>
        <w:right w:val="none" w:sz="0" w:space="0" w:color="auto"/>
      </w:divBdr>
    </w:div>
    <w:div w:id="828326837">
      <w:marLeft w:val="960"/>
      <w:marRight w:val="0"/>
      <w:marTop w:val="0"/>
      <w:marBottom w:val="0"/>
      <w:divBdr>
        <w:top w:val="none" w:sz="0" w:space="0" w:color="auto"/>
        <w:left w:val="none" w:sz="0" w:space="0" w:color="auto"/>
        <w:bottom w:val="none" w:sz="0" w:space="0" w:color="auto"/>
        <w:right w:val="none" w:sz="0" w:space="0" w:color="auto"/>
      </w:divBdr>
    </w:div>
    <w:div w:id="835997966">
      <w:marLeft w:val="840"/>
      <w:marRight w:val="0"/>
      <w:marTop w:val="0"/>
      <w:marBottom w:val="0"/>
      <w:divBdr>
        <w:top w:val="none" w:sz="0" w:space="0" w:color="auto"/>
        <w:left w:val="none" w:sz="0" w:space="0" w:color="auto"/>
        <w:bottom w:val="none" w:sz="0" w:space="0" w:color="auto"/>
        <w:right w:val="none" w:sz="0" w:space="0" w:color="auto"/>
      </w:divBdr>
    </w:div>
    <w:div w:id="839127741">
      <w:marLeft w:val="1080"/>
      <w:marRight w:val="0"/>
      <w:marTop w:val="0"/>
      <w:marBottom w:val="0"/>
      <w:divBdr>
        <w:top w:val="none" w:sz="0" w:space="0" w:color="auto"/>
        <w:left w:val="none" w:sz="0" w:space="0" w:color="auto"/>
        <w:bottom w:val="none" w:sz="0" w:space="0" w:color="auto"/>
        <w:right w:val="none" w:sz="0" w:space="0" w:color="auto"/>
      </w:divBdr>
    </w:div>
    <w:div w:id="845099486">
      <w:marLeft w:val="1080"/>
      <w:marRight w:val="0"/>
      <w:marTop w:val="0"/>
      <w:marBottom w:val="0"/>
      <w:divBdr>
        <w:top w:val="none" w:sz="0" w:space="0" w:color="auto"/>
        <w:left w:val="none" w:sz="0" w:space="0" w:color="auto"/>
        <w:bottom w:val="none" w:sz="0" w:space="0" w:color="auto"/>
        <w:right w:val="none" w:sz="0" w:space="0" w:color="auto"/>
      </w:divBdr>
    </w:div>
    <w:div w:id="857549270">
      <w:marLeft w:val="960"/>
      <w:marRight w:val="0"/>
      <w:marTop w:val="0"/>
      <w:marBottom w:val="0"/>
      <w:divBdr>
        <w:top w:val="none" w:sz="0" w:space="0" w:color="auto"/>
        <w:left w:val="none" w:sz="0" w:space="0" w:color="auto"/>
        <w:bottom w:val="none" w:sz="0" w:space="0" w:color="auto"/>
        <w:right w:val="none" w:sz="0" w:space="0" w:color="auto"/>
      </w:divBdr>
    </w:div>
    <w:div w:id="865681019">
      <w:marLeft w:val="720"/>
      <w:marRight w:val="0"/>
      <w:marTop w:val="0"/>
      <w:marBottom w:val="0"/>
      <w:divBdr>
        <w:top w:val="none" w:sz="0" w:space="0" w:color="auto"/>
        <w:left w:val="none" w:sz="0" w:space="0" w:color="auto"/>
        <w:bottom w:val="none" w:sz="0" w:space="0" w:color="auto"/>
        <w:right w:val="none" w:sz="0" w:space="0" w:color="auto"/>
      </w:divBdr>
    </w:div>
    <w:div w:id="881360290">
      <w:marLeft w:val="0"/>
      <w:marRight w:val="0"/>
      <w:marTop w:val="0"/>
      <w:marBottom w:val="0"/>
      <w:divBdr>
        <w:top w:val="none" w:sz="0" w:space="0" w:color="auto"/>
        <w:left w:val="none" w:sz="0" w:space="0" w:color="auto"/>
        <w:bottom w:val="none" w:sz="0" w:space="0" w:color="auto"/>
        <w:right w:val="none" w:sz="0" w:space="0" w:color="auto"/>
      </w:divBdr>
      <w:divsChild>
        <w:div w:id="1553030703">
          <w:marLeft w:val="0"/>
          <w:marRight w:val="0"/>
          <w:marTop w:val="120"/>
          <w:marBottom w:val="0"/>
          <w:divBdr>
            <w:top w:val="none" w:sz="0" w:space="0" w:color="auto"/>
            <w:left w:val="none" w:sz="0" w:space="0" w:color="auto"/>
            <w:bottom w:val="none" w:sz="0" w:space="0" w:color="auto"/>
            <w:right w:val="none" w:sz="0" w:space="0" w:color="auto"/>
          </w:divBdr>
        </w:div>
        <w:div w:id="1652368034">
          <w:marLeft w:val="0"/>
          <w:marRight w:val="0"/>
          <w:marTop w:val="0"/>
          <w:marBottom w:val="0"/>
          <w:divBdr>
            <w:top w:val="none" w:sz="0" w:space="0" w:color="auto"/>
            <w:left w:val="none" w:sz="0" w:space="0" w:color="auto"/>
            <w:bottom w:val="none" w:sz="0" w:space="0" w:color="auto"/>
            <w:right w:val="none" w:sz="0" w:space="0" w:color="auto"/>
          </w:divBdr>
          <w:divsChild>
            <w:div w:id="12102627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81789351">
      <w:marLeft w:val="720"/>
      <w:marRight w:val="0"/>
      <w:marTop w:val="0"/>
      <w:marBottom w:val="0"/>
      <w:divBdr>
        <w:top w:val="none" w:sz="0" w:space="0" w:color="auto"/>
        <w:left w:val="none" w:sz="0" w:space="0" w:color="auto"/>
        <w:bottom w:val="none" w:sz="0" w:space="0" w:color="auto"/>
        <w:right w:val="none" w:sz="0" w:space="0" w:color="auto"/>
      </w:divBdr>
    </w:div>
    <w:div w:id="888566443">
      <w:marLeft w:val="960"/>
      <w:marRight w:val="0"/>
      <w:marTop w:val="0"/>
      <w:marBottom w:val="0"/>
      <w:divBdr>
        <w:top w:val="none" w:sz="0" w:space="0" w:color="auto"/>
        <w:left w:val="none" w:sz="0" w:space="0" w:color="auto"/>
        <w:bottom w:val="none" w:sz="0" w:space="0" w:color="auto"/>
        <w:right w:val="none" w:sz="0" w:space="0" w:color="auto"/>
      </w:divBdr>
    </w:div>
    <w:div w:id="888569123">
      <w:marLeft w:val="960"/>
      <w:marRight w:val="0"/>
      <w:marTop w:val="0"/>
      <w:marBottom w:val="0"/>
      <w:divBdr>
        <w:top w:val="none" w:sz="0" w:space="0" w:color="auto"/>
        <w:left w:val="none" w:sz="0" w:space="0" w:color="auto"/>
        <w:bottom w:val="none" w:sz="0" w:space="0" w:color="auto"/>
        <w:right w:val="none" w:sz="0" w:space="0" w:color="auto"/>
      </w:divBdr>
    </w:div>
    <w:div w:id="892081136">
      <w:marLeft w:val="720"/>
      <w:marRight w:val="0"/>
      <w:marTop w:val="0"/>
      <w:marBottom w:val="0"/>
      <w:divBdr>
        <w:top w:val="none" w:sz="0" w:space="0" w:color="auto"/>
        <w:left w:val="none" w:sz="0" w:space="0" w:color="auto"/>
        <w:bottom w:val="none" w:sz="0" w:space="0" w:color="auto"/>
        <w:right w:val="none" w:sz="0" w:space="0" w:color="auto"/>
      </w:divBdr>
    </w:div>
    <w:div w:id="895243532">
      <w:marLeft w:val="960"/>
      <w:marRight w:val="0"/>
      <w:marTop w:val="0"/>
      <w:marBottom w:val="0"/>
      <w:divBdr>
        <w:top w:val="none" w:sz="0" w:space="0" w:color="auto"/>
        <w:left w:val="none" w:sz="0" w:space="0" w:color="auto"/>
        <w:bottom w:val="none" w:sz="0" w:space="0" w:color="auto"/>
        <w:right w:val="none" w:sz="0" w:space="0" w:color="auto"/>
      </w:divBdr>
    </w:div>
    <w:div w:id="896430243">
      <w:marLeft w:val="1080"/>
      <w:marRight w:val="0"/>
      <w:marTop w:val="0"/>
      <w:marBottom w:val="0"/>
      <w:divBdr>
        <w:top w:val="none" w:sz="0" w:space="0" w:color="auto"/>
        <w:left w:val="none" w:sz="0" w:space="0" w:color="auto"/>
        <w:bottom w:val="none" w:sz="0" w:space="0" w:color="auto"/>
        <w:right w:val="none" w:sz="0" w:space="0" w:color="auto"/>
      </w:divBdr>
    </w:div>
    <w:div w:id="912855822">
      <w:marLeft w:val="0"/>
      <w:marRight w:val="0"/>
      <w:marTop w:val="0"/>
      <w:marBottom w:val="0"/>
      <w:divBdr>
        <w:top w:val="none" w:sz="0" w:space="0" w:color="auto"/>
        <w:left w:val="none" w:sz="0" w:space="0" w:color="auto"/>
        <w:bottom w:val="none" w:sz="0" w:space="0" w:color="auto"/>
        <w:right w:val="none" w:sz="0" w:space="0" w:color="auto"/>
      </w:divBdr>
      <w:divsChild>
        <w:div w:id="1814370790">
          <w:marLeft w:val="0"/>
          <w:marRight w:val="0"/>
          <w:marTop w:val="120"/>
          <w:marBottom w:val="0"/>
          <w:divBdr>
            <w:top w:val="none" w:sz="0" w:space="0" w:color="auto"/>
            <w:left w:val="none" w:sz="0" w:space="0" w:color="auto"/>
            <w:bottom w:val="none" w:sz="0" w:space="0" w:color="auto"/>
            <w:right w:val="none" w:sz="0" w:space="0" w:color="auto"/>
          </w:divBdr>
        </w:div>
        <w:div w:id="1192761927">
          <w:marLeft w:val="0"/>
          <w:marRight w:val="0"/>
          <w:marTop w:val="0"/>
          <w:marBottom w:val="0"/>
          <w:divBdr>
            <w:top w:val="none" w:sz="0" w:space="0" w:color="auto"/>
            <w:left w:val="none" w:sz="0" w:space="0" w:color="auto"/>
            <w:bottom w:val="none" w:sz="0" w:space="0" w:color="auto"/>
            <w:right w:val="none" w:sz="0" w:space="0" w:color="auto"/>
          </w:divBdr>
          <w:divsChild>
            <w:div w:id="439762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2934010">
      <w:marLeft w:val="0"/>
      <w:marRight w:val="0"/>
      <w:marTop w:val="0"/>
      <w:marBottom w:val="0"/>
      <w:divBdr>
        <w:top w:val="none" w:sz="0" w:space="0" w:color="auto"/>
        <w:left w:val="none" w:sz="0" w:space="0" w:color="auto"/>
        <w:bottom w:val="none" w:sz="0" w:space="0" w:color="auto"/>
        <w:right w:val="none" w:sz="0" w:space="0" w:color="auto"/>
      </w:divBdr>
      <w:divsChild>
        <w:div w:id="1131240690">
          <w:marLeft w:val="0"/>
          <w:marRight w:val="0"/>
          <w:marTop w:val="120"/>
          <w:marBottom w:val="0"/>
          <w:divBdr>
            <w:top w:val="none" w:sz="0" w:space="0" w:color="auto"/>
            <w:left w:val="none" w:sz="0" w:space="0" w:color="auto"/>
            <w:bottom w:val="none" w:sz="0" w:space="0" w:color="auto"/>
            <w:right w:val="none" w:sz="0" w:space="0" w:color="auto"/>
          </w:divBdr>
        </w:div>
        <w:div w:id="1137837421">
          <w:marLeft w:val="0"/>
          <w:marRight w:val="0"/>
          <w:marTop w:val="0"/>
          <w:marBottom w:val="0"/>
          <w:divBdr>
            <w:top w:val="none" w:sz="0" w:space="0" w:color="auto"/>
            <w:left w:val="none" w:sz="0" w:space="0" w:color="auto"/>
            <w:bottom w:val="none" w:sz="0" w:space="0" w:color="auto"/>
            <w:right w:val="none" w:sz="0" w:space="0" w:color="auto"/>
          </w:divBdr>
          <w:divsChild>
            <w:div w:id="1667123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3470945">
      <w:marLeft w:val="1080"/>
      <w:marRight w:val="0"/>
      <w:marTop w:val="0"/>
      <w:marBottom w:val="0"/>
      <w:divBdr>
        <w:top w:val="none" w:sz="0" w:space="0" w:color="auto"/>
        <w:left w:val="none" w:sz="0" w:space="0" w:color="auto"/>
        <w:bottom w:val="none" w:sz="0" w:space="0" w:color="auto"/>
        <w:right w:val="none" w:sz="0" w:space="0" w:color="auto"/>
      </w:divBdr>
    </w:div>
    <w:div w:id="920799549">
      <w:marLeft w:val="840"/>
      <w:marRight w:val="0"/>
      <w:marTop w:val="0"/>
      <w:marBottom w:val="0"/>
      <w:divBdr>
        <w:top w:val="none" w:sz="0" w:space="0" w:color="auto"/>
        <w:left w:val="none" w:sz="0" w:space="0" w:color="auto"/>
        <w:bottom w:val="none" w:sz="0" w:space="0" w:color="auto"/>
        <w:right w:val="none" w:sz="0" w:space="0" w:color="auto"/>
      </w:divBdr>
    </w:div>
    <w:div w:id="921986403">
      <w:marLeft w:val="960"/>
      <w:marRight w:val="0"/>
      <w:marTop w:val="0"/>
      <w:marBottom w:val="0"/>
      <w:divBdr>
        <w:top w:val="none" w:sz="0" w:space="0" w:color="auto"/>
        <w:left w:val="none" w:sz="0" w:space="0" w:color="auto"/>
        <w:bottom w:val="none" w:sz="0" w:space="0" w:color="auto"/>
        <w:right w:val="none" w:sz="0" w:space="0" w:color="auto"/>
      </w:divBdr>
    </w:div>
    <w:div w:id="927082665">
      <w:marLeft w:val="720"/>
      <w:marRight w:val="0"/>
      <w:marTop w:val="0"/>
      <w:marBottom w:val="0"/>
      <w:divBdr>
        <w:top w:val="none" w:sz="0" w:space="0" w:color="auto"/>
        <w:left w:val="none" w:sz="0" w:space="0" w:color="auto"/>
        <w:bottom w:val="none" w:sz="0" w:space="0" w:color="auto"/>
        <w:right w:val="none" w:sz="0" w:space="0" w:color="auto"/>
      </w:divBdr>
    </w:div>
    <w:div w:id="929510684">
      <w:marLeft w:val="1080"/>
      <w:marRight w:val="0"/>
      <w:marTop w:val="0"/>
      <w:marBottom w:val="0"/>
      <w:divBdr>
        <w:top w:val="none" w:sz="0" w:space="0" w:color="auto"/>
        <w:left w:val="none" w:sz="0" w:space="0" w:color="auto"/>
        <w:bottom w:val="none" w:sz="0" w:space="0" w:color="auto"/>
        <w:right w:val="none" w:sz="0" w:space="0" w:color="auto"/>
      </w:divBdr>
    </w:div>
    <w:div w:id="929585538">
      <w:marLeft w:val="720"/>
      <w:marRight w:val="0"/>
      <w:marTop w:val="0"/>
      <w:marBottom w:val="0"/>
      <w:divBdr>
        <w:top w:val="none" w:sz="0" w:space="0" w:color="auto"/>
        <w:left w:val="none" w:sz="0" w:space="0" w:color="auto"/>
        <w:bottom w:val="none" w:sz="0" w:space="0" w:color="auto"/>
        <w:right w:val="none" w:sz="0" w:space="0" w:color="auto"/>
      </w:divBdr>
    </w:div>
    <w:div w:id="930435674">
      <w:marLeft w:val="720"/>
      <w:marRight w:val="0"/>
      <w:marTop w:val="0"/>
      <w:marBottom w:val="0"/>
      <w:divBdr>
        <w:top w:val="none" w:sz="0" w:space="0" w:color="auto"/>
        <w:left w:val="none" w:sz="0" w:space="0" w:color="auto"/>
        <w:bottom w:val="none" w:sz="0" w:space="0" w:color="auto"/>
        <w:right w:val="none" w:sz="0" w:space="0" w:color="auto"/>
      </w:divBdr>
    </w:div>
    <w:div w:id="933708999">
      <w:marLeft w:val="0"/>
      <w:marRight w:val="0"/>
      <w:marTop w:val="0"/>
      <w:marBottom w:val="0"/>
      <w:divBdr>
        <w:top w:val="none" w:sz="0" w:space="0" w:color="auto"/>
        <w:left w:val="none" w:sz="0" w:space="0" w:color="auto"/>
        <w:bottom w:val="none" w:sz="0" w:space="0" w:color="auto"/>
        <w:right w:val="none" w:sz="0" w:space="0" w:color="auto"/>
      </w:divBdr>
      <w:divsChild>
        <w:div w:id="1390882059">
          <w:marLeft w:val="0"/>
          <w:marRight w:val="0"/>
          <w:marTop w:val="120"/>
          <w:marBottom w:val="0"/>
          <w:divBdr>
            <w:top w:val="none" w:sz="0" w:space="0" w:color="auto"/>
            <w:left w:val="none" w:sz="0" w:space="0" w:color="auto"/>
            <w:bottom w:val="none" w:sz="0" w:space="0" w:color="auto"/>
            <w:right w:val="none" w:sz="0" w:space="0" w:color="auto"/>
          </w:divBdr>
        </w:div>
        <w:div w:id="78018506">
          <w:marLeft w:val="0"/>
          <w:marRight w:val="0"/>
          <w:marTop w:val="0"/>
          <w:marBottom w:val="0"/>
          <w:divBdr>
            <w:top w:val="none" w:sz="0" w:space="0" w:color="auto"/>
            <w:left w:val="none" w:sz="0" w:space="0" w:color="auto"/>
            <w:bottom w:val="none" w:sz="0" w:space="0" w:color="auto"/>
            <w:right w:val="none" w:sz="0" w:space="0" w:color="auto"/>
          </w:divBdr>
        </w:div>
      </w:divsChild>
    </w:div>
    <w:div w:id="936645041">
      <w:marLeft w:val="960"/>
      <w:marRight w:val="0"/>
      <w:marTop w:val="0"/>
      <w:marBottom w:val="0"/>
      <w:divBdr>
        <w:top w:val="none" w:sz="0" w:space="0" w:color="auto"/>
        <w:left w:val="none" w:sz="0" w:space="0" w:color="auto"/>
        <w:bottom w:val="none" w:sz="0" w:space="0" w:color="auto"/>
        <w:right w:val="none" w:sz="0" w:space="0" w:color="auto"/>
      </w:divBdr>
    </w:div>
    <w:div w:id="941453785">
      <w:marLeft w:val="0"/>
      <w:marRight w:val="0"/>
      <w:marTop w:val="120"/>
      <w:marBottom w:val="0"/>
      <w:divBdr>
        <w:top w:val="none" w:sz="0" w:space="0" w:color="auto"/>
        <w:left w:val="none" w:sz="0" w:space="0" w:color="auto"/>
        <w:bottom w:val="none" w:sz="0" w:space="0" w:color="auto"/>
        <w:right w:val="none" w:sz="0" w:space="0" w:color="auto"/>
      </w:divBdr>
    </w:div>
    <w:div w:id="943079837">
      <w:marLeft w:val="960"/>
      <w:marRight w:val="0"/>
      <w:marTop w:val="0"/>
      <w:marBottom w:val="0"/>
      <w:divBdr>
        <w:top w:val="none" w:sz="0" w:space="0" w:color="auto"/>
        <w:left w:val="none" w:sz="0" w:space="0" w:color="auto"/>
        <w:bottom w:val="none" w:sz="0" w:space="0" w:color="auto"/>
        <w:right w:val="none" w:sz="0" w:space="0" w:color="auto"/>
      </w:divBdr>
    </w:div>
    <w:div w:id="944075350">
      <w:marLeft w:val="960"/>
      <w:marRight w:val="0"/>
      <w:marTop w:val="0"/>
      <w:marBottom w:val="0"/>
      <w:divBdr>
        <w:top w:val="none" w:sz="0" w:space="0" w:color="auto"/>
        <w:left w:val="none" w:sz="0" w:space="0" w:color="auto"/>
        <w:bottom w:val="none" w:sz="0" w:space="0" w:color="auto"/>
        <w:right w:val="none" w:sz="0" w:space="0" w:color="auto"/>
      </w:divBdr>
    </w:div>
    <w:div w:id="965043156">
      <w:marLeft w:val="1200"/>
      <w:marRight w:val="0"/>
      <w:marTop w:val="0"/>
      <w:marBottom w:val="0"/>
      <w:divBdr>
        <w:top w:val="none" w:sz="0" w:space="0" w:color="auto"/>
        <w:left w:val="none" w:sz="0" w:space="0" w:color="auto"/>
        <w:bottom w:val="none" w:sz="0" w:space="0" w:color="auto"/>
        <w:right w:val="none" w:sz="0" w:space="0" w:color="auto"/>
      </w:divBdr>
    </w:div>
    <w:div w:id="965163680">
      <w:marLeft w:val="0"/>
      <w:marRight w:val="0"/>
      <w:marTop w:val="120"/>
      <w:marBottom w:val="0"/>
      <w:divBdr>
        <w:top w:val="none" w:sz="0" w:space="0" w:color="auto"/>
        <w:left w:val="none" w:sz="0" w:space="0" w:color="auto"/>
        <w:bottom w:val="none" w:sz="0" w:space="0" w:color="auto"/>
        <w:right w:val="none" w:sz="0" w:space="0" w:color="auto"/>
      </w:divBdr>
    </w:div>
    <w:div w:id="967664025">
      <w:marLeft w:val="0"/>
      <w:marRight w:val="0"/>
      <w:marTop w:val="0"/>
      <w:marBottom w:val="0"/>
      <w:divBdr>
        <w:top w:val="none" w:sz="0" w:space="0" w:color="auto"/>
        <w:left w:val="none" w:sz="0" w:space="0" w:color="auto"/>
        <w:bottom w:val="none" w:sz="0" w:space="0" w:color="auto"/>
        <w:right w:val="none" w:sz="0" w:space="0" w:color="auto"/>
      </w:divBdr>
      <w:divsChild>
        <w:div w:id="1812403332">
          <w:marLeft w:val="0"/>
          <w:marRight w:val="0"/>
          <w:marTop w:val="120"/>
          <w:marBottom w:val="0"/>
          <w:divBdr>
            <w:top w:val="none" w:sz="0" w:space="0" w:color="auto"/>
            <w:left w:val="none" w:sz="0" w:space="0" w:color="auto"/>
            <w:bottom w:val="none" w:sz="0" w:space="0" w:color="auto"/>
            <w:right w:val="none" w:sz="0" w:space="0" w:color="auto"/>
          </w:divBdr>
        </w:div>
        <w:div w:id="132792122">
          <w:marLeft w:val="0"/>
          <w:marRight w:val="0"/>
          <w:marTop w:val="0"/>
          <w:marBottom w:val="0"/>
          <w:divBdr>
            <w:top w:val="none" w:sz="0" w:space="0" w:color="auto"/>
            <w:left w:val="none" w:sz="0" w:space="0" w:color="auto"/>
            <w:bottom w:val="none" w:sz="0" w:space="0" w:color="auto"/>
            <w:right w:val="none" w:sz="0" w:space="0" w:color="auto"/>
          </w:divBdr>
          <w:divsChild>
            <w:div w:id="4389617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2639687">
      <w:marLeft w:val="720"/>
      <w:marRight w:val="0"/>
      <w:marTop w:val="0"/>
      <w:marBottom w:val="0"/>
      <w:divBdr>
        <w:top w:val="none" w:sz="0" w:space="0" w:color="auto"/>
        <w:left w:val="none" w:sz="0" w:space="0" w:color="auto"/>
        <w:bottom w:val="none" w:sz="0" w:space="0" w:color="auto"/>
        <w:right w:val="none" w:sz="0" w:space="0" w:color="auto"/>
      </w:divBdr>
    </w:div>
    <w:div w:id="980035894">
      <w:marLeft w:val="720"/>
      <w:marRight w:val="0"/>
      <w:marTop w:val="0"/>
      <w:marBottom w:val="0"/>
      <w:divBdr>
        <w:top w:val="none" w:sz="0" w:space="0" w:color="auto"/>
        <w:left w:val="none" w:sz="0" w:space="0" w:color="auto"/>
        <w:bottom w:val="none" w:sz="0" w:space="0" w:color="auto"/>
        <w:right w:val="none" w:sz="0" w:space="0" w:color="auto"/>
      </w:divBdr>
    </w:div>
    <w:div w:id="980577729">
      <w:marLeft w:val="0"/>
      <w:marRight w:val="0"/>
      <w:marTop w:val="120"/>
      <w:marBottom w:val="0"/>
      <w:divBdr>
        <w:top w:val="none" w:sz="0" w:space="0" w:color="auto"/>
        <w:left w:val="none" w:sz="0" w:space="0" w:color="auto"/>
        <w:bottom w:val="none" w:sz="0" w:space="0" w:color="auto"/>
        <w:right w:val="none" w:sz="0" w:space="0" w:color="auto"/>
      </w:divBdr>
    </w:div>
    <w:div w:id="981033317">
      <w:marLeft w:val="1080"/>
      <w:marRight w:val="0"/>
      <w:marTop w:val="0"/>
      <w:marBottom w:val="0"/>
      <w:divBdr>
        <w:top w:val="none" w:sz="0" w:space="0" w:color="auto"/>
        <w:left w:val="none" w:sz="0" w:space="0" w:color="auto"/>
        <w:bottom w:val="none" w:sz="0" w:space="0" w:color="auto"/>
        <w:right w:val="none" w:sz="0" w:space="0" w:color="auto"/>
      </w:divBdr>
    </w:div>
    <w:div w:id="993098528">
      <w:marLeft w:val="840"/>
      <w:marRight w:val="0"/>
      <w:marTop w:val="0"/>
      <w:marBottom w:val="0"/>
      <w:divBdr>
        <w:top w:val="none" w:sz="0" w:space="0" w:color="auto"/>
        <w:left w:val="none" w:sz="0" w:space="0" w:color="auto"/>
        <w:bottom w:val="none" w:sz="0" w:space="0" w:color="auto"/>
        <w:right w:val="none" w:sz="0" w:space="0" w:color="auto"/>
      </w:divBdr>
    </w:div>
    <w:div w:id="997152728">
      <w:marLeft w:val="960"/>
      <w:marRight w:val="0"/>
      <w:marTop w:val="0"/>
      <w:marBottom w:val="0"/>
      <w:divBdr>
        <w:top w:val="none" w:sz="0" w:space="0" w:color="auto"/>
        <w:left w:val="none" w:sz="0" w:space="0" w:color="auto"/>
        <w:bottom w:val="none" w:sz="0" w:space="0" w:color="auto"/>
        <w:right w:val="none" w:sz="0" w:space="0" w:color="auto"/>
      </w:divBdr>
    </w:div>
    <w:div w:id="997267109">
      <w:marLeft w:val="720"/>
      <w:marRight w:val="0"/>
      <w:marTop w:val="0"/>
      <w:marBottom w:val="0"/>
      <w:divBdr>
        <w:top w:val="none" w:sz="0" w:space="0" w:color="auto"/>
        <w:left w:val="none" w:sz="0" w:space="0" w:color="auto"/>
        <w:bottom w:val="none" w:sz="0" w:space="0" w:color="auto"/>
        <w:right w:val="none" w:sz="0" w:space="0" w:color="auto"/>
      </w:divBdr>
    </w:div>
    <w:div w:id="999625833">
      <w:marLeft w:val="720"/>
      <w:marRight w:val="0"/>
      <w:marTop w:val="0"/>
      <w:marBottom w:val="0"/>
      <w:divBdr>
        <w:top w:val="none" w:sz="0" w:space="0" w:color="auto"/>
        <w:left w:val="none" w:sz="0" w:space="0" w:color="auto"/>
        <w:bottom w:val="none" w:sz="0" w:space="0" w:color="auto"/>
        <w:right w:val="none" w:sz="0" w:space="0" w:color="auto"/>
      </w:divBdr>
    </w:div>
    <w:div w:id="999776777">
      <w:marLeft w:val="720"/>
      <w:marRight w:val="0"/>
      <w:marTop w:val="0"/>
      <w:marBottom w:val="0"/>
      <w:divBdr>
        <w:top w:val="none" w:sz="0" w:space="0" w:color="auto"/>
        <w:left w:val="none" w:sz="0" w:space="0" w:color="auto"/>
        <w:bottom w:val="none" w:sz="0" w:space="0" w:color="auto"/>
        <w:right w:val="none" w:sz="0" w:space="0" w:color="auto"/>
      </w:divBdr>
    </w:div>
    <w:div w:id="1001852707">
      <w:marLeft w:val="960"/>
      <w:marRight w:val="0"/>
      <w:marTop w:val="0"/>
      <w:marBottom w:val="0"/>
      <w:divBdr>
        <w:top w:val="none" w:sz="0" w:space="0" w:color="auto"/>
        <w:left w:val="none" w:sz="0" w:space="0" w:color="auto"/>
        <w:bottom w:val="none" w:sz="0" w:space="0" w:color="auto"/>
        <w:right w:val="none" w:sz="0" w:space="0" w:color="auto"/>
      </w:divBdr>
    </w:div>
    <w:div w:id="1007826491">
      <w:marLeft w:val="0"/>
      <w:marRight w:val="0"/>
      <w:marTop w:val="120"/>
      <w:marBottom w:val="0"/>
      <w:divBdr>
        <w:top w:val="none" w:sz="0" w:space="0" w:color="auto"/>
        <w:left w:val="none" w:sz="0" w:space="0" w:color="auto"/>
        <w:bottom w:val="none" w:sz="0" w:space="0" w:color="auto"/>
        <w:right w:val="none" w:sz="0" w:space="0" w:color="auto"/>
      </w:divBdr>
    </w:div>
    <w:div w:id="1008867674">
      <w:marLeft w:val="720"/>
      <w:marRight w:val="0"/>
      <w:marTop w:val="0"/>
      <w:marBottom w:val="0"/>
      <w:divBdr>
        <w:top w:val="none" w:sz="0" w:space="0" w:color="auto"/>
        <w:left w:val="none" w:sz="0" w:space="0" w:color="auto"/>
        <w:bottom w:val="none" w:sz="0" w:space="0" w:color="auto"/>
        <w:right w:val="none" w:sz="0" w:space="0" w:color="auto"/>
      </w:divBdr>
    </w:div>
    <w:div w:id="1008945059">
      <w:marLeft w:val="0"/>
      <w:marRight w:val="0"/>
      <w:marTop w:val="0"/>
      <w:marBottom w:val="0"/>
      <w:divBdr>
        <w:top w:val="none" w:sz="0" w:space="0" w:color="auto"/>
        <w:left w:val="none" w:sz="0" w:space="0" w:color="auto"/>
        <w:bottom w:val="none" w:sz="0" w:space="0" w:color="auto"/>
        <w:right w:val="none" w:sz="0" w:space="0" w:color="auto"/>
      </w:divBdr>
    </w:div>
    <w:div w:id="1020618010">
      <w:marLeft w:val="960"/>
      <w:marRight w:val="0"/>
      <w:marTop w:val="0"/>
      <w:marBottom w:val="0"/>
      <w:divBdr>
        <w:top w:val="none" w:sz="0" w:space="0" w:color="auto"/>
        <w:left w:val="none" w:sz="0" w:space="0" w:color="auto"/>
        <w:bottom w:val="none" w:sz="0" w:space="0" w:color="auto"/>
        <w:right w:val="none" w:sz="0" w:space="0" w:color="auto"/>
      </w:divBdr>
    </w:div>
    <w:div w:id="1022513301">
      <w:marLeft w:val="960"/>
      <w:marRight w:val="0"/>
      <w:marTop w:val="0"/>
      <w:marBottom w:val="0"/>
      <w:divBdr>
        <w:top w:val="none" w:sz="0" w:space="0" w:color="auto"/>
        <w:left w:val="none" w:sz="0" w:space="0" w:color="auto"/>
        <w:bottom w:val="none" w:sz="0" w:space="0" w:color="auto"/>
        <w:right w:val="none" w:sz="0" w:space="0" w:color="auto"/>
      </w:divBdr>
    </w:div>
    <w:div w:id="1023215268">
      <w:marLeft w:val="0"/>
      <w:marRight w:val="0"/>
      <w:marTop w:val="0"/>
      <w:marBottom w:val="0"/>
      <w:divBdr>
        <w:top w:val="none" w:sz="0" w:space="0" w:color="auto"/>
        <w:left w:val="none" w:sz="0" w:space="0" w:color="auto"/>
        <w:bottom w:val="none" w:sz="0" w:space="0" w:color="auto"/>
        <w:right w:val="none" w:sz="0" w:space="0" w:color="auto"/>
      </w:divBdr>
      <w:divsChild>
        <w:div w:id="1607695909">
          <w:marLeft w:val="0"/>
          <w:marRight w:val="0"/>
          <w:marTop w:val="120"/>
          <w:marBottom w:val="0"/>
          <w:divBdr>
            <w:top w:val="none" w:sz="0" w:space="0" w:color="auto"/>
            <w:left w:val="none" w:sz="0" w:space="0" w:color="auto"/>
            <w:bottom w:val="none" w:sz="0" w:space="0" w:color="auto"/>
            <w:right w:val="none" w:sz="0" w:space="0" w:color="auto"/>
          </w:divBdr>
        </w:div>
        <w:div w:id="456917837">
          <w:marLeft w:val="0"/>
          <w:marRight w:val="0"/>
          <w:marTop w:val="0"/>
          <w:marBottom w:val="0"/>
          <w:divBdr>
            <w:top w:val="none" w:sz="0" w:space="0" w:color="auto"/>
            <w:left w:val="none" w:sz="0" w:space="0" w:color="auto"/>
            <w:bottom w:val="none" w:sz="0" w:space="0" w:color="auto"/>
            <w:right w:val="none" w:sz="0" w:space="0" w:color="auto"/>
          </w:divBdr>
          <w:divsChild>
            <w:div w:id="19435612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4675665">
      <w:marLeft w:val="840"/>
      <w:marRight w:val="0"/>
      <w:marTop w:val="0"/>
      <w:marBottom w:val="0"/>
      <w:divBdr>
        <w:top w:val="none" w:sz="0" w:space="0" w:color="auto"/>
        <w:left w:val="none" w:sz="0" w:space="0" w:color="auto"/>
        <w:bottom w:val="none" w:sz="0" w:space="0" w:color="auto"/>
        <w:right w:val="none" w:sz="0" w:space="0" w:color="auto"/>
      </w:divBdr>
    </w:div>
    <w:div w:id="1028801504">
      <w:marLeft w:val="960"/>
      <w:marRight w:val="0"/>
      <w:marTop w:val="0"/>
      <w:marBottom w:val="0"/>
      <w:divBdr>
        <w:top w:val="none" w:sz="0" w:space="0" w:color="auto"/>
        <w:left w:val="none" w:sz="0" w:space="0" w:color="auto"/>
        <w:bottom w:val="none" w:sz="0" w:space="0" w:color="auto"/>
        <w:right w:val="none" w:sz="0" w:space="0" w:color="auto"/>
      </w:divBdr>
    </w:div>
    <w:div w:id="1034890908">
      <w:marLeft w:val="1080"/>
      <w:marRight w:val="0"/>
      <w:marTop w:val="0"/>
      <w:marBottom w:val="0"/>
      <w:divBdr>
        <w:top w:val="none" w:sz="0" w:space="0" w:color="auto"/>
        <w:left w:val="none" w:sz="0" w:space="0" w:color="auto"/>
        <w:bottom w:val="none" w:sz="0" w:space="0" w:color="auto"/>
        <w:right w:val="none" w:sz="0" w:space="0" w:color="auto"/>
      </w:divBdr>
    </w:div>
    <w:div w:id="1036198804">
      <w:marLeft w:val="960"/>
      <w:marRight w:val="0"/>
      <w:marTop w:val="0"/>
      <w:marBottom w:val="0"/>
      <w:divBdr>
        <w:top w:val="none" w:sz="0" w:space="0" w:color="auto"/>
        <w:left w:val="none" w:sz="0" w:space="0" w:color="auto"/>
        <w:bottom w:val="none" w:sz="0" w:space="0" w:color="auto"/>
        <w:right w:val="none" w:sz="0" w:space="0" w:color="auto"/>
      </w:divBdr>
    </w:div>
    <w:div w:id="1048148824">
      <w:marLeft w:val="1080"/>
      <w:marRight w:val="0"/>
      <w:marTop w:val="0"/>
      <w:marBottom w:val="0"/>
      <w:divBdr>
        <w:top w:val="none" w:sz="0" w:space="0" w:color="auto"/>
        <w:left w:val="none" w:sz="0" w:space="0" w:color="auto"/>
        <w:bottom w:val="none" w:sz="0" w:space="0" w:color="auto"/>
        <w:right w:val="none" w:sz="0" w:space="0" w:color="auto"/>
      </w:divBdr>
    </w:div>
    <w:div w:id="1056466167">
      <w:marLeft w:val="960"/>
      <w:marRight w:val="0"/>
      <w:marTop w:val="0"/>
      <w:marBottom w:val="0"/>
      <w:divBdr>
        <w:top w:val="none" w:sz="0" w:space="0" w:color="auto"/>
        <w:left w:val="none" w:sz="0" w:space="0" w:color="auto"/>
        <w:bottom w:val="none" w:sz="0" w:space="0" w:color="auto"/>
        <w:right w:val="none" w:sz="0" w:space="0" w:color="auto"/>
      </w:divBdr>
    </w:div>
    <w:div w:id="1059479919">
      <w:marLeft w:val="960"/>
      <w:marRight w:val="0"/>
      <w:marTop w:val="0"/>
      <w:marBottom w:val="0"/>
      <w:divBdr>
        <w:top w:val="none" w:sz="0" w:space="0" w:color="auto"/>
        <w:left w:val="none" w:sz="0" w:space="0" w:color="auto"/>
        <w:bottom w:val="none" w:sz="0" w:space="0" w:color="auto"/>
        <w:right w:val="none" w:sz="0" w:space="0" w:color="auto"/>
      </w:divBdr>
    </w:div>
    <w:div w:id="1061097091">
      <w:marLeft w:val="960"/>
      <w:marRight w:val="0"/>
      <w:marTop w:val="0"/>
      <w:marBottom w:val="0"/>
      <w:divBdr>
        <w:top w:val="none" w:sz="0" w:space="0" w:color="auto"/>
        <w:left w:val="none" w:sz="0" w:space="0" w:color="auto"/>
        <w:bottom w:val="none" w:sz="0" w:space="0" w:color="auto"/>
        <w:right w:val="none" w:sz="0" w:space="0" w:color="auto"/>
      </w:divBdr>
    </w:div>
    <w:div w:id="1065184032">
      <w:marLeft w:val="720"/>
      <w:marRight w:val="0"/>
      <w:marTop w:val="0"/>
      <w:marBottom w:val="0"/>
      <w:divBdr>
        <w:top w:val="none" w:sz="0" w:space="0" w:color="auto"/>
        <w:left w:val="none" w:sz="0" w:space="0" w:color="auto"/>
        <w:bottom w:val="none" w:sz="0" w:space="0" w:color="auto"/>
        <w:right w:val="none" w:sz="0" w:space="0" w:color="auto"/>
      </w:divBdr>
    </w:div>
    <w:div w:id="1065374575">
      <w:marLeft w:val="720"/>
      <w:marRight w:val="0"/>
      <w:marTop w:val="0"/>
      <w:marBottom w:val="0"/>
      <w:divBdr>
        <w:top w:val="none" w:sz="0" w:space="0" w:color="auto"/>
        <w:left w:val="none" w:sz="0" w:space="0" w:color="auto"/>
        <w:bottom w:val="none" w:sz="0" w:space="0" w:color="auto"/>
        <w:right w:val="none" w:sz="0" w:space="0" w:color="auto"/>
      </w:divBdr>
    </w:div>
    <w:div w:id="1076247840">
      <w:marLeft w:val="0"/>
      <w:marRight w:val="0"/>
      <w:marTop w:val="0"/>
      <w:marBottom w:val="0"/>
      <w:divBdr>
        <w:top w:val="none" w:sz="0" w:space="0" w:color="auto"/>
        <w:left w:val="none" w:sz="0" w:space="0" w:color="auto"/>
        <w:bottom w:val="none" w:sz="0" w:space="0" w:color="auto"/>
        <w:right w:val="none" w:sz="0" w:space="0" w:color="auto"/>
      </w:divBdr>
      <w:divsChild>
        <w:div w:id="1235123510">
          <w:marLeft w:val="0"/>
          <w:marRight w:val="0"/>
          <w:marTop w:val="120"/>
          <w:marBottom w:val="0"/>
          <w:divBdr>
            <w:top w:val="none" w:sz="0" w:space="0" w:color="auto"/>
            <w:left w:val="none" w:sz="0" w:space="0" w:color="auto"/>
            <w:bottom w:val="none" w:sz="0" w:space="0" w:color="auto"/>
            <w:right w:val="none" w:sz="0" w:space="0" w:color="auto"/>
          </w:divBdr>
        </w:div>
        <w:div w:id="1017778189">
          <w:marLeft w:val="0"/>
          <w:marRight w:val="0"/>
          <w:marTop w:val="0"/>
          <w:marBottom w:val="0"/>
          <w:divBdr>
            <w:top w:val="none" w:sz="0" w:space="0" w:color="auto"/>
            <w:left w:val="none" w:sz="0" w:space="0" w:color="auto"/>
            <w:bottom w:val="none" w:sz="0" w:space="0" w:color="auto"/>
            <w:right w:val="none" w:sz="0" w:space="0" w:color="auto"/>
          </w:divBdr>
          <w:divsChild>
            <w:div w:id="8266329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7363892">
      <w:marLeft w:val="0"/>
      <w:marRight w:val="0"/>
      <w:marTop w:val="0"/>
      <w:marBottom w:val="0"/>
      <w:divBdr>
        <w:top w:val="none" w:sz="0" w:space="0" w:color="auto"/>
        <w:left w:val="none" w:sz="0" w:space="0" w:color="auto"/>
        <w:bottom w:val="none" w:sz="0" w:space="0" w:color="auto"/>
        <w:right w:val="none" w:sz="0" w:space="0" w:color="auto"/>
      </w:divBdr>
      <w:divsChild>
        <w:div w:id="1002661195">
          <w:marLeft w:val="0"/>
          <w:marRight w:val="0"/>
          <w:marTop w:val="120"/>
          <w:marBottom w:val="0"/>
          <w:divBdr>
            <w:top w:val="none" w:sz="0" w:space="0" w:color="auto"/>
            <w:left w:val="none" w:sz="0" w:space="0" w:color="auto"/>
            <w:bottom w:val="none" w:sz="0" w:space="0" w:color="auto"/>
            <w:right w:val="none" w:sz="0" w:space="0" w:color="auto"/>
          </w:divBdr>
        </w:div>
        <w:div w:id="1512841393">
          <w:marLeft w:val="0"/>
          <w:marRight w:val="0"/>
          <w:marTop w:val="0"/>
          <w:marBottom w:val="0"/>
          <w:divBdr>
            <w:top w:val="none" w:sz="0" w:space="0" w:color="auto"/>
            <w:left w:val="none" w:sz="0" w:space="0" w:color="auto"/>
            <w:bottom w:val="none" w:sz="0" w:space="0" w:color="auto"/>
            <w:right w:val="none" w:sz="0" w:space="0" w:color="auto"/>
          </w:divBdr>
          <w:divsChild>
            <w:div w:id="1936646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9248801">
      <w:marLeft w:val="0"/>
      <w:marRight w:val="0"/>
      <w:marTop w:val="0"/>
      <w:marBottom w:val="0"/>
      <w:divBdr>
        <w:top w:val="none" w:sz="0" w:space="0" w:color="auto"/>
        <w:left w:val="none" w:sz="0" w:space="0" w:color="auto"/>
        <w:bottom w:val="none" w:sz="0" w:space="0" w:color="auto"/>
        <w:right w:val="none" w:sz="0" w:space="0" w:color="auto"/>
      </w:divBdr>
      <w:divsChild>
        <w:div w:id="1038436274">
          <w:marLeft w:val="0"/>
          <w:marRight w:val="0"/>
          <w:marTop w:val="120"/>
          <w:marBottom w:val="0"/>
          <w:divBdr>
            <w:top w:val="none" w:sz="0" w:space="0" w:color="auto"/>
            <w:left w:val="none" w:sz="0" w:space="0" w:color="auto"/>
            <w:bottom w:val="none" w:sz="0" w:space="0" w:color="auto"/>
            <w:right w:val="none" w:sz="0" w:space="0" w:color="auto"/>
          </w:divBdr>
        </w:div>
        <w:div w:id="1814758318">
          <w:marLeft w:val="0"/>
          <w:marRight w:val="0"/>
          <w:marTop w:val="0"/>
          <w:marBottom w:val="0"/>
          <w:divBdr>
            <w:top w:val="none" w:sz="0" w:space="0" w:color="auto"/>
            <w:left w:val="none" w:sz="0" w:space="0" w:color="auto"/>
            <w:bottom w:val="none" w:sz="0" w:space="0" w:color="auto"/>
            <w:right w:val="none" w:sz="0" w:space="0" w:color="auto"/>
          </w:divBdr>
          <w:divsChild>
            <w:div w:id="248731561">
              <w:marLeft w:val="0"/>
              <w:marRight w:val="0"/>
              <w:marTop w:val="120"/>
              <w:marBottom w:val="0"/>
              <w:divBdr>
                <w:top w:val="none" w:sz="0" w:space="0" w:color="auto"/>
                <w:left w:val="none" w:sz="0" w:space="0" w:color="auto"/>
                <w:bottom w:val="none" w:sz="0" w:space="0" w:color="auto"/>
                <w:right w:val="none" w:sz="0" w:space="0" w:color="auto"/>
              </w:divBdr>
            </w:div>
            <w:div w:id="595196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80375082">
      <w:marLeft w:val="720"/>
      <w:marRight w:val="0"/>
      <w:marTop w:val="0"/>
      <w:marBottom w:val="0"/>
      <w:divBdr>
        <w:top w:val="none" w:sz="0" w:space="0" w:color="auto"/>
        <w:left w:val="none" w:sz="0" w:space="0" w:color="auto"/>
        <w:bottom w:val="none" w:sz="0" w:space="0" w:color="auto"/>
        <w:right w:val="none" w:sz="0" w:space="0" w:color="auto"/>
      </w:divBdr>
    </w:div>
    <w:div w:id="1085225245">
      <w:marLeft w:val="960"/>
      <w:marRight w:val="0"/>
      <w:marTop w:val="0"/>
      <w:marBottom w:val="0"/>
      <w:divBdr>
        <w:top w:val="none" w:sz="0" w:space="0" w:color="auto"/>
        <w:left w:val="none" w:sz="0" w:space="0" w:color="auto"/>
        <w:bottom w:val="none" w:sz="0" w:space="0" w:color="auto"/>
        <w:right w:val="none" w:sz="0" w:space="0" w:color="auto"/>
      </w:divBdr>
    </w:div>
    <w:div w:id="1086153344">
      <w:marLeft w:val="0"/>
      <w:marRight w:val="0"/>
      <w:marTop w:val="0"/>
      <w:marBottom w:val="0"/>
      <w:divBdr>
        <w:top w:val="none" w:sz="0" w:space="0" w:color="auto"/>
        <w:left w:val="none" w:sz="0" w:space="0" w:color="auto"/>
        <w:bottom w:val="none" w:sz="0" w:space="0" w:color="auto"/>
        <w:right w:val="none" w:sz="0" w:space="0" w:color="auto"/>
      </w:divBdr>
      <w:divsChild>
        <w:div w:id="1473401496">
          <w:marLeft w:val="0"/>
          <w:marRight w:val="0"/>
          <w:marTop w:val="120"/>
          <w:marBottom w:val="0"/>
          <w:divBdr>
            <w:top w:val="none" w:sz="0" w:space="0" w:color="auto"/>
            <w:left w:val="none" w:sz="0" w:space="0" w:color="auto"/>
            <w:bottom w:val="none" w:sz="0" w:space="0" w:color="auto"/>
            <w:right w:val="none" w:sz="0" w:space="0" w:color="auto"/>
          </w:divBdr>
        </w:div>
        <w:div w:id="1157498805">
          <w:marLeft w:val="0"/>
          <w:marRight w:val="0"/>
          <w:marTop w:val="0"/>
          <w:marBottom w:val="0"/>
          <w:divBdr>
            <w:top w:val="none" w:sz="0" w:space="0" w:color="auto"/>
            <w:left w:val="none" w:sz="0" w:space="0" w:color="auto"/>
            <w:bottom w:val="none" w:sz="0" w:space="0" w:color="auto"/>
            <w:right w:val="none" w:sz="0" w:space="0" w:color="auto"/>
          </w:divBdr>
          <w:divsChild>
            <w:div w:id="7298133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88383239">
      <w:marLeft w:val="1080"/>
      <w:marRight w:val="0"/>
      <w:marTop w:val="0"/>
      <w:marBottom w:val="0"/>
      <w:divBdr>
        <w:top w:val="none" w:sz="0" w:space="0" w:color="auto"/>
        <w:left w:val="none" w:sz="0" w:space="0" w:color="auto"/>
        <w:bottom w:val="none" w:sz="0" w:space="0" w:color="auto"/>
        <w:right w:val="none" w:sz="0" w:space="0" w:color="auto"/>
      </w:divBdr>
    </w:div>
    <w:div w:id="1089935082">
      <w:marLeft w:val="720"/>
      <w:marRight w:val="0"/>
      <w:marTop w:val="0"/>
      <w:marBottom w:val="0"/>
      <w:divBdr>
        <w:top w:val="none" w:sz="0" w:space="0" w:color="auto"/>
        <w:left w:val="none" w:sz="0" w:space="0" w:color="auto"/>
        <w:bottom w:val="none" w:sz="0" w:space="0" w:color="auto"/>
        <w:right w:val="none" w:sz="0" w:space="0" w:color="auto"/>
      </w:divBdr>
    </w:div>
    <w:div w:id="1093822002">
      <w:marLeft w:val="0"/>
      <w:marRight w:val="0"/>
      <w:marTop w:val="0"/>
      <w:marBottom w:val="0"/>
      <w:divBdr>
        <w:top w:val="none" w:sz="0" w:space="0" w:color="auto"/>
        <w:left w:val="none" w:sz="0" w:space="0" w:color="auto"/>
        <w:bottom w:val="none" w:sz="0" w:space="0" w:color="auto"/>
        <w:right w:val="none" w:sz="0" w:space="0" w:color="auto"/>
      </w:divBdr>
      <w:divsChild>
        <w:div w:id="1376125539">
          <w:marLeft w:val="0"/>
          <w:marRight w:val="0"/>
          <w:marTop w:val="120"/>
          <w:marBottom w:val="0"/>
          <w:divBdr>
            <w:top w:val="none" w:sz="0" w:space="0" w:color="auto"/>
            <w:left w:val="none" w:sz="0" w:space="0" w:color="auto"/>
            <w:bottom w:val="none" w:sz="0" w:space="0" w:color="auto"/>
            <w:right w:val="none" w:sz="0" w:space="0" w:color="auto"/>
          </w:divBdr>
        </w:div>
        <w:div w:id="125050557">
          <w:marLeft w:val="0"/>
          <w:marRight w:val="0"/>
          <w:marTop w:val="0"/>
          <w:marBottom w:val="0"/>
          <w:divBdr>
            <w:top w:val="none" w:sz="0" w:space="0" w:color="auto"/>
            <w:left w:val="none" w:sz="0" w:space="0" w:color="auto"/>
            <w:bottom w:val="none" w:sz="0" w:space="0" w:color="auto"/>
            <w:right w:val="none" w:sz="0" w:space="0" w:color="auto"/>
          </w:divBdr>
          <w:divsChild>
            <w:div w:id="3661086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5593574">
      <w:marLeft w:val="1080"/>
      <w:marRight w:val="0"/>
      <w:marTop w:val="0"/>
      <w:marBottom w:val="0"/>
      <w:divBdr>
        <w:top w:val="none" w:sz="0" w:space="0" w:color="auto"/>
        <w:left w:val="none" w:sz="0" w:space="0" w:color="auto"/>
        <w:bottom w:val="none" w:sz="0" w:space="0" w:color="auto"/>
        <w:right w:val="none" w:sz="0" w:space="0" w:color="auto"/>
      </w:divBdr>
    </w:div>
    <w:div w:id="1096709722">
      <w:marLeft w:val="480"/>
      <w:marRight w:val="0"/>
      <w:marTop w:val="0"/>
      <w:marBottom w:val="0"/>
      <w:divBdr>
        <w:top w:val="none" w:sz="0" w:space="0" w:color="auto"/>
        <w:left w:val="none" w:sz="0" w:space="0" w:color="auto"/>
        <w:bottom w:val="none" w:sz="0" w:space="0" w:color="auto"/>
        <w:right w:val="none" w:sz="0" w:space="0" w:color="auto"/>
      </w:divBdr>
    </w:div>
    <w:div w:id="1106193135">
      <w:marLeft w:val="1080"/>
      <w:marRight w:val="0"/>
      <w:marTop w:val="0"/>
      <w:marBottom w:val="0"/>
      <w:divBdr>
        <w:top w:val="none" w:sz="0" w:space="0" w:color="auto"/>
        <w:left w:val="none" w:sz="0" w:space="0" w:color="auto"/>
        <w:bottom w:val="none" w:sz="0" w:space="0" w:color="auto"/>
        <w:right w:val="none" w:sz="0" w:space="0" w:color="auto"/>
      </w:divBdr>
    </w:div>
    <w:div w:id="1113473678">
      <w:marLeft w:val="840"/>
      <w:marRight w:val="0"/>
      <w:marTop w:val="0"/>
      <w:marBottom w:val="0"/>
      <w:divBdr>
        <w:top w:val="none" w:sz="0" w:space="0" w:color="auto"/>
        <w:left w:val="none" w:sz="0" w:space="0" w:color="auto"/>
        <w:bottom w:val="none" w:sz="0" w:space="0" w:color="auto"/>
        <w:right w:val="none" w:sz="0" w:space="0" w:color="auto"/>
      </w:divBdr>
    </w:div>
    <w:div w:id="1119954500">
      <w:marLeft w:val="720"/>
      <w:marRight w:val="0"/>
      <w:marTop w:val="0"/>
      <w:marBottom w:val="0"/>
      <w:divBdr>
        <w:top w:val="none" w:sz="0" w:space="0" w:color="auto"/>
        <w:left w:val="none" w:sz="0" w:space="0" w:color="auto"/>
        <w:bottom w:val="none" w:sz="0" w:space="0" w:color="auto"/>
        <w:right w:val="none" w:sz="0" w:space="0" w:color="auto"/>
      </w:divBdr>
    </w:div>
    <w:div w:id="1122576470">
      <w:marLeft w:val="720"/>
      <w:marRight w:val="0"/>
      <w:marTop w:val="0"/>
      <w:marBottom w:val="0"/>
      <w:divBdr>
        <w:top w:val="none" w:sz="0" w:space="0" w:color="auto"/>
        <w:left w:val="none" w:sz="0" w:space="0" w:color="auto"/>
        <w:bottom w:val="none" w:sz="0" w:space="0" w:color="auto"/>
        <w:right w:val="none" w:sz="0" w:space="0" w:color="auto"/>
      </w:divBdr>
    </w:div>
    <w:div w:id="1122961821">
      <w:marLeft w:val="720"/>
      <w:marRight w:val="0"/>
      <w:marTop w:val="0"/>
      <w:marBottom w:val="0"/>
      <w:divBdr>
        <w:top w:val="none" w:sz="0" w:space="0" w:color="auto"/>
        <w:left w:val="none" w:sz="0" w:space="0" w:color="auto"/>
        <w:bottom w:val="none" w:sz="0" w:space="0" w:color="auto"/>
        <w:right w:val="none" w:sz="0" w:space="0" w:color="auto"/>
      </w:divBdr>
    </w:div>
    <w:div w:id="1125855909">
      <w:marLeft w:val="960"/>
      <w:marRight w:val="0"/>
      <w:marTop w:val="0"/>
      <w:marBottom w:val="0"/>
      <w:divBdr>
        <w:top w:val="none" w:sz="0" w:space="0" w:color="auto"/>
        <w:left w:val="none" w:sz="0" w:space="0" w:color="auto"/>
        <w:bottom w:val="none" w:sz="0" w:space="0" w:color="auto"/>
        <w:right w:val="none" w:sz="0" w:space="0" w:color="auto"/>
      </w:divBdr>
    </w:div>
    <w:div w:id="1128623805">
      <w:marLeft w:val="720"/>
      <w:marRight w:val="0"/>
      <w:marTop w:val="0"/>
      <w:marBottom w:val="0"/>
      <w:divBdr>
        <w:top w:val="none" w:sz="0" w:space="0" w:color="auto"/>
        <w:left w:val="none" w:sz="0" w:space="0" w:color="auto"/>
        <w:bottom w:val="none" w:sz="0" w:space="0" w:color="auto"/>
        <w:right w:val="none" w:sz="0" w:space="0" w:color="auto"/>
      </w:divBdr>
    </w:div>
    <w:div w:id="1132558084">
      <w:marLeft w:val="720"/>
      <w:marRight w:val="0"/>
      <w:marTop w:val="0"/>
      <w:marBottom w:val="0"/>
      <w:divBdr>
        <w:top w:val="none" w:sz="0" w:space="0" w:color="auto"/>
        <w:left w:val="none" w:sz="0" w:space="0" w:color="auto"/>
        <w:bottom w:val="none" w:sz="0" w:space="0" w:color="auto"/>
        <w:right w:val="none" w:sz="0" w:space="0" w:color="auto"/>
      </w:divBdr>
    </w:div>
    <w:div w:id="1133669418">
      <w:marLeft w:val="0"/>
      <w:marRight w:val="0"/>
      <w:marTop w:val="0"/>
      <w:marBottom w:val="0"/>
      <w:divBdr>
        <w:top w:val="none" w:sz="0" w:space="0" w:color="auto"/>
        <w:left w:val="none" w:sz="0" w:space="0" w:color="auto"/>
        <w:bottom w:val="none" w:sz="0" w:space="0" w:color="auto"/>
        <w:right w:val="none" w:sz="0" w:space="0" w:color="auto"/>
      </w:divBdr>
      <w:divsChild>
        <w:div w:id="1217087334">
          <w:marLeft w:val="0"/>
          <w:marRight w:val="0"/>
          <w:marTop w:val="120"/>
          <w:marBottom w:val="0"/>
          <w:divBdr>
            <w:top w:val="none" w:sz="0" w:space="0" w:color="auto"/>
            <w:left w:val="none" w:sz="0" w:space="0" w:color="auto"/>
            <w:bottom w:val="none" w:sz="0" w:space="0" w:color="auto"/>
            <w:right w:val="none" w:sz="0" w:space="0" w:color="auto"/>
          </w:divBdr>
        </w:div>
        <w:div w:id="943079377">
          <w:marLeft w:val="0"/>
          <w:marRight w:val="0"/>
          <w:marTop w:val="0"/>
          <w:marBottom w:val="0"/>
          <w:divBdr>
            <w:top w:val="none" w:sz="0" w:space="0" w:color="auto"/>
            <w:left w:val="none" w:sz="0" w:space="0" w:color="auto"/>
            <w:bottom w:val="none" w:sz="0" w:space="0" w:color="auto"/>
            <w:right w:val="none" w:sz="0" w:space="0" w:color="auto"/>
          </w:divBdr>
        </w:div>
      </w:divsChild>
    </w:div>
    <w:div w:id="1141578758">
      <w:marLeft w:val="720"/>
      <w:marRight w:val="0"/>
      <w:marTop w:val="0"/>
      <w:marBottom w:val="0"/>
      <w:divBdr>
        <w:top w:val="none" w:sz="0" w:space="0" w:color="auto"/>
        <w:left w:val="none" w:sz="0" w:space="0" w:color="auto"/>
        <w:bottom w:val="none" w:sz="0" w:space="0" w:color="auto"/>
        <w:right w:val="none" w:sz="0" w:space="0" w:color="auto"/>
      </w:divBdr>
    </w:div>
    <w:div w:id="1141921326">
      <w:marLeft w:val="0"/>
      <w:marRight w:val="0"/>
      <w:marTop w:val="120"/>
      <w:marBottom w:val="0"/>
      <w:divBdr>
        <w:top w:val="none" w:sz="0" w:space="0" w:color="auto"/>
        <w:left w:val="none" w:sz="0" w:space="0" w:color="auto"/>
        <w:bottom w:val="none" w:sz="0" w:space="0" w:color="auto"/>
        <w:right w:val="none" w:sz="0" w:space="0" w:color="auto"/>
      </w:divBdr>
    </w:div>
    <w:div w:id="1147553999">
      <w:marLeft w:val="0"/>
      <w:marRight w:val="0"/>
      <w:marTop w:val="0"/>
      <w:marBottom w:val="0"/>
      <w:divBdr>
        <w:top w:val="none" w:sz="0" w:space="0" w:color="auto"/>
        <w:left w:val="none" w:sz="0" w:space="0" w:color="auto"/>
        <w:bottom w:val="none" w:sz="0" w:space="0" w:color="auto"/>
        <w:right w:val="none" w:sz="0" w:space="0" w:color="auto"/>
      </w:divBdr>
      <w:divsChild>
        <w:div w:id="312757223">
          <w:marLeft w:val="0"/>
          <w:marRight w:val="0"/>
          <w:marTop w:val="120"/>
          <w:marBottom w:val="0"/>
          <w:divBdr>
            <w:top w:val="none" w:sz="0" w:space="0" w:color="auto"/>
            <w:left w:val="none" w:sz="0" w:space="0" w:color="auto"/>
            <w:bottom w:val="none" w:sz="0" w:space="0" w:color="auto"/>
            <w:right w:val="none" w:sz="0" w:space="0" w:color="auto"/>
          </w:divBdr>
        </w:div>
        <w:div w:id="2141729867">
          <w:marLeft w:val="0"/>
          <w:marRight w:val="0"/>
          <w:marTop w:val="0"/>
          <w:marBottom w:val="0"/>
          <w:divBdr>
            <w:top w:val="none" w:sz="0" w:space="0" w:color="auto"/>
            <w:left w:val="none" w:sz="0" w:space="0" w:color="auto"/>
            <w:bottom w:val="none" w:sz="0" w:space="0" w:color="auto"/>
            <w:right w:val="none" w:sz="0" w:space="0" w:color="auto"/>
          </w:divBdr>
          <w:divsChild>
            <w:div w:id="1665283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0757196">
      <w:marLeft w:val="960"/>
      <w:marRight w:val="0"/>
      <w:marTop w:val="0"/>
      <w:marBottom w:val="0"/>
      <w:divBdr>
        <w:top w:val="none" w:sz="0" w:space="0" w:color="auto"/>
        <w:left w:val="none" w:sz="0" w:space="0" w:color="auto"/>
        <w:bottom w:val="none" w:sz="0" w:space="0" w:color="auto"/>
        <w:right w:val="none" w:sz="0" w:space="0" w:color="auto"/>
      </w:divBdr>
    </w:div>
    <w:div w:id="1155029226">
      <w:marLeft w:val="960"/>
      <w:marRight w:val="0"/>
      <w:marTop w:val="0"/>
      <w:marBottom w:val="0"/>
      <w:divBdr>
        <w:top w:val="none" w:sz="0" w:space="0" w:color="auto"/>
        <w:left w:val="none" w:sz="0" w:space="0" w:color="auto"/>
        <w:bottom w:val="none" w:sz="0" w:space="0" w:color="auto"/>
        <w:right w:val="none" w:sz="0" w:space="0" w:color="auto"/>
      </w:divBdr>
    </w:div>
    <w:div w:id="1155996973">
      <w:marLeft w:val="1080"/>
      <w:marRight w:val="0"/>
      <w:marTop w:val="0"/>
      <w:marBottom w:val="0"/>
      <w:divBdr>
        <w:top w:val="none" w:sz="0" w:space="0" w:color="auto"/>
        <w:left w:val="none" w:sz="0" w:space="0" w:color="auto"/>
        <w:bottom w:val="none" w:sz="0" w:space="0" w:color="auto"/>
        <w:right w:val="none" w:sz="0" w:space="0" w:color="auto"/>
      </w:divBdr>
    </w:div>
    <w:div w:id="1161699618">
      <w:marLeft w:val="720"/>
      <w:marRight w:val="0"/>
      <w:marTop w:val="0"/>
      <w:marBottom w:val="0"/>
      <w:divBdr>
        <w:top w:val="none" w:sz="0" w:space="0" w:color="auto"/>
        <w:left w:val="none" w:sz="0" w:space="0" w:color="auto"/>
        <w:bottom w:val="none" w:sz="0" w:space="0" w:color="auto"/>
        <w:right w:val="none" w:sz="0" w:space="0" w:color="auto"/>
      </w:divBdr>
    </w:div>
    <w:div w:id="1166358478">
      <w:marLeft w:val="960"/>
      <w:marRight w:val="0"/>
      <w:marTop w:val="0"/>
      <w:marBottom w:val="0"/>
      <w:divBdr>
        <w:top w:val="none" w:sz="0" w:space="0" w:color="auto"/>
        <w:left w:val="none" w:sz="0" w:space="0" w:color="auto"/>
        <w:bottom w:val="none" w:sz="0" w:space="0" w:color="auto"/>
        <w:right w:val="none" w:sz="0" w:space="0" w:color="auto"/>
      </w:divBdr>
    </w:div>
    <w:div w:id="1167860955">
      <w:marLeft w:val="0"/>
      <w:marRight w:val="0"/>
      <w:marTop w:val="0"/>
      <w:marBottom w:val="0"/>
      <w:divBdr>
        <w:top w:val="none" w:sz="0" w:space="0" w:color="auto"/>
        <w:left w:val="none" w:sz="0" w:space="0" w:color="auto"/>
        <w:bottom w:val="none" w:sz="0" w:space="0" w:color="auto"/>
        <w:right w:val="none" w:sz="0" w:space="0" w:color="auto"/>
      </w:divBdr>
      <w:divsChild>
        <w:div w:id="151021769">
          <w:marLeft w:val="0"/>
          <w:marRight w:val="0"/>
          <w:marTop w:val="120"/>
          <w:marBottom w:val="0"/>
          <w:divBdr>
            <w:top w:val="none" w:sz="0" w:space="0" w:color="auto"/>
            <w:left w:val="none" w:sz="0" w:space="0" w:color="auto"/>
            <w:bottom w:val="none" w:sz="0" w:space="0" w:color="auto"/>
            <w:right w:val="none" w:sz="0" w:space="0" w:color="auto"/>
          </w:divBdr>
        </w:div>
        <w:div w:id="608583169">
          <w:marLeft w:val="0"/>
          <w:marRight w:val="0"/>
          <w:marTop w:val="0"/>
          <w:marBottom w:val="0"/>
          <w:divBdr>
            <w:top w:val="none" w:sz="0" w:space="0" w:color="auto"/>
            <w:left w:val="none" w:sz="0" w:space="0" w:color="auto"/>
            <w:bottom w:val="none" w:sz="0" w:space="0" w:color="auto"/>
            <w:right w:val="none" w:sz="0" w:space="0" w:color="auto"/>
          </w:divBdr>
          <w:divsChild>
            <w:div w:id="1044663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0025078">
      <w:marLeft w:val="0"/>
      <w:marRight w:val="0"/>
      <w:marTop w:val="0"/>
      <w:marBottom w:val="0"/>
      <w:divBdr>
        <w:top w:val="none" w:sz="0" w:space="0" w:color="auto"/>
        <w:left w:val="none" w:sz="0" w:space="0" w:color="auto"/>
        <w:bottom w:val="none" w:sz="0" w:space="0" w:color="auto"/>
        <w:right w:val="none" w:sz="0" w:space="0" w:color="auto"/>
      </w:divBdr>
      <w:divsChild>
        <w:div w:id="1885407115">
          <w:marLeft w:val="0"/>
          <w:marRight w:val="0"/>
          <w:marTop w:val="120"/>
          <w:marBottom w:val="0"/>
          <w:divBdr>
            <w:top w:val="none" w:sz="0" w:space="0" w:color="auto"/>
            <w:left w:val="none" w:sz="0" w:space="0" w:color="auto"/>
            <w:bottom w:val="none" w:sz="0" w:space="0" w:color="auto"/>
            <w:right w:val="none" w:sz="0" w:space="0" w:color="auto"/>
          </w:divBdr>
        </w:div>
        <w:div w:id="1977905495">
          <w:marLeft w:val="0"/>
          <w:marRight w:val="0"/>
          <w:marTop w:val="0"/>
          <w:marBottom w:val="0"/>
          <w:divBdr>
            <w:top w:val="none" w:sz="0" w:space="0" w:color="auto"/>
            <w:left w:val="none" w:sz="0" w:space="0" w:color="auto"/>
            <w:bottom w:val="none" w:sz="0" w:space="0" w:color="auto"/>
            <w:right w:val="none" w:sz="0" w:space="0" w:color="auto"/>
          </w:divBdr>
          <w:divsChild>
            <w:div w:id="1853909641">
              <w:marLeft w:val="0"/>
              <w:marRight w:val="0"/>
              <w:marTop w:val="120"/>
              <w:marBottom w:val="0"/>
              <w:divBdr>
                <w:top w:val="none" w:sz="0" w:space="0" w:color="auto"/>
                <w:left w:val="none" w:sz="0" w:space="0" w:color="auto"/>
                <w:bottom w:val="none" w:sz="0" w:space="0" w:color="auto"/>
                <w:right w:val="none" w:sz="0" w:space="0" w:color="auto"/>
              </w:divBdr>
            </w:div>
            <w:div w:id="441610077">
              <w:marLeft w:val="0"/>
              <w:marRight w:val="0"/>
              <w:marTop w:val="120"/>
              <w:marBottom w:val="0"/>
              <w:divBdr>
                <w:top w:val="none" w:sz="0" w:space="0" w:color="auto"/>
                <w:left w:val="none" w:sz="0" w:space="0" w:color="auto"/>
                <w:bottom w:val="none" w:sz="0" w:space="0" w:color="auto"/>
                <w:right w:val="none" w:sz="0" w:space="0" w:color="auto"/>
              </w:divBdr>
              <w:divsChild>
                <w:div w:id="51200464">
                  <w:marLeft w:val="0"/>
                  <w:marRight w:val="0"/>
                  <w:marTop w:val="0"/>
                  <w:marBottom w:val="0"/>
                  <w:divBdr>
                    <w:top w:val="none" w:sz="0" w:space="0" w:color="auto"/>
                    <w:left w:val="none" w:sz="0" w:space="0" w:color="auto"/>
                    <w:bottom w:val="none" w:sz="0" w:space="0" w:color="auto"/>
                    <w:right w:val="none" w:sz="0" w:space="0" w:color="auto"/>
                  </w:divBdr>
                  <w:divsChild>
                    <w:div w:id="552427070">
                      <w:marLeft w:val="0"/>
                      <w:marRight w:val="0"/>
                      <w:marTop w:val="120"/>
                      <w:marBottom w:val="0"/>
                      <w:divBdr>
                        <w:top w:val="none" w:sz="0" w:space="0" w:color="auto"/>
                        <w:left w:val="none" w:sz="0" w:space="0" w:color="auto"/>
                        <w:bottom w:val="none" w:sz="0" w:space="0" w:color="auto"/>
                        <w:right w:val="none" w:sz="0" w:space="0" w:color="auto"/>
                      </w:divBdr>
                    </w:div>
                    <w:div w:id="1967201539">
                      <w:marLeft w:val="0"/>
                      <w:marRight w:val="0"/>
                      <w:marTop w:val="0"/>
                      <w:marBottom w:val="0"/>
                      <w:divBdr>
                        <w:top w:val="none" w:sz="0" w:space="0" w:color="auto"/>
                        <w:left w:val="none" w:sz="0" w:space="0" w:color="auto"/>
                        <w:bottom w:val="none" w:sz="0" w:space="0" w:color="auto"/>
                        <w:right w:val="none" w:sz="0" w:space="0" w:color="auto"/>
                      </w:divBdr>
                      <w:divsChild>
                        <w:div w:id="2143142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6513083">
                  <w:marLeft w:val="0"/>
                  <w:marRight w:val="0"/>
                  <w:marTop w:val="0"/>
                  <w:marBottom w:val="0"/>
                  <w:divBdr>
                    <w:top w:val="none" w:sz="0" w:space="0" w:color="auto"/>
                    <w:left w:val="none" w:sz="0" w:space="0" w:color="auto"/>
                    <w:bottom w:val="none" w:sz="0" w:space="0" w:color="auto"/>
                    <w:right w:val="none" w:sz="0" w:space="0" w:color="auto"/>
                  </w:divBdr>
                  <w:divsChild>
                    <w:div w:id="1735734660">
                      <w:marLeft w:val="0"/>
                      <w:marRight w:val="0"/>
                      <w:marTop w:val="120"/>
                      <w:marBottom w:val="0"/>
                      <w:divBdr>
                        <w:top w:val="none" w:sz="0" w:space="0" w:color="auto"/>
                        <w:left w:val="none" w:sz="0" w:space="0" w:color="auto"/>
                        <w:bottom w:val="none" w:sz="0" w:space="0" w:color="auto"/>
                        <w:right w:val="none" w:sz="0" w:space="0" w:color="auto"/>
                      </w:divBdr>
                    </w:div>
                    <w:div w:id="863522360">
                      <w:marLeft w:val="0"/>
                      <w:marRight w:val="0"/>
                      <w:marTop w:val="0"/>
                      <w:marBottom w:val="0"/>
                      <w:divBdr>
                        <w:top w:val="none" w:sz="0" w:space="0" w:color="auto"/>
                        <w:left w:val="none" w:sz="0" w:space="0" w:color="auto"/>
                        <w:bottom w:val="none" w:sz="0" w:space="0" w:color="auto"/>
                        <w:right w:val="none" w:sz="0" w:space="0" w:color="auto"/>
                      </w:divBdr>
                      <w:divsChild>
                        <w:div w:id="8102497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16751445">
                  <w:marLeft w:val="0"/>
                  <w:marRight w:val="0"/>
                  <w:marTop w:val="0"/>
                  <w:marBottom w:val="0"/>
                  <w:divBdr>
                    <w:top w:val="none" w:sz="0" w:space="0" w:color="auto"/>
                    <w:left w:val="none" w:sz="0" w:space="0" w:color="auto"/>
                    <w:bottom w:val="none" w:sz="0" w:space="0" w:color="auto"/>
                    <w:right w:val="none" w:sz="0" w:space="0" w:color="auto"/>
                  </w:divBdr>
                  <w:divsChild>
                    <w:div w:id="1472013567">
                      <w:marLeft w:val="0"/>
                      <w:marRight w:val="0"/>
                      <w:marTop w:val="120"/>
                      <w:marBottom w:val="0"/>
                      <w:divBdr>
                        <w:top w:val="none" w:sz="0" w:space="0" w:color="auto"/>
                        <w:left w:val="none" w:sz="0" w:space="0" w:color="auto"/>
                        <w:bottom w:val="none" w:sz="0" w:space="0" w:color="auto"/>
                        <w:right w:val="none" w:sz="0" w:space="0" w:color="auto"/>
                      </w:divBdr>
                    </w:div>
                    <w:div w:id="1652057529">
                      <w:marLeft w:val="0"/>
                      <w:marRight w:val="0"/>
                      <w:marTop w:val="0"/>
                      <w:marBottom w:val="0"/>
                      <w:divBdr>
                        <w:top w:val="none" w:sz="0" w:space="0" w:color="auto"/>
                        <w:left w:val="none" w:sz="0" w:space="0" w:color="auto"/>
                        <w:bottom w:val="none" w:sz="0" w:space="0" w:color="auto"/>
                        <w:right w:val="none" w:sz="0" w:space="0" w:color="auto"/>
                      </w:divBdr>
                      <w:divsChild>
                        <w:div w:id="13171019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31181">
      <w:marLeft w:val="840"/>
      <w:marRight w:val="0"/>
      <w:marTop w:val="0"/>
      <w:marBottom w:val="0"/>
      <w:divBdr>
        <w:top w:val="none" w:sz="0" w:space="0" w:color="auto"/>
        <w:left w:val="none" w:sz="0" w:space="0" w:color="auto"/>
        <w:bottom w:val="none" w:sz="0" w:space="0" w:color="auto"/>
        <w:right w:val="none" w:sz="0" w:space="0" w:color="auto"/>
      </w:divBdr>
    </w:div>
    <w:div w:id="1183934466">
      <w:marLeft w:val="720"/>
      <w:marRight w:val="0"/>
      <w:marTop w:val="0"/>
      <w:marBottom w:val="0"/>
      <w:divBdr>
        <w:top w:val="none" w:sz="0" w:space="0" w:color="auto"/>
        <w:left w:val="none" w:sz="0" w:space="0" w:color="auto"/>
        <w:bottom w:val="none" w:sz="0" w:space="0" w:color="auto"/>
        <w:right w:val="none" w:sz="0" w:space="0" w:color="auto"/>
      </w:divBdr>
    </w:div>
    <w:div w:id="1187332473">
      <w:marLeft w:val="720"/>
      <w:marRight w:val="0"/>
      <w:marTop w:val="0"/>
      <w:marBottom w:val="0"/>
      <w:divBdr>
        <w:top w:val="none" w:sz="0" w:space="0" w:color="auto"/>
        <w:left w:val="none" w:sz="0" w:space="0" w:color="auto"/>
        <w:bottom w:val="none" w:sz="0" w:space="0" w:color="auto"/>
        <w:right w:val="none" w:sz="0" w:space="0" w:color="auto"/>
      </w:divBdr>
    </w:div>
    <w:div w:id="1189874727">
      <w:marLeft w:val="0"/>
      <w:marRight w:val="0"/>
      <w:marTop w:val="120"/>
      <w:marBottom w:val="0"/>
      <w:divBdr>
        <w:top w:val="none" w:sz="0" w:space="0" w:color="auto"/>
        <w:left w:val="none" w:sz="0" w:space="0" w:color="auto"/>
        <w:bottom w:val="none" w:sz="0" w:space="0" w:color="auto"/>
        <w:right w:val="none" w:sz="0" w:space="0" w:color="auto"/>
      </w:divBdr>
    </w:div>
    <w:div w:id="1193181175">
      <w:marLeft w:val="1080"/>
      <w:marRight w:val="0"/>
      <w:marTop w:val="0"/>
      <w:marBottom w:val="0"/>
      <w:divBdr>
        <w:top w:val="none" w:sz="0" w:space="0" w:color="auto"/>
        <w:left w:val="none" w:sz="0" w:space="0" w:color="auto"/>
        <w:bottom w:val="none" w:sz="0" w:space="0" w:color="auto"/>
        <w:right w:val="none" w:sz="0" w:space="0" w:color="auto"/>
      </w:divBdr>
    </w:div>
    <w:div w:id="1194155396">
      <w:marLeft w:val="0"/>
      <w:marRight w:val="0"/>
      <w:marTop w:val="0"/>
      <w:marBottom w:val="0"/>
      <w:divBdr>
        <w:top w:val="none" w:sz="0" w:space="0" w:color="auto"/>
        <w:left w:val="none" w:sz="0" w:space="0" w:color="auto"/>
        <w:bottom w:val="none" w:sz="0" w:space="0" w:color="auto"/>
        <w:right w:val="none" w:sz="0" w:space="0" w:color="auto"/>
      </w:divBdr>
      <w:divsChild>
        <w:div w:id="1010180307">
          <w:marLeft w:val="0"/>
          <w:marRight w:val="0"/>
          <w:marTop w:val="120"/>
          <w:marBottom w:val="0"/>
          <w:divBdr>
            <w:top w:val="none" w:sz="0" w:space="0" w:color="auto"/>
            <w:left w:val="none" w:sz="0" w:space="0" w:color="auto"/>
            <w:bottom w:val="none" w:sz="0" w:space="0" w:color="auto"/>
            <w:right w:val="none" w:sz="0" w:space="0" w:color="auto"/>
          </w:divBdr>
        </w:div>
        <w:div w:id="1196771278">
          <w:marLeft w:val="0"/>
          <w:marRight w:val="0"/>
          <w:marTop w:val="0"/>
          <w:marBottom w:val="0"/>
          <w:divBdr>
            <w:top w:val="none" w:sz="0" w:space="0" w:color="auto"/>
            <w:left w:val="none" w:sz="0" w:space="0" w:color="auto"/>
            <w:bottom w:val="none" w:sz="0" w:space="0" w:color="auto"/>
            <w:right w:val="none" w:sz="0" w:space="0" w:color="auto"/>
          </w:divBdr>
        </w:div>
      </w:divsChild>
    </w:div>
    <w:div w:id="1200051313">
      <w:marLeft w:val="1200"/>
      <w:marRight w:val="0"/>
      <w:marTop w:val="0"/>
      <w:marBottom w:val="0"/>
      <w:divBdr>
        <w:top w:val="none" w:sz="0" w:space="0" w:color="auto"/>
        <w:left w:val="none" w:sz="0" w:space="0" w:color="auto"/>
        <w:bottom w:val="none" w:sz="0" w:space="0" w:color="auto"/>
        <w:right w:val="none" w:sz="0" w:space="0" w:color="auto"/>
      </w:divBdr>
    </w:div>
    <w:div w:id="1204829244">
      <w:marLeft w:val="960"/>
      <w:marRight w:val="0"/>
      <w:marTop w:val="0"/>
      <w:marBottom w:val="0"/>
      <w:divBdr>
        <w:top w:val="none" w:sz="0" w:space="0" w:color="auto"/>
        <w:left w:val="none" w:sz="0" w:space="0" w:color="auto"/>
        <w:bottom w:val="none" w:sz="0" w:space="0" w:color="auto"/>
        <w:right w:val="none" w:sz="0" w:space="0" w:color="auto"/>
      </w:divBdr>
    </w:div>
    <w:div w:id="1215235953">
      <w:marLeft w:val="0"/>
      <w:marRight w:val="0"/>
      <w:marTop w:val="0"/>
      <w:marBottom w:val="0"/>
      <w:divBdr>
        <w:top w:val="none" w:sz="0" w:space="0" w:color="auto"/>
        <w:left w:val="none" w:sz="0" w:space="0" w:color="auto"/>
        <w:bottom w:val="none" w:sz="0" w:space="0" w:color="auto"/>
        <w:right w:val="none" w:sz="0" w:space="0" w:color="auto"/>
      </w:divBdr>
    </w:div>
    <w:div w:id="1217087124">
      <w:marLeft w:val="720"/>
      <w:marRight w:val="0"/>
      <w:marTop w:val="0"/>
      <w:marBottom w:val="0"/>
      <w:divBdr>
        <w:top w:val="none" w:sz="0" w:space="0" w:color="auto"/>
        <w:left w:val="none" w:sz="0" w:space="0" w:color="auto"/>
        <w:bottom w:val="none" w:sz="0" w:space="0" w:color="auto"/>
        <w:right w:val="none" w:sz="0" w:space="0" w:color="auto"/>
      </w:divBdr>
    </w:div>
    <w:div w:id="1218321335">
      <w:marLeft w:val="720"/>
      <w:marRight w:val="0"/>
      <w:marTop w:val="0"/>
      <w:marBottom w:val="0"/>
      <w:divBdr>
        <w:top w:val="none" w:sz="0" w:space="0" w:color="auto"/>
        <w:left w:val="none" w:sz="0" w:space="0" w:color="auto"/>
        <w:bottom w:val="none" w:sz="0" w:space="0" w:color="auto"/>
        <w:right w:val="none" w:sz="0" w:space="0" w:color="auto"/>
      </w:divBdr>
    </w:div>
    <w:div w:id="1219240600">
      <w:marLeft w:val="1200"/>
      <w:marRight w:val="0"/>
      <w:marTop w:val="0"/>
      <w:marBottom w:val="0"/>
      <w:divBdr>
        <w:top w:val="none" w:sz="0" w:space="0" w:color="auto"/>
        <w:left w:val="none" w:sz="0" w:space="0" w:color="auto"/>
        <w:bottom w:val="none" w:sz="0" w:space="0" w:color="auto"/>
        <w:right w:val="none" w:sz="0" w:space="0" w:color="auto"/>
      </w:divBdr>
    </w:div>
    <w:div w:id="1220745666">
      <w:marLeft w:val="1080"/>
      <w:marRight w:val="0"/>
      <w:marTop w:val="0"/>
      <w:marBottom w:val="0"/>
      <w:divBdr>
        <w:top w:val="none" w:sz="0" w:space="0" w:color="auto"/>
        <w:left w:val="none" w:sz="0" w:space="0" w:color="auto"/>
        <w:bottom w:val="none" w:sz="0" w:space="0" w:color="auto"/>
        <w:right w:val="none" w:sz="0" w:space="0" w:color="auto"/>
      </w:divBdr>
    </w:div>
    <w:div w:id="1221404735">
      <w:marLeft w:val="960"/>
      <w:marRight w:val="0"/>
      <w:marTop w:val="0"/>
      <w:marBottom w:val="0"/>
      <w:divBdr>
        <w:top w:val="none" w:sz="0" w:space="0" w:color="auto"/>
        <w:left w:val="none" w:sz="0" w:space="0" w:color="auto"/>
        <w:bottom w:val="none" w:sz="0" w:space="0" w:color="auto"/>
        <w:right w:val="none" w:sz="0" w:space="0" w:color="auto"/>
      </w:divBdr>
    </w:div>
    <w:div w:id="1234659189">
      <w:marLeft w:val="720"/>
      <w:marRight w:val="0"/>
      <w:marTop w:val="0"/>
      <w:marBottom w:val="0"/>
      <w:divBdr>
        <w:top w:val="none" w:sz="0" w:space="0" w:color="auto"/>
        <w:left w:val="none" w:sz="0" w:space="0" w:color="auto"/>
        <w:bottom w:val="none" w:sz="0" w:space="0" w:color="auto"/>
        <w:right w:val="none" w:sz="0" w:space="0" w:color="auto"/>
      </w:divBdr>
    </w:div>
    <w:div w:id="1234659782">
      <w:marLeft w:val="840"/>
      <w:marRight w:val="0"/>
      <w:marTop w:val="0"/>
      <w:marBottom w:val="0"/>
      <w:divBdr>
        <w:top w:val="none" w:sz="0" w:space="0" w:color="auto"/>
        <w:left w:val="none" w:sz="0" w:space="0" w:color="auto"/>
        <w:bottom w:val="none" w:sz="0" w:space="0" w:color="auto"/>
        <w:right w:val="none" w:sz="0" w:space="0" w:color="auto"/>
      </w:divBdr>
    </w:div>
    <w:div w:id="1235509889">
      <w:marLeft w:val="840"/>
      <w:marRight w:val="0"/>
      <w:marTop w:val="0"/>
      <w:marBottom w:val="0"/>
      <w:divBdr>
        <w:top w:val="none" w:sz="0" w:space="0" w:color="auto"/>
        <w:left w:val="none" w:sz="0" w:space="0" w:color="auto"/>
        <w:bottom w:val="none" w:sz="0" w:space="0" w:color="auto"/>
        <w:right w:val="none" w:sz="0" w:space="0" w:color="auto"/>
      </w:divBdr>
    </w:div>
    <w:div w:id="1240216871">
      <w:bodyDiv w:val="1"/>
      <w:marLeft w:val="0"/>
      <w:marRight w:val="0"/>
      <w:marTop w:val="0"/>
      <w:marBottom w:val="0"/>
      <w:divBdr>
        <w:top w:val="none" w:sz="0" w:space="0" w:color="auto"/>
        <w:left w:val="none" w:sz="0" w:space="0" w:color="auto"/>
        <w:bottom w:val="none" w:sz="0" w:space="0" w:color="auto"/>
        <w:right w:val="none" w:sz="0" w:space="0" w:color="auto"/>
      </w:divBdr>
    </w:div>
    <w:div w:id="1242061795">
      <w:marLeft w:val="960"/>
      <w:marRight w:val="0"/>
      <w:marTop w:val="0"/>
      <w:marBottom w:val="0"/>
      <w:divBdr>
        <w:top w:val="none" w:sz="0" w:space="0" w:color="auto"/>
        <w:left w:val="none" w:sz="0" w:space="0" w:color="auto"/>
        <w:bottom w:val="none" w:sz="0" w:space="0" w:color="auto"/>
        <w:right w:val="none" w:sz="0" w:space="0" w:color="auto"/>
      </w:divBdr>
    </w:div>
    <w:div w:id="1244342205">
      <w:marLeft w:val="720"/>
      <w:marRight w:val="0"/>
      <w:marTop w:val="0"/>
      <w:marBottom w:val="0"/>
      <w:divBdr>
        <w:top w:val="none" w:sz="0" w:space="0" w:color="auto"/>
        <w:left w:val="none" w:sz="0" w:space="0" w:color="auto"/>
        <w:bottom w:val="none" w:sz="0" w:space="0" w:color="auto"/>
        <w:right w:val="none" w:sz="0" w:space="0" w:color="auto"/>
      </w:divBdr>
    </w:div>
    <w:div w:id="1244990604">
      <w:marLeft w:val="0"/>
      <w:marRight w:val="0"/>
      <w:marTop w:val="0"/>
      <w:marBottom w:val="0"/>
      <w:divBdr>
        <w:top w:val="none" w:sz="0" w:space="0" w:color="auto"/>
        <w:left w:val="none" w:sz="0" w:space="0" w:color="auto"/>
        <w:bottom w:val="none" w:sz="0" w:space="0" w:color="auto"/>
        <w:right w:val="none" w:sz="0" w:space="0" w:color="auto"/>
      </w:divBdr>
    </w:div>
    <w:div w:id="1245993886">
      <w:marLeft w:val="720"/>
      <w:marRight w:val="0"/>
      <w:marTop w:val="0"/>
      <w:marBottom w:val="0"/>
      <w:divBdr>
        <w:top w:val="none" w:sz="0" w:space="0" w:color="auto"/>
        <w:left w:val="none" w:sz="0" w:space="0" w:color="auto"/>
        <w:bottom w:val="none" w:sz="0" w:space="0" w:color="auto"/>
        <w:right w:val="none" w:sz="0" w:space="0" w:color="auto"/>
      </w:divBdr>
    </w:div>
    <w:div w:id="1251423536">
      <w:marLeft w:val="840"/>
      <w:marRight w:val="0"/>
      <w:marTop w:val="0"/>
      <w:marBottom w:val="0"/>
      <w:divBdr>
        <w:top w:val="none" w:sz="0" w:space="0" w:color="auto"/>
        <w:left w:val="none" w:sz="0" w:space="0" w:color="auto"/>
        <w:bottom w:val="none" w:sz="0" w:space="0" w:color="auto"/>
        <w:right w:val="none" w:sz="0" w:space="0" w:color="auto"/>
      </w:divBdr>
    </w:div>
    <w:div w:id="1254050243">
      <w:marLeft w:val="720"/>
      <w:marRight w:val="0"/>
      <w:marTop w:val="0"/>
      <w:marBottom w:val="0"/>
      <w:divBdr>
        <w:top w:val="none" w:sz="0" w:space="0" w:color="auto"/>
        <w:left w:val="none" w:sz="0" w:space="0" w:color="auto"/>
        <w:bottom w:val="none" w:sz="0" w:space="0" w:color="auto"/>
        <w:right w:val="none" w:sz="0" w:space="0" w:color="auto"/>
      </w:divBdr>
    </w:div>
    <w:div w:id="1259289216">
      <w:marLeft w:val="960"/>
      <w:marRight w:val="0"/>
      <w:marTop w:val="0"/>
      <w:marBottom w:val="0"/>
      <w:divBdr>
        <w:top w:val="none" w:sz="0" w:space="0" w:color="auto"/>
        <w:left w:val="none" w:sz="0" w:space="0" w:color="auto"/>
        <w:bottom w:val="none" w:sz="0" w:space="0" w:color="auto"/>
        <w:right w:val="none" w:sz="0" w:space="0" w:color="auto"/>
      </w:divBdr>
    </w:div>
    <w:div w:id="1260526641">
      <w:marLeft w:val="0"/>
      <w:marRight w:val="0"/>
      <w:marTop w:val="0"/>
      <w:marBottom w:val="0"/>
      <w:divBdr>
        <w:top w:val="none" w:sz="0" w:space="0" w:color="auto"/>
        <w:left w:val="none" w:sz="0" w:space="0" w:color="auto"/>
        <w:bottom w:val="none" w:sz="0" w:space="0" w:color="auto"/>
        <w:right w:val="none" w:sz="0" w:space="0" w:color="auto"/>
      </w:divBdr>
      <w:divsChild>
        <w:div w:id="1250381649">
          <w:marLeft w:val="0"/>
          <w:marRight w:val="0"/>
          <w:marTop w:val="120"/>
          <w:marBottom w:val="0"/>
          <w:divBdr>
            <w:top w:val="none" w:sz="0" w:space="0" w:color="auto"/>
            <w:left w:val="none" w:sz="0" w:space="0" w:color="auto"/>
            <w:bottom w:val="none" w:sz="0" w:space="0" w:color="auto"/>
            <w:right w:val="none" w:sz="0" w:space="0" w:color="auto"/>
          </w:divBdr>
        </w:div>
        <w:div w:id="879710152">
          <w:marLeft w:val="0"/>
          <w:marRight w:val="0"/>
          <w:marTop w:val="0"/>
          <w:marBottom w:val="0"/>
          <w:divBdr>
            <w:top w:val="none" w:sz="0" w:space="0" w:color="auto"/>
            <w:left w:val="none" w:sz="0" w:space="0" w:color="auto"/>
            <w:bottom w:val="none" w:sz="0" w:space="0" w:color="auto"/>
            <w:right w:val="none" w:sz="0" w:space="0" w:color="auto"/>
          </w:divBdr>
          <w:divsChild>
            <w:div w:id="2020815417">
              <w:marLeft w:val="0"/>
              <w:marRight w:val="0"/>
              <w:marTop w:val="120"/>
              <w:marBottom w:val="0"/>
              <w:divBdr>
                <w:top w:val="none" w:sz="0" w:space="0" w:color="auto"/>
                <w:left w:val="none" w:sz="0" w:space="0" w:color="auto"/>
                <w:bottom w:val="none" w:sz="0" w:space="0" w:color="auto"/>
                <w:right w:val="none" w:sz="0" w:space="0" w:color="auto"/>
              </w:divBdr>
            </w:div>
            <w:div w:id="470710739">
              <w:marLeft w:val="0"/>
              <w:marRight w:val="0"/>
              <w:marTop w:val="120"/>
              <w:marBottom w:val="0"/>
              <w:divBdr>
                <w:top w:val="none" w:sz="0" w:space="0" w:color="auto"/>
                <w:left w:val="none" w:sz="0" w:space="0" w:color="auto"/>
                <w:bottom w:val="none" w:sz="0" w:space="0" w:color="auto"/>
                <w:right w:val="none" w:sz="0" w:space="0" w:color="auto"/>
              </w:divBdr>
              <w:divsChild>
                <w:div w:id="375204837">
                  <w:marLeft w:val="0"/>
                  <w:marRight w:val="0"/>
                  <w:marTop w:val="0"/>
                  <w:marBottom w:val="0"/>
                  <w:divBdr>
                    <w:top w:val="none" w:sz="0" w:space="0" w:color="auto"/>
                    <w:left w:val="none" w:sz="0" w:space="0" w:color="auto"/>
                    <w:bottom w:val="none" w:sz="0" w:space="0" w:color="auto"/>
                    <w:right w:val="none" w:sz="0" w:space="0" w:color="auto"/>
                  </w:divBdr>
                  <w:divsChild>
                    <w:div w:id="1212032191">
                      <w:marLeft w:val="0"/>
                      <w:marRight w:val="0"/>
                      <w:marTop w:val="120"/>
                      <w:marBottom w:val="0"/>
                      <w:divBdr>
                        <w:top w:val="none" w:sz="0" w:space="0" w:color="auto"/>
                        <w:left w:val="none" w:sz="0" w:space="0" w:color="auto"/>
                        <w:bottom w:val="none" w:sz="0" w:space="0" w:color="auto"/>
                        <w:right w:val="none" w:sz="0" w:space="0" w:color="auto"/>
                      </w:divBdr>
                    </w:div>
                    <w:div w:id="1189366603">
                      <w:marLeft w:val="0"/>
                      <w:marRight w:val="0"/>
                      <w:marTop w:val="0"/>
                      <w:marBottom w:val="0"/>
                      <w:divBdr>
                        <w:top w:val="none" w:sz="0" w:space="0" w:color="auto"/>
                        <w:left w:val="none" w:sz="0" w:space="0" w:color="auto"/>
                        <w:bottom w:val="none" w:sz="0" w:space="0" w:color="auto"/>
                        <w:right w:val="none" w:sz="0" w:space="0" w:color="auto"/>
                      </w:divBdr>
                      <w:divsChild>
                        <w:div w:id="14030213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61046239">
                  <w:marLeft w:val="0"/>
                  <w:marRight w:val="0"/>
                  <w:marTop w:val="0"/>
                  <w:marBottom w:val="0"/>
                  <w:divBdr>
                    <w:top w:val="none" w:sz="0" w:space="0" w:color="auto"/>
                    <w:left w:val="none" w:sz="0" w:space="0" w:color="auto"/>
                    <w:bottom w:val="none" w:sz="0" w:space="0" w:color="auto"/>
                    <w:right w:val="none" w:sz="0" w:space="0" w:color="auto"/>
                  </w:divBdr>
                  <w:divsChild>
                    <w:div w:id="2045474255">
                      <w:marLeft w:val="0"/>
                      <w:marRight w:val="0"/>
                      <w:marTop w:val="120"/>
                      <w:marBottom w:val="0"/>
                      <w:divBdr>
                        <w:top w:val="none" w:sz="0" w:space="0" w:color="auto"/>
                        <w:left w:val="none" w:sz="0" w:space="0" w:color="auto"/>
                        <w:bottom w:val="none" w:sz="0" w:space="0" w:color="auto"/>
                        <w:right w:val="none" w:sz="0" w:space="0" w:color="auto"/>
                      </w:divBdr>
                    </w:div>
                    <w:div w:id="1438525998">
                      <w:marLeft w:val="0"/>
                      <w:marRight w:val="0"/>
                      <w:marTop w:val="0"/>
                      <w:marBottom w:val="0"/>
                      <w:divBdr>
                        <w:top w:val="none" w:sz="0" w:space="0" w:color="auto"/>
                        <w:left w:val="none" w:sz="0" w:space="0" w:color="auto"/>
                        <w:bottom w:val="none" w:sz="0" w:space="0" w:color="auto"/>
                        <w:right w:val="none" w:sz="0" w:space="0" w:color="auto"/>
                      </w:divBdr>
                      <w:divsChild>
                        <w:div w:id="5997228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5004685">
                  <w:marLeft w:val="0"/>
                  <w:marRight w:val="0"/>
                  <w:marTop w:val="0"/>
                  <w:marBottom w:val="0"/>
                  <w:divBdr>
                    <w:top w:val="none" w:sz="0" w:space="0" w:color="auto"/>
                    <w:left w:val="none" w:sz="0" w:space="0" w:color="auto"/>
                    <w:bottom w:val="none" w:sz="0" w:space="0" w:color="auto"/>
                    <w:right w:val="none" w:sz="0" w:space="0" w:color="auto"/>
                  </w:divBdr>
                  <w:divsChild>
                    <w:div w:id="325784214">
                      <w:marLeft w:val="0"/>
                      <w:marRight w:val="0"/>
                      <w:marTop w:val="120"/>
                      <w:marBottom w:val="0"/>
                      <w:divBdr>
                        <w:top w:val="none" w:sz="0" w:space="0" w:color="auto"/>
                        <w:left w:val="none" w:sz="0" w:space="0" w:color="auto"/>
                        <w:bottom w:val="none" w:sz="0" w:space="0" w:color="auto"/>
                        <w:right w:val="none" w:sz="0" w:space="0" w:color="auto"/>
                      </w:divBdr>
                    </w:div>
                    <w:div w:id="838735875">
                      <w:marLeft w:val="0"/>
                      <w:marRight w:val="0"/>
                      <w:marTop w:val="0"/>
                      <w:marBottom w:val="0"/>
                      <w:divBdr>
                        <w:top w:val="none" w:sz="0" w:space="0" w:color="auto"/>
                        <w:left w:val="none" w:sz="0" w:space="0" w:color="auto"/>
                        <w:bottom w:val="none" w:sz="0" w:space="0" w:color="auto"/>
                        <w:right w:val="none" w:sz="0" w:space="0" w:color="auto"/>
                      </w:divBdr>
                      <w:divsChild>
                        <w:div w:id="5636376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537726">
      <w:marLeft w:val="0"/>
      <w:marRight w:val="0"/>
      <w:marTop w:val="0"/>
      <w:marBottom w:val="0"/>
      <w:divBdr>
        <w:top w:val="none" w:sz="0" w:space="0" w:color="auto"/>
        <w:left w:val="none" w:sz="0" w:space="0" w:color="auto"/>
        <w:bottom w:val="none" w:sz="0" w:space="0" w:color="auto"/>
        <w:right w:val="none" w:sz="0" w:space="0" w:color="auto"/>
      </w:divBdr>
      <w:divsChild>
        <w:div w:id="862354708">
          <w:marLeft w:val="0"/>
          <w:marRight w:val="0"/>
          <w:marTop w:val="120"/>
          <w:marBottom w:val="0"/>
          <w:divBdr>
            <w:top w:val="none" w:sz="0" w:space="0" w:color="auto"/>
            <w:left w:val="none" w:sz="0" w:space="0" w:color="auto"/>
            <w:bottom w:val="none" w:sz="0" w:space="0" w:color="auto"/>
            <w:right w:val="none" w:sz="0" w:space="0" w:color="auto"/>
          </w:divBdr>
        </w:div>
        <w:div w:id="460344954">
          <w:marLeft w:val="0"/>
          <w:marRight w:val="0"/>
          <w:marTop w:val="0"/>
          <w:marBottom w:val="0"/>
          <w:divBdr>
            <w:top w:val="none" w:sz="0" w:space="0" w:color="auto"/>
            <w:left w:val="none" w:sz="0" w:space="0" w:color="auto"/>
            <w:bottom w:val="none" w:sz="0" w:space="0" w:color="auto"/>
            <w:right w:val="none" w:sz="0" w:space="0" w:color="auto"/>
          </w:divBdr>
        </w:div>
      </w:divsChild>
    </w:div>
    <w:div w:id="1265840967">
      <w:marLeft w:val="720"/>
      <w:marRight w:val="0"/>
      <w:marTop w:val="0"/>
      <w:marBottom w:val="0"/>
      <w:divBdr>
        <w:top w:val="none" w:sz="0" w:space="0" w:color="auto"/>
        <w:left w:val="none" w:sz="0" w:space="0" w:color="auto"/>
        <w:bottom w:val="none" w:sz="0" w:space="0" w:color="auto"/>
        <w:right w:val="none" w:sz="0" w:space="0" w:color="auto"/>
      </w:divBdr>
    </w:div>
    <w:div w:id="1269393400">
      <w:marLeft w:val="1080"/>
      <w:marRight w:val="0"/>
      <w:marTop w:val="0"/>
      <w:marBottom w:val="0"/>
      <w:divBdr>
        <w:top w:val="none" w:sz="0" w:space="0" w:color="auto"/>
        <w:left w:val="none" w:sz="0" w:space="0" w:color="auto"/>
        <w:bottom w:val="none" w:sz="0" w:space="0" w:color="auto"/>
        <w:right w:val="none" w:sz="0" w:space="0" w:color="auto"/>
      </w:divBdr>
    </w:div>
    <w:div w:id="1281181233">
      <w:marLeft w:val="0"/>
      <w:marRight w:val="0"/>
      <w:marTop w:val="0"/>
      <w:marBottom w:val="0"/>
      <w:divBdr>
        <w:top w:val="none" w:sz="0" w:space="0" w:color="auto"/>
        <w:left w:val="none" w:sz="0" w:space="0" w:color="auto"/>
        <w:bottom w:val="none" w:sz="0" w:space="0" w:color="auto"/>
        <w:right w:val="none" w:sz="0" w:space="0" w:color="auto"/>
      </w:divBdr>
      <w:divsChild>
        <w:div w:id="1343361847">
          <w:marLeft w:val="0"/>
          <w:marRight w:val="0"/>
          <w:marTop w:val="120"/>
          <w:marBottom w:val="0"/>
          <w:divBdr>
            <w:top w:val="none" w:sz="0" w:space="0" w:color="auto"/>
            <w:left w:val="none" w:sz="0" w:space="0" w:color="auto"/>
            <w:bottom w:val="none" w:sz="0" w:space="0" w:color="auto"/>
            <w:right w:val="none" w:sz="0" w:space="0" w:color="auto"/>
          </w:divBdr>
        </w:div>
        <w:div w:id="2116165853">
          <w:marLeft w:val="0"/>
          <w:marRight w:val="0"/>
          <w:marTop w:val="0"/>
          <w:marBottom w:val="0"/>
          <w:divBdr>
            <w:top w:val="none" w:sz="0" w:space="0" w:color="auto"/>
            <w:left w:val="none" w:sz="0" w:space="0" w:color="auto"/>
            <w:bottom w:val="none" w:sz="0" w:space="0" w:color="auto"/>
            <w:right w:val="none" w:sz="0" w:space="0" w:color="auto"/>
          </w:divBdr>
          <w:divsChild>
            <w:div w:id="6206469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82690653">
      <w:marLeft w:val="720"/>
      <w:marRight w:val="0"/>
      <w:marTop w:val="0"/>
      <w:marBottom w:val="0"/>
      <w:divBdr>
        <w:top w:val="none" w:sz="0" w:space="0" w:color="auto"/>
        <w:left w:val="none" w:sz="0" w:space="0" w:color="auto"/>
        <w:bottom w:val="none" w:sz="0" w:space="0" w:color="auto"/>
        <w:right w:val="none" w:sz="0" w:space="0" w:color="auto"/>
      </w:divBdr>
    </w:div>
    <w:div w:id="1288394075">
      <w:marLeft w:val="0"/>
      <w:marRight w:val="0"/>
      <w:marTop w:val="0"/>
      <w:marBottom w:val="0"/>
      <w:divBdr>
        <w:top w:val="none" w:sz="0" w:space="0" w:color="auto"/>
        <w:left w:val="none" w:sz="0" w:space="0" w:color="auto"/>
        <w:bottom w:val="none" w:sz="0" w:space="0" w:color="auto"/>
        <w:right w:val="none" w:sz="0" w:space="0" w:color="auto"/>
      </w:divBdr>
      <w:divsChild>
        <w:div w:id="400181048">
          <w:marLeft w:val="0"/>
          <w:marRight w:val="0"/>
          <w:marTop w:val="120"/>
          <w:marBottom w:val="0"/>
          <w:divBdr>
            <w:top w:val="none" w:sz="0" w:space="0" w:color="auto"/>
            <w:left w:val="none" w:sz="0" w:space="0" w:color="auto"/>
            <w:bottom w:val="none" w:sz="0" w:space="0" w:color="auto"/>
            <w:right w:val="none" w:sz="0" w:space="0" w:color="auto"/>
          </w:divBdr>
        </w:div>
        <w:div w:id="1407416170">
          <w:marLeft w:val="0"/>
          <w:marRight w:val="0"/>
          <w:marTop w:val="0"/>
          <w:marBottom w:val="0"/>
          <w:divBdr>
            <w:top w:val="none" w:sz="0" w:space="0" w:color="auto"/>
            <w:left w:val="none" w:sz="0" w:space="0" w:color="auto"/>
            <w:bottom w:val="none" w:sz="0" w:space="0" w:color="auto"/>
            <w:right w:val="none" w:sz="0" w:space="0" w:color="auto"/>
          </w:divBdr>
          <w:divsChild>
            <w:div w:id="15671098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93822846">
      <w:marLeft w:val="720"/>
      <w:marRight w:val="0"/>
      <w:marTop w:val="0"/>
      <w:marBottom w:val="0"/>
      <w:divBdr>
        <w:top w:val="none" w:sz="0" w:space="0" w:color="auto"/>
        <w:left w:val="none" w:sz="0" w:space="0" w:color="auto"/>
        <w:bottom w:val="none" w:sz="0" w:space="0" w:color="auto"/>
        <w:right w:val="none" w:sz="0" w:space="0" w:color="auto"/>
      </w:divBdr>
    </w:div>
    <w:div w:id="1294628503">
      <w:marLeft w:val="0"/>
      <w:marRight w:val="0"/>
      <w:marTop w:val="0"/>
      <w:marBottom w:val="0"/>
      <w:divBdr>
        <w:top w:val="none" w:sz="0" w:space="0" w:color="auto"/>
        <w:left w:val="none" w:sz="0" w:space="0" w:color="auto"/>
        <w:bottom w:val="none" w:sz="0" w:space="0" w:color="auto"/>
        <w:right w:val="none" w:sz="0" w:space="0" w:color="auto"/>
      </w:divBdr>
      <w:divsChild>
        <w:div w:id="706835111">
          <w:marLeft w:val="0"/>
          <w:marRight w:val="0"/>
          <w:marTop w:val="120"/>
          <w:marBottom w:val="0"/>
          <w:divBdr>
            <w:top w:val="none" w:sz="0" w:space="0" w:color="auto"/>
            <w:left w:val="none" w:sz="0" w:space="0" w:color="auto"/>
            <w:bottom w:val="none" w:sz="0" w:space="0" w:color="auto"/>
            <w:right w:val="none" w:sz="0" w:space="0" w:color="auto"/>
          </w:divBdr>
        </w:div>
        <w:div w:id="780995483">
          <w:marLeft w:val="0"/>
          <w:marRight w:val="0"/>
          <w:marTop w:val="0"/>
          <w:marBottom w:val="0"/>
          <w:divBdr>
            <w:top w:val="none" w:sz="0" w:space="0" w:color="auto"/>
            <w:left w:val="none" w:sz="0" w:space="0" w:color="auto"/>
            <w:bottom w:val="none" w:sz="0" w:space="0" w:color="auto"/>
            <w:right w:val="none" w:sz="0" w:space="0" w:color="auto"/>
          </w:divBdr>
          <w:divsChild>
            <w:div w:id="6541883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95677567">
      <w:marLeft w:val="960"/>
      <w:marRight w:val="0"/>
      <w:marTop w:val="0"/>
      <w:marBottom w:val="0"/>
      <w:divBdr>
        <w:top w:val="none" w:sz="0" w:space="0" w:color="auto"/>
        <w:left w:val="none" w:sz="0" w:space="0" w:color="auto"/>
        <w:bottom w:val="none" w:sz="0" w:space="0" w:color="auto"/>
        <w:right w:val="none" w:sz="0" w:space="0" w:color="auto"/>
      </w:divBdr>
    </w:div>
    <w:div w:id="1298223046">
      <w:marLeft w:val="1080"/>
      <w:marRight w:val="0"/>
      <w:marTop w:val="0"/>
      <w:marBottom w:val="0"/>
      <w:divBdr>
        <w:top w:val="none" w:sz="0" w:space="0" w:color="auto"/>
        <w:left w:val="none" w:sz="0" w:space="0" w:color="auto"/>
        <w:bottom w:val="none" w:sz="0" w:space="0" w:color="auto"/>
        <w:right w:val="none" w:sz="0" w:space="0" w:color="auto"/>
      </w:divBdr>
    </w:div>
    <w:div w:id="1301770727">
      <w:marLeft w:val="720"/>
      <w:marRight w:val="0"/>
      <w:marTop w:val="0"/>
      <w:marBottom w:val="0"/>
      <w:divBdr>
        <w:top w:val="none" w:sz="0" w:space="0" w:color="auto"/>
        <w:left w:val="none" w:sz="0" w:space="0" w:color="auto"/>
        <w:bottom w:val="none" w:sz="0" w:space="0" w:color="auto"/>
        <w:right w:val="none" w:sz="0" w:space="0" w:color="auto"/>
      </w:divBdr>
    </w:div>
    <w:div w:id="1302425036">
      <w:marLeft w:val="960"/>
      <w:marRight w:val="0"/>
      <w:marTop w:val="0"/>
      <w:marBottom w:val="0"/>
      <w:divBdr>
        <w:top w:val="none" w:sz="0" w:space="0" w:color="auto"/>
        <w:left w:val="none" w:sz="0" w:space="0" w:color="auto"/>
        <w:bottom w:val="none" w:sz="0" w:space="0" w:color="auto"/>
        <w:right w:val="none" w:sz="0" w:space="0" w:color="auto"/>
      </w:divBdr>
    </w:div>
    <w:div w:id="1305164777">
      <w:marLeft w:val="1080"/>
      <w:marRight w:val="0"/>
      <w:marTop w:val="0"/>
      <w:marBottom w:val="0"/>
      <w:divBdr>
        <w:top w:val="none" w:sz="0" w:space="0" w:color="auto"/>
        <w:left w:val="none" w:sz="0" w:space="0" w:color="auto"/>
        <w:bottom w:val="none" w:sz="0" w:space="0" w:color="auto"/>
        <w:right w:val="none" w:sz="0" w:space="0" w:color="auto"/>
      </w:divBdr>
    </w:div>
    <w:div w:id="1306541721">
      <w:marLeft w:val="0"/>
      <w:marRight w:val="0"/>
      <w:marTop w:val="0"/>
      <w:marBottom w:val="0"/>
      <w:divBdr>
        <w:top w:val="none" w:sz="0" w:space="0" w:color="auto"/>
        <w:left w:val="none" w:sz="0" w:space="0" w:color="auto"/>
        <w:bottom w:val="none" w:sz="0" w:space="0" w:color="auto"/>
        <w:right w:val="none" w:sz="0" w:space="0" w:color="auto"/>
      </w:divBdr>
      <w:divsChild>
        <w:div w:id="66388965">
          <w:marLeft w:val="0"/>
          <w:marRight w:val="0"/>
          <w:marTop w:val="120"/>
          <w:marBottom w:val="0"/>
          <w:divBdr>
            <w:top w:val="none" w:sz="0" w:space="0" w:color="auto"/>
            <w:left w:val="none" w:sz="0" w:space="0" w:color="auto"/>
            <w:bottom w:val="none" w:sz="0" w:space="0" w:color="auto"/>
            <w:right w:val="none" w:sz="0" w:space="0" w:color="auto"/>
          </w:divBdr>
        </w:div>
        <w:div w:id="2061205225">
          <w:marLeft w:val="0"/>
          <w:marRight w:val="0"/>
          <w:marTop w:val="0"/>
          <w:marBottom w:val="0"/>
          <w:divBdr>
            <w:top w:val="none" w:sz="0" w:space="0" w:color="auto"/>
            <w:left w:val="none" w:sz="0" w:space="0" w:color="auto"/>
            <w:bottom w:val="none" w:sz="0" w:space="0" w:color="auto"/>
            <w:right w:val="none" w:sz="0" w:space="0" w:color="auto"/>
          </w:divBdr>
        </w:div>
      </w:divsChild>
    </w:div>
    <w:div w:id="1312826147">
      <w:marLeft w:val="720"/>
      <w:marRight w:val="0"/>
      <w:marTop w:val="0"/>
      <w:marBottom w:val="0"/>
      <w:divBdr>
        <w:top w:val="none" w:sz="0" w:space="0" w:color="auto"/>
        <w:left w:val="none" w:sz="0" w:space="0" w:color="auto"/>
        <w:bottom w:val="none" w:sz="0" w:space="0" w:color="auto"/>
        <w:right w:val="none" w:sz="0" w:space="0" w:color="auto"/>
      </w:divBdr>
    </w:div>
    <w:div w:id="1330521889">
      <w:marLeft w:val="960"/>
      <w:marRight w:val="0"/>
      <w:marTop w:val="0"/>
      <w:marBottom w:val="0"/>
      <w:divBdr>
        <w:top w:val="none" w:sz="0" w:space="0" w:color="auto"/>
        <w:left w:val="none" w:sz="0" w:space="0" w:color="auto"/>
        <w:bottom w:val="none" w:sz="0" w:space="0" w:color="auto"/>
        <w:right w:val="none" w:sz="0" w:space="0" w:color="auto"/>
      </w:divBdr>
    </w:div>
    <w:div w:id="1331174887">
      <w:marLeft w:val="1080"/>
      <w:marRight w:val="0"/>
      <w:marTop w:val="0"/>
      <w:marBottom w:val="0"/>
      <w:divBdr>
        <w:top w:val="none" w:sz="0" w:space="0" w:color="auto"/>
        <w:left w:val="none" w:sz="0" w:space="0" w:color="auto"/>
        <w:bottom w:val="none" w:sz="0" w:space="0" w:color="auto"/>
        <w:right w:val="none" w:sz="0" w:space="0" w:color="auto"/>
      </w:divBdr>
    </w:div>
    <w:div w:id="1335643903">
      <w:marLeft w:val="0"/>
      <w:marRight w:val="0"/>
      <w:marTop w:val="0"/>
      <w:marBottom w:val="0"/>
      <w:divBdr>
        <w:top w:val="none" w:sz="0" w:space="0" w:color="auto"/>
        <w:left w:val="none" w:sz="0" w:space="0" w:color="auto"/>
        <w:bottom w:val="none" w:sz="0" w:space="0" w:color="auto"/>
        <w:right w:val="none" w:sz="0" w:space="0" w:color="auto"/>
      </w:divBdr>
      <w:divsChild>
        <w:div w:id="521168917">
          <w:marLeft w:val="0"/>
          <w:marRight w:val="0"/>
          <w:marTop w:val="120"/>
          <w:marBottom w:val="0"/>
          <w:divBdr>
            <w:top w:val="none" w:sz="0" w:space="0" w:color="auto"/>
            <w:left w:val="none" w:sz="0" w:space="0" w:color="auto"/>
            <w:bottom w:val="none" w:sz="0" w:space="0" w:color="auto"/>
            <w:right w:val="none" w:sz="0" w:space="0" w:color="auto"/>
          </w:divBdr>
        </w:div>
        <w:div w:id="685063211">
          <w:marLeft w:val="0"/>
          <w:marRight w:val="0"/>
          <w:marTop w:val="0"/>
          <w:marBottom w:val="0"/>
          <w:divBdr>
            <w:top w:val="none" w:sz="0" w:space="0" w:color="auto"/>
            <w:left w:val="none" w:sz="0" w:space="0" w:color="auto"/>
            <w:bottom w:val="none" w:sz="0" w:space="0" w:color="auto"/>
            <w:right w:val="none" w:sz="0" w:space="0" w:color="auto"/>
          </w:divBdr>
          <w:divsChild>
            <w:div w:id="1464344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1083038">
      <w:marLeft w:val="1080"/>
      <w:marRight w:val="0"/>
      <w:marTop w:val="0"/>
      <w:marBottom w:val="0"/>
      <w:divBdr>
        <w:top w:val="none" w:sz="0" w:space="0" w:color="auto"/>
        <w:left w:val="none" w:sz="0" w:space="0" w:color="auto"/>
        <w:bottom w:val="none" w:sz="0" w:space="0" w:color="auto"/>
        <w:right w:val="none" w:sz="0" w:space="0" w:color="auto"/>
      </w:divBdr>
    </w:div>
    <w:div w:id="1342585485">
      <w:marLeft w:val="0"/>
      <w:marRight w:val="0"/>
      <w:marTop w:val="0"/>
      <w:marBottom w:val="0"/>
      <w:divBdr>
        <w:top w:val="none" w:sz="0" w:space="0" w:color="auto"/>
        <w:left w:val="none" w:sz="0" w:space="0" w:color="auto"/>
        <w:bottom w:val="none" w:sz="0" w:space="0" w:color="auto"/>
        <w:right w:val="none" w:sz="0" w:space="0" w:color="auto"/>
      </w:divBdr>
      <w:divsChild>
        <w:div w:id="1220826901">
          <w:marLeft w:val="0"/>
          <w:marRight w:val="0"/>
          <w:marTop w:val="120"/>
          <w:marBottom w:val="0"/>
          <w:divBdr>
            <w:top w:val="none" w:sz="0" w:space="0" w:color="auto"/>
            <w:left w:val="none" w:sz="0" w:space="0" w:color="auto"/>
            <w:bottom w:val="none" w:sz="0" w:space="0" w:color="auto"/>
            <w:right w:val="none" w:sz="0" w:space="0" w:color="auto"/>
          </w:divBdr>
        </w:div>
        <w:div w:id="1552495805">
          <w:marLeft w:val="0"/>
          <w:marRight w:val="0"/>
          <w:marTop w:val="0"/>
          <w:marBottom w:val="0"/>
          <w:divBdr>
            <w:top w:val="none" w:sz="0" w:space="0" w:color="auto"/>
            <w:left w:val="none" w:sz="0" w:space="0" w:color="auto"/>
            <w:bottom w:val="none" w:sz="0" w:space="0" w:color="auto"/>
            <w:right w:val="none" w:sz="0" w:space="0" w:color="auto"/>
          </w:divBdr>
          <w:divsChild>
            <w:div w:id="19198251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5477717">
      <w:marLeft w:val="0"/>
      <w:marRight w:val="0"/>
      <w:marTop w:val="0"/>
      <w:marBottom w:val="0"/>
      <w:divBdr>
        <w:top w:val="none" w:sz="0" w:space="0" w:color="auto"/>
        <w:left w:val="none" w:sz="0" w:space="0" w:color="auto"/>
        <w:bottom w:val="none" w:sz="0" w:space="0" w:color="auto"/>
        <w:right w:val="none" w:sz="0" w:space="0" w:color="auto"/>
      </w:divBdr>
      <w:divsChild>
        <w:div w:id="1714232692">
          <w:marLeft w:val="0"/>
          <w:marRight w:val="0"/>
          <w:marTop w:val="120"/>
          <w:marBottom w:val="0"/>
          <w:divBdr>
            <w:top w:val="none" w:sz="0" w:space="0" w:color="auto"/>
            <w:left w:val="none" w:sz="0" w:space="0" w:color="auto"/>
            <w:bottom w:val="none" w:sz="0" w:space="0" w:color="auto"/>
            <w:right w:val="none" w:sz="0" w:space="0" w:color="auto"/>
          </w:divBdr>
        </w:div>
        <w:div w:id="1813324204">
          <w:marLeft w:val="0"/>
          <w:marRight w:val="0"/>
          <w:marTop w:val="0"/>
          <w:marBottom w:val="0"/>
          <w:divBdr>
            <w:top w:val="none" w:sz="0" w:space="0" w:color="auto"/>
            <w:left w:val="none" w:sz="0" w:space="0" w:color="auto"/>
            <w:bottom w:val="none" w:sz="0" w:space="0" w:color="auto"/>
            <w:right w:val="none" w:sz="0" w:space="0" w:color="auto"/>
          </w:divBdr>
        </w:div>
      </w:divsChild>
    </w:div>
    <w:div w:id="1345589161">
      <w:marLeft w:val="1080"/>
      <w:marRight w:val="0"/>
      <w:marTop w:val="0"/>
      <w:marBottom w:val="0"/>
      <w:divBdr>
        <w:top w:val="none" w:sz="0" w:space="0" w:color="auto"/>
        <w:left w:val="none" w:sz="0" w:space="0" w:color="auto"/>
        <w:bottom w:val="none" w:sz="0" w:space="0" w:color="auto"/>
        <w:right w:val="none" w:sz="0" w:space="0" w:color="auto"/>
      </w:divBdr>
    </w:div>
    <w:div w:id="1347055001">
      <w:marLeft w:val="1080"/>
      <w:marRight w:val="0"/>
      <w:marTop w:val="0"/>
      <w:marBottom w:val="0"/>
      <w:divBdr>
        <w:top w:val="none" w:sz="0" w:space="0" w:color="auto"/>
        <w:left w:val="none" w:sz="0" w:space="0" w:color="auto"/>
        <w:bottom w:val="none" w:sz="0" w:space="0" w:color="auto"/>
        <w:right w:val="none" w:sz="0" w:space="0" w:color="auto"/>
      </w:divBdr>
    </w:div>
    <w:div w:id="1355158285">
      <w:marLeft w:val="0"/>
      <w:marRight w:val="0"/>
      <w:marTop w:val="0"/>
      <w:marBottom w:val="0"/>
      <w:divBdr>
        <w:top w:val="none" w:sz="0" w:space="0" w:color="auto"/>
        <w:left w:val="none" w:sz="0" w:space="0" w:color="auto"/>
        <w:bottom w:val="none" w:sz="0" w:space="0" w:color="auto"/>
        <w:right w:val="none" w:sz="0" w:space="0" w:color="auto"/>
      </w:divBdr>
      <w:divsChild>
        <w:div w:id="191454319">
          <w:marLeft w:val="0"/>
          <w:marRight w:val="0"/>
          <w:marTop w:val="120"/>
          <w:marBottom w:val="0"/>
          <w:divBdr>
            <w:top w:val="none" w:sz="0" w:space="0" w:color="auto"/>
            <w:left w:val="none" w:sz="0" w:space="0" w:color="auto"/>
            <w:bottom w:val="none" w:sz="0" w:space="0" w:color="auto"/>
            <w:right w:val="none" w:sz="0" w:space="0" w:color="auto"/>
          </w:divBdr>
        </w:div>
        <w:div w:id="2068725399">
          <w:marLeft w:val="0"/>
          <w:marRight w:val="0"/>
          <w:marTop w:val="0"/>
          <w:marBottom w:val="0"/>
          <w:divBdr>
            <w:top w:val="none" w:sz="0" w:space="0" w:color="auto"/>
            <w:left w:val="none" w:sz="0" w:space="0" w:color="auto"/>
            <w:bottom w:val="none" w:sz="0" w:space="0" w:color="auto"/>
            <w:right w:val="none" w:sz="0" w:space="0" w:color="auto"/>
          </w:divBdr>
          <w:divsChild>
            <w:div w:id="8636351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58114999">
      <w:marLeft w:val="840"/>
      <w:marRight w:val="0"/>
      <w:marTop w:val="0"/>
      <w:marBottom w:val="0"/>
      <w:divBdr>
        <w:top w:val="none" w:sz="0" w:space="0" w:color="auto"/>
        <w:left w:val="none" w:sz="0" w:space="0" w:color="auto"/>
        <w:bottom w:val="none" w:sz="0" w:space="0" w:color="auto"/>
        <w:right w:val="none" w:sz="0" w:space="0" w:color="auto"/>
      </w:divBdr>
    </w:div>
    <w:div w:id="1362363087">
      <w:marLeft w:val="0"/>
      <w:marRight w:val="0"/>
      <w:marTop w:val="0"/>
      <w:marBottom w:val="0"/>
      <w:divBdr>
        <w:top w:val="none" w:sz="0" w:space="0" w:color="auto"/>
        <w:left w:val="none" w:sz="0" w:space="0" w:color="auto"/>
        <w:bottom w:val="none" w:sz="0" w:space="0" w:color="auto"/>
        <w:right w:val="none" w:sz="0" w:space="0" w:color="auto"/>
      </w:divBdr>
      <w:divsChild>
        <w:div w:id="1034649282">
          <w:marLeft w:val="0"/>
          <w:marRight w:val="0"/>
          <w:marTop w:val="120"/>
          <w:marBottom w:val="0"/>
          <w:divBdr>
            <w:top w:val="none" w:sz="0" w:space="0" w:color="auto"/>
            <w:left w:val="none" w:sz="0" w:space="0" w:color="auto"/>
            <w:bottom w:val="none" w:sz="0" w:space="0" w:color="auto"/>
            <w:right w:val="none" w:sz="0" w:space="0" w:color="auto"/>
          </w:divBdr>
        </w:div>
        <w:div w:id="954824858">
          <w:marLeft w:val="0"/>
          <w:marRight w:val="0"/>
          <w:marTop w:val="0"/>
          <w:marBottom w:val="0"/>
          <w:divBdr>
            <w:top w:val="none" w:sz="0" w:space="0" w:color="auto"/>
            <w:left w:val="none" w:sz="0" w:space="0" w:color="auto"/>
            <w:bottom w:val="none" w:sz="0" w:space="0" w:color="auto"/>
            <w:right w:val="none" w:sz="0" w:space="0" w:color="auto"/>
          </w:divBdr>
          <w:divsChild>
            <w:div w:id="1423581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3433180">
      <w:marLeft w:val="0"/>
      <w:marRight w:val="0"/>
      <w:marTop w:val="0"/>
      <w:marBottom w:val="0"/>
      <w:divBdr>
        <w:top w:val="none" w:sz="0" w:space="0" w:color="auto"/>
        <w:left w:val="none" w:sz="0" w:space="0" w:color="auto"/>
        <w:bottom w:val="none" w:sz="0" w:space="0" w:color="auto"/>
        <w:right w:val="none" w:sz="0" w:space="0" w:color="auto"/>
      </w:divBdr>
      <w:divsChild>
        <w:div w:id="1895459421">
          <w:marLeft w:val="0"/>
          <w:marRight w:val="0"/>
          <w:marTop w:val="120"/>
          <w:marBottom w:val="0"/>
          <w:divBdr>
            <w:top w:val="none" w:sz="0" w:space="0" w:color="auto"/>
            <w:left w:val="none" w:sz="0" w:space="0" w:color="auto"/>
            <w:bottom w:val="none" w:sz="0" w:space="0" w:color="auto"/>
            <w:right w:val="none" w:sz="0" w:space="0" w:color="auto"/>
          </w:divBdr>
        </w:div>
        <w:div w:id="1454591474">
          <w:marLeft w:val="0"/>
          <w:marRight w:val="0"/>
          <w:marTop w:val="0"/>
          <w:marBottom w:val="0"/>
          <w:divBdr>
            <w:top w:val="none" w:sz="0" w:space="0" w:color="auto"/>
            <w:left w:val="none" w:sz="0" w:space="0" w:color="auto"/>
            <w:bottom w:val="none" w:sz="0" w:space="0" w:color="auto"/>
            <w:right w:val="none" w:sz="0" w:space="0" w:color="auto"/>
          </w:divBdr>
          <w:divsChild>
            <w:div w:id="6106297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4093120">
      <w:marLeft w:val="1080"/>
      <w:marRight w:val="0"/>
      <w:marTop w:val="0"/>
      <w:marBottom w:val="0"/>
      <w:divBdr>
        <w:top w:val="none" w:sz="0" w:space="0" w:color="auto"/>
        <w:left w:val="none" w:sz="0" w:space="0" w:color="auto"/>
        <w:bottom w:val="none" w:sz="0" w:space="0" w:color="auto"/>
        <w:right w:val="none" w:sz="0" w:space="0" w:color="auto"/>
      </w:divBdr>
    </w:div>
    <w:div w:id="1365057392">
      <w:marLeft w:val="720"/>
      <w:marRight w:val="0"/>
      <w:marTop w:val="0"/>
      <w:marBottom w:val="0"/>
      <w:divBdr>
        <w:top w:val="none" w:sz="0" w:space="0" w:color="auto"/>
        <w:left w:val="none" w:sz="0" w:space="0" w:color="auto"/>
        <w:bottom w:val="none" w:sz="0" w:space="0" w:color="auto"/>
        <w:right w:val="none" w:sz="0" w:space="0" w:color="auto"/>
      </w:divBdr>
    </w:div>
    <w:div w:id="1369182424">
      <w:marLeft w:val="960"/>
      <w:marRight w:val="0"/>
      <w:marTop w:val="0"/>
      <w:marBottom w:val="0"/>
      <w:divBdr>
        <w:top w:val="none" w:sz="0" w:space="0" w:color="auto"/>
        <w:left w:val="none" w:sz="0" w:space="0" w:color="auto"/>
        <w:bottom w:val="none" w:sz="0" w:space="0" w:color="auto"/>
        <w:right w:val="none" w:sz="0" w:space="0" w:color="auto"/>
      </w:divBdr>
    </w:div>
    <w:div w:id="1378049631">
      <w:marLeft w:val="1080"/>
      <w:marRight w:val="0"/>
      <w:marTop w:val="0"/>
      <w:marBottom w:val="0"/>
      <w:divBdr>
        <w:top w:val="none" w:sz="0" w:space="0" w:color="auto"/>
        <w:left w:val="none" w:sz="0" w:space="0" w:color="auto"/>
        <w:bottom w:val="none" w:sz="0" w:space="0" w:color="auto"/>
        <w:right w:val="none" w:sz="0" w:space="0" w:color="auto"/>
      </w:divBdr>
    </w:div>
    <w:div w:id="1378505601">
      <w:marLeft w:val="0"/>
      <w:marRight w:val="0"/>
      <w:marTop w:val="0"/>
      <w:marBottom w:val="0"/>
      <w:divBdr>
        <w:top w:val="none" w:sz="0" w:space="0" w:color="auto"/>
        <w:left w:val="none" w:sz="0" w:space="0" w:color="auto"/>
        <w:bottom w:val="none" w:sz="0" w:space="0" w:color="auto"/>
        <w:right w:val="none" w:sz="0" w:space="0" w:color="auto"/>
      </w:divBdr>
      <w:divsChild>
        <w:div w:id="903176678">
          <w:marLeft w:val="0"/>
          <w:marRight w:val="0"/>
          <w:marTop w:val="120"/>
          <w:marBottom w:val="0"/>
          <w:divBdr>
            <w:top w:val="none" w:sz="0" w:space="0" w:color="auto"/>
            <w:left w:val="none" w:sz="0" w:space="0" w:color="auto"/>
            <w:bottom w:val="none" w:sz="0" w:space="0" w:color="auto"/>
            <w:right w:val="none" w:sz="0" w:space="0" w:color="auto"/>
          </w:divBdr>
        </w:div>
        <w:div w:id="1049568414">
          <w:marLeft w:val="0"/>
          <w:marRight w:val="0"/>
          <w:marTop w:val="0"/>
          <w:marBottom w:val="0"/>
          <w:divBdr>
            <w:top w:val="none" w:sz="0" w:space="0" w:color="auto"/>
            <w:left w:val="none" w:sz="0" w:space="0" w:color="auto"/>
            <w:bottom w:val="none" w:sz="0" w:space="0" w:color="auto"/>
            <w:right w:val="none" w:sz="0" w:space="0" w:color="auto"/>
          </w:divBdr>
          <w:divsChild>
            <w:div w:id="1468209005">
              <w:marLeft w:val="0"/>
              <w:marRight w:val="0"/>
              <w:marTop w:val="120"/>
              <w:marBottom w:val="0"/>
              <w:divBdr>
                <w:top w:val="none" w:sz="0" w:space="0" w:color="auto"/>
                <w:left w:val="none" w:sz="0" w:space="0" w:color="auto"/>
                <w:bottom w:val="none" w:sz="0" w:space="0" w:color="auto"/>
                <w:right w:val="none" w:sz="0" w:space="0" w:color="auto"/>
              </w:divBdr>
            </w:div>
            <w:div w:id="1078402901">
              <w:marLeft w:val="0"/>
              <w:marRight w:val="0"/>
              <w:marTop w:val="120"/>
              <w:marBottom w:val="0"/>
              <w:divBdr>
                <w:top w:val="none" w:sz="0" w:space="0" w:color="auto"/>
                <w:left w:val="none" w:sz="0" w:space="0" w:color="auto"/>
                <w:bottom w:val="none" w:sz="0" w:space="0" w:color="auto"/>
                <w:right w:val="none" w:sz="0" w:space="0" w:color="auto"/>
              </w:divBdr>
            </w:div>
            <w:div w:id="225648098">
              <w:marLeft w:val="0"/>
              <w:marRight w:val="0"/>
              <w:marTop w:val="120"/>
              <w:marBottom w:val="0"/>
              <w:divBdr>
                <w:top w:val="none" w:sz="0" w:space="0" w:color="auto"/>
                <w:left w:val="none" w:sz="0" w:space="0" w:color="auto"/>
                <w:bottom w:val="none" w:sz="0" w:space="0" w:color="auto"/>
                <w:right w:val="none" w:sz="0" w:space="0" w:color="auto"/>
              </w:divBdr>
            </w:div>
            <w:div w:id="17107664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0006953">
      <w:marLeft w:val="960"/>
      <w:marRight w:val="0"/>
      <w:marTop w:val="0"/>
      <w:marBottom w:val="0"/>
      <w:divBdr>
        <w:top w:val="none" w:sz="0" w:space="0" w:color="auto"/>
        <w:left w:val="none" w:sz="0" w:space="0" w:color="auto"/>
        <w:bottom w:val="none" w:sz="0" w:space="0" w:color="auto"/>
        <w:right w:val="none" w:sz="0" w:space="0" w:color="auto"/>
      </w:divBdr>
    </w:div>
    <w:div w:id="1380856735">
      <w:marLeft w:val="840"/>
      <w:marRight w:val="0"/>
      <w:marTop w:val="0"/>
      <w:marBottom w:val="0"/>
      <w:divBdr>
        <w:top w:val="none" w:sz="0" w:space="0" w:color="auto"/>
        <w:left w:val="none" w:sz="0" w:space="0" w:color="auto"/>
        <w:bottom w:val="none" w:sz="0" w:space="0" w:color="auto"/>
        <w:right w:val="none" w:sz="0" w:space="0" w:color="auto"/>
      </w:divBdr>
    </w:div>
    <w:div w:id="1383141801">
      <w:marLeft w:val="720"/>
      <w:marRight w:val="0"/>
      <w:marTop w:val="0"/>
      <w:marBottom w:val="0"/>
      <w:divBdr>
        <w:top w:val="none" w:sz="0" w:space="0" w:color="auto"/>
        <w:left w:val="none" w:sz="0" w:space="0" w:color="auto"/>
        <w:bottom w:val="none" w:sz="0" w:space="0" w:color="auto"/>
        <w:right w:val="none" w:sz="0" w:space="0" w:color="auto"/>
      </w:divBdr>
    </w:div>
    <w:div w:id="1386441881">
      <w:marLeft w:val="0"/>
      <w:marRight w:val="0"/>
      <w:marTop w:val="0"/>
      <w:marBottom w:val="0"/>
      <w:divBdr>
        <w:top w:val="none" w:sz="0" w:space="0" w:color="auto"/>
        <w:left w:val="none" w:sz="0" w:space="0" w:color="auto"/>
        <w:bottom w:val="none" w:sz="0" w:space="0" w:color="auto"/>
        <w:right w:val="none" w:sz="0" w:space="0" w:color="auto"/>
      </w:divBdr>
      <w:divsChild>
        <w:div w:id="1478885997">
          <w:marLeft w:val="0"/>
          <w:marRight w:val="0"/>
          <w:marTop w:val="120"/>
          <w:marBottom w:val="0"/>
          <w:divBdr>
            <w:top w:val="none" w:sz="0" w:space="0" w:color="auto"/>
            <w:left w:val="none" w:sz="0" w:space="0" w:color="auto"/>
            <w:bottom w:val="none" w:sz="0" w:space="0" w:color="auto"/>
            <w:right w:val="none" w:sz="0" w:space="0" w:color="auto"/>
          </w:divBdr>
        </w:div>
        <w:div w:id="1194810640">
          <w:marLeft w:val="0"/>
          <w:marRight w:val="0"/>
          <w:marTop w:val="0"/>
          <w:marBottom w:val="0"/>
          <w:divBdr>
            <w:top w:val="none" w:sz="0" w:space="0" w:color="auto"/>
            <w:left w:val="none" w:sz="0" w:space="0" w:color="auto"/>
            <w:bottom w:val="none" w:sz="0" w:space="0" w:color="auto"/>
            <w:right w:val="none" w:sz="0" w:space="0" w:color="auto"/>
          </w:divBdr>
          <w:divsChild>
            <w:div w:id="5484150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1418841">
      <w:marLeft w:val="960"/>
      <w:marRight w:val="0"/>
      <w:marTop w:val="0"/>
      <w:marBottom w:val="0"/>
      <w:divBdr>
        <w:top w:val="none" w:sz="0" w:space="0" w:color="auto"/>
        <w:left w:val="none" w:sz="0" w:space="0" w:color="auto"/>
        <w:bottom w:val="none" w:sz="0" w:space="0" w:color="auto"/>
        <w:right w:val="none" w:sz="0" w:space="0" w:color="auto"/>
      </w:divBdr>
    </w:div>
    <w:div w:id="1397968240">
      <w:marLeft w:val="1080"/>
      <w:marRight w:val="0"/>
      <w:marTop w:val="0"/>
      <w:marBottom w:val="0"/>
      <w:divBdr>
        <w:top w:val="none" w:sz="0" w:space="0" w:color="auto"/>
        <w:left w:val="none" w:sz="0" w:space="0" w:color="auto"/>
        <w:bottom w:val="none" w:sz="0" w:space="0" w:color="auto"/>
        <w:right w:val="none" w:sz="0" w:space="0" w:color="auto"/>
      </w:divBdr>
    </w:div>
    <w:div w:id="1397971782">
      <w:marLeft w:val="0"/>
      <w:marRight w:val="0"/>
      <w:marTop w:val="0"/>
      <w:marBottom w:val="0"/>
      <w:divBdr>
        <w:top w:val="none" w:sz="0" w:space="0" w:color="auto"/>
        <w:left w:val="none" w:sz="0" w:space="0" w:color="auto"/>
        <w:bottom w:val="none" w:sz="0" w:space="0" w:color="auto"/>
        <w:right w:val="none" w:sz="0" w:space="0" w:color="auto"/>
      </w:divBdr>
      <w:divsChild>
        <w:div w:id="935210754">
          <w:marLeft w:val="0"/>
          <w:marRight w:val="0"/>
          <w:marTop w:val="120"/>
          <w:marBottom w:val="0"/>
          <w:divBdr>
            <w:top w:val="none" w:sz="0" w:space="0" w:color="auto"/>
            <w:left w:val="none" w:sz="0" w:space="0" w:color="auto"/>
            <w:bottom w:val="none" w:sz="0" w:space="0" w:color="auto"/>
            <w:right w:val="none" w:sz="0" w:space="0" w:color="auto"/>
          </w:divBdr>
        </w:div>
        <w:div w:id="1752769911">
          <w:marLeft w:val="0"/>
          <w:marRight w:val="0"/>
          <w:marTop w:val="0"/>
          <w:marBottom w:val="0"/>
          <w:divBdr>
            <w:top w:val="none" w:sz="0" w:space="0" w:color="auto"/>
            <w:left w:val="none" w:sz="0" w:space="0" w:color="auto"/>
            <w:bottom w:val="none" w:sz="0" w:space="0" w:color="auto"/>
            <w:right w:val="none" w:sz="0" w:space="0" w:color="auto"/>
          </w:divBdr>
          <w:divsChild>
            <w:div w:id="19063785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8281873">
      <w:marLeft w:val="960"/>
      <w:marRight w:val="0"/>
      <w:marTop w:val="0"/>
      <w:marBottom w:val="0"/>
      <w:divBdr>
        <w:top w:val="none" w:sz="0" w:space="0" w:color="auto"/>
        <w:left w:val="none" w:sz="0" w:space="0" w:color="auto"/>
        <w:bottom w:val="none" w:sz="0" w:space="0" w:color="auto"/>
        <w:right w:val="none" w:sz="0" w:space="0" w:color="auto"/>
      </w:divBdr>
    </w:div>
    <w:div w:id="1399283374">
      <w:marLeft w:val="720"/>
      <w:marRight w:val="0"/>
      <w:marTop w:val="0"/>
      <w:marBottom w:val="0"/>
      <w:divBdr>
        <w:top w:val="none" w:sz="0" w:space="0" w:color="auto"/>
        <w:left w:val="none" w:sz="0" w:space="0" w:color="auto"/>
        <w:bottom w:val="none" w:sz="0" w:space="0" w:color="auto"/>
        <w:right w:val="none" w:sz="0" w:space="0" w:color="auto"/>
      </w:divBdr>
    </w:div>
    <w:div w:id="1406877488">
      <w:marLeft w:val="1080"/>
      <w:marRight w:val="0"/>
      <w:marTop w:val="0"/>
      <w:marBottom w:val="0"/>
      <w:divBdr>
        <w:top w:val="none" w:sz="0" w:space="0" w:color="auto"/>
        <w:left w:val="none" w:sz="0" w:space="0" w:color="auto"/>
        <w:bottom w:val="none" w:sz="0" w:space="0" w:color="auto"/>
        <w:right w:val="none" w:sz="0" w:space="0" w:color="auto"/>
      </w:divBdr>
    </w:div>
    <w:div w:id="1407267386">
      <w:bodyDiv w:val="1"/>
      <w:marLeft w:val="0"/>
      <w:marRight w:val="0"/>
      <w:marTop w:val="0"/>
      <w:marBottom w:val="0"/>
      <w:divBdr>
        <w:top w:val="none" w:sz="0" w:space="0" w:color="auto"/>
        <w:left w:val="none" w:sz="0" w:space="0" w:color="auto"/>
        <w:bottom w:val="none" w:sz="0" w:space="0" w:color="auto"/>
        <w:right w:val="none" w:sz="0" w:space="0" w:color="auto"/>
      </w:divBdr>
    </w:div>
    <w:div w:id="1407411045">
      <w:marLeft w:val="720"/>
      <w:marRight w:val="0"/>
      <w:marTop w:val="0"/>
      <w:marBottom w:val="0"/>
      <w:divBdr>
        <w:top w:val="none" w:sz="0" w:space="0" w:color="auto"/>
        <w:left w:val="none" w:sz="0" w:space="0" w:color="auto"/>
        <w:bottom w:val="none" w:sz="0" w:space="0" w:color="auto"/>
        <w:right w:val="none" w:sz="0" w:space="0" w:color="auto"/>
      </w:divBdr>
    </w:div>
    <w:div w:id="1410465846">
      <w:marLeft w:val="1080"/>
      <w:marRight w:val="0"/>
      <w:marTop w:val="0"/>
      <w:marBottom w:val="0"/>
      <w:divBdr>
        <w:top w:val="none" w:sz="0" w:space="0" w:color="auto"/>
        <w:left w:val="none" w:sz="0" w:space="0" w:color="auto"/>
        <w:bottom w:val="none" w:sz="0" w:space="0" w:color="auto"/>
        <w:right w:val="none" w:sz="0" w:space="0" w:color="auto"/>
      </w:divBdr>
    </w:div>
    <w:div w:id="1415128705">
      <w:marLeft w:val="720"/>
      <w:marRight w:val="0"/>
      <w:marTop w:val="0"/>
      <w:marBottom w:val="0"/>
      <w:divBdr>
        <w:top w:val="none" w:sz="0" w:space="0" w:color="auto"/>
        <w:left w:val="none" w:sz="0" w:space="0" w:color="auto"/>
        <w:bottom w:val="none" w:sz="0" w:space="0" w:color="auto"/>
        <w:right w:val="none" w:sz="0" w:space="0" w:color="auto"/>
      </w:divBdr>
    </w:div>
    <w:div w:id="1415275769">
      <w:marLeft w:val="0"/>
      <w:marRight w:val="0"/>
      <w:marTop w:val="0"/>
      <w:marBottom w:val="0"/>
      <w:divBdr>
        <w:top w:val="none" w:sz="0" w:space="0" w:color="auto"/>
        <w:left w:val="none" w:sz="0" w:space="0" w:color="auto"/>
        <w:bottom w:val="none" w:sz="0" w:space="0" w:color="auto"/>
        <w:right w:val="none" w:sz="0" w:space="0" w:color="auto"/>
      </w:divBdr>
      <w:divsChild>
        <w:div w:id="73093378">
          <w:marLeft w:val="0"/>
          <w:marRight w:val="0"/>
          <w:marTop w:val="120"/>
          <w:marBottom w:val="0"/>
          <w:divBdr>
            <w:top w:val="none" w:sz="0" w:space="0" w:color="auto"/>
            <w:left w:val="none" w:sz="0" w:space="0" w:color="auto"/>
            <w:bottom w:val="none" w:sz="0" w:space="0" w:color="auto"/>
            <w:right w:val="none" w:sz="0" w:space="0" w:color="auto"/>
          </w:divBdr>
        </w:div>
        <w:div w:id="818500362">
          <w:marLeft w:val="0"/>
          <w:marRight w:val="0"/>
          <w:marTop w:val="0"/>
          <w:marBottom w:val="0"/>
          <w:divBdr>
            <w:top w:val="none" w:sz="0" w:space="0" w:color="auto"/>
            <w:left w:val="none" w:sz="0" w:space="0" w:color="auto"/>
            <w:bottom w:val="none" w:sz="0" w:space="0" w:color="auto"/>
            <w:right w:val="none" w:sz="0" w:space="0" w:color="auto"/>
          </w:divBdr>
          <w:divsChild>
            <w:div w:id="1663387504">
              <w:marLeft w:val="0"/>
              <w:marRight w:val="0"/>
              <w:marTop w:val="120"/>
              <w:marBottom w:val="0"/>
              <w:divBdr>
                <w:top w:val="none" w:sz="0" w:space="0" w:color="auto"/>
                <w:left w:val="none" w:sz="0" w:space="0" w:color="auto"/>
                <w:bottom w:val="none" w:sz="0" w:space="0" w:color="auto"/>
                <w:right w:val="none" w:sz="0" w:space="0" w:color="auto"/>
              </w:divBdr>
            </w:div>
            <w:div w:id="1964462694">
              <w:marLeft w:val="0"/>
              <w:marRight w:val="0"/>
              <w:marTop w:val="120"/>
              <w:marBottom w:val="0"/>
              <w:divBdr>
                <w:top w:val="none" w:sz="0" w:space="0" w:color="auto"/>
                <w:left w:val="none" w:sz="0" w:space="0" w:color="auto"/>
                <w:bottom w:val="none" w:sz="0" w:space="0" w:color="auto"/>
                <w:right w:val="none" w:sz="0" w:space="0" w:color="auto"/>
              </w:divBdr>
              <w:divsChild>
                <w:div w:id="85732193">
                  <w:marLeft w:val="0"/>
                  <w:marRight w:val="0"/>
                  <w:marTop w:val="0"/>
                  <w:marBottom w:val="0"/>
                  <w:divBdr>
                    <w:top w:val="none" w:sz="0" w:space="0" w:color="auto"/>
                    <w:left w:val="none" w:sz="0" w:space="0" w:color="auto"/>
                    <w:bottom w:val="none" w:sz="0" w:space="0" w:color="auto"/>
                    <w:right w:val="none" w:sz="0" w:space="0" w:color="auto"/>
                  </w:divBdr>
                  <w:divsChild>
                    <w:div w:id="713308847">
                      <w:marLeft w:val="0"/>
                      <w:marRight w:val="0"/>
                      <w:marTop w:val="120"/>
                      <w:marBottom w:val="0"/>
                      <w:divBdr>
                        <w:top w:val="none" w:sz="0" w:space="0" w:color="auto"/>
                        <w:left w:val="none" w:sz="0" w:space="0" w:color="auto"/>
                        <w:bottom w:val="none" w:sz="0" w:space="0" w:color="auto"/>
                        <w:right w:val="none" w:sz="0" w:space="0" w:color="auto"/>
                      </w:divBdr>
                    </w:div>
                    <w:div w:id="462894657">
                      <w:marLeft w:val="0"/>
                      <w:marRight w:val="0"/>
                      <w:marTop w:val="0"/>
                      <w:marBottom w:val="0"/>
                      <w:divBdr>
                        <w:top w:val="none" w:sz="0" w:space="0" w:color="auto"/>
                        <w:left w:val="none" w:sz="0" w:space="0" w:color="auto"/>
                        <w:bottom w:val="none" w:sz="0" w:space="0" w:color="auto"/>
                        <w:right w:val="none" w:sz="0" w:space="0" w:color="auto"/>
                      </w:divBdr>
                      <w:divsChild>
                        <w:div w:id="14407600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7212131">
                  <w:marLeft w:val="0"/>
                  <w:marRight w:val="0"/>
                  <w:marTop w:val="0"/>
                  <w:marBottom w:val="0"/>
                  <w:divBdr>
                    <w:top w:val="none" w:sz="0" w:space="0" w:color="auto"/>
                    <w:left w:val="none" w:sz="0" w:space="0" w:color="auto"/>
                    <w:bottom w:val="none" w:sz="0" w:space="0" w:color="auto"/>
                    <w:right w:val="none" w:sz="0" w:space="0" w:color="auto"/>
                  </w:divBdr>
                  <w:divsChild>
                    <w:div w:id="913508731">
                      <w:marLeft w:val="0"/>
                      <w:marRight w:val="0"/>
                      <w:marTop w:val="120"/>
                      <w:marBottom w:val="0"/>
                      <w:divBdr>
                        <w:top w:val="none" w:sz="0" w:space="0" w:color="auto"/>
                        <w:left w:val="none" w:sz="0" w:space="0" w:color="auto"/>
                        <w:bottom w:val="none" w:sz="0" w:space="0" w:color="auto"/>
                        <w:right w:val="none" w:sz="0" w:space="0" w:color="auto"/>
                      </w:divBdr>
                    </w:div>
                    <w:div w:id="632831489">
                      <w:marLeft w:val="0"/>
                      <w:marRight w:val="0"/>
                      <w:marTop w:val="0"/>
                      <w:marBottom w:val="0"/>
                      <w:divBdr>
                        <w:top w:val="none" w:sz="0" w:space="0" w:color="auto"/>
                        <w:left w:val="none" w:sz="0" w:space="0" w:color="auto"/>
                        <w:bottom w:val="none" w:sz="0" w:space="0" w:color="auto"/>
                        <w:right w:val="none" w:sz="0" w:space="0" w:color="auto"/>
                      </w:divBdr>
                      <w:divsChild>
                        <w:div w:id="7773357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4620">
      <w:marLeft w:val="1080"/>
      <w:marRight w:val="0"/>
      <w:marTop w:val="0"/>
      <w:marBottom w:val="0"/>
      <w:divBdr>
        <w:top w:val="none" w:sz="0" w:space="0" w:color="auto"/>
        <w:left w:val="none" w:sz="0" w:space="0" w:color="auto"/>
        <w:bottom w:val="none" w:sz="0" w:space="0" w:color="auto"/>
        <w:right w:val="none" w:sz="0" w:space="0" w:color="auto"/>
      </w:divBdr>
    </w:div>
    <w:div w:id="1420055363">
      <w:marLeft w:val="0"/>
      <w:marRight w:val="0"/>
      <w:marTop w:val="0"/>
      <w:marBottom w:val="0"/>
      <w:divBdr>
        <w:top w:val="none" w:sz="0" w:space="0" w:color="auto"/>
        <w:left w:val="none" w:sz="0" w:space="0" w:color="auto"/>
        <w:bottom w:val="none" w:sz="0" w:space="0" w:color="auto"/>
        <w:right w:val="none" w:sz="0" w:space="0" w:color="auto"/>
      </w:divBdr>
      <w:divsChild>
        <w:div w:id="1395662549">
          <w:marLeft w:val="0"/>
          <w:marRight w:val="0"/>
          <w:marTop w:val="120"/>
          <w:marBottom w:val="0"/>
          <w:divBdr>
            <w:top w:val="none" w:sz="0" w:space="0" w:color="auto"/>
            <w:left w:val="none" w:sz="0" w:space="0" w:color="auto"/>
            <w:bottom w:val="none" w:sz="0" w:space="0" w:color="auto"/>
            <w:right w:val="none" w:sz="0" w:space="0" w:color="auto"/>
          </w:divBdr>
        </w:div>
        <w:div w:id="1432386184">
          <w:marLeft w:val="0"/>
          <w:marRight w:val="0"/>
          <w:marTop w:val="0"/>
          <w:marBottom w:val="0"/>
          <w:divBdr>
            <w:top w:val="none" w:sz="0" w:space="0" w:color="auto"/>
            <w:left w:val="none" w:sz="0" w:space="0" w:color="auto"/>
            <w:bottom w:val="none" w:sz="0" w:space="0" w:color="auto"/>
            <w:right w:val="none" w:sz="0" w:space="0" w:color="auto"/>
          </w:divBdr>
          <w:divsChild>
            <w:div w:id="16036083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22143076">
      <w:marLeft w:val="1080"/>
      <w:marRight w:val="0"/>
      <w:marTop w:val="0"/>
      <w:marBottom w:val="0"/>
      <w:divBdr>
        <w:top w:val="none" w:sz="0" w:space="0" w:color="auto"/>
        <w:left w:val="none" w:sz="0" w:space="0" w:color="auto"/>
        <w:bottom w:val="none" w:sz="0" w:space="0" w:color="auto"/>
        <w:right w:val="none" w:sz="0" w:space="0" w:color="auto"/>
      </w:divBdr>
    </w:div>
    <w:div w:id="1424909233">
      <w:marLeft w:val="960"/>
      <w:marRight w:val="0"/>
      <w:marTop w:val="0"/>
      <w:marBottom w:val="0"/>
      <w:divBdr>
        <w:top w:val="none" w:sz="0" w:space="0" w:color="auto"/>
        <w:left w:val="none" w:sz="0" w:space="0" w:color="auto"/>
        <w:bottom w:val="none" w:sz="0" w:space="0" w:color="auto"/>
        <w:right w:val="none" w:sz="0" w:space="0" w:color="auto"/>
      </w:divBdr>
    </w:div>
    <w:div w:id="1427653491">
      <w:marLeft w:val="840"/>
      <w:marRight w:val="0"/>
      <w:marTop w:val="0"/>
      <w:marBottom w:val="0"/>
      <w:divBdr>
        <w:top w:val="none" w:sz="0" w:space="0" w:color="auto"/>
        <w:left w:val="none" w:sz="0" w:space="0" w:color="auto"/>
        <w:bottom w:val="none" w:sz="0" w:space="0" w:color="auto"/>
        <w:right w:val="none" w:sz="0" w:space="0" w:color="auto"/>
      </w:divBdr>
    </w:div>
    <w:div w:id="1438476771">
      <w:marLeft w:val="0"/>
      <w:marRight w:val="0"/>
      <w:marTop w:val="0"/>
      <w:marBottom w:val="0"/>
      <w:divBdr>
        <w:top w:val="none" w:sz="0" w:space="0" w:color="auto"/>
        <w:left w:val="none" w:sz="0" w:space="0" w:color="auto"/>
        <w:bottom w:val="none" w:sz="0" w:space="0" w:color="auto"/>
        <w:right w:val="none" w:sz="0" w:space="0" w:color="auto"/>
      </w:divBdr>
      <w:divsChild>
        <w:div w:id="1854803135">
          <w:marLeft w:val="0"/>
          <w:marRight w:val="0"/>
          <w:marTop w:val="120"/>
          <w:marBottom w:val="0"/>
          <w:divBdr>
            <w:top w:val="none" w:sz="0" w:space="0" w:color="auto"/>
            <w:left w:val="none" w:sz="0" w:space="0" w:color="auto"/>
            <w:bottom w:val="none" w:sz="0" w:space="0" w:color="auto"/>
            <w:right w:val="none" w:sz="0" w:space="0" w:color="auto"/>
          </w:divBdr>
        </w:div>
        <w:div w:id="1396200666">
          <w:marLeft w:val="0"/>
          <w:marRight w:val="0"/>
          <w:marTop w:val="0"/>
          <w:marBottom w:val="0"/>
          <w:divBdr>
            <w:top w:val="none" w:sz="0" w:space="0" w:color="auto"/>
            <w:left w:val="none" w:sz="0" w:space="0" w:color="auto"/>
            <w:bottom w:val="none" w:sz="0" w:space="0" w:color="auto"/>
            <w:right w:val="none" w:sz="0" w:space="0" w:color="auto"/>
          </w:divBdr>
          <w:divsChild>
            <w:div w:id="1814073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9253880">
      <w:marLeft w:val="1080"/>
      <w:marRight w:val="0"/>
      <w:marTop w:val="0"/>
      <w:marBottom w:val="0"/>
      <w:divBdr>
        <w:top w:val="none" w:sz="0" w:space="0" w:color="auto"/>
        <w:left w:val="none" w:sz="0" w:space="0" w:color="auto"/>
        <w:bottom w:val="none" w:sz="0" w:space="0" w:color="auto"/>
        <w:right w:val="none" w:sz="0" w:space="0" w:color="auto"/>
      </w:divBdr>
    </w:div>
    <w:div w:id="1441071857">
      <w:marLeft w:val="0"/>
      <w:marRight w:val="0"/>
      <w:marTop w:val="0"/>
      <w:marBottom w:val="0"/>
      <w:divBdr>
        <w:top w:val="none" w:sz="0" w:space="0" w:color="auto"/>
        <w:left w:val="none" w:sz="0" w:space="0" w:color="auto"/>
        <w:bottom w:val="none" w:sz="0" w:space="0" w:color="auto"/>
        <w:right w:val="none" w:sz="0" w:space="0" w:color="auto"/>
      </w:divBdr>
      <w:divsChild>
        <w:div w:id="1497066922">
          <w:marLeft w:val="0"/>
          <w:marRight w:val="0"/>
          <w:marTop w:val="120"/>
          <w:marBottom w:val="0"/>
          <w:divBdr>
            <w:top w:val="none" w:sz="0" w:space="0" w:color="auto"/>
            <w:left w:val="none" w:sz="0" w:space="0" w:color="auto"/>
            <w:bottom w:val="none" w:sz="0" w:space="0" w:color="auto"/>
            <w:right w:val="none" w:sz="0" w:space="0" w:color="auto"/>
          </w:divBdr>
        </w:div>
        <w:div w:id="49617460">
          <w:marLeft w:val="0"/>
          <w:marRight w:val="0"/>
          <w:marTop w:val="0"/>
          <w:marBottom w:val="0"/>
          <w:divBdr>
            <w:top w:val="none" w:sz="0" w:space="0" w:color="auto"/>
            <w:left w:val="none" w:sz="0" w:space="0" w:color="auto"/>
            <w:bottom w:val="none" w:sz="0" w:space="0" w:color="auto"/>
            <w:right w:val="none" w:sz="0" w:space="0" w:color="auto"/>
          </w:divBdr>
          <w:divsChild>
            <w:div w:id="12614512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2260149">
      <w:marLeft w:val="720"/>
      <w:marRight w:val="0"/>
      <w:marTop w:val="0"/>
      <w:marBottom w:val="0"/>
      <w:divBdr>
        <w:top w:val="none" w:sz="0" w:space="0" w:color="auto"/>
        <w:left w:val="none" w:sz="0" w:space="0" w:color="auto"/>
        <w:bottom w:val="none" w:sz="0" w:space="0" w:color="auto"/>
        <w:right w:val="none" w:sz="0" w:space="0" w:color="auto"/>
      </w:divBdr>
    </w:div>
    <w:div w:id="1443987306">
      <w:marLeft w:val="960"/>
      <w:marRight w:val="0"/>
      <w:marTop w:val="0"/>
      <w:marBottom w:val="0"/>
      <w:divBdr>
        <w:top w:val="none" w:sz="0" w:space="0" w:color="auto"/>
        <w:left w:val="none" w:sz="0" w:space="0" w:color="auto"/>
        <w:bottom w:val="none" w:sz="0" w:space="0" w:color="auto"/>
        <w:right w:val="none" w:sz="0" w:space="0" w:color="auto"/>
      </w:divBdr>
    </w:div>
    <w:div w:id="1445686090">
      <w:marLeft w:val="0"/>
      <w:marRight w:val="0"/>
      <w:marTop w:val="0"/>
      <w:marBottom w:val="0"/>
      <w:divBdr>
        <w:top w:val="none" w:sz="0" w:space="0" w:color="auto"/>
        <w:left w:val="none" w:sz="0" w:space="0" w:color="auto"/>
        <w:bottom w:val="none" w:sz="0" w:space="0" w:color="auto"/>
        <w:right w:val="none" w:sz="0" w:space="0" w:color="auto"/>
      </w:divBdr>
      <w:divsChild>
        <w:div w:id="70392624">
          <w:marLeft w:val="0"/>
          <w:marRight w:val="0"/>
          <w:marTop w:val="120"/>
          <w:marBottom w:val="0"/>
          <w:divBdr>
            <w:top w:val="none" w:sz="0" w:space="0" w:color="auto"/>
            <w:left w:val="none" w:sz="0" w:space="0" w:color="auto"/>
            <w:bottom w:val="none" w:sz="0" w:space="0" w:color="auto"/>
            <w:right w:val="none" w:sz="0" w:space="0" w:color="auto"/>
          </w:divBdr>
        </w:div>
        <w:div w:id="750079397">
          <w:marLeft w:val="0"/>
          <w:marRight w:val="0"/>
          <w:marTop w:val="0"/>
          <w:marBottom w:val="0"/>
          <w:divBdr>
            <w:top w:val="none" w:sz="0" w:space="0" w:color="auto"/>
            <w:left w:val="none" w:sz="0" w:space="0" w:color="auto"/>
            <w:bottom w:val="none" w:sz="0" w:space="0" w:color="auto"/>
            <w:right w:val="none" w:sz="0" w:space="0" w:color="auto"/>
          </w:divBdr>
          <w:divsChild>
            <w:div w:id="494149302">
              <w:marLeft w:val="0"/>
              <w:marRight w:val="0"/>
              <w:marTop w:val="120"/>
              <w:marBottom w:val="0"/>
              <w:divBdr>
                <w:top w:val="none" w:sz="0" w:space="0" w:color="auto"/>
                <w:left w:val="none" w:sz="0" w:space="0" w:color="auto"/>
                <w:bottom w:val="none" w:sz="0" w:space="0" w:color="auto"/>
                <w:right w:val="none" w:sz="0" w:space="0" w:color="auto"/>
              </w:divBdr>
            </w:div>
            <w:div w:id="1554808251">
              <w:marLeft w:val="0"/>
              <w:marRight w:val="0"/>
              <w:marTop w:val="120"/>
              <w:marBottom w:val="0"/>
              <w:divBdr>
                <w:top w:val="none" w:sz="0" w:space="0" w:color="auto"/>
                <w:left w:val="none" w:sz="0" w:space="0" w:color="auto"/>
                <w:bottom w:val="none" w:sz="0" w:space="0" w:color="auto"/>
                <w:right w:val="none" w:sz="0" w:space="0" w:color="auto"/>
              </w:divBdr>
              <w:divsChild>
                <w:div w:id="993876190">
                  <w:marLeft w:val="0"/>
                  <w:marRight w:val="0"/>
                  <w:marTop w:val="0"/>
                  <w:marBottom w:val="0"/>
                  <w:divBdr>
                    <w:top w:val="none" w:sz="0" w:space="0" w:color="auto"/>
                    <w:left w:val="none" w:sz="0" w:space="0" w:color="auto"/>
                    <w:bottom w:val="none" w:sz="0" w:space="0" w:color="auto"/>
                    <w:right w:val="none" w:sz="0" w:space="0" w:color="auto"/>
                  </w:divBdr>
                  <w:divsChild>
                    <w:div w:id="1167599482">
                      <w:marLeft w:val="0"/>
                      <w:marRight w:val="0"/>
                      <w:marTop w:val="120"/>
                      <w:marBottom w:val="0"/>
                      <w:divBdr>
                        <w:top w:val="none" w:sz="0" w:space="0" w:color="auto"/>
                        <w:left w:val="none" w:sz="0" w:space="0" w:color="auto"/>
                        <w:bottom w:val="none" w:sz="0" w:space="0" w:color="auto"/>
                        <w:right w:val="none" w:sz="0" w:space="0" w:color="auto"/>
                      </w:divBdr>
                    </w:div>
                    <w:div w:id="1150556583">
                      <w:marLeft w:val="0"/>
                      <w:marRight w:val="0"/>
                      <w:marTop w:val="0"/>
                      <w:marBottom w:val="0"/>
                      <w:divBdr>
                        <w:top w:val="none" w:sz="0" w:space="0" w:color="auto"/>
                        <w:left w:val="none" w:sz="0" w:space="0" w:color="auto"/>
                        <w:bottom w:val="none" w:sz="0" w:space="0" w:color="auto"/>
                        <w:right w:val="none" w:sz="0" w:space="0" w:color="auto"/>
                      </w:divBdr>
                      <w:divsChild>
                        <w:div w:id="3795220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386060">
                  <w:marLeft w:val="0"/>
                  <w:marRight w:val="0"/>
                  <w:marTop w:val="0"/>
                  <w:marBottom w:val="0"/>
                  <w:divBdr>
                    <w:top w:val="none" w:sz="0" w:space="0" w:color="auto"/>
                    <w:left w:val="none" w:sz="0" w:space="0" w:color="auto"/>
                    <w:bottom w:val="none" w:sz="0" w:space="0" w:color="auto"/>
                    <w:right w:val="none" w:sz="0" w:space="0" w:color="auto"/>
                  </w:divBdr>
                  <w:divsChild>
                    <w:div w:id="1691486721">
                      <w:marLeft w:val="0"/>
                      <w:marRight w:val="0"/>
                      <w:marTop w:val="120"/>
                      <w:marBottom w:val="0"/>
                      <w:divBdr>
                        <w:top w:val="none" w:sz="0" w:space="0" w:color="auto"/>
                        <w:left w:val="none" w:sz="0" w:space="0" w:color="auto"/>
                        <w:bottom w:val="none" w:sz="0" w:space="0" w:color="auto"/>
                        <w:right w:val="none" w:sz="0" w:space="0" w:color="auto"/>
                      </w:divBdr>
                    </w:div>
                    <w:div w:id="381295214">
                      <w:marLeft w:val="0"/>
                      <w:marRight w:val="0"/>
                      <w:marTop w:val="0"/>
                      <w:marBottom w:val="0"/>
                      <w:divBdr>
                        <w:top w:val="none" w:sz="0" w:space="0" w:color="auto"/>
                        <w:left w:val="none" w:sz="0" w:space="0" w:color="auto"/>
                        <w:bottom w:val="none" w:sz="0" w:space="0" w:color="auto"/>
                        <w:right w:val="none" w:sz="0" w:space="0" w:color="auto"/>
                      </w:divBdr>
                      <w:divsChild>
                        <w:div w:id="15456315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85960120">
                  <w:marLeft w:val="0"/>
                  <w:marRight w:val="0"/>
                  <w:marTop w:val="0"/>
                  <w:marBottom w:val="0"/>
                  <w:divBdr>
                    <w:top w:val="none" w:sz="0" w:space="0" w:color="auto"/>
                    <w:left w:val="none" w:sz="0" w:space="0" w:color="auto"/>
                    <w:bottom w:val="none" w:sz="0" w:space="0" w:color="auto"/>
                    <w:right w:val="none" w:sz="0" w:space="0" w:color="auto"/>
                  </w:divBdr>
                  <w:divsChild>
                    <w:div w:id="559636416">
                      <w:marLeft w:val="0"/>
                      <w:marRight w:val="0"/>
                      <w:marTop w:val="120"/>
                      <w:marBottom w:val="0"/>
                      <w:divBdr>
                        <w:top w:val="none" w:sz="0" w:space="0" w:color="auto"/>
                        <w:left w:val="none" w:sz="0" w:space="0" w:color="auto"/>
                        <w:bottom w:val="none" w:sz="0" w:space="0" w:color="auto"/>
                        <w:right w:val="none" w:sz="0" w:space="0" w:color="auto"/>
                      </w:divBdr>
                    </w:div>
                    <w:div w:id="474223594">
                      <w:marLeft w:val="0"/>
                      <w:marRight w:val="0"/>
                      <w:marTop w:val="0"/>
                      <w:marBottom w:val="0"/>
                      <w:divBdr>
                        <w:top w:val="none" w:sz="0" w:space="0" w:color="auto"/>
                        <w:left w:val="none" w:sz="0" w:space="0" w:color="auto"/>
                        <w:bottom w:val="none" w:sz="0" w:space="0" w:color="auto"/>
                        <w:right w:val="none" w:sz="0" w:space="0" w:color="auto"/>
                      </w:divBdr>
                      <w:divsChild>
                        <w:div w:id="18007985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354052">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120"/>
          <w:marBottom w:val="0"/>
          <w:divBdr>
            <w:top w:val="none" w:sz="0" w:space="0" w:color="auto"/>
            <w:left w:val="none" w:sz="0" w:space="0" w:color="auto"/>
            <w:bottom w:val="none" w:sz="0" w:space="0" w:color="auto"/>
            <w:right w:val="none" w:sz="0" w:space="0" w:color="auto"/>
          </w:divBdr>
        </w:div>
        <w:div w:id="1711612008">
          <w:marLeft w:val="0"/>
          <w:marRight w:val="0"/>
          <w:marTop w:val="0"/>
          <w:marBottom w:val="0"/>
          <w:divBdr>
            <w:top w:val="none" w:sz="0" w:space="0" w:color="auto"/>
            <w:left w:val="none" w:sz="0" w:space="0" w:color="auto"/>
            <w:bottom w:val="none" w:sz="0" w:space="0" w:color="auto"/>
            <w:right w:val="none" w:sz="0" w:space="0" w:color="auto"/>
          </w:divBdr>
          <w:divsChild>
            <w:div w:id="17130690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4052524">
      <w:marLeft w:val="0"/>
      <w:marRight w:val="0"/>
      <w:marTop w:val="0"/>
      <w:marBottom w:val="0"/>
      <w:divBdr>
        <w:top w:val="none" w:sz="0" w:space="0" w:color="auto"/>
        <w:left w:val="none" w:sz="0" w:space="0" w:color="auto"/>
        <w:bottom w:val="none" w:sz="0" w:space="0" w:color="auto"/>
        <w:right w:val="none" w:sz="0" w:space="0" w:color="auto"/>
      </w:divBdr>
      <w:divsChild>
        <w:div w:id="458567601">
          <w:marLeft w:val="0"/>
          <w:marRight w:val="0"/>
          <w:marTop w:val="120"/>
          <w:marBottom w:val="0"/>
          <w:divBdr>
            <w:top w:val="none" w:sz="0" w:space="0" w:color="auto"/>
            <w:left w:val="none" w:sz="0" w:space="0" w:color="auto"/>
            <w:bottom w:val="none" w:sz="0" w:space="0" w:color="auto"/>
            <w:right w:val="none" w:sz="0" w:space="0" w:color="auto"/>
          </w:divBdr>
        </w:div>
        <w:div w:id="1294872651">
          <w:marLeft w:val="0"/>
          <w:marRight w:val="0"/>
          <w:marTop w:val="0"/>
          <w:marBottom w:val="0"/>
          <w:divBdr>
            <w:top w:val="none" w:sz="0" w:space="0" w:color="auto"/>
            <w:left w:val="none" w:sz="0" w:space="0" w:color="auto"/>
            <w:bottom w:val="none" w:sz="0" w:space="0" w:color="auto"/>
            <w:right w:val="none" w:sz="0" w:space="0" w:color="auto"/>
          </w:divBdr>
          <w:divsChild>
            <w:div w:id="10486037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4903342">
      <w:marLeft w:val="0"/>
      <w:marRight w:val="0"/>
      <w:marTop w:val="0"/>
      <w:marBottom w:val="0"/>
      <w:divBdr>
        <w:top w:val="none" w:sz="0" w:space="0" w:color="auto"/>
        <w:left w:val="none" w:sz="0" w:space="0" w:color="auto"/>
        <w:bottom w:val="none" w:sz="0" w:space="0" w:color="auto"/>
        <w:right w:val="none" w:sz="0" w:space="0" w:color="auto"/>
      </w:divBdr>
      <w:divsChild>
        <w:div w:id="153031075">
          <w:marLeft w:val="0"/>
          <w:marRight w:val="0"/>
          <w:marTop w:val="120"/>
          <w:marBottom w:val="0"/>
          <w:divBdr>
            <w:top w:val="none" w:sz="0" w:space="0" w:color="auto"/>
            <w:left w:val="none" w:sz="0" w:space="0" w:color="auto"/>
            <w:bottom w:val="none" w:sz="0" w:space="0" w:color="auto"/>
            <w:right w:val="none" w:sz="0" w:space="0" w:color="auto"/>
          </w:divBdr>
        </w:div>
        <w:div w:id="903175450">
          <w:marLeft w:val="0"/>
          <w:marRight w:val="0"/>
          <w:marTop w:val="0"/>
          <w:marBottom w:val="0"/>
          <w:divBdr>
            <w:top w:val="none" w:sz="0" w:space="0" w:color="auto"/>
            <w:left w:val="none" w:sz="0" w:space="0" w:color="auto"/>
            <w:bottom w:val="none" w:sz="0" w:space="0" w:color="auto"/>
            <w:right w:val="none" w:sz="0" w:space="0" w:color="auto"/>
          </w:divBdr>
          <w:divsChild>
            <w:div w:id="4825046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8182884">
      <w:marLeft w:val="1080"/>
      <w:marRight w:val="0"/>
      <w:marTop w:val="0"/>
      <w:marBottom w:val="0"/>
      <w:divBdr>
        <w:top w:val="none" w:sz="0" w:space="0" w:color="auto"/>
        <w:left w:val="none" w:sz="0" w:space="0" w:color="auto"/>
        <w:bottom w:val="none" w:sz="0" w:space="0" w:color="auto"/>
        <w:right w:val="none" w:sz="0" w:space="0" w:color="auto"/>
      </w:divBdr>
    </w:div>
    <w:div w:id="1468233400">
      <w:marLeft w:val="0"/>
      <w:marRight w:val="0"/>
      <w:marTop w:val="0"/>
      <w:marBottom w:val="0"/>
      <w:divBdr>
        <w:top w:val="none" w:sz="0" w:space="0" w:color="auto"/>
        <w:left w:val="none" w:sz="0" w:space="0" w:color="auto"/>
        <w:bottom w:val="none" w:sz="0" w:space="0" w:color="auto"/>
        <w:right w:val="none" w:sz="0" w:space="0" w:color="auto"/>
      </w:divBdr>
    </w:div>
    <w:div w:id="1468626646">
      <w:marLeft w:val="1080"/>
      <w:marRight w:val="0"/>
      <w:marTop w:val="0"/>
      <w:marBottom w:val="0"/>
      <w:divBdr>
        <w:top w:val="none" w:sz="0" w:space="0" w:color="auto"/>
        <w:left w:val="none" w:sz="0" w:space="0" w:color="auto"/>
        <w:bottom w:val="none" w:sz="0" w:space="0" w:color="auto"/>
        <w:right w:val="none" w:sz="0" w:space="0" w:color="auto"/>
      </w:divBdr>
    </w:div>
    <w:div w:id="1471482089">
      <w:marLeft w:val="0"/>
      <w:marRight w:val="0"/>
      <w:marTop w:val="0"/>
      <w:marBottom w:val="0"/>
      <w:divBdr>
        <w:top w:val="none" w:sz="0" w:space="0" w:color="auto"/>
        <w:left w:val="none" w:sz="0" w:space="0" w:color="auto"/>
        <w:bottom w:val="none" w:sz="0" w:space="0" w:color="auto"/>
        <w:right w:val="none" w:sz="0" w:space="0" w:color="auto"/>
      </w:divBdr>
      <w:divsChild>
        <w:div w:id="1735469649">
          <w:marLeft w:val="0"/>
          <w:marRight w:val="0"/>
          <w:marTop w:val="120"/>
          <w:marBottom w:val="0"/>
          <w:divBdr>
            <w:top w:val="none" w:sz="0" w:space="0" w:color="auto"/>
            <w:left w:val="none" w:sz="0" w:space="0" w:color="auto"/>
            <w:bottom w:val="none" w:sz="0" w:space="0" w:color="auto"/>
            <w:right w:val="none" w:sz="0" w:space="0" w:color="auto"/>
          </w:divBdr>
        </w:div>
        <w:div w:id="121774088">
          <w:marLeft w:val="0"/>
          <w:marRight w:val="0"/>
          <w:marTop w:val="0"/>
          <w:marBottom w:val="0"/>
          <w:divBdr>
            <w:top w:val="none" w:sz="0" w:space="0" w:color="auto"/>
            <w:left w:val="none" w:sz="0" w:space="0" w:color="auto"/>
            <w:bottom w:val="none" w:sz="0" w:space="0" w:color="auto"/>
            <w:right w:val="none" w:sz="0" w:space="0" w:color="auto"/>
          </w:divBdr>
        </w:div>
      </w:divsChild>
    </w:div>
    <w:div w:id="1473324241">
      <w:marLeft w:val="0"/>
      <w:marRight w:val="0"/>
      <w:marTop w:val="0"/>
      <w:marBottom w:val="0"/>
      <w:divBdr>
        <w:top w:val="none" w:sz="0" w:space="0" w:color="auto"/>
        <w:left w:val="none" w:sz="0" w:space="0" w:color="auto"/>
        <w:bottom w:val="none" w:sz="0" w:space="0" w:color="auto"/>
        <w:right w:val="none" w:sz="0" w:space="0" w:color="auto"/>
      </w:divBdr>
      <w:divsChild>
        <w:div w:id="1547642453">
          <w:marLeft w:val="0"/>
          <w:marRight w:val="0"/>
          <w:marTop w:val="120"/>
          <w:marBottom w:val="0"/>
          <w:divBdr>
            <w:top w:val="none" w:sz="0" w:space="0" w:color="auto"/>
            <w:left w:val="none" w:sz="0" w:space="0" w:color="auto"/>
            <w:bottom w:val="none" w:sz="0" w:space="0" w:color="auto"/>
            <w:right w:val="none" w:sz="0" w:space="0" w:color="auto"/>
          </w:divBdr>
        </w:div>
        <w:div w:id="1069881875">
          <w:marLeft w:val="0"/>
          <w:marRight w:val="0"/>
          <w:marTop w:val="0"/>
          <w:marBottom w:val="0"/>
          <w:divBdr>
            <w:top w:val="none" w:sz="0" w:space="0" w:color="auto"/>
            <w:left w:val="none" w:sz="0" w:space="0" w:color="auto"/>
            <w:bottom w:val="none" w:sz="0" w:space="0" w:color="auto"/>
            <w:right w:val="none" w:sz="0" w:space="0" w:color="auto"/>
          </w:divBdr>
          <w:divsChild>
            <w:div w:id="340594625">
              <w:marLeft w:val="0"/>
              <w:marRight w:val="0"/>
              <w:marTop w:val="120"/>
              <w:marBottom w:val="0"/>
              <w:divBdr>
                <w:top w:val="none" w:sz="0" w:space="0" w:color="auto"/>
                <w:left w:val="none" w:sz="0" w:space="0" w:color="auto"/>
                <w:bottom w:val="none" w:sz="0" w:space="0" w:color="auto"/>
                <w:right w:val="none" w:sz="0" w:space="0" w:color="auto"/>
              </w:divBdr>
            </w:div>
            <w:div w:id="1146050584">
              <w:marLeft w:val="0"/>
              <w:marRight w:val="0"/>
              <w:marTop w:val="120"/>
              <w:marBottom w:val="0"/>
              <w:divBdr>
                <w:top w:val="none" w:sz="0" w:space="0" w:color="auto"/>
                <w:left w:val="none" w:sz="0" w:space="0" w:color="auto"/>
                <w:bottom w:val="none" w:sz="0" w:space="0" w:color="auto"/>
                <w:right w:val="none" w:sz="0" w:space="0" w:color="auto"/>
              </w:divBdr>
              <w:divsChild>
                <w:div w:id="35811651">
                  <w:marLeft w:val="0"/>
                  <w:marRight w:val="0"/>
                  <w:marTop w:val="0"/>
                  <w:marBottom w:val="0"/>
                  <w:divBdr>
                    <w:top w:val="none" w:sz="0" w:space="0" w:color="auto"/>
                    <w:left w:val="none" w:sz="0" w:space="0" w:color="auto"/>
                    <w:bottom w:val="none" w:sz="0" w:space="0" w:color="auto"/>
                    <w:right w:val="none" w:sz="0" w:space="0" w:color="auto"/>
                  </w:divBdr>
                  <w:divsChild>
                    <w:div w:id="1510439132">
                      <w:marLeft w:val="0"/>
                      <w:marRight w:val="0"/>
                      <w:marTop w:val="120"/>
                      <w:marBottom w:val="0"/>
                      <w:divBdr>
                        <w:top w:val="none" w:sz="0" w:space="0" w:color="auto"/>
                        <w:left w:val="none" w:sz="0" w:space="0" w:color="auto"/>
                        <w:bottom w:val="none" w:sz="0" w:space="0" w:color="auto"/>
                        <w:right w:val="none" w:sz="0" w:space="0" w:color="auto"/>
                      </w:divBdr>
                    </w:div>
                    <w:div w:id="293877710">
                      <w:marLeft w:val="0"/>
                      <w:marRight w:val="0"/>
                      <w:marTop w:val="0"/>
                      <w:marBottom w:val="0"/>
                      <w:divBdr>
                        <w:top w:val="none" w:sz="0" w:space="0" w:color="auto"/>
                        <w:left w:val="none" w:sz="0" w:space="0" w:color="auto"/>
                        <w:bottom w:val="none" w:sz="0" w:space="0" w:color="auto"/>
                        <w:right w:val="none" w:sz="0" w:space="0" w:color="auto"/>
                      </w:divBdr>
                      <w:divsChild>
                        <w:div w:id="11035777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7661367">
                  <w:marLeft w:val="0"/>
                  <w:marRight w:val="0"/>
                  <w:marTop w:val="0"/>
                  <w:marBottom w:val="0"/>
                  <w:divBdr>
                    <w:top w:val="none" w:sz="0" w:space="0" w:color="auto"/>
                    <w:left w:val="none" w:sz="0" w:space="0" w:color="auto"/>
                    <w:bottom w:val="none" w:sz="0" w:space="0" w:color="auto"/>
                    <w:right w:val="none" w:sz="0" w:space="0" w:color="auto"/>
                  </w:divBdr>
                  <w:divsChild>
                    <w:div w:id="1144011553">
                      <w:marLeft w:val="0"/>
                      <w:marRight w:val="0"/>
                      <w:marTop w:val="120"/>
                      <w:marBottom w:val="0"/>
                      <w:divBdr>
                        <w:top w:val="none" w:sz="0" w:space="0" w:color="auto"/>
                        <w:left w:val="none" w:sz="0" w:space="0" w:color="auto"/>
                        <w:bottom w:val="none" w:sz="0" w:space="0" w:color="auto"/>
                        <w:right w:val="none" w:sz="0" w:space="0" w:color="auto"/>
                      </w:divBdr>
                    </w:div>
                    <w:div w:id="1301495844">
                      <w:marLeft w:val="0"/>
                      <w:marRight w:val="0"/>
                      <w:marTop w:val="0"/>
                      <w:marBottom w:val="0"/>
                      <w:divBdr>
                        <w:top w:val="none" w:sz="0" w:space="0" w:color="auto"/>
                        <w:left w:val="none" w:sz="0" w:space="0" w:color="auto"/>
                        <w:bottom w:val="none" w:sz="0" w:space="0" w:color="auto"/>
                        <w:right w:val="none" w:sz="0" w:space="0" w:color="auto"/>
                      </w:divBdr>
                      <w:divsChild>
                        <w:div w:id="21164354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35769116">
                  <w:marLeft w:val="0"/>
                  <w:marRight w:val="0"/>
                  <w:marTop w:val="0"/>
                  <w:marBottom w:val="0"/>
                  <w:divBdr>
                    <w:top w:val="none" w:sz="0" w:space="0" w:color="auto"/>
                    <w:left w:val="none" w:sz="0" w:space="0" w:color="auto"/>
                    <w:bottom w:val="none" w:sz="0" w:space="0" w:color="auto"/>
                    <w:right w:val="none" w:sz="0" w:space="0" w:color="auto"/>
                  </w:divBdr>
                  <w:divsChild>
                    <w:div w:id="1352224035">
                      <w:marLeft w:val="0"/>
                      <w:marRight w:val="0"/>
                      <w:marTop w:val="120"/>
                      <w:marBottom w:val="0"/>
                      <w:divBdr>
                        <w:top w:val="none" w:sz="0" w:space="0" w:color="auto"/>
                        <w:left w:val="none" w:sz="0" w:space="0" w:color="auto"/>
                        <w:bottom w:val="none" w:sz="0" w:space="0" w:color="auto"/>
                        <w:right w:val="none" w:sz="0" w:space="0" w:color="auto"/>
                      </w:divBdr>
                    </w:div>
                    <w:div w:id="696276114">
                      <w:marLeft w:val="0"/>
                      <w:marRight w:val="0"/>
                      <w:marTop w:val="0"/>
                      <w:marBottom w:val="0"/>
                      <w:divBdr>
                        <w:top w:val="none" w:sz="0" w:space="0" w:color="auto"/>
                        <w:left w:val="none" w:sz="0" w:space="0" w:color="auto"/>
                        <w:bottom w:val="none" w:sz="0" w:space="0" w:color="auto"/>
                        <w:right w:val="none" w:sz="0" w:space="0" w:color="auto"/>
                      </w:divBdr>
                      <w:divsChild>
                        <w:div w:id="11429624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13127">
      <w:marLeft w:val="1200"/>
      <w:marRight w:val="0"/>
      <w:marTop w:val="0"/>
      <w:marBottom w:val="0"/>
      <w:divBdr>
        <w:top w:val="none" w:sz="0" w:space="0" w:color="auto"/>
        <w:left w:val="none" w:sz="0" w:space="0" w:color="auto"/>
        <w:bottom w:val="none" w:sz="0" w:space="0" w:color="auto"/>
        <w:right w:val="none" w:sz="0" w:space="0" w:color="auto"/>
      </w:divBdr>
    </w:div>
    <w:div w:id="1486167316">
      <w:marLeft w:val="720"/>
      <w:marRight w:val="0"/>
      <w:marTop w:val="0"/>
      <w:marBottom w:val="0"/>
      <w:divBdr>
        <w:top w:val="none" w:sz="0" w:space="0" w:color="auto"/>
        <w:left w:val="none" w:sz="0" w:space="0" w:color="auto"/>
        <w:bottom w:val="none" w:sz="0" w:space="0" w:color="auto"/>
        <w:right w:val="none" w:sz="0" w:space="0" w:color="auto"/>
      </w:divBdr>
    </w:div>
    <w:div w:id="1492680021">
      <w:marLeft w:val="0"/>
      <w:marRight w:val="0"/>
      <w:marTop w:val="0"/>
      <w:marBottom w:val="0"/>
      <w:divBdr>
        <w:top w:val="none" w:sz="0" w:space="0" w:color="auto"/>
        <w:left w:val="none" w:sz="0" w:space="0" w:color="auto"/>
        <w:bottom w:val="none" w:sz="0" w:space="0" w:color="auto"/>
        <w:right w:val="none" w:sz="0" w:space="0" w:color="auto"/>
      </w:divBdr>
      <w:divsChild>
        <w:div w:id="188184651">
          <w:marLeft w:val="0"/>
          <w:marRight w:val="0"/>
          <w:marTop w:val="120"/>
          <w:marBottom w:val="0"/>
          <w:divBdr>
            <w:top w:val="none" w:sz="0" w:space="0" w:color="auto"/>
            <w:left w:val="none" w:sz="0" w:space="0" w:color="auto"/>
            <w:bottom w:val="none" w:sz="0" w:space="0" w:color="auto"/>
            <w:right w:val="none" w:sz="0" w:space="0" w:color="auto"/>
          </w:divBdr>
        </w:div>
        <w:div w:id="1238054344">
          <w:marLeft w:val="0"/>
          <w:marRight w:val="0"/>
          <w:marTop w:val="0"/>
          <w:marBottom w:val="0"/>
          <w:divBdr>
            <w:top w:val="none" w:sz="0" w:space="0" w:color="auto"/>
            <w:left w:val="none" w:sz="0" w:space="0" w:color="auto"/>
            <w:bottom w:val="none" w:sz="0" w:space="0" w:color="auto"/>
            <w:right w:val="none" w:sz="0" w:space="0" w:color="auto"/>
          </w:divBdr>
          <w:divsChild>
            <w:div w:id="2213281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93764684">
      <w:marLeft w:val="720"/>
      <w:marRight w:val="0"/>
      <w:marTop w:val="0"/>
      <w:marBottom w:val="0"/>
      <w:divBdr>
        <w:top w:val="none" w:sz="0" w:space="0" w:color="auto"/>
        <w:left w:val="none" w:sz="0" w:space="0" w:color="auto"/>
        <w:bottom w:val="none" w:sz="0" w:space="0" w:color="auto"/>
        <w:right w:val="none" w:sz="0" w:space="0" w:color="auto"/>
      </w:divBdr>
    </w:div>
    <w:div w:id="1500147549">
      <w:marLeft w:val="1080"/>
      <w:marRight w:val="0"/>
      <w:marTop w:val="0"/>
      <w:marBottom w:val="0"/>
      <w:divBdr>
        <w:top w:val="none" w:sz="0" w:space="0" w:color="auto"/>
        <w:left w:val="none" w:sz="0" w:space="0" w:color="auto"/>
        <w:bottom w:val="none" w:sz="0" w:space="0" w:color="auto"/>
        <w:right w:val="none" w:sz="0" w:space="0" w:color="auto"/>
      </w:divBdr>
    </w:div>
    <w:div w:id="1502237200">
      <w:marLeft w:val="720"/>
      <w:marRight w:val="0"/>
      <w:marTop w:val="0"/>
      <w:marBottom w:val="0"/>
      <w:divBdr>
        <w:top w:val="none" w:sz="0" w:space="0" w:color="auto"/>
        <w:left w:val="none" w:sz="0" w:space="0" w:color="auto"/>
        <w:bottom w:val="none" w:sz="0" w:space="0" w:color="auto"/>
        <w:right w:val="none" w:sz="0" w:space="0" w:color="auto"/>
      </w:divBdr>
    </w:div>
    <w:div w:id="1506824612">
      <w:marLeft w:val="960"/>
      <w:marRight w:val="0"/>
      <w:marTop w:val="0"/>
      <w:marBottom w:val="0"/>
      <w:divBdr>
        <w:top w:val="none" w:sz="0" w:space="0" w:color="auto"/>
        <w:left w:val="none" w:sz="0" w:space="0" w:color="auto"/>
        <w:bottom w:val="none" w:sz="0" w:space="0" w:color="auto"/>
        <w:right w:val="none" w:sz="0" w:space="0" w:color="auto"/>
      </w:divBdr>
    </w:div>
    <w:div w:id="1508447703">
      <w:marLeft w:val="960"/>
      <w:marRight w:val="0"/>
      <w:marTop w:val="0"/>
      <w:marBottom w:val="0"/>
      <w:divBdr>
        <w:top w:val="none" w:sz="0" w:space="0" w:color="auto"/>
        <w:left w:val="none" w:sz="0" w:space="0" w:color="auto"/>
        <w:bottom w:val="none" w:sz="0" w:space="0" w:color="auto"/>
        <w:right w:val="none" w:sz="0" w:space="0" w:color="auto"/>
      </w:divBdr>
    </w:div>
    <w:div w:id="1509521162">
      <w:marLeft w:val="720"/>
      <w:marRight w:val="0"/>
      <w:marTop w:val="0"/>
      <w:marBottom w:val="0"/>
      <w:divBdr>
        <w:top w:val="none" w:sz="0" w:space="0" w:color="auto"/>
        <w:left w:val="none" w:sz="0" w:space="0" w:color="auto"/>
        <w:bottom w:val="none" w:sz="0" w:space="0" w:color="auto"/>
        <w:right w:val="none" w:sz="0" w:space="0" w:color="auto"/>
      </w:divBdr>
    </w:div>
    <w:div w:id="1513951664">
      <w:marLeft w:val="0"/>
      <w:marRight w:val="0"/>
      <w:marTop w:val="0"/>
      <w:marBottom w:val="0"/>
      <w:divBdr>
        <w:top w:val="none" w:sz="0" w:space="0" w:color="auto"/>
        <w:left w:val="none" w:sz="0" w:space="0" w:color="auto"/>
        <w:bottom w:val="none" w:sz="0" w:space="0" w:color="auto"/>
        <w:right w:val="none" w:sz="0" w:space="0" w:color="auto"/>
      </w:divBdr>
      <w:divsChild>
        <w:div w:id="1307199243">
          <w:marLeft w:val="0"/>
          <w:marRight w:val="0"/>
          <w:marTop w:val="120"/>
          <w:marBottom w:val="0"/>
          <w:divBdr>
            <w:top w:val="none" w:sz="0" w:space="0" w:color="auto"/>
            <w:left w:val="none" w:sz="0" w:space="0" w:color="auto"/>
            <w:bottom w:val="none" w:sz="0" w:space="0" w:color="auto"/>
            <w:right w:val="none" w:sz="0" w:space="0" w:color="auto"/>
          </w:divBdr>
        </w:div>
        <w:div w:id="1314067827">
          <w:marLeft w:val="0"/>
          <w:marRight w:val="0"/>
          <w:marTop w:val="0"/>
          <w:marBottom w:val="0"/>
          <w:divBdr>
            <w:top w:val="none" w:sz="0" w:space="0" w:color="auto"/>
            <w:left w:val="none" w:sz="0" w:space="0" w:color="auto"/>
            <w:bottom w:val="none" w:sz="0" w:space="0" w:color="auto"/>
            <w:right w:val="none" w:sz="0" w:space="0" w:color="auto"/>
          </w:divBdr>
          <w:divsChild>
            <w:div w:id="1627919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15266252">
      <w:marLeft w:val="0"/>
      <w:marRight w:val="0"/>
      <w:marTop w:val="0"/>
      <w:marBottom w:val="0"/>
      <w:divBdr>
        <w:top w:val="none" w:sz="0" w:space="0" w:color="auto"/>
        <w:left w:val="none" w:sz="0" w:space="0" w:color="auto"/>
        <w:bottom w:val="none" w:sz="0" w:space="0" w:color="auto"/>
        <w:right w:val="none" w:sz="0" w:space="0" w:color="auto"/>
      </w:divBdr>
    </w:div>
    <w:div w:id="1516656400">
      <w:marLeft w:val="0"/>
      <w:marRight w:val="0"/>
      <w:marTop w:val="0"/>
      <w:marBottom w:val="0"/>
      <w:divBdr>
        <w:top w:val="none" w:sz="0" w:space="0" w:color="auto"/>
        <w:left w:val="none" w:sz="0" w:space="0" w:color="auto"/>
        <w:bottom w:val="none" w:sz="0" w:space="0" w:color="auto"/>
        <w:right w:val="none" w:sz="0" w:space="0" w:color="auto"/>
      </w:divBdr>
      <w:divsChild>
        <w:div w:id="1956138490">
          <w:marLeft w:val="0"/>
          <w:marRight w:val="0"/>
          <w:marTop w:val="120"/>
          <w:marBottom w:val="0"/>
          <w:divBdr>
            <w:top w:val="none" w:sz="0" w:space="0" w:color="auto"/>
            <w:left w:val="none" w:sz="0" w:space="0" w:color="auto"/>
            <w:bottom w:val="none" w:sz="0" w:space="0" w:color="auto"/>
            <w:right w:val="none" w:sz="0" w:space="0" w:color="auto"/>
          </w:divBdr>
        </w:div>
        <w:div w:id="220603427">
          <w:marLeft w:val="0"/>
          <w:marRight w:val="0"/>
          <w:marTop w:val="0"/>
          <w:marBottom w:val="0"/>
          <w:divBdr>
            <w:top w:val="none" w:sz="0" w:space="0" w:color="auto"/>
            <w:left w:val="none" w:sz="0" w:space="0" w:color="auto"/>
            <w:bottom w:val="none" w:sz="0" w:space="0" w:color="auto"/>
            <w:right w:val="none" w:sz="0" w:space="0" w:color="auto"/>
          </w:divBdr>
        </w:div>
      </w:divsChild>
    </w:div>
    <w:div w:id="1517884937">
      <w:marLeft w:val="960"/>
      <w:marRight w:val="0"/>
      <w:marTop w:val="0"/>
      <w:marBottom w:val="0"/>
      <w:divBdr>
        <w:top w:val="none" w:sz="0" w:space="0" w:color="auto"/>
        <w:left w:val="none" w:sz="0" w:space="0" w:color="auto"/>
        <w:bottom w:val="none" w:sz="0" w:space="0" w:color="auto"/>
        <w:right w:val="none" w:sz="0" w:space="0" w:color="auto"/>
      </w:divBdr>
    </w:div>
    <w:div w:id="1523517086">
      <w:marLeft w:val="960"/>
      <w:marRight w:val="0"/>
      <w:marTop w:val="0"/>
      <w:marBottom w:val="0"/>
      <w:divBdr>
        <w:top w:val="none" w:sz="0" w:space="0" w:color="auto"/>
        <w:left w:val="none" w:sz="0" w:space="0" w:color="auto"/>
        <w:bottom w:val="none" w:sz="0" w:space="0" w:color="auto"/>
        <w:right w:val="none" w:sz="0" w:space="0" w:color="auto"/>
      </w:divBdr>
    </w:div>
    <w:div w:id="1527407900">
      <w:marLeft w:val="0"/>
      <w:marRight w:val="0"/>
      <w:marTop w:val="0"/>
      <w:marBottom w:val="0"/>
      <w:divBdr>
        <w:top w:val="none" w:sz="0" w:space="0" w:color="auto"/>
        <w:left w:val="none" w:sz="0" w:space="0" w:color="auto"/>
        <w:bottom w:val="none" w:sz="0" w:space="0" w:color="auto"/>
        <w:right w:val="none" w:sz="0" w:space="0" w:color="auto"/>
      </w:divBdr>
      <w:divsChild>
        <w:div w:id="1204635866">
          <w:marLeft w:val="0"/>
          <w:marRight w:val="0"/>
          <w:marTop w:val="120"/>
          <w:marBottom w:val="0"/>
          <w:divBdr>
            <w:top w:val="none" w:sz="0" w:space="0" w:color="auto"/>
            <w:left w:val="none" w:sz="0" w:space="0" w:color="auto"/>
            <w:bottom w:val="none" w:sz="0" w:space="0" w:color="auto"/>
            <w:right w:val="none" w:sz="0" w:space="0" w:color="auto"/>
          </w:divBdr>
        </w:div>
        <w:div w:id="826017361">
          <w:marLeft w:val="0"/>
          <w:marRight w:val="0"/>
          <w:marTop w:val="0"/>
          <w:marBottom w:val="0"/>
          <w:divBdr>
            <w:top w:val="none" w:sz="0" w:space="0" w:color="auto"/>
            <w:left w:val="none" w:sz="0" w:space="0" w:color="auto"/>
            <w:bottom w:val="none" w:sz="0" w:space="0" w:color="auto"/>
            <w:right w:val="none" w:sz="0" w:space="0" w:color="auto"/>
          </w:divBdr>
          <w:divsChild>
            <w:div w:id="18803162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8711504">
      <w:marLeft w:val="720"/>
      <w:marRight w:val="0"/>
      <w:marTop w:val="0"/>
      <w:marBottom w:val="0"/>
      <w:divBdr>
        <w:top w:val="none" w:sz="0" w:space="0" w:color="auto"/>
        <w:left w:val="none" w:sz="0" w:space="0" w:color="auto"/>
        <w:bottom w:val="none" w:sz="0" w:space="0" w:color="auto"/>
        <w:right w:val="none" w:sz="0" w:space="0" w:color="auto"/>
      </w:divBdr>
    </w:div>
    <w:div w:id="1537619218">
      <w:marLeft w:val="1080"/>
      <w:marRight w:val="0"/>
      <w:marTop w:val="0"/>
      <w:marBottom w:val="0"/>
      <w:divBdr>
        <w:top w:val="none" w:sz="0" w:space="0" w:color="auto"/>
        <w:left w:val="none" w:sz="0" w:space="0" w:color="auto"/>
        <w:bottom w:val="none" w:sz="0" w:space="0" w:color="auto"/>
        <w:right w:val="none" w:sz="0" w:space="0" w:color="auto"/>
      </w:divBdr>
    </w:div>
    <w:div w:id="1542476505">
      <w:marLeft w:val="840"/>
      <w:marRight w:val="0"/>
      <w:marTop w:val="0"/>
      <w:marBottom w:val="0"/>
      <w:divBdr>
        <w:top w:val="none" w:sz="0" w:space="0" w:color="auto"/>
        <w:left w:val="none" w:sz="0" w:space="0" w:color="auto"/>
        <w:bottom w:val="none" w:sz="0" w:space="0" w:color="auto"/>
        <w:right w:val="none" w:sz="0" w:space="0" w:color="auto"/>
      </w:divBdr>
    </w:div>
    <w:div w:id="1543783481">
      <w:marLeft w:val="720"/>
      <w:marRight w:val="0"/>
      <w:marTop w:val="0"/>
      <w:marBottom w:val="0"/>
      <w:divBdr>
        <w:top w:val="none" w:sz="0" w:space="0" w:color="auto"/>
        <w:left w:val="none" w:sz="0" w:space="0" w:color="auto"/>
        <w:bottom w:val="none" w:sz="0" w:space="0" w:color="auto"/>
        <w:right w:val="none" w:sz="0" w:space="0" w:color="auto"/>
      </w:divBdr>
    </w:div>
    <w:div w:id="1544749405">
      <w:marLeft w:val="720"/>
      <w:marRight w:val="0"/>
      <w:marTop w:val="0"/>
      <w:marBottom w:val="0"/>
      <w:divBdr>
        <w:top w:val="none" w:sz="0" w:space="0" w:color="auto"/>
        <w:left w:val="none" w:sz="0" w:space="0" w:color="auto"/>
        <w:bottom w:val="none" w:sz="0" w:space="0" w:color="auto"/>
        <w:right w:val="none" w:sz="0" w:space="0" w:color="auto"/>
      </w:divBdr>
    </w:div>
    <w:div w:id="1546332382">
      <w:marLeft w:val="0"/>
      <w:marRight w:val="0"/>
      <w:marTop w:val="0"/>
      <w:marBottom w:val="0"/>
      <w:divBdr>
        <w:top w:val="none" w:sz="0" w:space="0" w:color="auto"/>
        <w:left w:val="none" w:sz="0" w:space="0" w:color="auto"/>
        <w:bottom w:val="none" w:sz="0" w:space="0" w:color="auto"/>
        <w:right w:val="none" w:sz="0" w:space="0" w:color="auto"/>
      </w:divBdr>
    </w:div>
    <w:div w:id="1548686495">
      <w:marLeft w:val="960"/>
      <w:marRight w:val="0"/>
      <w:marTop w:val="0"/>
      <w:marBottom w:val="0"/>
      <w:divBdr>
        <w:top w:val="none" w:sz="0" w:space="0" w:color="auto"/>
        <w:left w:val="none" w:sz="0" w:space="0" w:color="auto"/>
        <w:bottom w:val="none" w:sz="0" w:space="0" w:color="auto"/>
        <w:right w:val="none" w:sz="0" w:space="0" w:color="auto"/>
      </w:divBdr>
    </w:div>
    <w:div w:id="1550728979">
      <w:marLeft w:val="720"/>
      <w:marRight w:val="0"/>
      <w:marTop w:val="0"/>
      <w:marBottom w:val="0"/>
      <w:divBdr>
        <w:top w:val="none" w:sz="0" w:space="0" w:color="auto"/>
        <w:left w:val="none" w:sz="0" w:space="0" w:color="auto"/>
        <w:bottom w:val="none" w:sz="0" w:space="0" w:color="auto"/>
        <w:right w:val="none" w:sz="0" w:space="0" w:color="auto"/>
      </w:divBdr>
    </w:div>
    <w:div w:id="1552498122">
      <w:marLeft w:val="0"/>
      <w:marRight w:val="0"/>
      <w:marTop w:val="0"/>
      <w:marBottom w:val="0"/>
      <w:divBdr>
        <w:top w:val="none" w:sz="0" w:space="0" w:color="auto"/>
        <w:left w:val="none" w:sz="0" w:space="0" w:color="auto"/>
        <w:bottom w:val="none" w:sz="0" w:space="0" w:color="auto"/>
        <w:right w:val="none" w:sz="0" w:space="0" w:color="auto"/>
      </w:divBdr>
      <w:divsChild>
        <w:div w:id="808090632">
          <w:marLeft w:val="0"/>
          <w:marRight w:val="0"/>
          <w:marTop w:val="120"/>
          <w:marBottom w:val="0"/>
          <w:divBdr>
            <w:top w:val="none" w:sz="0" w:space="0" w:color="auto"/>
            <w:left w:val="none" w:sz="0" w:space="0" w:color="auto"/>
            <w:bottom w:val="none" w:sz="0" w:space="0" w:color="auto"/>
            <w:right w:val="none" w:sz="0" w:space="0" w:color="auto"/>
          </w:divBdr>
        </w:div>
        <w:div w:id="1987781940">
          <w:marLeft w:val="0"/>
          <w:marRight w:val="0"/>
          <w:marTop w:val="0"/>
          <w:marBottom w:val="0"/>
          <w:divBdr>
            <w:top w:val="none" w:sz="0" w:space="0" w:color="auto"/>
            <w:left w:val="none" w:sz="0" w:space="0" w:color="auto"/>
            <w:bottom w:val="none" w:sz="0" w:space="0" w:color="auto"/>
            <w:right w:val="none" w:sz="0" w:space="0" w:color="auto"/>
          </w:divBdr>
          <w:divsChild>
            <w:div w:id="21304672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2644063">
      <w:marLeft w:val="960"/>
      <w:marRight w:val="0"/>
      <w:marTop w:val="0"/>
      <w:marBottom w:val="0"/>
      <w:divBdr>
        <w:top w:val="none" w:sz="0" w:space="0" w:color="auto"/>
        <w:left w:val="none" w:sz="0" w:space="0" w:color="auto"/>
        <w:bottom w:val="none" w:sz="0" w:space="0" w:color="auto"/>
        <w:right w:val="none" w:sz="0" w:space="0" w:color="auto"/>
      </w:divBdr>
    </w:div>
    <w:div w:id="1552693108">
      <w:marLeft w:val="840"/>
      <w:marRight w:val="0"/>
      <w:marTop w:val="0"/>
      <w:marBottom w:val="0"/>
      <w:divBdr>
        <w:top w:val="none" w:sz="0" w:space="0" w:color="auto"/>
        <w:left w:val="none" w:sz="0" w:space="0" w:color="auto"/>
        <w:bottom w:val="none" w:sz="0" w:space="0" w:color="auto"/>
        <w:right w:val="none" w:sz="0" w:space="0" w:color="auto"/>
      </w:divBdr>
    </w:div>
    <w:div w:id="1555003248">
      <w:marLeft w:val="720"/>
      <w:marRight w:val="0"/>
      <w:marTop w:val="0"/>
      <w:marBottom w:val="0"/>
      <w:divBdr>
        <w:top w:val="none" w:sz="0" w:space="0" w:color="auto"/>
        <w:left w:val="none" w:sz="0" w:space="0" w:color="auto"/>
        <w:bottom w:val="none" w:sz="0" w:space="0" w:color="auto"/>
        <w:right w:val="none" w:sz="0" w:space="0" w:color="auto"/>
      </w:divBdr>
    </w:div>
    <w:div w:id="1558206583">
      <w:marLeft w:val="960"/>
      <w:marRight w:val="0"/>
      <w:marTop w:val="0"/>
      <w:marBottom w:val="0"/>
      <w:divBdr>
        <w:top w:val="none" w:sz="0" w:space="0" w:color="auto"/>
        <w:left w:val="none" w:sz="0" w:space="0" w:color="auto"/>
        <w:bottom w:val="none" w:sz="0" w:space="0" w:color="auto"/>
        <w:right w:val="none" w:sz="0" w:space="0" w:color="auto"/>
      </w:divBdr>
    </w:div>
    <w:div w:id="1559244862">
      <w:marLeft w:val="1200"/>
      <w:marRight w:val="0"/>
      <w:marTop w:val="0"/>
      <w:marBottom w:val="0"/>
      <w:divBdr>
        <w:top w:val="none" w:sz="0" w:space="0" w:color="auto"/>
        <w:left w:val="none" w:sz="0" w:space="0" w:color="auto"/>
        <w:bottom w:val="none" w:sz="0" w:space="0" w:color="auto"/>
        <w:right w:val="none" w:sz="0" w:space="0" w:color="auto"/>
      </w:divBdr>
    </w:div>
    <w:div w:id="1559708094">
      <w:marLeft w:val="1080"/>
      <w:marRight w:val="0"/>
      <w:marTop w:val="0"/>
      <w:marBottom w:val="0"/>
      <w:divBdr>
        <w:top w:val="none" w:sz="0" w:space="0" w:color="auto"/>
        <w:left w:val="none" w:sz="0" w:space="0" w:color="auto"/>
        <w:bottom w:val="none" w:sz="0" w:space="0" w:color="auto"/>
        <w:right w:val="none" w:sz="0" w:space="0" w:color="auto"/>
      </w:divBdr>
    </w:div>
    <w:div w:id="1561013300">
      <w:marLeft w:val="720"/>
      <w:marRight w:val="0"/>
      <w:marTop w:val="0"/>
      <w:marBottom w:val="0"/>
      <w:divBdr>
        <w:top w:val="none" w:sz="0" w:space="0" w:color="auto"/>
        <w:left w:val="none" w:sz="0" w:space="0" w:color="auto"/>
        <w:bottom w:val="none" w:sz="0" w:space="0" w:color="auto"/>
        <w:right w:val="none" w:sz="0" w:space="0" w:color="auto"/>
      </w:divBdr>
    </w:div>
    <w:div w:id="1571035524">
      <w:marLeft w:val="720"/>
      <w:marRight w:val="0"/>
      <w:marTop w:val="0"/>
      <w:marBottom w:val="0"/>
      <w:divBdr>
        <w:top w:val="none" w:sz="0" w:space="0" w:color="auto"/>
        <w:left w:val="none" w:sz="0" w:space="0" w:color="auto"/>
        <w:bottom w:val="none" w:sz="0" w:space="0" w:color="auto"/>
        <w:right w:val="none" w:sz="0" w:space="0" w:color="auto"/>
      </w:divBdr>
    </w:div>
    <w:div w:id="1581713506">
      <w:marLeft w:val="1200"/>
      <w:marRight w:val="0"/>
      <w:marTop w:val="0"/>
      <w:marBottom w:val="0"/>
      <w:divBdr>
        <w:top w:val="none" w:sz="0" w:space="0" w:color="auto"/>
        <w:left w:val="none" w:sz="0" w:space="0" w:color="auto"/>
        <w:bottom w:val="none" w:sz="0" w:space="0" w:color="auto"/>
        <w:right w:val="none" w:sz="0" w:space="0" w:color="auto"/>
      </w:divBdr>
    </w:div>
    <w:div w:id="1583174496">
      <w:marLeft w:val="1080"/>
      <w:marRight w:val="0"/>
      <w:marTop w:val="0"/>
      <w:marBottom w:val="0"/>
      <w:divBdr>
        <w:top w:val="none" w:sz="0" w:space="0" w:color="auto"/>
        <w:left w:val="none" w:sz="0" w:space="0" w:color="auto"/>
        <w:bottom w:val="none" w:sz="0" w:space="0" w:color="auto"/>
        <w:right w:val="none" w:sz="0" w:space="0" w:color="auto"/>
      </w:divBdr>
    </w:div>
    <w:div w:id="1583221339">
      <w:marLeft w:val="1080"/>
      <w:marRight w:val="0"/>
      <w:marTop w:val="0"/>
      <w:marBottom w:val="0"/>
      <w:divBdr>
        <w:top w:val="none" w:sz="0" w:space="0" w:color="auto"/>
        <w:left w:val="none" w:sz="0" w:space="0" w:color="auto"/>
        <w:bottom w:val="none" w:sz="0" w:space="0" w:color="auto"/>
        <w:right w:val="none" w:sz="0" w:space="0" w:color="auto"/>
      </w:divBdr>
    </w:div>
    <w:div w:id="1586723028">
      <w:marLeft w:val="0"/>
      <w:marRight w:val="0"/>
      <w:marTop w:val="0"/>
      <w:marBottom w:val="0"/>
      <w:divBdr>
        <w:top w:val="none" w:sz="0" w:space="0" w:color="auto"/>
        <w:left w:val="none" w:sz="0" w:space="0" w:color="auto"/>
        <w:bottom w:val="none" w:sz="0" w:space="0" w:color="auto"/>
        <w:right w:val="none" w:sz="0" w:space="0" w:color="auto"/>
      </w:divBdr>
      <w:divsChild>
        <w:div w:id="2144032966">
          <w:marLeft w:val="0"/>
          <w:marRight w:val="0"/>
          <w:marTop w:val="120"/>
          <w:marBottom w:val="0"/>
          <w:divBdr>
            <w:top w:val="none" w:sz="0" w:space="0" w:color="auto"/>
            <w:left w:val="none" w:sz="0" w:space="0" w:color="auto"/>
            <w:bottom w:val="none" w:sz="0" w:space="0" w:color="auto"/>
            <w:right w:val="none" w:sz="0" w:space="0" w:color="auto"/>
          </w:divBdr>
        </w:div>
        <w:div w:id="160394143">
          <w:marLeft w:val="0"/>
          <w:marRight w:val="0"/>
          <w:marTop w:val="0"/>
          <w:marBottom w:val="0"/>
          <w:divBdr>
            <w:top w:val="none" w:sz="0" w:space="0" w:color="auto"/>
            <w:left w:val="none" w:sz="0" w:space="0" w:color="auto"/>
            <w:bottom w:val="none" w:sz="0" w:space="0" w:color="auto"/>
            <w:right w:val="none" w:sz="0" w:space="0" w:color="auto"/>
          </w:divBdr>
          <w:divsChild>
            <w:div w:id="898517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3397516">
      <w:marLeft w:val="720"/>
      <w:marRight w:val="0"/>
      <w:marTop w:val="0"/>
      <w:marBottom w:val="0"/>
      <w:divBdr>
        <w:top w:val="none" w:sz="0" w:space="0" w:color="auto"/>
        <w:left w:val="none" w:sz="0" w:space="0" w:color="auto"/>
        <w:bottom w:val="none" w:sz="0" w:space="0" w:color="auto"/>
        <w:right w:val="none" w:sz="0" w:space="0" w:color="auto"/>
      </w:divBdr>
    </w:div>
    <w:div w:id="1597903800">
      <w:marLeft w:val="1080"/>
      <w:marRight w:val="0"/>
      <w:marTop w:val="0"/>
      <w:marBottom w:val="0"/>
      <w:divBdr>
        <w:top w:val="none" w:sz="0" w:space="0" w:color="auto"/>
        <w:left w:val="none" w:sz="0" w:space="0" w:color="auto"/>
        <w:bottom w:val="none" w:sz="0" w:space="0" w:color="auto"/>
        <w:right w:val="none" w:sz="0" w:space="0" w:color="auto"/>
      </w:divBdr>
    </w:div>
    <w:div w:id="1601450662">
      <w:marLeft w:val="1080"/>
      <w:marRight w:val="0"/>
      <w:marTop w:val="0"/>
      <w:marBottom w:val="0"/>
      <w:divBdr>
        <w:top w:val="none" w:sz="0" w:space="0" w:color="auto"/>
        <w:left w:val="none" w:sz="0" w:space="0" w:color="auto"/>
        <w:bottom w:val="none" w:sz="0" w:space="0" w:color="auto"/>
        <w:right w:val="none" w:sz="0" w:space="0" w:color="auto"/>
      </w:divBdr>
    </w:div>
    <w:div w:id="1601909936">
      <w:marLeft w:val="960"/>
      <w:marRight w:val="0"/>
      <w:marTop w:val="0"/>
      <w:marBottom w:val="0"/>
      <w:divBdr>
        <w:top w:val="none" w:sz="0" w:space="0" w:color="auto"/>
        <w:left w:val="none" w:sz="0" w:space="0" w:color="auto"/>
        <w:bottom w:val="none" w:sz="0" w:space="0" w:color="auto"/>
        <w:right w:val="none" w:sz="0" w:space="0" w:color="auto"/>
      </w:divBdr>
    </w:div>
    <w:div w:id="1602299195">
      <w:marLeft w:val="0"/>
      <w:marRight w:val="0"/>
      <w:marTop w:val="0"/>
      <w:marBottom w:val="0"/>
      <w:divBdr>
        <w:top w:val="none" w:sz="0" w:space="0" w:color="auto"/>
        <w:left w:val="none" w:sz="0" w:space="0" w:color="auto"/>
        <w:bottom w:val="none" w:sz="0" w:space="0" w:color="auto"/>
        <w:right w:val="none" w:sz="0" w:space="0" w:color="auto"/>
      </w:divBdr>
      <w:divsChild>
        <w:div w:id="79914045">
          <w:marLeft w:val="0"/>
          <w:marRight w:val="0"/>
          <w:marTop w:val="120"/>
          <w:marBottom w:val="0"/>
          <w:divBdr>
            <w:top w:val="none" w:sz="0" w:space="0" w:color="auto"/>
            <w:left w:val="none" w:sz="0" w:space="0" w:color="auto"/>
            <w:bottom w:val="none" w:sz="0" w:space="0" w:color="auto"/>
            <w:right w:val="none" w:sz="0" w:space="0" w:color="auto"/>
          </w:divBdr>
        </w:div>
        <w:div w:id="1235046682">
          <w:marLeft w:val="0"/>
          <w:marRight w:val="0"/>
          <w:marTop w:val="0"/>
          <w:marBottom w:val="0"/>
          <w:divBdr>
            <w:top w:val="none" w:sz="0" w:space="0" w:color="auto"/>
            <w:left w:val="none" w:sz="0" w:space="0" w:color="auto"/>
            <w:bottom w:val="none" w:sz="0" w:space="0" w:color="auto"/>
            <w:right w:val="none" w:sz="0" w:space="0" w:color="auto"/>
          </w:divBdr>
          <w:divsChild>
            <w:div w:id="588079275">
              <w:marLeft w:val="0"/>
              <w:marRight w:val="0"/>
              <w:marTop w:val="120"/>
              <w:marBottom w:val="0"/>
              <w:divBdr>
                <w:top w:val="none" w:sz="0" w:space="0" w:color="auto"/>
                <w:left w:val="none" w:sz="0" w:space="0" w:color="auto"/>
                <w:bottom w:val="none" w:sz="0" w:space="0" w:color="auto"/>
                <w:right w:val="none" w:sz="0" w:space="0" w:color="auto"/>
              </w:divBdr>
            </w:div>
            <w:div w:id="609314268">
              <w:marLeft w:val="0"/>
              <w:marRight w:val="0"/>
              <w:marTop w:val="120"/>
              <w:marBottom w:val="0"/>
              <w:divBdr>
                <w:top w:val="none" w:sz="0" w:space="0" w:color="auto"/>
                <w:left w:val="none" w:sz="0" w:space="0" w:color="auto"/>
                <w:bottom w:val="none" w:sz="0" w:space="0" w:color="auto"/>
                <w:right w:val="none" w:sz="0" w:space="0" w:color="auto"/>
              </w:divBdr>
              <w:divsChild>
                <w:div w:id="659384557">
                  <w:marLeft w:val="0"/>
                  <w:marRight w:val="0"/>
                  <w:marTop w:val="0"/>
                  <w:marBottom w:val="0"/>
                  <w:divBdr>
                    <w:top w:val="none" w:sz="0" w:space="0" w:color="auto"/>
                    <w:left w:val="none" w:sz="0" w:space="0" w:color="auto"/>
                    <w:bottom w:val="none" w:sz="0" w:space="0" w:color="auto"/>
                    <w:right w:val="none" w:sz="0" w:space="0" w:color="auto"/>
                  </w:divBdr>
                  <w:divsChild>
                    <w:div w:id="421682040">
                      <w:marLeft w:val="0"/>
                      <w:marRight w:val="0"/>
                      <w:marTop w:val="120"/>
                      <w:marBottom w:val="0"/>
                      <w:divBdr>
                        <w:top w:val="none" w:sz="0" w:space="0" w:color="auto"/>
                        <w:left w:val="none" w:sz="0" w:space="0" w:color="auto"/>
                        <w:bottom w:val="none" w:sz="0" w:space="0" w:color="auto"/>
                        <w:right w:val="none" w:sz="0" w:space="0" w:color="auto"/>
                      </w:divBdr>
                    </w:div>
                    <w:div w:id="1647582611">
                      <w:marLeft w:val="0"/>
                      <w:marRight w:val="0"/>
                      <w:marTop w:val="0"/>
                      <w:marBottom w:val="0"/>
                      <w:divBdr>
                        <w:top w:val="none" w:sz="0" w:space="0" w:color="auto"/>
                        <w:left w:val="none" w:sz="0" w:space="0" w:color="auto"/>
                        <w:bottom w:val="none" w:sz="0" w:space="0" w:color="auto"/>
                        <w:right w:val="none" w:sz="0" w:space="0" w:color="auto"/>
                      </w:divBdr>
                      <w:divsChild>
                        <w:div w:id="6152160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22143488">
                  <w:marLeft w:val="0"/>
                  <w:marRight w:val="0"/>
                  <w:marTop w:val="0"/>
                  <w:marBottom w:val="0"/>
                  <w:divBdr>
                    <w:top w:val="none" w:sz="0" w:space="0" w:color="auto"/>
                    <w:left w:val="none" w:sz="0" w:space="0" w:color="auto"/>
                    <w:bottom w:val="none" w:sz="0" w:space="0" w:color="auto"/>
                    <w:right w:val="none" w:sz="0" w:space="0" w:color="auto"/>
                  </w:divBdr>
                  <w:divsChild>
                    <w:div w:id="1795172563">
                      <w:marLeft w:val="0"/>
                      <w:marRight w:val="0"/>
                      <w:marTop w:val="120"/>
                      <w:marBottom w:val="0"/>
                      <w:divBdr>
                        <w:top w:val="none" w:sz="0" w:space="0" w:color="auto"/>
                        <w:left w:val="none" w:sz="0" w:space="0" w:color="auto"/>
                        <w:bottom w:val="none" w:sz="0" w:space="0" w:color="auto"/>
                        <w:right w:val="none" w:sz="0" w:space="0" w:color="auto"/>
                      </w:divBdr>
                    </w:div>
                    <w:div w:id="527566846">
                      <w:marLeft w:val="0"/>
                      <w:marRight w:val="0"/>
                      <w:marTop w:val="0"/>
                      <w:marBottom w:val="0"/>
                      <w:divBdr>
                        <w:top w:val="none" w:sz="0" w:space="0" w:color="auto"/>
                        <w:left w:val="none" w:sz="0" w:space="0" w:color="auto"/>
                        <w:bottom w:val="none" w:sz="0" w:space="0" w:color="auto"/>
                        <w:right w:val="none" w:sz="0" w:space="0" w:color="auto"/>
                      </w:divBdr>
                      <w:divsChild>
                        <w:div w:id="12967138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63331">
      <w:marLeft w:val="0"/>
      <w:marRight w:val="0"/>
      <w:marTop w:val="0"/>
      <w:marBottom w:val="0"/>
      <w:divBdr>
        <w:top w:val="none" w:sz="0" w:space="0" w:color="auto"/>
        <w:left w:val="none" w:sz="0" w:space="0" w:color="auto"/>
        <w:bottom w:val="none" w:sz="0" w:space="0" w:color="auto"/>
        <w:right w:val="none" w:sz="0" w:space="0" w:color="auto"/>
      </w:divBdr>
    </w:div>
    <w:div w:id="1604532868">
      <w:marLeft w:val="0"/>
      <w:marRight w:val="0"/>
      <w:marTop w:val="0"/>
      <w:marBottom w:val="0"/>
      <w:divBdr>
        <w:top w:val="none" w:sz="0" w:space="0" w:color="auto"/>
        <w:left w:val="none" w:sz="0" w:space="0" w:color="auto"/>
        <w:bottom w:val="none" w:sz="0" w:space="0" w:color="auto"/>
        <w:right w:val="none" w:sz="0" w:space="0" w:color="auto"/>
      </w:divBdr>
      <w:divsChild>
        <w:div w:id="1392116238">
          <w:marLeft w:val="0"/>
          <w:marRight w:val="0"/>
          <w:marTop w:val="120"/>
          <w:marBottom w:val="0"/>
          <w:divBdr>
            <w:top w:val="none" w:sz="0" w:space="0" w:color="auto"/>
            <w:left w:val="none" w:sz="0" w:space="0" w:color="auto"/>
            <w:bottom w:val="none" w:sz="0" w:space="0" w:color="auto"/>
            <w:right w:val="none" w:sz="0" w:space="0" w:color="auto"/>
          </w:divBdr>
        </w:div>
        <w:div w:id="632178902">
          <w:marLeft w:val="0"/>
          <w:marRight w:val="0"/>
          <w:marTop w:val="0"/>
          <w:marBottom w:val="0"/>
          <w:divBdr>
            <w:top w:val="none" w:sz="0" w:space="0" w:color="auto"/>
            <w:left w:val="none" w:sz="0" w:space="0" w:color="auto"/>
            <w:bottom w:val="none" w:sz="0" w:space="0" w:color="auto"/>
            <w:right w:val="none" w:sz="0" w:space="0" w:color="auto"/>
          </w:divBdr>
          <w:divsChild>
            <w:div w:id="12929018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4924234">
      <w:marLeft w:val="960"/>
      <w:marRight w:val="0"/>
      <w:marTop w:val="0"/>
      <w:marBottom w:val="0"/>
      <w:divBdr>
        <w:top w:val="none" w:sz="0" w:space="0" w:color="auto"/>
        <w:left w:val="none" w:sz="0" w:space="0" w:color="auto"/>
        <w:bottom w:val="none" w:sz="0" w:space="0" w:color="auto"/>
        <w:right w:val="none" w:sz="0" w:space="0" w:color="auto"/>
      </w:divBdr>
    </w:div>
    <w:div w:id="1607695775">
      <w:marLeft w:val="0"/>
      <w:marRight w:val="0"/>
      <w:marTop w:val="0"/>
      <w:marBottom w:val="0"/>
      <w:divBdr>
        <w:top w:val="none" w:sz="0" w:space="0" w:color="auto"/>
        <w:left w:val="none" w:sz="0" w:space="0" w:color="auto"/>
        <w:bottom w:val="none" w:sz="0" w:space="0" w:color="auto"/>
        <w:right w:val="none" w:sz="0" w:space="0" w:color="auto"/>
      </w:divBdr>
    </w:div>
    <w:div w:id="1609122001">
      <w:marLeft w:val="960"/>
      <w:marRight w:val="0"/>
      <w:marTop w:val="0"/>
      <w:marBottom w:val="0"/>
      <w:divBdr>
        <w:top w:val="none" w:sz="0" w:space="0" w:color="auto"/>
        <w:left w:val="none" w:sz="0" w:space="0" w:color="auto"/>
        <w:bottom w:val="none" w:sz="0" w:space="0" w:color="auto"/>
        <w:right w:val="none" w:sz="0" w:space="0" w:color="auto"/>
      </w:divBdr>
    </w:div>
    <w:div w:id="1611814870">
      <w:marLeft w:val="0"/>
      <w:marRight w:val="0"/>
      <w:marTop w:val="0"/>
      <w:marBottom w:val="0"/>
      <w:divBdr>
        <w:top w:val="none" w:sz="0" w:space="0" w:color="auto"/>
        <w:left w:val="none" w:sz="0" w:space="0" w:color="auto"/>
        <w:bottom w:val="none" w:sz="0" w:space="0" w:color="auto"/>
        <w:right w:val="none" w:sz="0" w:space="0" w:color="auto"/>
      </w:divBdr>
      <w:divsChild>
        <w:div w:id="574434916">
          <w:marLeft w:val="0"/>
          <w:marRight w:val="0"/>
          <w:marTop w:val="120"/>
          <w:marBottom w:val="0"/>
          <w:divBdr>
            <w:top w:val="none" w:sz="0" w:space="0" w:color="auto"/>
            <w:left w:val="none" w:sz="0" w:space="0" w:color="auto"/>
            <w:bottom w:val="none" w:sz="0" w:space="0" w:color="auto"/>
            <w:right w:val="none" w:sz="0" w:space="0" w:color="auto"/>
          </w:divBdr>
        </w:div>
        <w:div w:id="305161109">
          <w:marLeft w:val="0"/>
          <w:marRight w:val="0"/>
          <w:marTop w:val="0"/>
          <w:marBottom w:val="0"/>
          <w:divBdr>
            <w:top w:val="none" w:sz="0" w:space="0" w:color="auto"/>
            <w:left w:val="none" w:sz="0" w:space="0" w:color="auto"/>
            <w:bottom w:val="none" w:sz="0" w:space="0" w:color="auto"/>
            <w:right w:val="none" w:sz="0" w:space="0" w:color="auto"/>
          </w:divBdr>
          <w:divsChild>
            <w:div w:id="13524939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2974408">
      <w:marLeft w:val="840"/>
      <w:marRight w:val="0"/>
      <w:marTop w:val="0"/>
      <w:marBottom w:val="0"/>
      <w:divBdr>
        <w:top w:val="none" w:sz="0" w:space="0" w:color="auto"/>
        <w:left w:val="none" w:sz="0" w:space="0" w:color="auto"/>
        <w:bottom w:val="none" w:sz="0" w:space="0" w:color="auto"/>
        <w:right w:val="none" w:sz="0" w:space="0" w:color="auto"/>
      </w:divBdr>
    </w:div>
    <w:div w:id="1615209780">
      <w:marLeft w:val="0"/>
      <w:marRight w:val="0"/>
      <w:marTop w:val="0"/>
      <w:marBottom w:val="0"/>
      <w:divBdr>
        <w:top w:val="none" w:sz="0" w:space="0" w:color="auto"/>
        <w:left w:val="none" w:sz="0" w:space="0" w:color="auto"/>
        <w:bottom w:val="none" w:sz="0" w:space="0" w:color="auto"/>
        <w:right w:val="none" w:sz="0" w:space="0" w:color="auto"/>
      </w:divBdr>
      <w:divsChild>
        <w:div w:id="1021475480">
          <w:marLeft w:val="0"/>
          <w:marRight w:val="0"/>
          <w:marTop w:val="120"/>
          <w:marBottom w:val="0"/>
          <w:divBdr>
            <w:top w:val="none" w:sz="0" w:space="0" w:color="auto"/>
            <w:left w:val="none" w:sz="0" w:space="0" w:color="auto"/>
            <w:bottom w:val="none" w:sz="0" w:space="0" w:color="auto"/>
            <w:right w:val="none" w:sz="0" w:space="0" w:color="auto"/>
          </w:divBdr>
        </w:div>
        <w:div w:id="655957971">
          <w:marLeft w:val="0"/>
          <w:marRight w:val="0"/>
          <w:marTop w:val="0"/>
          <w:marBottom w:val="0"/>
          <w:divBdr>
            <w:top w:val="none" w:sz="0" w:space="0" w:color="auto"/>
            <w:left w:val="none" w:sz="0" w:space="0" w:color="auto"/>
            <w:bottom w:val="none" w:sz="0" w:space="0" w:color="auto"/>
            <w:right w:val="none" w:sz="0" w:space="0" w:color="auto"/>
          </w:divBdr>
          <w:divsChild>
            <w:div w:id="10728546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7131292">
      <w:marLeft w:val="720"/>
      <w:marRight w:val="0"/>
      <w:marTop w:val="0"/>
      <w:marBottom w:val="0"/>
      <w:divBdr>
        <w:top w:val="none" w:sz="0" w:space="0" w:color="auto"/>
        <w:left w:val="none" w:sz="0" w:space="0" w:color="auto"/>
        <w:bottom w:val="none" w:sz="0" w:space="0" w:color="auto"/>
        <w:right w:val="none" w:sz="0" w:space="0" w:color="auto"/>
      </w:divBdr>
    </w:div>
    <w:div w:id="1619722685">
      <w:marLeft w:val="1080"/>
      <w:marRight w:val="0"/>
      <w:marTop w:val="0"/>
      <w:marBottom w:val="0"/>
      <w:divBdr>
        <w:top w:val="none" w:sz="0" w:space="0" w:color="auto"/>
        <w:left w:val="none" w:sz="0" w:space="0" w:color="auto"/>
        <w:bottom w:val="none" w:sz="0" w:space="0" w:color="auto"/>
        <w:right w:val="none" w:sz="0" w:space="0" w:color="auto"/>
      </w:divBdr>
    </w:div>
    <w:div w:id="1624533722">
      <w:marLeft w:val="0"/>
      <w:marRight w:val="0"/>
      <w:marTop w:val="0"/>
      <w:marBottom w:val="0"/>
      <w:divBdr>
        <w:top w:val="none" w:sz="0" w:space="0" w:color="auto"/>
        <w:left w:val="none" w:sz="0" w:space="0" w:color="auto"/>
        <w:bottom w:val="none" w:sz="0" w:space="0" w:color="auto"/>
        <w:right w:val="none" w:sz="0" w:space="0" w:color="auto"/>
      </w:divBdr>
      <w:divsChild>
        <w:div w:id="279067049">
          <w:marLeft w:val="0"/>
          <w:marRight w:val="0"/>
          <w:marTop w:val="120"/>
          <w:marBottom w:val="0"/>
          <w:divBdr>
            <w:top w:val="none" w:sz="0" w:space="0" w:color="auto"/>
            <w:left w:val="none" w:sz="0" w:space="0" w:color="auto"/>
            <w:bottom w:val="none" w:sz="0" w:space="0" w:color="auto"/>
            <w:right w:val="none" w:sz="0" w:space="0" w:color="auto"/>
          </w:divBdr>
        </w:div>
        <w:div w:id="306203542">
          <w:marLeft w:val="0"/>
          <w:marRight w:val="0"/>
          <w:marTop w:val="0"/>
          <w:marBottom w:val="0"/>
          <w:divBdr>
            <w:top w:val="none" w:sz="0" w:space="0" w:color="auto"/>
            <w:left w:val="none" w:sz="0" w:space="0" w:color="auto"/>
            <w:bottom w:val="none" w:sz="0" w:space="0" w:color="auto"/>
            <w:right w:val="none" w:sz="0" w:space="0" w:color="auto"/>
          </w:divBdr>
          <w:divsChild>
            <w:div w:id="7331623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7278642">
      <w:marLeft w:val="960"/>
      <w:marRight w:val="0"/>
      <w:marTop w:val="0"/>
      <w:marBottom w:val="0"/>
      <w:divBdr>
        <w:top w:val="none" w:sz="0" w:space="0" w:color="auto"/>
        <w:left w:val="none" w:sz="0" w:space="0" w:color="auto"/>
        <w:bottom w:val="none" w:sz="0" w:space="0" w:color="auto"/>
        <w:right w:val="none" w:sz="0" w:space="0" w:color="auto"/>
      </w:divBdr>
    </w:div>
    <w:div w:id="1627469038">
      <w:marLeft w:val="0"/>
      <w:marRight w:val="0"/>
      <w:marTop w:val="0"/>
      <w:marBottom w:val="0"/>
      <w:divBdr>
        <w:top w:val="none" w:sz="0" w:space="0" w:color="auto"/>
        <w:left w:val="none" w:sz="0" w:space="0" w:color="auto"/>
        <w:bottom w:val="none" w:sz="0" w:space="0" w:color="auto"/>
        <w:right w:val="none" w:sz="0" w:space="0" w:color="auto"/>
      </w:divBdr>
      <w:divsChild>
        <w:div w:id="1374500920">
          <w:marLeft w:val="0"/>
          <w:marRight w:val="0"/>
          <w:marTop w:val="120"/>
          <w:marBottom w:val="0"/>
          <w:divBdr>
            <w:top w:val="none" w:sz="0" w:space="0" w:color="auto"/>
            <w:left w:val="none" w:sz="0" w:space="0" w:color="auto"/>
            <w:bottom w:val="none" w:sz="0" w:space="0" w:color="auto"/>
            <w:right w:val="none" w:sz="0" w:space="0" w:color="auto"/>
          </w:divBdr>
        </w:div>
        <w:div w:id="292910925">
          <w:marLeft w:val="0"/>
          <w:marRight w:val="0"/>
          <w:marTop w:val="0"/>
          <w:marBottom w:val="0"/>
          <w:divBdr>
            <w:top w:val="none" w:sz="0" w:space="0" w:color="auto"/>
            <w:left w:val="none" w:sz="0" w:space="0" w:color="auto"/>
            <w:bottom w:val="none" w:sz="0" w:space="0" w:color="auto"/>
            <w:right w:val="none" w:sz="0" w:space="0" w:color="auto"/>
          </w:divBdr>
          <w:divsChild>
            <w:div w:id="16397966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1861551">
      <w:marLeft w:val="1080"/>
      <w:marRight w:val="0"/>
      <w:marTop w:val="0"/>
      <w:marBottom w:val="0"/>
      <w:divBdr>
        <w:top w:val="none" w:sz="0" w:space="0" w:color="auto"/>
        <w:left w:val="none" w:sz="0" w:space="0" w:color="auto"/>
        <w:bottom w:val="none" w:sz="0" w:space="0" w:color="auto"/>
        <w:right w:val="none" w:sz="0" w:space="0" w:color="auto"/>
      </w:divBdr>
    </w:div>
    <w:div w:id="1635870925">
      <w:marLeft w:val="840"/>
      <w:marRight w:val="0"/>
      <w:marTop w:val="0"/>
      <w:marBottom w:val="0"/>
      <w:divBdr>
        <w:top w:val="none" w:sz="0" w:space="0" w:color="auto"/>
        <w:left w:val="none" w:sz="0" w:space="0" w:color="auto"/>
        <w:bottom w:val="none" w:sz="0" w:space="0" w:color="auto"/>
        <w:right w:val="none" w:sz="0" w:space="0" w:color="auto"/>
      </w:divBdr>
    </w:div>
    <w:div w:id="1642804626">
      <w:marLeft w:val="720"/>
      <w:marRight w:val="0"/>
      <w:marTop w:val="0"/>
      <w:marBottom w:val="0"/>
      <w:divBdr>
        <w:top w:val="none" w:sz="0" w:space="0" w:color="auto"/>
        <w:left w:val="none" w:sz="0" w:space="0" w:color="auto"/>
        <w:bottom w:val="none" w:sz="0" w:space="0" w:color="auto"/>
        <w:right w:val="none" w:sz="0" w:space="0" w:color="auto"/>
      </w:divBdr>
    </w:div>
    <w:div w:id="1644383680">
      <w:marLeft w:val="720"/>
      <w:marRight w:val="0"/>
      <w:marTop w:val="0"/>
      <w:marBottom w:val="0"/>
      <w:divBdr>
        <w:top w:val="none" w:sz="0" w:space="0" w:color="auto"/>
        <w:left w:val="none" w:sz="0" w:space="0" w:color="auto"/>
        <w:bottom w:val="none" w:sz="0" w:space="0" w:color="auto"/>
        <w:right w:val="none" w:sz="0" w:space="0" w:color="auto"/>
      </w:divBdr>
    </w:div>
    <w:div w:id="1645695064">
      <w:marLeft w:val="720"/>
      <w:marRight w:val="0"/>
      <w:marTop w:val="0"/>
      <w:marBottom w:val="0"/>
      <w:divBdr>
        <w:top w:val="none" w:sz="0" w:space="0" w:color="auto"/>
        <w:left w:val="none" w:sz="0" w:space="0" w:color="auto"/>
        <w:bottom w:val="none" w:sz="0" w:space="0" w:color="auto"/>
        <w:right w:val="none" w:sz="0" w:space="0" w:color="auto"/>
      </w:divBdr>
    </w:div>
    <w:div w:id="1649280480">
      <w:marLeft w:val="960"/>
      <w:marRight w:val="0"/>
      <w:marTop w:val="0"/>
      <w:marBottom w:val="0"/>
      <w:divBdr>
        <w:top w:val="none" w:sz="0" w:space="0" w:color="auto"/>
        <w:left w:val="none" w:sz="0" w:space="0" w:color="auto"/>
        <w:bottom w:val="none" w:sz="0" w:space="0" w:color="auto"/>
        <w:right w:val="none" w:sz="0" w:space="0" w:color="auto"/>
      </w:divBdr>
    </w:div>
    <w:div w:id="1649436421">
      <w:marLeft w:val="1080"/>
      <w:marRight w:val="0"/>
      <w:marTop w:val="0"/>
      <w:marBottom w:val="0"/>
      <w:divBdr>
        <w:top w:val="none" w:sz="0" w:space="0" w:color="auto"/>
        <w:left w:val="none" w:sz="0" w:space="0" w:color="auto"/>
        <w:bottom w:val="none" w:sz="0" w:space="0" w:color="auto"/>
        <w:right w:val="none" w:sz="0" w:space="0" w:color="auto"/>
      </w:divBdr>
    </w:div>
    <w:div w:id="1650940948">
      <w:marLeft w:val="0"/>
      <w:marRight w:val="0"/>
      <w:marTop w:val="0"/>
      <w:marBottom w:val="0"/>
      <w:divBdr>
        <w:top w:val="none" w:sz="0" w:space="0" w:color="auto"/>
        <w:left w:val="none" w:sz="0" w:space="0" w:color="auto"/>
        <w:bottom w:val="none" w:sz="0" w:space="0" w:color="auto"/>
        <w:right w:val="none" w:sz="0" w:space="0" w:color="auto"/>
      </w:divBdr>
      <w:divsChild>
        <w:div w:id="175079335">
          <w:marLeft w:val="0"/>
          <w:marRight w:val="0"/>
          <w:marTop w:val="120"/>
          <w:marBottom w:val="0"/>
          <w:divBdr>
            <w:top w:val="none" w:sz="0" w:space="0" w:color="auto"/>
            <w:left w:val="none" w:sz="0" w:space="0" w:color="auto"/>
            <w:bottom w:val="none" w:sz="0" w:space="0" w:color="auto"/>
            <w:right w:val="none" w:sz="0" w:space="0" w:color="auto"/>
          </w:divBdr>
        </w:div>
        <w:div w:id="1271350713">
          <w:marLeft w:val="0"/>
          <w:marRight w:val="0"/>
          <w:marTop w:val="0"/>
          <w:marBottom w:val="0"/>
          <w:divBdr>
            <w:top w:val="none" w:sz="0" w:space="0" w:color="auto"/>
            <w:left w:val="none" w:sz="0" w:space="0" w:color="auto"/>
            <w:bottom w:val="none" w:sz="0" w:space="0" w:color="auto"/>
            <w:right w:val="none" w:sz="0" w:space="0" w:color="auto"/>
          </w:divBdr>
        </w:div>
      </w:divsChild>
    </w:div>
    <w:div w:id="1651053669">
      <w:marLeft w:val="1080"/>
      <w:marRight w:val="0"/>
      <w:marTop w:val="0"/>
      <w:marBottom w:val="0"/>
      <w:divBdr>
        <w:top w:val="none" w:sz="0" w:space="0" w:color="auto"/>
        <w:left w:val="none" w:sz="0" w:space="0" w:color="auto"/>
        <w:bottom w:val="none" w:sz="0" w:space="0" w:color="auto"/>
        <w:right w:val="none" w:sz="0" w:space="0" w:color="auto"/>
      </w:divBdr>
    </w:div>
    <w:div w:id="1651209798">
      <w:marLeft w:val="1200"/>
      <w:marRight w:val="0"/>
      <w:marTop w:val="0"/>
      <w:marBottom w:val="0"/>
      <w:divBdr>
        <w:top w:val="none" w:sz="0" w:space="0" w:color="auto"/>
        <w:left w:val="none" w:sz="0" w:space="0" w:color="auto"/>
        <w:bottom w:val="none" w:sz="0" w:space="0" w:color="auto"/>
        <w:right w:val="none" w:sz="0" w:space="0" w:color="auto"/>
      </w:divBdr>
    </w:div>
    <w:div w:id="1651473018">
      <w:marLeft w:val="720"/>
      <w:marRight w:val="0"/>
      <w:marTop w:val="0"/>
      <w:marBottom w:val="0"/>
      <w:divBdr>
        <w:top w:val="none" w:sz="0" w:space="0" w:color="auto"/>
        <w:left w:val="none" w:sz="0" w:space="0" w:color="auto"/>
        <w:bottom w:val="none" w:sz="0" w:space="0" w:color="auto"/>
        <w:right w:val="none" w:sz="0" w:space="0" w:color="auto"/>
      </w:divBdr>
    </w:div>
    <w:div w:id="1653215073">
      <w:marLeft w:val="960"/>
      <w:marRight w:val="0"/>
      <w:marTop w:val="0"/>
      <w:marBottom w:val="0"/>
      <w:divBdr>
        <w:top w:val="none" w:sz="0" w:space="0" w:color="auto"/>
        <w:left w:val="none" w:sz="0" w:space="0" w:color="auto"/>
        <w:bottom w:val="none" w:sz="0" w:space="0" w:color="auto"/>
        <w:right w:val="none" w:sz="0" w:space="0" w:color="auto"/>
      </w:divBdr>
    </w:div>
    <w:div w:id="1660890083">
      <w:marLeft w:val="720"/>
      <w:marRight w:val="0"/>
      <w:marTop w:val="0"/>
      <w:marBottom w:val="0"/>
      <w:divBdr>
        <w:top w:val="none" w:sz="0" w:space="0" w:color="auto"/>
        <w:left w:val="none" w:sz="0" w:space="0" w:color="auto"/>
        <w:bottom w:val="none" w:sz="0" w:space="0" w:color="auto"/>
        <w:right w:val="none" w:sz="0" w:space="0" w:color="auto"/>
      </w:divBdr>
    </w:div>
    <w:div w:id="1662931467">
      <w:marLeft w:val="960"/>
      <w:marRight w:val="0"/>
      <w:marTop w:val="0"/>
      <w:marBottom w:val="0"/>
      <w:divBdr>
        <w:top w:val="none" w:sz="0" w:space="0" w:color="auto"/>
        <w:left w:val="none" w:sz="0" w:space="0" w:color="auto"/>
        <w:bottom w:val="none" w:sz="0" w:space="0" w:color="auto"/>
        <w:right w:val="none" w:sz="0" w:space="0" w:color="auto"/>
      </w:divBdr>
    </w:div>
    <w:div w:id="1664817819">
      <w:marLeft w:val="960"/>
      <w:marRight w:val="0"/>
      <w:marTop w:val="0"/>
      <w:marBottom w:val="0"/>
      <w:divBdr>
        <w:top w:val="none" w:sz="0" w:space="0" w:color="auto"/>
        <w:left w:val="none" w:sz="0" w:space="0" w:color="auto"/>
        <w:bottom w:val="none" w:sz="0" w:space="0" w:color="auto"/>
        <w:right w:val="none" w:sz="0" w:space="0" w:color="auto"/>
      </w:divBdr>
    </w:div>
    <w:div w:id="1665081922">
      <w:marLeft w:val="1080"/>
      <w:marRight w:val="0"/>
      <w:marTop w:val="0"/>
      <w:marBottom w:val="0"/>
      <w:divBdr>
        <w:top w:val="none" w:sz="0" w:space="0" w:color="auto"/>
        <w:left w:val="none" w:sz="0" w:space="0" w:color="auto"/>
        <w:bottom w:val="none" w:sz="0" w:space="0" w:color="auto"/>
        <w:right w:val="none" w:sz="0" w:space="0" w:color="auto"/>
      </w:divBdr>
    </w:div>
    <w:div w:id="1666008198">
      <w:marLeft w:val="960"/>
      <w:marRight w:val="0"/>
      <w:marTop w:val="0"/>
      <w:marBottom w:val="0"/>
      <w:divBdr>
        <w:top w:val="none" w:sz="0" w:space="0" w:color="auto"/>
        <w:left w:val="none" w:sz="0" w:space="0" w:color="auto"/>
        <w:bottom w:val="none" w:sz="0" w:space="0" w:color="auto"/>
        <w:right w:val="none" w:sz="0" w:space="0" w:color="auto"/>
      </w:divBdr>
    </w:div>
    <w:div w:id="1666585828">
      <w:marLeft w:val="1080"/>
      <w:marRight w:val="0"/>
      <w:marTop w:val="0"/>
      <w:marBottom w:val="0"/>
      <w:divBdr>
        <w:top w:val="none" w:sz="0" w:space="0" w:color="auto"/>
        <w:left w:val="none" w:sz="0" w:space="0" w:color="auto"/>
        <w:bottom w:val="none" w:sz="0" w:space="0" w:color="auto"/>
        <w:right w:val="none" w:sz="0" w:space="0" w:color="auto"/>
      </w:divBdr>
    </w:div>
    <w:div w:id="1669626855">
      <w:marLeft w:val="840"/>
      <w:marRight w:val="0"/>
      <w:marTop w:val="0"/>
      <w:marBottom w:val="0"/>
      <w:divBdr>
        <w:top w:val="none" w:sz="0" w:space="0" w:color="auto"/>
        <w:left w:val="none" w:sz="0" w:space="0" w:color="auto"/>
        <w:bottom w:val="none" w:sz="0" w:space="0" w:color="auto"/>
        <w:right w:val="none" w:sz="0" w:space="0" w:color="auto"/>
      </w:divBdr>
    </w:div>
    <w:div w:id="1673098190">
      <w:marLeft w:val="960"/>
      <w:marRight w:val="0"/>
      <w:marTop w:val="0"/>
      <w:marBottom w:val="0"/>
      <w:divBdr>
        <w:top w:val="none" w:sz="0" w:space="0" w:color="auto"/>
        <w:left w:val="none" w:sz="0" w:space="0" w:color="auto"/>
        <w:bottom w:val="none" w:sz="0" w:space="0" w:color="auto"/>
        <w:right w:val="none" w:sz="0" w:space="0" w:color="auto"/>
      </w:divBdr>
    </w:div>
    <w:div w:id="1674720375">
      <w:marLeft w:val="0"/>
      <w:marRight w:val="0"/>
      <w:marTop w:val="0"/>
      <w:marBottom w:val="0"/>
      <w:divBdr>
        <w:top w:val="none" w:sz="0" w:space="0" w:color="auto"/>
        <w:left w:val="none" w:sz="0" w:space="0" w:color="auto"/>
        <w:bottom w:val="none" w:sz="0" w:space="0" w:color="auto"/>
        <w:right w:val="none" w:sz="0" w:space="0" w:color="auto"/>
      </w:divBdr>
      <w:divsChild>
        <w:div w:id="1375691608">
          <w:marLeft w:val="0"/>
          <w:marRight w:val="0"/>
          <w:marTop w:val="120"/>
          <w:marBottom w:val="0"/>
          <w:divBdr>
            <w:top w:val="none" w:sz="0" w:space="0" w:color="auto"/>
            <w:left w:val="none" w:sz="0" w:space="0" w:color="auto"/>
            <w:bottom w:val="none" w:sz="0" w:space="0" w:color="auto"/>
            <w:right w:val="none" w:sz="0" w:space="0" w:color="auto"/>
          </w:divBdr>
        </w:div>
        <w:div w:id="73011807">
          <w:marLeft w:val="0"/>
          <w:marRight w:val="0"/>
          <w:marTop w:val="0"/>
          <w:marBottom w:val="0"/>
          <w:divBdr>
            <w:top w:val="none" w:sz="0" w:space="0" w:color="auto"/>
            <w:left w:val="none" w:sz="0" w:space="0" w:color="auto"/>
            <w:bottom w:val="none" w:sz="0" w:space="0" w:color="auto"/>
            <w:right w:val="none" w:sz="0" w:space="0" w:color="auto"/>
          </w:divBdr>
          <w:divsChild>
            <w:div w:id="10679989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5379659">
      <w:marLeft w:val="960"/>
      <w:marRight w:val="0"/>
      <w:marTop w:val="0"/>
      <w:marBottom w:val="0"/>
      <w:divBdr>
        <w:top w:val="none" w:sz="0" w:space="0" w:color="auto"/>
        <w:left w:val="none" w:sz="0" w:space="0" w:color="auto"/>
        <w:bottom w:val="none" w:sz="0" w:space="0" w:color="auto"/>
        <w:right w:val="none" w:sz="0" w:space="0" w:color="auto"/>
      </w:divBdr>
    </w:div>
    <w:div w:id="1675497795">
      <w:marLeft w:val="0"/>
      <w:marRight w:val="0"/>
      <w:marTop w:val="0"/>
      <w:marBottom w:val="0"/>
      <w:divBdr>
        <w:top w:val="none" w:sz="0" w:space="0" w:color="auto"/>
        <w:left w:val="none" w:sz="0" w:space="0" w:color="auto"/>
        <w:bottom w:val="none" w:sz="0" w:space="0" w:color="auto"/>
        <w:right w:val="none" w:sz="0" w:space="0" w:color="auto"/>
      </w:divBdr>
      <w:divsChild>
        <w:div w:id="467745975">
          <w:marLeft w:val="0"/>
          <w:marRight w:val="0"/>
          <w:marTop w:val="120"/>
          <w:marBottom w:val="0"/>
          <w:divBdr>
            <w:top w:val="none" w:sz="0" w:space="0" w:color="auto"/>
            <w:left w:val="none" w:sz="0" w:space="0" w:color="auto"/>
            <w:bottom w:val="none" w:sz="0" w:space="0" w:color="auto"/>
            <w:right w:val="none" w:sz="0" w:space="0" w:color="auto"/>
          </w:divBdr>
        </w:div>
        <w:div w:id="1369181935">
          <w:marLeft w:val="0"/>
          <w:marRight w:val="0"/>
          <w:marTop w:val="0"/>
          <w:marBottom w:val="0"/>
          <w:divBdr>
            <w:top w:val="none" w:sz="0" w:space="0" w:color="auto"/>
            <w:left w:val="none" w:sz="0" w:space="0" w:color="auto"/>
            <w:bottom w:val="none" w:sz="0" w:space="0" w:color="auto"/>
            <w:right w:val="none" w:sz="0" w:space="0" w:color="auto"/>
          </w:divBdr>
          <w:divsChild>
            <w:div w:id="10657608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91178307">
      <w:marLeft w:val="840"/>
      <w:marRight w:val="0"/>
      <w:marTop w:val="0"/>
      <w:marBottom w:val="0"/>
      <w:divBdr>
        <w:top w:val="none" w:sz="0" w:space="0" w:color="auto"/>
        <w:left w:val="none" w:sz="0" w:space="0" w:color="auto"/>
        <w:bottom w:val="none" w:sz="0" w:space="0" w:color="auto"/>
        <w:right w:val="none" w:sz="0" w:space="0" w:color="auto"/>
      </w:divBdr>
    </w:div>
    <w:div w:id="1694040442">
      <w:marLeft w:val="0"/>
      <w:marRight w:val="0"/>
      <w:marTop w:val="120"/>
      <w:marBottom w:val="0"/>
      <w:divBdr>
        <w:top w:val="none" w:sz="0" w:space="0" w:color="auto"/>
        <w:left w:val="none" w:sz="0" w:space="0" w:color="auto"/>
        <w:bottom w:val="none" w:sz="0" w:space="0" w:color="auto"/>
        <w:right w:val="none" w:sz="0" w:space="0" w:color="auto"/>
      </w:divBdr>
    </w:div>
    <w:div w:id="1695496485">
      <w:marLeft w:val="720"/>
      <w:marRight w:val="0"/>
      <w:marTop w:val="0"/>
      <w:marBottom w:val="0"/>
      <w:divBdr>
        <w:top w:val="none" w:sz="0" w:space="0" w:color="auto"/>
        <w:left w:val="none" w:sz="0" w:space="0" w:color="auto"/>
        <w:bottom w:val="none" w:sz="0" w:space="0" w:color="auto"/>
        <w:right w:val="none" w:sz="0" w:space="0" w:color="auto"/>
      </w:divBdr>
    </w:div>
    <w:div w:id="1699819725">
      <w:marLeft w:val="720"/>
      <w:marRight w:val="0"/>
      <w:marTop w:val="0"/>
      <w:marBottom w:val="0"/>
      <w:divBdr>
        <w:top w:val="none" w:sz="0" w:space="0" w:color="auto"/>
        <w:left w:val="none" w:sz="0" w:space="0" w:color="auto"/>
        <w:bottom w:val="none" w:sz="0" w:space="0" w:color="auto"/>
        <w:right w:val="none" w:sz="0" w:space="0" w:color="auto"/>
      </w:divBdr>
    </w:div>
    <w:div w:id="1701782615">
      <w:marLeft w:val="720"/>
      <w:marRight w:val="0"/>
      <w:marTop w:val="0"/>
      <w:marBottom w:val="0"/>
      <w:divBdr>
        <w:top w:val="none" w:sz="0" w:space="0" w:color="auto"/>
        <w:left w:val="none" w:sz="0" w:space="0" w:color="auto"/>
        <w:bottom w:val="none" w:sz="0" w:space="0" w:color="auto"/>
        <w:right w:val="none" w:sz="0" w:space="0" w:color="auto"/>
      </w:divBdr>
    </w:div>
    <w:div w:id="1707296889">
      <w:marLeft w:val="0"/>
      <w:marRight w:val="0"/>
      <w:marTop w:val="0"/>
      <w:marBottom w:val="0"/>
      <w:divBdr>
        <w:top w:val="none" w:sz="0" w:space="0" w:color="auto"/>
        <w:left w:val="none" w:sz="0" w:space="0" w:color="auto"/>
        <w:bottom w:val="none" w:sz="0" w:space="0" w:color="auto"/>
        <w:right w:val="none" w:sz="0" w:space="0" w:color="auto"/>
      </w:divBdr>
    </w:div>
    <w:div w:id="1708023122">
      <w:marLeft w:val="720"/>
      <w:marRight w:val="0"/>
      <w:marTop w:val="0"/>
      <w:marBottom w:val="0"/>
      <w:divBdr>
        <w:top w:val="none" w:sz="0" w:space="0" w:color="auto"/>
        <w:left w:val="none" w:sz="0" w:space="0" w:color="auto"/>
        <w:bottom w:val="none" w:sz="0" w:space="0" w:color="auto"/>
        <w:right w:val="none" w:sz="0" w:space="0" w:color="auto"/>
      </w:divBdr>
    </w:div>
    <w:div w:id="1712805825">
      <w:marLeft w:val="960"/>
      <w:marRight w:val="0"/>
      <w:marTop w:val="0"/>
      <w:marBottom w:val="0"/>
      <w:divBdr>
        <w:top w:val="none" w:sz="0" w:space="0" w:color="auto"/>
        <w:left w:val="none" w:sz="0" w:space="0" w:color="auto"/>
        <w:bottom w:val="none" w:sz="0" w:space="0" w:color="auto"/>
        <w:right w:val="none" w:sz="0" w:space="0" w:color="auto"/>
      </w:divBdr>
    </w:div>
    <w:div w:id="1713069291">
      <w:marLeft w:val="0"/>
      <w:marRight w:val="0"/>
      <w:marTop w:val="0"/>
      <w:marBottom w:val="0"/>
      <w:divBdr>
        <w:top w:val="none" w:sz="0" w:space="0" w:color="auto"/>
        <w:left w:val="none" w:sz="0" w:space="0" w:color="auto"/>
        <w:bottom w:val="none" w:sz="0" w:space="0" w:color="auto"/>
        <w:right w:val="none" w:sz="0" w:space="0" w:color="auto"/>
      </w:divBdr>
      <w:divsChild>
        <w:div w:id="1349454323">
          <w:marLeft w:val="0"/>
          <w:marRight w:val="0"/>
          <w:marTop w:val="120"/>
          <w:marBottom w:val="0"/>
          <w:divBdr>
            <w:top w:val="none" w:sz="0" w:space="0" w:color="auto"/>
            <w:left w:val="none" w:sz="0" w:space="0" w:color="auto"/>
            <w:bottom w:val="none" w:sz="0" w:space="0" w:color="auto"/>
            <w:right w:val="none" w:sz="0" w:space="0" w:color="auto"/>
          </w:divBdr>
        </w:div>
        <w:div w:id="1710914958">
          <w:marLeft w:val="0"/>
          <w:marRight w:val="0"/>
          <w:marTop w:val="0"/>
          <w:marBottom w:val="0"/>
          <w:divBdr>
            <w:top w:val="none" w:sz="0" w:space="0" w:color="auto"/>
            <w:left w:val="none" w:sz="0" w:space="0" w:color="auto"/>
            <w:bottom w:val="none" w:sz="0" w:space="0" w:color="auto"/>
            <w:right w:val="none" w:sz="0" w:space="0" w:color="auto"/>
          </w:divBdr>
          <w:divsChild>
            <w:div w:id="7555155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13456830">
      <w:marLeft w:val="1080"/>
      <w:marRight w:val="0"/>
      <w:marTop w:val="0"/>
      <w:marBottom w:val="0"/>
      <w:divBdr>
        <w:top w:val="none" w:sz="0" w:space="0" w:color="auto"/>
        <w:left w:val="none" w:sz="0" w:space="0" w:color="auto"/>
        <w:bottom w:val="none" w:sz="0" w:space="0" w:color="auto"/>
        <w:right w:val="none" w:sz="0" w:space="0" w:color="auto"/>
      </w:divBdr>
    </w:div>
    <w:div w:id="1714185774">
      <w:marLeft w:val="960"/>
      <w:marRight w:val="0"/>
      <w:marTop w:val="0"/>
      <w:marBottom w:val="0"/>
      <w:divBdr>
        <w:top w:val="none" w:sz="0" w:space="0" w:color="auto"/>
        <w:left w:val="none" w:sz="0" w:space="0" w:color="auto"/>
        <w:bottom w:val="none" w:sz="0" w:space="0" w:color="auto"/>
        <w:right w:val="none" w:sz="0" w:space="0" w:color="auto"/>
      </w:divBdr>
    </w:div>
    <w:div w:id="1714884935">
      <w:marLeft w:val="720"/>
      <w:marRight w:val="0"/>
      <w:marTop w:val="0"/>
      <w:marBottom w:val="0"/>
      <w:divBdr>
        <w:top w:val="none" w:sz="0" w:space="0" w:color="auto"/>
        <w:left w:val="none" w:sz="0" w:space="0" w:color="auto"/>
        <w:bottom w:val="none" w:sz="0" w:space="0" w:color="auto"/>
        <w:right w:val="none" w:sz="0" w:space="0" w:color="auto"/>
      </w:divBdr>
    </w:div>
    <w:div w:id="1719083714">
      <w:marLeft w:val="0"/>
      <w:marRight w:val="0"/>
      <w:marTop w:val="0"/>
      <w:marBottom w:val="0"/>
      <w:divBdr>
        <w:top w:val="none" w:sz="0" w:space="0" w:color="auto"/>
        <w:left w:val="none" w:sz="0" w:space="0" w:color="auto"/>
        <w:bottom w:val="none" w:sz="0" w:space="0" w:color="auto"/>
        <w:right w:val="none" w:sz="0" w:space="0" w:color="auto"/>
      </w:divBdr>
      <w:divsChild>
        <w:div w:id="1600411179">
          <w:marLeft w:val="0"/>
          <w:marRight w:val="0"/>
          <w:marTop w:val="120"/>
          <w:marBottom w:val="0"/>
          <w:divBdr>
            <w:top w:val="none" w:sz="0" w:space="0" w:color="auto"/>
            <w:left w:val="none" w:sz="0" w:space="0" w:color="auto"/>
            <w:bottom w:val="none" w:sz="0" w:space="0" w:color="auto"/>
            <w:right w:val="none" w:sz="0" w:space="0" w:color="auto"/>
          </w:divBdr>
        </w:div>
        <w:div w:id="1831481920">
          <w:marLeft w:val="0"/>
          <w:marRight w:val="0"/>
          <w:marTop w:val="0"/>
          <w:marBottom w:val="0"/>
          <w:divBdr>
            <w:top w:val="none" w:sz="0" w:space="0" w:color="auto"/>
            <w:left w:val="none" w:sz="0" w:space="0" w:color="auto"/>
            <w:bottom w:val="none" w:sz="0" w:space="0" w:color="auto"/>
            <w:right w:val="none" w:sz="0" w:space="0" w:color="auto"/>
          </w:divBdr>
          <w:divsChild>
            <w:div w:id="15597107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22291172">
      <w:marLeft w:val="0"/>
      <w:marRight w:val="0"/>
      <w:marTop w:val="0"/>
      <w:marBottom w:val="0"/>
      <w:divBdr>
        <w:top w:val="none" w:sz="0" w:space="0" w:color="auto"/>
        <w:left w:val="none" w:sz="0" w:space="0" w:color="auto"/>
        <w:bottom w:val="none" w:sz="0" w:space="0" w:color="auto"/>
        <w:right w:val="none" w:sz="0" w:space="0" w:color="auto"/>
      </w:divBdr>
      <w:divsChild>
        <w:div w:id="992149671">
          <w:marLeft w:val="0"/>
          <w:marRight w:val="0"/>
          <w:marTop w:val="120"/>
          <w:marBottom w:val="0"/>
          <w:divBdr>
            <w:top w:val="none" w:sz="0" w:space="0" w:color="auto"/>
            <w:left w:val="none" w:sz="0" w:space="0" w:color="auto"/>
            <w:bottom w:val="none" w:sz="0" w:space="0" w:color="auto"/>
            <w:right w:val="none" w:sz="0" w:space="0" w:color="auto"/>
          </w:divBdr>
        </w:div>
        <w:div w:id="1607271270">
          <w:marLeft w:val="0"/>
          <w:marRight w:val="0"/>
          <w:marTop w:val="0"/>
          <w:marBottom w:val="0"/>
          <w:divBdr>
            <w:top w:val="none" w:sz="0" w:space="0" w:color="auto"/>
            <w:left w:val="none" w:sz="0" w:space="0" w:color="auto"/>
            <w:bottom w:val="none" w:sz="0" w:space="0" w:color="auto"/>
            <w:right w:val="none" w:sz="0" w:space="0" w:color="auto"/>
          </w:divBdr>
          <w:divsChild>
            <w:div w:id="1842929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23140838">
      <w:marLeft w:val="720"/>
      <w:marRight w:val="0"/>
      <w:marTop w:val="0"/>
      <w:marBottom w:val="0"/>
      <w:divBdr>
        <w:top w:val="none" w:sz="0" w:space="0" w:color="auto"/>
        <w:left w:val="none" w:sz="0" w:space="0" w:color="auto"/>
        <w:bottom w:val="none" w:sz="0" w:space="0" w:color="auto"/>
        <w:right w:val="none" w:sz="0" w:space="0" w:color="auto"/>
      </w:divBdr>
    </w:div>
    <w:div w:id="1730228214">
      <w:marLeft w:val="960"/>
      <w:marRight w:val="0"/>
      <w:marTop w:val="0"/>
      <w:marBottom w:val="0"/>
      <w:divBdr>
        <w:top w:val="none" w:sz="0" w:space="0" w:color="auto"/>
        <w:left w:val="none" w:sz="0" w:space="0" w:color="auto"/>
        <w:bottom w:val="none" w:sz="0" w:space="0" w:color="auto"/>
        <w:right w:val="none" w:sz="0" w:space="0" w:color="auto"/>
      </w:divBdr>
    </w:div>
    <w:div w:id="1731728842">
      <w:marLeft w:val="960"/>
      <w:marRight w:val="0"/>
      <w:marTop w:val="0"/>
      <w:marBottom w:val="0"/>
      <w:divBdr>
        <w:top w:val="none" w:sz="0" w:space="0" w:color="auto"/>
        <w:left w:val="none" w:sz="0" w:space="0" w:color="auto"/>
        <w:bottom w:val="none" w:sz="0" w:space="0" w:color="auto"/>
        <w:right w:val="none" w:sz="0" w:space="0" w:color="auto"/>
      </w:divBdr>
    </w:div>
    <w:div w:id="1743021803">
      <w:marLeft w:val="720"/>
      <w:marRight w:val="0"/>
      <w:marTop w:val="0"/>
      <w:marBottom w:val="0"/>
      <w:divBdr>
        <w:top w:val="none" w:sz="0" w:space="0" w:color="auto"/>
        <w:left w:val="none" w:sz="0" w:space="0" w:color="auto"/>
        <w:bottom w:val="none" w:sz="0" w:space="0" w:color="auto"/>
        <w:right w:val="none" w:sz="0" w:space="0" w:color="auto"/>
      </w:divBdr>
    </w:div>
    <w:div w:id="1746339887">
      <w:marLeft w:val="960"/>
      <w:marRight w:val="0"/>
      <w:marTop w:val="0"/>
      <w:marBottom w:val="0"/>
      <w:divBdr>
        <w:top w:val="none" w:sz="0" w:space="0" w:color="auto"/>
        <w:left w:val="none" w:sz="0" w:space="0" w:color="auto"/>
        <w:bottom w:val="none" w:sz="0" w:space="0" w:color="auto"/>
        <w:right w:val="none" w:sz="0" w:space="0" w:color="auto"/>
      </w:divBdr>
    </w:div>
    <w:div w:id="1752198113">
      <w:marLeft w:val="720"/>
      <w:marRight w:val="0"/>
      <w:marTop w:val="0"/>
      <w:marBottom w:val="0"/>
      <w:divBdr>
        <w:top w:val="none" w:sz="0" w:space="0" w:color="auto"/>
        <w:left w:val="none" w:sz="0" w:space="0" w:color="auto"/>
        <w:bottom w:val="none" w:sz="0" w:space="0" w:color="auto"/>
        <w:right w:val="none" w:sz="0" w:space="0" w:color="auto"/>
      </w:divBdr>
    </w:div>
    <w:div w:id="1752655947">
      <w:marLeft w:val="960"/>
      <w:marRight w:val="0"/>
      <w:marTop w:val="0"/>
      <w:marBottom w:val="0"/>
      <w:divBdr>
        <w:top w:val="none" w:sz="0" w:space="0" w:color="auto"/>
        <w:left w:val="none" w:sz="0" w:space="0" w:color="auto"/>
        <w:bottom w:val="none" w:sz="0" w:space="0" w:color="auto"/>
        <w:right w:val="none" w:sz="0" w:space="0" w:color="auto"/>
      </w:divBdr>
    </w:div>
    <w:div w:id="1759445655">
      <w:marLeft w:val="960"/>
      <w:marRight w:val="0"/>
      <w:marTop w:val="0"/>
      <w:marBottom w:val="0"/>
      <w:divBdr>
        <w:top w:val="none" w:sz="0" w:space="0" w:color="auto"/>
        <w:left w:val="none" w:sz="0" w:space="0" w:color="auto"/>
        <w:bottom w:val="none" w:sz="0" w:space="0" w:color="auto"/>
        <w:right w:val="none" w:sz="0" w:space="0" w:color="auto"/>
      </w:divBdr>
    </w:div>
    <w:div w:id="1762800718">
      <w:marLeft w:val="960"/>
      <w:marRight w:val="0"/>
      <w:marTop w:val="0"/>
      <w:marBottom w:val="0"/>
      <w:divBdr>
        <w:top w:val="none" w:sz="0" w:space="0" w:color="auto"/>
        <w:left w:val="none" w:sz="0" w:space="0" w:color="auto"/>
        <w:bottom w:val="none" w:sz="0" w:space="0" w:color="auto"/>
        <w:right w:val="none" w:sz="0" w:space="0" w:color="auto"/>
      </w:divBdr>
    </w:div>
    <w:div w:id="1768771560">
      <w:marLeft w:val="840"/>
      <w:marRight w:val="0"/>
      <w:marTop w:val="0"/>
      <w:marBottom w:val="0"/>
      <w:divBdr>
        <w:top w:val="none" w:sz="0" w:space="0" w:color="auto"/>
        <w:left w:val="none" w:sz="0" w:space="0" w:color="auto"/>
        <w:bottom w:val="none" w:sz="0" w:space="0" w:color="auto"/>
        <w:right w:val="none" w:sz="0" w:space="0" w:color="auto"/>
      </w:divBdr>
    </w:div>
    <w:div w:id="1775053938">
      <w:marLeft w:val="720"/>
      <w:marRight w:val="0"/>
      <w:marTop w:val="0"/>
      <w:marBottom w:val="0"/>
      <w:divBdr>
        <w:top w:val="none" w:sz="0" w:space="0" w:color="auto"/>
        <w:left w:val="none" w:sz="0" w:space="0" w:color="auto"/>
        <w:bottom w:val="none" w:sz="0" w:space="0" w:color="auto"/>
        <w:right w:val="none" w:sz="0" w:space="0" w:color="auto"/>
      </w:divBdr>
    </w:div>
    <w:div w:id="1789886043">
      <w:marLeft w:val="840"/>
      <w:marRight w:val="0"/>
      <w:marTop w:val="0"/>
      <w:marBottom w:val="0"/>
      <w:divBdr>
        <w:top w:val="none" w:sz="0" w:space="0" w:color="auto"/>
        <w:left w:val="none" w:sz="0" w:space="0" w:color="auto"/>
        <w:bottom w:val="none" w:sz="0" w:space="0" w:color="auto"/>
        <w:right w:val="none" w:sz="0" w:space="0" w:color="auto"/>
      </w:divBdr>
    </w:div>
    <w:div w:id="1791589817">
      <w:marLeft w:val="720"/>
      <w:marRight w:val="0"/>
      <w:marTop w:val="0"/>
      <w:marBottom w:val="0"/>
      <w:divBdr>
        <w:top w:val="none" w:sz="0" w:space="0" w:color="auto"/>
        <w:left w:val="none" w:sz="0" w:space="0" w:color="auto"/>
        <w:bottom w:val="none" w:sz="0" w:space="0" w:color="auto"/>
        <w:right w:val="none" w:sz="0" w:space="0" w:color="auto"/>
      </w:divBdr>
    </w:div>
    <w:div w:id="1795097327">
      <w:marLeft w:val="720"/>
      <w:marRight w:val="0"/>
      <w:marTop w:val="0"/>
      <w:marBottom w:val="0"/>
      <w:divBdr>
        <w:top w:val="none" w:sz="0" w:space="0" w:color="auto"/>
        <w:left w:val="none" w:sz="0" w:space="0" w:color="auto"/>
        <w:bottom w:val="none" w:sz="0" w:space="0" w:color="auto"/>
        <w:right w:val="none" w:sz="0" w:space="0" w:color="auto"/>
      </w:divBdr>
    </w:div>
    <w:div w:id="1801417666">
      <w:marLeft w:val="1080"/>
      <w:marRight w:val="0"/>
      <w:marTop w:val="0"/>
      <w:marBottom w:val="0"/>
      <w:divBdr>
        <w:top w:val="none" w:sz="0" w:space="0" w:color="auto"/>
        <w:left w:val="none" w:sz="0" w:space="0" w:color="auto"/>
        <w:bottom w:val="none" w:sz="0" w:space="0" w:color="auto"/>
        <w:right w:val="none" w:sz="0" w:space="0" w:color="auto"/>
      </w:divBdr>
    </w:div>
    <w:div w:id="1805192183">
      <w:marLeft w:val="720"/>
      <w:marRight w:val="0"/>
      <w:marTop w:val="0"/>
      <w:marBottom w:val="0"/>
      <w:divBdr>
        <w:top w:val="none" w:sz="0" w:space="0" w:color="auto"/>
        <w:left w:val="none" w:sz="0" w:space="0" w:color="auto"/>
        <w:bottom w:val="none" w:sz="0" w:space="0" w:color="auto"/>
        <w:right w:val="none" w:sz="0" w:space="0" w:color="auto"/>
      </w:divBdr>
    </w:div>
    <w:div w:id="1805731062">
      <w:marLeft w:val="720"/>
      <w:marRight w:val="0"/>
      <w:marTop w:val="0"/>
      <w:marBottom w:val="0"/>
      <w:divBdr>
        <w:top w:val="none" w:sz="0" w:space="0" w:color="auto"/>
        <w:left w:val="none" w:sz="0" w:space="0" w:color="auto"/>
        <w:bottom w:val="none" w:sz="0" w:space="0" w:color="auto"/>
        <w:right w:val="none" w:sz="0" w:space="0" w:color="auto"/>
      </w:divBdr>
    </w:div>
    <w:div w:id="1808280945">
      <w:marLeft w:val="720"/>
      <w:marRight w:val="0"/>
      <w:marTop w:val="0"/>
      <w:marBottom w:val="0"/>
      <w:divBdr>
        <w:top w:val="none" w:sz="0" w:space="0" w:color="auto"/>
        <w:left w:val="none" w:sz="0" w:space="0" w:color="auto"/>
        <w:bottom w:val="none" w:sz="0" w:space="0" w:color="auto"/>
        <w:right w:val="none" w:sz="0" w:space="0" w:color="auto"/>
      </w:divBdr>
    </w:div>
    <w:div w:id="1811095387">
      <w:marLeft w:val="0"/>
      <w:marRight w:val="0"/>
      <w:marTop w:val="0"/>
      <w:marBottom w:val="0"/>
      <w:divBdr>
        <w:top w:val="none" w:sz="0" w:space="0" w:color="auto"/>
        <w:left w:val="none" w:sz="0" w:space="0" w:color="auto"/>
        <w:bottom w:val="none" w:sz="0" w:space="0" w:color="auto"/>
        <w:right w:val="none" w:sz="0" w:space="0" w:color="auto"/>
      </w:divBdr>
    </w:div>
    <w:div w:id="1811709299">
      <w:marLeft w:val="1080"/>
      <w:marRight w:val="0"/>
      <w:marTop w:val="0"/>
      <w:marBottom w:val="0"/>
      <w:divBdr>
        <w:top w:val="none" w:sz="0" w:space="0" w:color="auto"/>
        <w:left w:val="none" w:sz="0" w:space="0" w:color="auto"/>
        <w:bottom w:val="none" w:sz="0" w:space="0" w:color="auto"/>
        <w:right w:val="none" w:sz="0" w:space="0" w:color="auto"/>
      </w:divBdr>
    </w:div>
    <w:div w:id="1814567292">
      <w:marLeft w:val="720"/>
      <w:marRight w:val="0"/>
      <w:marTop w:val="0"/>
      <w:marBottom w:val="0"/>
      <w:divBdr>
        <w:top w:val="none" w:sz="0" w:space="0" w:color="auto"/>
        <w:left w:val="none" w:sz="0" w:space="0" w:color="auto"/>
        <w:bottom w:val="none" w:sz="0" w:space="0" w:color="auto"/>
        <w:right w:val="none" w:sz="0" w:space="0" w:color="auto"/>
      </w:divBdr>
    </w:div>
    <w:div w:id="1815098657">
      <w:marLeft w:val="720"/>
      <w:marRight w:val="0"/>
      <w:marTop w:val="0"/>
      <w:marBottom w:val="0"/>
      <w:divBdr>
        <w:top w:val="none" w:sz="0" w:space="0" w:color="auto"/>
        <w:left w:val="none" w:sz="0" w:space="0" w:color="auto"/>
        <w:bottom w:val="none" w:sz="0" w:space="0" w:color="auto"/>
        <w:right w:val="none" w:sz="0" w:space="0" w:color="auto"/>
      </w:divBdr>
    </w:div>
    <w:div w:id="1818911696">
      <w:marLeft w:val="960"/>
      <w:marRight w:val="0"/>
      <w:marTop w:val="0"/>
      <w:marBottom w:val="0"/>
      <w:divBdr>
        <w:top w:val="none" w:sz="0" w:space="0" w:color="auto"/>
        <w:left w:val="none" w:sz="0" w:space="0" w:color="auto"/>
        <w:bottom w:val="none" w:sz="0" w:space="0" w:color="auto"/>
        <w:right w:val="none" w:sz="0" w:space="0" w:color="auto"/>
      </w:divBdr>
    </w:div>
    <w:div w:id="1821968802">
      <w:marLeft w:val="960"/>
      <w:marRight w:val="0"/>
      <w:marTop w:val="0"/>
      <w:marBottom w:val="0"/>
      <w:divBdr>
        <w:top w:val="none" w:sz="0" w:space="0" w:color="auto"/>
        <w:left w:val="none" w:sz="0" w:space="0" w:color="auto"/>
        <w:bottom w:val="none" w:sz="0" w:space="0" w:color="auto"/>
        <w:right w:val="none" w:sz="0" w:space="0" w:color="auto"/>
      </w:divBdr>
    </w:div>
    <w:div w:id="1822190072">
      <w:marLeft w:val="720"/>
      <w:marRight w:val="0"/>
      <w:marTop w:val="0"/>
      <w:marBottom w:val="0"/>
      <w:divBdr>
        <w:top w:val="none" w:sz="0" w:space="0" w:color="auto"/>
        <w:left w:val="none" w:sz="0" w:space="0" w:color="auto"/>
        <w:bottom w:val="none" w:sz="0" w:space="0" w:color="auto"/>
        <w:right w:val="none" w:sz="0" w:space="0" w:color="auto"/>
      </w:divBdr>
    </w:div>
    <w:div w:id="1823932572">
      <w:marLeft w:val="960"/>
      <w:marRight w:val="0"/>
      <w:marTop w:val="0"/>
      <w:marBottom w:val="0"/>
      <w:divBdr>
        <w:top w:val="none" w:sz="0" w:space="0" w:color="auto"/>
        <w:left w:val="none" w:sz="0" w:space="0" w:color="auto"/>
        <w:bottom w:val="none" w:sz="0" w:space="0" w:color="auto"/>
        <w:right w:val="none" w:sz="0" w:space="0" w:color="auto"/>
      </w:divBdr>
    </w:div>
    <w:div w:id="1824856755">
      <w:marLeft w:val="0"/>
      <w:marRight w:val="0"/>
      <w:marTop w:val="0"/>
      <w:marBottom w:val="0"/>
      <w:divBdr>
        <w:top w:val="none" w:sz="0" w:space="0" w:color="auto"/>
        <w:left w:val="none" w:sz="0" w:space="0" w:color="auto"/>
        <w:bottom w:val="none" w:sz="0" w:space="0" w:color="auto"/>
        <w:right w:val="none" w:sz="0" w:space="0" w:color="auto"/>
      </w:divBdr>
      <w:divsChild>
        <w:div w:id="1013340185">
          <w:marLeft w:val="0"/>
          <w:marRight w:val="0"/>
          <w:marTop w:val="120"/>
          <w:marBottom w:val="0"/>
          <w:divBdr>
            <w:top w:val="none" w:sz="0" w:space="0" w:color="auto"/>
            <w:left w:val="none" w:sz="0" w:space="0" w:color="auto"/>
            <w:bottom w:val="none" w:sz="0" w:space="0" w:color="auto"/>
            <w:right w:val="none" w:sz="0" w:space="0" w:color="auto"/>
          </w:divBdr>
        </w:div>
        <w:div w:id="1669095116">
          <w:marLeft w:val="0"/>
          <w:marRight w:val="0"/>
          <w:marTop w:val="0"/>
          <w:marBottom w:val="0"/>
          <w:divBdr>
            <w:top w:val="none" w:sz="0" w:space="0" w:color="auto"/>
            <w:left w:val="none" w:sz="0" w:space="0" w:color="auto"/>
            <w:bottom w:val="none" w:sz="0" w:space="0" w:color="auto"/>
            <w:right w:val="none" w:sz="0" w:space="0" w:color="auto"/>
          </w:divBdr>
          <w:divsChild>
            <w:div w:id="1780876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26433284">
      <w:marLeft w:val="0"/>
      <w:marRight w:val="0"/>
      <w:marTop w:val="0"/>
      <w:marBottom w:val="0"/>
      <w:divBdr>
        <w:top w:val="none" w:sz="0" w:space="0" w:color="auto"/>
        <w:left w:val="none" w:sz="0" w:space="0" w:color="auto"/>
        <w:bottom w:val="none" w:sz="0" w:space="0" w:color="auto"/>
        <w:right w:val="none" w:sz="0" w:space="0" w:color="auto"/>
      </w:divBdr>
      <w:divsChild>
        <w:div w:id="286006084">
          <w:marLeft w:val="0"/>
          <w:marRight w:val="0"/>
          <w:marTop w:val="120"/>
          <w:marBottom w:val="0"/>
          <w:divBdr>
            <w:top w:val="none" w:sz="0" w:space="0" w:color="auto"/>
            <w:left w:val="none" w:sz="0" w:space="0" w:color="auto"/>
            <w:bottom w:val="none" w:sz="0" w:space="0" w:color="auto"/>
            <w:right w:val="none" w:sz="0" w:space="0" w:color="auto"/>
          </w:divBdr>
        </w:div>
        <w:div w:id="1671639930">
          <w:marLeft w:val="0"/>
          <w:marRight w:val="0"/>
          <w:marTop w:val="0"/>
          <w:marBottom w:val="0"/>
          <w:divBdr>
            <w:top w:val="none" w:sz="0" w:space="0" w:color="auto"/>
            <w:left w:val="none" w:sz="0" w:space="0" w:color="auto"/>
            <w:bottom w:val="none" w:sz="0" w:space="0" w:color="auto"/>
            <w:right w:val="none" w:sz="0" w:space="0" w:color="auto"/>
          </w:divBdr>
          <w:divsChild>
            <w:div w:id="5025469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40655405">
      <w:marLeft w:val="0"/>
      <w:marRight w:val="0"/>
      <w:marTop w:val="0"/>
      <w:marBottom w:val="0"/>
      <w:divBdr>
        <w:top w:val="none" w:sz="0" w:space="0" w:color="auto"/>
        <w:left w:val="none" w:sz="0" w:space="0" w:color="auto"/>
        <w:bottom w:val="none" w:sz="0" w:space="0" w:color="auto"/>
        <w:right w:val="none" w:sz="0" w:space="0" w:color="auto"/>
      </w:divBdr>
      <w:divsChild>
        <w:div w:id="158469988">
          <w:marLeft w:val="0"/>
          <w:marRight w:val="0"/>
          <w:marTop w:val="120"/>
          <w:marBottom w:val="0"/>
          <w:divBdr>
            <w:top w:val="none" w:sz="0" w:space="0" w:color="auto"/>
            <w:left w:val="none" w:sz="0" w:space="0" w:color="auto"/>
            <w:bottom w:val="none" w:sz="0" w:space="0" w:color="auto"/>
            <w:right w:val="none" w:sz="0" w:space="0" w:color="auto"/>
          </w:divBdr>
        </w:div>
        <w:div w:id="1157183321">
          <w:marLeft w:val="0"/>
          <w:marRight w:val="0"/>
          <w:marTop w:val="0"/>
          <w:marBottom w:val="0"/>
          <w:divBdr>
            <w:top w:val="none" w:sz="0" w:space="0" w:color="auto"/>
            <w:left w:val="none" w:sz="0" w:space="0" w:color="auto"/>
            <w:bottom w:val="none" w:sz="0" w:space="0" w:color="auto"/>
            <w:right w:val="none" w:sz="0" w:space="0" w:color="auto"/>
          </w:divBdr>
          <w:divsChild>
            <w:div w:id="20655920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44541265">
      <w:marLeft w:val="720"/>
      <w:marRight w:val="0"/>
      <w:marTop w:val="0"/>
      <w:marBottom w:val="0"/>
      <w:divBdr>
        <w:top w:val="none" w:sz="0" w:space="0" w:color="auto"/>
        <w:left w:val="none" w:sz="0" w:space="0" w:color="auto"/>
        <w:bottom w:val="none" w:sz="0" w:space="0" w:color="auto"/>
        <w:right w:val="none" w:sz="0" w:space="0" w:color="auto"/>
      </w:divBdr>
    </w:div>
    <w:div w:id="1851523184">
      <w:marLeft w:val="1080"/>
      <w:marRight w:val="0"/>
      <w:marTop w:val="0"/>
      <w:marBottom w:val="0"/>
      <w:divBdr>
        <w:top w:val="none" w:sz="0" w:space="0" w:color="auto"/>
        <w:left w:val="none" w:sz="0" w:space="0" w:color="auto"/>
        <w:bottom w:val="none" w:sz="0" w:space="0" w:color="auto"/>
        <w:right w:val="none" w:sz="0" w:space="0" w:color="auto"/>
      </w:divBdr>
    </w:div>
    <w:div w:id="1852722720">
      <w:marLeft w:val="1080"/>
      <w:marRight w:val="0"/>
      <w:marTop w:val="0"/>
      <w:marBottom w:val="0"/>
      <w:divBdr>
        <w:top w:val="none" w:sz="0" w:space="0" w:color="auto"/>
        <w:left w:val="none" w:sz="0" w:space="0" w:color="auto"/>
        <w:bottom w:val="none" w:sz="0" w:space="0" w:color="auto"/>
        <w:right w:val="none" w:sz="0" w:space="0" w:color="auto"/>
      </w:divBdr>
    </w:div>
    <w:div w:id="1858619767">
      <w:bodyDiv w:val="1"/>
      <w:marLeft w:val="0"/>
      <w:marRight w:val="0"/>
      <w:marTop w:val="0"/>
      <w:marBottom w:val="0"/>
      <w:divBdr>
        <w:top w:val="none" w:sz="0" w:space="0" w:color="auto"/>
        <w:left w:val="none" w:sz="0" w:space="0" w:color="auto"/>
        <w:bottom w:val="none" w:sz="0" w:space="0" w:color="auto"/>
        <w:right w:val="none" w:sz="0" w:space="0" w:color="auto"/>
      </w:divBdr>
      <w:divsChild>
        <w:div w:id="983779708">
          <w:marLeft w:val="0"/>
          <w:marRight w:val="0"/>
          <w:marTop w:val="0"/>
          <w:marBottom w:val="0"/>
          <w:divBdr>
            <w:top w:val="none" w:sz="0" w:space="0" w:color="auto"/>
            <w:left w:val="none" w:sz="0" w:space="0" w:color="auto"/>
            <w:bottom w:val="none" w:sz="0" w:space="0" w:color="auto"/>
            <w:right w:val="none" w:sz="0" w:space="0" w:color="auto"/>
          </w:divBdr>
          <w:divsChild>
            <w:div w:id="804739758">
              <w:marLeft w:val="0"/>
              <w:marRight w:val="0"/>
              <w:marTop w:val="120"/>
              <w:marBottom w:val="0"/>
              <w:divBdr>
                <w:top w:val="none" w:sz="0" w:space="0" w:color="auto"/>
                <w:left w:val="none" w:sz="0" w:space="0" w:color="auto"/>
                <w:bottom w:val="none" w:sz="0" w:space="0" w:color="auto"/>
                <w:right w:val="none" w:sz="0" w:space="0" w:color="auto"/>
              </w:divBdr>
            </w:div>
            <w:div w:id="2141996005">
              <w:marLeft w:val="0"/>
              <w:marRight w:val="0"/>
              <w:marTop w:val="0"/>
              <w:marBottom w:val="0"/>
              <w:divBdr>
                <w:top w:val="none" w:sz="0" w:space="0" w:color="auto"/>
                <w:left w:val="none" w:sz="0" w:space="0" w:color="auto"/>
                <w:bottom w:val="none" w:sz="0" w:space="0" w:color="auto"/>
                <w:right w:val="none" w:sz="0" w:space="0" w:color="auto"/>
              </w:divBdr>
              <w:divsChild>
                <w:div w:id="16017901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2327367">
          <w:marLeft w:val="0"/>
          <w:marRight w:val="0"/>
          <w:marTop w:val="0"/>
          <w:marBottom w:val="0"/>
          <w:divBdr>
            <w:top w:val="none" w:sz="0" w:space="0" w:color="auto"/>
            <w:left w:val="none" w:sz="0" w:space="0" w:color="auto"/>
            <w:bottom w:val="none" w:sz="0" w:space="0" w:color="auto"/>
            <w:right w:val="none" w:sz="0" w:space="0" w:color="auto"/>
          </w:divBdr>
          <w:divsChild>
            <w:div w:id="798258415">
              <w:marLeft w:val="0"/>
              <w:marRight w:val="0"/>
              <w:marTop w:val="120"/>
              <w:marBottom w:val="0"/>
              <w:divBdr>
                <w:top w:val="none" w:sz="0" w:space="0" w:color="auto"/>
                <w:left w:val="none" w:sz="0" w:space="0" w:color="auto"/>
                <w:bottom w:val="none" w:sz="0" w:space="0" w:color="auto"/>
                <w:right w:val="none" w:sz="0" w:space="0" w:color="auto"/>
              </w:divBdr>
            </w:div>
            <w:div w:id="1928344542">
              <w:marLeft w:val="0"/>
              <w:marRight w:val="0"/>
              <w:marTop w:val="0"/>
              <w:marBottom w:val="0"/>
              <w:divBdr>
                <w:top w:val="none" w:sz="0" w:space="0" w:color="auto"/>
                <w:left w:val="none" w:sz="0" w:space="0" w:color="auto"/>
                <w:bottom w:val="none" w:sz="0" w:space="0" w:color="auto"/>
                <w:right w:val="none" w:sz="0" w:space="0" w:color="auto"/>
              </w:divBdr>
              <w:divsChild>
                <w:div w:id="3076352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79873815">
          <w:marLeft w:val="0"/>
          <w:marRight w:val="0"/>
          <w:marTop w:val="0"/>
          <w:marBottom w:val="0"/>
          <w:divBdr>
            <w:top w:val="none" w:sz="0" w:space="0" w:color="auto"/>
            <w:left w:val="none" w:sz="0" w:space="0" w:color="auto"/>
            <w:bottom w:val="none" w:sz="0" w:space="0" w:color="auto"/>
            <w:right w:val="none" w:sz="0" w:space="0" w:color="auto"/>
          </w:divBdr>
          <w:divsChild>
            <w:div w:id="530462666">
              <w:marLeft w:val="0"/>
              <w:marRight w:val="0"/>
              <w:marTop w:val="120"/>
              <w:marBottom w:val="0"/>
              <w:divBdr>
                <w:top w:val="none" w:sz="0" w:space="0" w:color="auto"/>
                <w:left w:val="none" w:sz="0" w:space="0" w:color="auto"/>
                <w:bottom w:val="none" w:sz="0" w:space="0" w:color="auto"/>
                <w:right w:val="none" w:sz="0" w:space="0" w:color="auto"/>
              </w:divBdr>
            </w:div>
            <w:div w:id="1957057245">
              <w:marLeft w:val="0"/>
              <w:marRight w:val="0"/>
              <w:marTop w:val="0"/>
              <w:marBottom w:val="0"/>
              <w:divBdr>
                <w:top w:val="none" w:sz="0" w:space="0" w:color="auto"/>
                <w:left w:val="none" w:sz="0" w:space="0" w:color="auto"/>
                <w:bottom w:val="none" w:sz="0" w:space="0" w:color="auto"/>
                <w:right w:val="none" w:sz="0" w:space="0" w:color="auto"/>
              </w:divBdr>
              <w:divsChild>
                <w:div w:id="15699230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4387166">
          <w:marLeft w:val="0"/>
          <w:marRight w:val="0"/>
          <w:marTop w:val="0"/>
          <w:marBottom w:val="0"/>
          <w:divBdr>
            <w:top w:val="none" w:sz="0" w:space="0" w:color="auto"/>
            <w:left w:val="none" w:sz="0" w:space="0" w:color="auto"/>
            <w:bottom w:val="none" w:sz="0" w:space="0" w:color="auto"/>
            <w:right w:val="none" w:sz="0" w:space="0" w:color="auto"/>
          </w:divBdr>
          <w:divsChild>
            <w:div w:id="1829245185">
              <w:marLeft w:val="0"/>
              <w:marRight w:val="0"/>
              <w:marTop w:val="120"/>
              <w:marBottom w:val="0"/>
              <w:divBdr>
                <w:top w:val="none" w:sz="0" w:space="0" w:color="auto"/>
                <w:left w:val="none" w:sz="0" w:space="0" w:color="auto"/>
                <w:bottom w:val="none" w:sz="0" w:space="0" w:color="auto"/>
                <w:right w:val="none" w:sz="0" w:space="0" w:color="auto"/>
              </w:divBdr>
            </w:div>
            <w:div w:id="1023437693">
              <w:marLeft w:val="0"/>
              <w:marRight w:val="0"/>
              <w:marTop w:val="0"/>
              <w:marBottom w:val="0"/>
              <w:divBdr>
                <w:top w:val="none" w:sz="0" w:space="0" w:color="auto"/>
                <w:left w:val="none" w:sz="0" w:space="0" w:color="auto"/>
                <w:bottom w:val="none" w:sz="0" w:space="0" w:color="auto"/>
                <w:right w:val="none" w:sz="0" w:space="0" w:color="auto"/>
              </w:divBdr>
              <w:divsChild>
                <w:div w:id="18200713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5199126">
          <w:marLeft w:val="0"/>
          <w:marRight w:val="0"/>
          <w:marTop w:val="0"/>
          <w:marBottom w:val="0"/>
          <w:divBdr>
            <w:top w:val="none" w:sz="0" w:space="0" w:color="auto"/>
            <w:left w:val="none" w:sz="0" w:space="0" w:color="auto"/>
            <w:bottom w:val="none" w:sz="0" w:space="0" w:color="auto"/>
            <w:right w:val="none" w:sz="0" w:space="0" w:color="auto"/>
          </w:divBdr>
          <w:divsChild>
            <w:div w:id="1562011357">
              <w:marLeft w:val="0"/>
              <w:marRight w:val="0"/>
              <w:marTop w:val="120"/>
              <w:marBottom w:val="0"/>
              <w:divBdr>
                <w:top w:val="none" w:sz="0" w:space="0" w:color="auto"/>
                <w:left w:val="none" w:sz="0" w:space="0" w:color="auto"/>
                <w:bottom w:val="none" w:sz="0" w:space="0" w:color="auto"/>
                <w:right w:val="none" w:sz="0" w:space="0" w:color="auto"/>
              </w:divBdr>
            </w:div>
            <w:div w:id="644093559">
              <w:marLeft w:val="0"/>
              <w:marRight w:val="0"/>
              <w:marTop w:val="0"/>
              <w:marBottom w:val="0"/>
              <w:divBdr>
                <w:top w:val="none" w:sz="0" w:space="0" w:color="auto"/>
                <w:left w:val="none" w:sz="0" w:space="0" w:color="auto"/>
                <w:bottom w:val="none" w:sz="0" w:space="0" w:color="auto"/>
                <w:right w:val="none" w:sz="0" w:space="0" w:color="auto"/>
              </w:divBdr>
              <w:divsChild>
                <w:div w:id="13537258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56972131">
          <w:marLeft w:val="0"/>
          <w:marRight w:val="0"/>
          <w:marTop w:val="0"/>
          <w:marBottom w:val="0"/>
          <w:divBdr>
            <w:top w:val="none" w:sz="0" w:space="0" w:color="auto"/>
            <w:left w:val="none" w:sz="0" w:space="0" w:color="auto"/>
            <w:bottom w:val="none" w:sz="0" w:space="0" w:color="auto"/>
            <w:right w:val="none" w:sz="0" w:space="0" w:color="auto"/>
          </w:divBdr>
          <w:divsChild>
            <w:div w:id="292448169">
              <w:marLeft w:val="0"/>
              <w:marRight w:val="0"/>
              <w:marTop w:val="120"/>
              <w:marBottom w:val="0"/>
              <w:divBdr>
                <w:top w:val="none" w:sz="0" w:space="0" w:color="auto"/>
                <w:left w:val="none" w:sz="0" w:space="0" w:color="auto"/>
                <w:bottom w:val="none" w:sz="0" w:space="0" w:color="auto"/>
                <w:right w:val="none" w:sz="0" w:space="0" w:color="auto"/>
              </w:divBdr>
            </w:div>
            <w:div w:id="629558022">
              <w:marLeft w:val="0"/>
              <w:marRight w:val="0"/>
              <w:marTop w:val="0"/>
              <w:marBottom w:val="0"/>
              <w:divBdr>
                <w:top w:val="none" w:sz="0" w:space="0" w:color="auto"/>
                <w:left w:val="none" w:sz="0" w:space="0" w:color="auto"/>
                <w:bottom w:val="none" w:sz="0" w:space="0" w:color="auto"/>
                <w:right w:val="none" w:sz="0" w:space="0" w:color="auto"/>
              </w:divBdr>
              <w:divsChild>
                <w:div w:id="16219100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3948388">
          <w:marLeft w:val="0"/>
          <w:marRight w:val="0"/>
          <w:marTop w:val="0"/>
          <w:marBottom w:val="0"/>
          <w:divBdr>
            <w:top w:val="none" w:sz="0" w:space="0" w:color="auto"/>
            <w:left w:val="none" w:sz="0" w:space="0" w:color="auto"/>
            <w:bottom w:val="none" w:sz="0" w:space="0" w:color="auto"/>
            <w:right w:val="none" w:sz="0" w:space="0" w:color="auto"/>
          </w:divBdr>
          <w:divsChild>
            <w:div w:id="2057662432">
              <w:marLeft w:val="0"/>
              <w:marRight w:val="0"/>
              <w:marTop w:val="120"/>
              <w:marBottom w:val="0"/>
              <w:divBdr>
                <w:top w:val="none" w:sz="0" w:space="0" w:color="auto"/>
                <w:left w:val="none" w:sz="0" w:space="0" w:color="auto"/>
                <w:bottom w:val="none" w:sz="0" w:space="0" w:color="auto"/>
                <w:right w:val="none" w:sz="0" w:space="0" w:color="auto"/>
              </w:divBdr>
            </w:div>
            <w:div w:id="504907546">
              <w:marLeft w:val="0"/>
              <w:marRight w:val="0"/>
              <w:marTop w:val="0"/>
              <w:marBottom w:val="0"/>
              <w:divBdr>
                <w:top w:val="none" w:sz="0" w:space="0" w:color="auto"/>
                <w:left w:val="none" w:sz="0" w:space="0" w:color="auto"/>
                <w:bottom w:val="none" w:sz="0" w:space="0" w:color="auto"/>
                <w:right w:val="none" w:sz="0" w:space="0" w:color="auto"/>
              </w:divBdr>
              <w:divsChild>
                <w:div w:id="1985895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27796788">
          <w:marLeft w:val="0"/>
          <w:marRight w:val="0"/>
          <w:marTop w:val="0"/>
          <w:marBottom w:val="0"/>
          <w:divBdr>
            <w:top w:val="none" w:sz="0" w:space="0" w:color="auto"/>
            <w:left w:val="none" w:sz="0" w:space="0" w:color="auto"/>
            <w:bottom w:val="none" w:sz="0" w:space="0" w:color="auto"/>
            <w:right w:val="none" w:sz="0" w:space="0" w:color="auto"/>
          </w:divBdr>
          <w:divsChild>
            <w:div w:id="837884316">
              <w:marLeft w:val="0"/>
              <w:marRight w:val="0"/>
              <w:marTop w:val="120"/>
              <w:marBottom w:val="0"/>
              <w:divBdr>
                <w:top w:val="none" w:sz="0" w:space="0" w:color="auto"/>
                <w:left w:val="none" w:sz="0" w:space="0" w:color="auto"/>
                <w:bottom w:val="none" w:sz="0" w:space="0" w:color="auto"/>
                <w:right w:val="none" w:sz="0" w:space="0" w:color="auto"/>
              </w:divBdr>
            </w:div>
            <w:div w:id="326176802">
              <w:marLeft w:val="0"/>
              <w:marRight w:val="0"/>
              <w:marTop w:val="0"/>
              <w:marBottom w:val="0"/>
              <w:divBdr>
                <w:top w:val="none" w:sz="0" w:space="0" w:color="auto"/>
                <w:left w:val="none" w:sz="0" w:space="0" w:color="auto"/>
                <w:bottom w:val="none" w:sz="0" w:space="0" w:color="auto"/>
                <w:right w:val="none" w:sz="0" w:space="0" w:color="auto"/>
              </w:divBdr>
              <w:divsChild>
                <w:div w:id="1855584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5666604">
          <w:marLeft w:val="0"/>
          <w:marRight w:val="0"/>
          <w:marTop w:val="0"/>
          <w:marBottom w:val="0"/>
          <w:divBdr>
            <w:top w:val="none" w:sz="0" w:space="0" w:color="auto"/>
            <w:left w:val="none" w:sz="0" w:space="0" w:color="auto"/>
            <w:bottom w:val="none" w:sz="0" w:space="0" w:color="auto"/>
            <w:right w:val="none" w:sz="0" w:space="0" w:color="auto"/>
          </w:divBdr>
          <w:divsChild>
            <w:div w:id="1343317126">
              <w:marLeft w:val="0"/>
              <w:marRight w:val="0"/>
              <w:marTop w:val="120"/>
              <w:marBottom w:val="0"/>
              <w:divBdr>
                <w:top w:val="none" w:sz="0" w:space="0" w:color="auto"/>
                <w:left w:val="none" w:sz="0" w:space="0" w:color="auto"/>
                <w:bottom w:val="none" w:sz="0" w:space="0" w:color="auto"/>
                <w:right w:val="none" w:sz="0" w:space="0" w:color="auto"/>
              </w:divBdr>
            </w:div>
            <w:div w:id="1042290478">
              <w:marLeft w:val="0"/>
              <w:marRight w:val="0"/>
              <w:marTop w:val="0"/>
              <w:marBottom w:val="0"/>
              <w:divBdr>
                <w:top w:val="none" w:sz="0" w:space="0" w:color="auto"/>
                <w:left w:val="none" w:sz="0" w:space="0" w:color="auto"/>
                <w:bottom w:val="none" w:sz="0" w:space="0" w:color="auto"/>
                <w:right w:val="none" w:sz="0" w:space="0" w:color="auto"/>
              </w:divBdr>
              <w:divsChild>
                <w:div w:id="2647287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73435206">
          <w:marLeft w:val="0"/>
          <w:marRight w:val="0"/>
          <w:marTop w:val="0"/>
          <w:marBottom w:val="0"/>
          <w:divBdr>
            <w:top w:val="none" w:sz="0" w:space="0" w:color="auto"/>
            <w:left w:val="none" w:sz="0" w:space="0" w:color="auto"/>
            <w:bottom w:val="none" w:sz="0" w:space="0" w:color="auto"/>
            <w:right w:val="none" w:sz="0" w:space="0" w:color="auto"/>
          </w:divBdr>
          <w:divsChild>
            <w:div w:id="1566867116">
              <w:marLeft w:val="0"/>
              <w:marRight w:val="0"/>
              <w:marTop w:val="120"/>
              <w:marBottom w:val="0"/>
              <w:divBdr>
                <w:top w:val="none" w:sz="0" w:space="0" w:color="auto"/>
                <w:left w:val="none" w:sz="0" w:space="0" w:color="auto"/>
                <w:bottom w:val="none" w:sz="0" w:space="0" w:color="auto"/>
                <w:right w:val="none" w:sz="0" w:space="0" w:color="auto"/>
              </w:divBdr>
            </w:div>
            <w:div w:id="1484658635">
              <w:marLeft w:val="0"/>
              <w:marRight w:val="0"/>
              <w:marTop w:val="0"/>
              <w:marBottom w:val="0"/>
              <w:divBdr>
                <w:top w:val="none" w:sz="0" w:space="0" w:color="auto"/>
                <w:left w:val="none" w:sz="0" w:space="0" w:color="auto"/>
                <w:bottom w:val="none" w:sz="0" w:space="0" w:color="auto"/>
                <w:right w:val="none" w:sz="0" w:space="0" w:color="auto"/>
              </w:divBdr>
              <w:divsChild>
                <w:div w:id="10646481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621291">
          <w:marLeft w:val="0"/>
          <w:marRight w:val="0"/>
          <w:marTop w:val="0"/>
          <w:marBottom w:val="0"/>
          <w:divBdr>
            <w:top w:val="none" w:sz="0" w:space="0" w:color="auto"/>
            <w:left w:val="none" w:sz="0" w:space="0" w:color="auto"/>
            <w:bottom w:val="none" w:sz="0" w:space="0" w:color="auto"/>
            <w:right w:val="none" w:sz="0" w:space="0" w:color="auto"/>
          </w:divBdr>
          <w:divsChild>
            <w:div w:id="1177114218">
              <w:marLeft w:val="0"/>
              <w:marRight w:val="0"/>
              <w:marTop w:val="120"/>
              <w:marBottom w:val="0"/>
              <w:divBdr>
                <w:top w:val="none" w:sz="0" w:space="0" w:color="auto"/>
                <w:left w:val="none" w:sz="0" w:space="0" w:color="auto"/>
                <w:bottom w:val="none" w:sz="0" w:space="0" w:color="auto"/>
                <w:right w:val="none" w:sz="0" w:space="0" w:color="auto"/>
              </w:divBdr>
            </w:div>
            <w:div w:id="2096780471">
              <w:marLeft w:val="0"/>
              <w:marRight w:val="0"/>
              <w:marTop w:val="0"/>
              <w:marBottom w:val="0"/>
              <w:divBdr>
                <w:top w:val="none" w:sz="0" w:space="0" w:color="auto"/>
                <w:left w:val="none" w:sz="0" w:space="0" w:color="auto"/>
                <w:bottom w:val="none" w:sz="0" w:space="0" w:color="auto"/>
                <w:right w:val="none" w:sz="0" w:space="0" w:color="auto"/>
              </w:divBdr>
              <w:divsChild>
                <w:div w:id="8411601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8991008">
          <w:marLeft w:val="0"/>
          <w:marRight w:val="0"/>
          <w:marTop w:val="0"/>
          <w:marBottom w:val="0"/>
          <w:divBdr>
            <w:top w:val="none" w:sz="0" w:space="0" w:color="auto"/>
            <w:left w:val="none" w:sz="0" w:space="0" w:color="auto"/>
            <w:bottom w:val="none" w:sz="0" w:space="0" w:color="auto"/>
            <w:right w:val="none" w:sz="0" w:space="0" w:color="auto"/>
          </w:divBdr>
          <w:divsChild>
            <w:div w:id="511796047">
              <w:marLeft w:val="0"/>
              <w:marRight w:val="0"/>
              <w:marTop w:val="120"/>
              <w:marBottom w:val="0"/>
              <w:divBdr>
                <w:top w:val="none" w:sz="0" w:space="0" w:color="auto"/>
                <w:left w:val="none" w:sz="0" w:space="0" w:color="auto"/>
                <w:bottom w:val="none" w:sz="0" w:space="0" w:color="auto"/>
                <w:right w:val="none" w:sz="0" w:space="0" w:color="auto"/>
              </w:divBdr>
            </w:div>
            <w:div w:id="1403060923">
              <w:marLeft w:val="0"/>
              <w:marRight w:val="0"/>
              <w:marTop w:val="0"/>
              <w:marBottom w:val="0"/>
              <w:divBdr>
                <w:top w:val="none" w:sz="0" w:space="0" w:color="auto"/>
                <w:left w:val="none" w:sz="0" w:space="0" w:color="auto"/>
                <w:bottom w:val="none" w:sz="0" w:space="0" w:color="auto"/>
                <w:right w:val="none" w:sz="0" w:space="0" w:color="auto"/>
              </w:divBdr>
              <w:divsChild>
                <w:div w:id="709269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2291424">
          <w:marLeft w:val="0"/>
          <w:marRight w:val="0"/>
          <w:marTop w:val="0"/>
          <w:marBottom w:val="0"/>
          <w:divBdr>
            <w:top w:val="none" w:sz="0" w:space="0" w:color="auto"/>
            <w:left w:val="none" w:sz="0" w:space="0" w:color="auto"/>
            <w:bottom w:val="none" w:sz="0" w:space="0" w:color="auto"/>
            <w:right w:val="none" w:sz="0" w:space="0" w:color="auto"/>
          </w:divBdr>
          <w:divsChild>
            <w:div w:id="2110814362">
              <w:marLeft w:val="0"/>
              <w:marRight w:val="0"/>
              <w:marTop w:val="120"/>
              <w:marBottom w:val="0"/>
              <w:divBdr>
                <w:top w:val="none" w:sz="0" w:space="0" w:color="auto"/>
                <w:left w:val="none" w:sz="0" w:space="0" w:color="auto"/>
                <w:bottom w:val="none" w:sz="0" w:space="0" w:color="auto"/>
                <w:right w:val="none" w:sz="0" w:space="0" w:color="auto"/>
              </w:divBdr>
            </w:div>
            <w:div w:id="208691021">
              <w:marLeft w:val="0"/>
              <w:marRight w:val="0"/>
              <w:marTop w:val="0"/>
              <w:marBottom w:val="0"/>
              <w:divBdr>
                <w:top w:val="none" w:sz="0" w:space="0" w:color="auto"/>
                <w:left w:val="none" w:sz="0" w:space="0" w:color="auto"/>
                <w:bottom w:val="none" w:sz="0" w:space="0" w:color="auto"/>
                <w:right w:val="none" w:sz="0" w:space="0" w:color="auto"/>
              </w:divBdr>
              <w:divsChild>
                <w:div w:id="12982963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69031688">
          <w:marLeft w:val="0"/>
          <w:marRight w:val="0"/>
          <w:marTop w:val="0"/>
          <w:marBottom w:val="0"/>
          <w:divBdr>
            <w:top w:val="none" w:sz="0" w:space="0" w:color="auto"/>
            <w:left w:val="none" w:sz="0" w:space="0" w:color="auto"/>
            <w:bottom w:val="none" w:sz="0" w:space="0" w:color="auto"/>
            <w:right w:val="none" w:sz="0" w:space="0" w:color="auto"/>
          </w:divBdr>
          <w:divsChild>
            <w:div w:id="777141106">
              <w:marLeft w:val="0"/>
              <w:marRight w:val="0"/>
              <w:marTop w:val="120"/>
              <w:marBottom w:val="0"/>
              <w:divBdr>
                <w:top w:val="none" w:sz="0" w:space="0" w:color="auto"/>
                <w:left w:val="none" w:sz="0" w:space="0" w:color="auto"/>
                <w:bottom w:val="none" w:sz="0" w:space="0" w:color="auto"/>
                <w:right w:val="none" w:sz="0" w:space="0" w:color="auto"/>
              </w:divBdr>
            </w:div>
            <w:div w:id="1334725902">
              <w:marLeft w:val="0"/>
              <w:marRight w:val="0"/>
              <w:marTop w:val="0"/>
              <w:marBottom w:val="0"/>
              <w:divBdr>
                <w:top w:val="none" w:sz="0" w:space="0" w:color="auto"/>
                <w:left w:val="none" w:sz="0" w:space="0" w:color="auto"/>
                <w:bottom w:val="none" w:sz="0" w:space="0" w:color="auto"/>
                <w:right w:val="none" w:sz="0" w:space="0" w:color="auto"/>
              </w:divBdr>
              <w:divsChild>
                <w:div w:id="2746001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51796182">
          <w:marLeft w:val="0"/>
          <w:marRight w:val="0"/>
          <w:marTop w:val="0"/>
          <w:marBottom w:val="0"/>
          <w:divBdr>
            <w:top w:val="none" w:sz="0" w:space="0" w:color="auto"/>
            <w:left w:val="none" w:sz="0" w:space="0" w:color="auto"/>
            <w:bottom w:val="none" w:sz="0" w:space="0" w:color="auto"/>
            <w:right w:val="none" w:sz="0" w:space="0" w:color="auto"/>
          </w:divBdr>
          <w:divsChild>
            <w:div w:id="1349868861">
              <w:marLeft w:val="0"/>
              <w:marRight w:val="0"/>
              <w:marTop w:val="120"/>
              <w:marBottom w:val="0"/>
              <w:divBdr>
                <w:top w:val="none" w:sz="0" w:space="0" w:color="auto"/>
                <w:left w:val="none" w:sz="0" w:space="0" w:color="auto"/>
                <w:bottom w:val="none" w:sz="0" w:space="0" w:color="auto"/>
                <w:right w:val="none" w:sz="0" w:space="0" w:color="auto"/>
              </w:divBdr>
            </w:div>
            <w:div w:id="1066680451">
              <w:marLeft w:val="0"/>
              <w:marRight w:val="0"/>
              <w:marTop w:val="0"/>
              <w:marBottom w:val="0"/>
              <w:divBdr>
                <w:top w:val="none" w:sz="0" w:space="0" w:color="auto"/>
                <w:left w:val="none" w:sz="0" w:space="0" w:color="auto"/>
                <w:bottom w:val="none" w:sz="0" w:space="0" w:color="auto"/>
                <w:right w:val="none" w:sz="0" w:space="0" w:color="auto"/>
              </w:divBdr>
              <w:divsChild>
                <w:div w:id="4851683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14724627">
          <w:marLeft w:val="0"/>
          <w:marRight w:val="0"/>
          <w:marTop w:val="0"/>
          <w:marBottom w:val="0"/>
          <w:divBdr>
            <w:top w:val="none" w:sz="0" w:space="0" w:color="auto"/>
            <w:left w:val="none" w:sz="0" w:space="0" w:color="auto"/>
            <w:bottom w:val="none" w:sz="0" w:space="0" w:color="auto"/>
            <w:right w:val="none" w:sz="0" w:space="0" w:color="auto"/>
          </w:divBdr>
          <w:divsChild>
            <w:div w:id="1602835746">
              <w:marLeft w:val="0"/>
              <w:marRight w:val="0"/>
              <w:marTop w:val="120"/>
              <w:marBottom w:val="0"/>
              <w:divBdr>
                <w:top w:val="none" w:sz="0" w:space="0" w:color="auto"/>
                <w:left w:val="none" w:sz="0" w:space="0" w:color="auto"/>
                <w:bottom w:val="none" w:sz="0" w:space="0" w:color="auto"/>
                <w:right w:val="none" w:sz="0" w:space="0" w:color="auto"/>
              </w:divBdr>
            </w:div>
            <w:div w:id="1000933412">
              <w:marLeft w:val="0"/>
              <w:marRight w:val="0"/>
              <w:marTop w:val="0"/>
              <w:marBottom w:val="0"/>
              <w:divBdr>
                <w:top w:val="none" w:sz="0" w:space="0" w:color="auto"/>
                <w:left w:val="none" w:sz="0" w:space="0" w:color="auto"/>
                <w:bottom w:val="none" w:sz="0" w:space="0" w:color="auto"/>
                <w:right w:val="none" w:sz="0" w:space="0" w:color="auto"/>
              </w:divBdr>
              <w:divsChild>
                <w:div w:id="3242107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69453651">
          <w:marLeft w:val="0"/>
          <w:marRight w:val="0"/>
          <w:marTop w:val="0"/>
          <w:marBottom w:val="0"/>
          <w:divBdr>
            <w:top w:val="none" w:sz="0" w:space="0" w:color="auto"/>
            <w:left w:val="none" w:sz="0" w:space="0" w:color="auto"/>
            <w:bottom w:val="none" w:sz="0" w:space="0" w:color="auto"/>
            <w:right w:val="none" w:sz="0" w:space="0" w:color="auto"/>
          </w:divBdr>
          <w:divsChild>
            <w:div w:id="903028658">
              <w:marLeft w:val="0"/>
              <w:marRight w:val="0"/>
              <w:marTop w:val="120"/>
              <w:marBottom w:val="0"/>
              <w:divBdr>
                <w:top w:val="none" w:sz="0" w:space="0" w:color="auto"/>
                <w:left w:val="none" w:sz="0" w:space="0" w:color="auto"/>
                <w:bottom w:val="none" w:sz="0" w:space="0" w:color="auto"/>
                <w:right w:val="none" w:sz="0" w:space="0" w:color="auto"/>
              </w:divBdr>
            </w:div>
            <w:div w:id="1229807956">
              <w:marLeft w:val="0"/>
              <w:marRight w:val="0"/>
              <w:marTop w:val="0"/>
              <w:marBottom w:val="0"/>
              <w:divBdr>
                <w:top w:val="none" w:sz="0" w:space="0" w:color="auto"/>
                <w:left w:val="none" w:sz="0" w:space="0" w:color="auto"/>
                <w:bottom w:val="none" w:sz="0" w:space="0" w:color="auto"/>
                <w:right w:val="none" w:sz="0" w:space="0" w:color="auto"/>
              </w:divBdr>
              <w:divsChild>
                <w:div w:id="309998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38249751">
          <w:marLeft w:val="0"/>
          <w:marRight w:val="0"/>
          <w:marTop w:val="0"/>
          <w:marBottom w:val="0"/>
          <w:divBdr>
            <w:top w:val="none" w:sz="0" w:space="0" w:color="auto"/>
            <w:left w:val="none" w:sz="0" w:space="0" w:color="auto"/>
            <w:bottom w:val="none" w:sz="0" w:space="0" w:color="auto"/>
            <w:right w:val="none" w:sz="0" w:space="0" w:color="auto"/>
          </w:divBdr>
          <w:divsChild>
            <w:div w:id="522862642">
              <w:marLeft w:val="0"/>
              <w:marRight w:val="0"/>
              <w:marTop w:val="120"/>
              <w:marBottom w:val="0"/>
              <w:divBdr>
                <w:top w:val="none" w:sz="0" w:space="0" w:color="auto"/>
                <w:left w:val="none" w:sz="0" w:space="0" w:color="auto"/>
                <w:bottom w:val="none" w:sz="0" w:space="0" w:color="auto"/>
                <w:right w:val="none" w:sz="0" w:space="0" w:color="auto"/>
              </w:divBdr>
            </w:div>
            <w:div w:id="1380323396">
              <w:marLeft w:val="0"/>
              <w:marRight w:val="0"/>
              <w:marTop w:val="0"/>
              <w:marBottom w:val="0"/>
              <w:divBdr>
                <w:top w:val="none" w:sz="0" w:space="0" w:color="auto"/>
                <w:left w:val="none" w:sz="0" w:space="0" w:color="auto"/>
                <w:bottom w:val="none" w:sz="0" w:space="0" w:color="auto"/>
                <w:right w:val="none" w:sz="0" w:space="0" w:color="auto"/>
              </w:divBdr>
            </w:div>
          </w:divsChild>
        </w:div>
        <w:div w:id="1022048454">
          <w:marLeft w:val="0"/>
          <w:marRight w:val="0"/>
          <w:marTop w:val="0"/>
          <w:marBottom w:val="0"/>
          <w:divBdr>
            <w:top w:val="none" w:sz="0" w:space="0" w:color="auto"/>
            <w:left w:val="none" w:sz="0" w:space="0" w:color="auto"/>
            <w:bottom w:val="none" w:sz="0" w:space="0" w:color="auto"/>
            <w:right w:val="none" w:sz="0" w:space="0" w:color="auto"/>
          </w:divBdr>
          <w:divsChild>
            <w:div w:id="373701916">
              <w:marLeft w:val="0"/>
              <w:marRight w:val="0"/>
              <w:marTop w:val="120"/>
              <w:marBottom w:val="0"/>
              <w:divBdr>
                <w:top w:val="none" w:sz="0" w:space="0" w:color="auto"/>
                <w:left w:val="none" w:sz="0" w:space="0" w:color="auto"/>
                <w:bottom w:val="none" w:sz="0" w:space="0" w:color="auto"/>
                <w:right w:val="none" w:sz="0" w:space="0" w:color="auto"/>
              </w:divBdr>
            </w:div>
            <w:div w:id="102847525">
              <w:marLeft w:val="0"/>
              <w:marRight w:val="0"/>
              <w:marTop w:val="0"/>
              <w:marBottom w:val="0"/>
              <w:divBdr>
                <w:top w:val="none" w:sz="0" w:space="0" w:color="auto"/>
                <w:left w:val="none" w:sz="0" w:space="0" w:color="auto"/>
                <w:bottom w:val="none" w:sz="0" w:space="0" w:color="auto"/>
                <w:right w:val="none" w:sz="0" w:space="0" w:color="auto"/>
              </w:divBdr>
            </w:div>
          </w:divsChild>
        </w:div>
        <w:div w:id="1594822846">
          <w:marLeft w:val="0"/>
          <w:marRight w:val="0"/>
          <w:marTop w:val="0"/>
          <w:marBottom w:val="0"/>
          <w:divBdr>
            <w:top w:val="none" w:sz="0" w:space="0" w:color="auto"/>
            <w:left w:val="none" w:sz="0" w:space="0" w:color="auto"/>
            <w:bottom w:val="none" w:sz="0" w:space="0" w:color="auto"/>
            <w:right w:val="none" w:sz="0" w:space="0" w:color="auto"/>
          </w:divBdr>
          <w:divsChild>
            <w:div w:id="460152733">
              <w:marLeft w:val="0"/>
              <w:marRight w:val="0"/>
              <w:marTop w:val="120"/>
              <w:marBottom w:val="0"/>
              <w:divBdr>
                <w:top w:val="none" w:sz="0" w:space="0" w:color="auto"/>
                <w:left w:val="none" w:sz="0" w:space="0" w:color="auto"/>
                <w:bottom w:val="none" w:sz="0" w:space="0" w:color="auto"/>
                <w:right w:val="none" w:sz="0" w:space="0" w:color="auto"/>
              </w:divBdr>
            </w:div>
            <w:div w:id="995691810">
              <w:marLeft w:val="0"/>
              <w:marRight w:val="0"/>
              <w:marTop w:val="0"/>
              <w:marBottom w:val="0"/>
              <w:divBdr>
                <w:top w:val="none" w:sz="0" w:space="0" w:color="auto"/>
                <w:left w:val="none" w:sz="0" w:space="0" w:color="auto"/>
                <w:bottom w:val="none" w:sz="0" w:space="0" w:color="auto"/>
                <w:right w:val="none" w:sz="0" w:space="0" w:color="auto"/>
              </w:divBdr>
            </w:div>
          </w:divsChild>
        </w:div>
        <w:div w:id="1276669457">
          <w:marLeft w:val="0"/>
          <w:marRight w:val="0"/>
          <w:marTop w:val="0"/>
          <w:marBottom w:val="0"/>
          <w:divBdr>
            <w:top w:val="none" w:sz="0" w:space="0" w:color="auto"/>
            <w:left w:val="none" w:sz="0" w:space="0" w:color="auto"/>
            <w:bottom w:val="none" w:sz="0" w:space="0" w:color="auto"/>
            <w:right w:val="none" w:sz="0" w:space="0" w:color="auto"/>
          </w:divBdr>
          <w:divsChild>
            <w:div w:id="1394088417">
              <w:marLeft w:val="0"/>
              <w:marRight w:val="0"/>
              <w:marTop w:val="120"/>
              <w:marBottom w:val="0"/>
              <w:divBdr>
                <w:top w:val="none" w:sz="0" w:space="0" w:color="auto"/>
                <w:left w:val="none" w:sz="0" w:space="0" w:color="auto"/>
                <w:bottom w:val="none" w:sz="0" w:space="0" w:color="auto"/>
                <w:right w:val="none" w:sz="0" w:space="0" w:color="auto"/>
              </w:divBdr>
            </w:div>
            <w:div w:id="1062407541">
              <w:marLeft w:val="0"/>
              <w:marRight w:val="0"/>
              <w:marTop w:val="0"/>
              <w:marBottom w:val="0"/>
              <w:divBdr>
                <w:top w:val="none" w:sz="0" w:space="0" w:color="auto"/>
                <w:left w:val="none" w:sz="0" w:space="0" w:color="auto"/>
                <w:bottom w:val="none" w:sz="0" w:space="0" w:color="auto"/>
                <w:right w:val="none" w:sz="0" w:space="0" w:color="auto"/>
              </w:divBdr>
              <w:divsChild>
                <w:div w:id="15321887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7901332">
          <w:marLeft w:val="0"/>
          <w:marRight w:val="0"/>
          <w:marTop w:val="0"/>
          <w:marBottom w:val="0"/>
          <w:divBdr>
            <w:top w:val="none" w:sz="0" w:space="0" w:color="auto"/>
            <w:left w:val="none" w:sz="0" w:space="0" w:color="auto"/>
            <w:bottom w:val="none" w:sz="0" w:space="0" w:color="auto"/>
            <w:right w:val="none" w:sz="0" w:space="0" w:color="auto"/>
          </w:divBdr>
          <w:divsChild>
            <w:div w:id="1033461789">
              <w:marLeft w:val="0"/>
              <w:marRight w:val="0"/>
              <w:marTop w:val="120"/>
              <w:marBottom w:val="0"/>
              <w:divBdr>
                <w:top w:val="none" w:sz="0" w:space="0" w:color="auto"/>
                <w:left w:val="none" w:sz="0" w:space="0" w:color="auto"/>
                <w:bottom w:val="none" w:sz="0" w:space="0" w:color="auto"/>
                <w:right w:val="none" w:sz="0" w:space="0" w:color="auto"/>
              </w:divBdr>
            </w:div>
            <w:div w:id="1636176726">
              <w:marLeft w:val="0"/>
              <w:marRight w:val="0"/>
              <w:marTop w:val="0"/>
              <w:marBottom w:val="0"/>
              <w:divBdr>
                <w:top w:val="none" w:sz="0" w:space="0" w:color="auto"/>
                <w:left w:val="none" w:sz="0" w:space="0" w:color="auto"/>
                <w:bottom w:val="none" w:sz="0" w:space="0" w:color="auto"/>
                <w:right w:val="none" w:sz="0" w:space="0" w:color="auto"/>
              </w:divBdr>
              <w:divsChild>
                <w:div w:id="15302183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79348887">
          <w:marLeft w:val="0"/>
          <w:marRight w:val="0"/>
          <w:marTop w:val="0"/>
          <w:marBottom w:val="0"/>
          <w:divBdr>
            <w:top w:val="none" w:sz="0" w:space="0" w:color="auto"/>
            <w:left w:val="none" w:sz="0" w:space="0" w:color="auto"/>
            <w:bottom w:val="none" w:sz="0" w:space="0" w:color="auto"/>
            <w:right w:val="none" w:sz="0" w:space="0" w:color="auto"/>
          </w:divBdr>
          <w:divsChild>
            <w:div w:id="559709402">
              <w:marLeft w:val="0"/>
              <w:marRight w:val="0"/>
              <w:marTop w:val="120"/>
              <w:marBottom w:val="0"/>
              <w:divBdr>
                <w:top w:val="none" w:sz="0" w:space="0" w:color="auto"/>
                <w:left w:val="none" w:sz="0" w:space="0" w:color="auto"/>
                <w:bottom w:val="none" w:sz="0" w:space="0" w:color="auto"/>
                <w:right w:val="none" w:sz="0" w:space="0" w:color="auto"/>
              </w:divBdr>
            </w:div>
            <w:div w:id="312879985">
              <w:marLeft w:val="0"/>
              <w:marRight w:val="0"/>
              <w:marTop w:val="0"/>
              <w:marBottom w:val="0"/>
              <w:divBdr>
                <w:top w:val="none" w:sz="0" w:space="0" w:color="auto"/>
                <w:left w:val="none" w:sz="0" w:space="0" w:color="auto"/>
                <w:bottom w:val="none" w:sz="0" w:space="0" w:color="auto"/>
                <w:right w:val="none" w:sz="0" w:space="0" w:color="auto"/>
              </w:divBdr>
              <w:divsChild>
                <w:div w:id="19266444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9387175">
          <w:marLeft w:val="0"/>
          <w:marRight w:val="0"/>
          <w:marTop w:val="0"/>
          <w:marBottom w:val="0"/>
          <w:divBdr>
            <w:top w:val="none" w:sz="0" w:space="0" w:color="auto"/>
            <w:left w:val="none" w:sz="0" w:space="0" w:color="auto"/>
            <w:bottom w:val="none" w:sz="0" w:space="0" w:color="auto"/>
            <w:right w:val="none" w:sz="0" w:space="0" w:color="auto"/>
          </w:divBdr>
        </w:div>
        <w:div w:id="48042783">
          <w:marLeft w:val="0"/>
          <w:marRight w:val="0"/>
          <w:marTop w:val="0"/>
          <w:marBottom w:val="0"/>
          <w:divBdr>
            <w:top w:val="none" w:sz="0" w:space="0" w:color="auto"/>
            <w:left w:val="none" w:sz="0" w:space="0" w:color="auto"/>
            <w:bottom w:val="none" w:sz="0" w:space="0" w:color="auto"/>
            <w:right w:val="none" w:sz="0" w:space="0" w:color="auto"/>
          </w:divBdr>
          <w:divsChild>
            <w:div w:id="1364986666">
              <w:marLeft w:val="0"/>
              <w:marRight w:val="0"/>
              <w:marTop w:val="120"/>
              <w:marBottom w:val="0"/>
              <w:divBdr>
                <w:top w:val="none" w:sz="0" w:space="0" w:color="auto"/>
                <w:left w:val="none" w:sz="0" w:space="0" w:color="auto"/>
                <w:bottom w:val="none" w:sz="0" w:space="0" w:color="auto"/>
                <w:right w:val="none" w:sz="0" w:space="0" w:color="auto"/>
              </w:divBdr>
            </w:div>
            <w:div w:id="1811705954">
              <w:marLeft w:val="0"/>
              <w:marRight w:val="0"/>
              <w:marTop w:val="0"/>
              <w:marBottom w:val="0"/>
              <w:divBdr>
                <w:top w:val="none" w:sz="0" w:space="0" w:color="auto"/>
                <w:left w:val="none" w:sz="0" w:space="0" w:color="auto"/>
                <w:bottom w:val="none" w:sz="0" w:space="0" w:color="auto"/>
                <w:right w:val="none" w:sz="0" w:space="0" w:color="auto"/>
              </w:divBdr>
              <w:divsChild>
                <w:div w:id="16214542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5229405">
          <w:marLeft w:val="0"/>
          <w:marRight w:val="0"/>
          <w:marTop w:val="0"/>
          <w:marBottom w:val="0"/>
          <w:divBdr>
            <w:top w:val="none" w:sz="0" w:space="0" w:color="auto"/>
            <w:left w:val="none" w:sz="0" w:space="0" w:color="auto"/>
            <w:bottom w:val="none" w:sz="0" w:space="0" w:color="auto"/>
            <w:right w:val="none" w:sz="0" w:space="0" w:color="auto"/>
          </w:divBdr>
          <w:divsChild>
            <w:div w:id="589388825">
              <w:marLeft w:val="0"/>
              <w:marRight w:val="0"/>
              <w:marTop w:val="120"/>
              <w:marBottom w:val="0"/>
              <w:divBdr>
                <w:top w:val="none" w:sz="0" w:space="0" w:color="auto"/>
                <w:left w:val="none" w:sz="0" w:space="0" w:color="auto"/>
                <w:bottom w:val="none" w:sz="0" w:space="0" w:color="auto"/>
                <w:right w:val="none" w:sz="0" w:space="0" w:color="auto"/>
              </w:divBdr>
            </w:div>
            <w:div w:id="1079521744">
              <w:marLeft w:val="0"/>
              <w:marRight w:val="0"/>
              <w:marTop w:val="0"/>
              <w:marBottom w:val="0"/>
              <w:divBdr>
                <w:top w:val="none" w:sz="0" w:space="0" w:color="auto"/>
                <w:left w:val="none" w:sz="0" w:space="0" w:color="auto"/>
                <w:bottom w:val="none" w:sz="0" w:space="0" w:color="auto"/>
                <w:right w:val="none" w:sz="0" w:space="0" w:color="auto"/>
              </w:divBdr>
              <w:divsChild>
                <w:div w:id="11999703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4499513">
          <w:marLeft w:val="1080"/>
          <w:marRight w:val="0"/>
          <w:marTop w:val="0"/>
          <w:marBottom w:val="0"/>
          <w:divBdr>
            <w:top w:val="none" w:sz="0" w:space="0" w:color="auto"/>
            <w:left w:val="none" w:sz="0" w:space="0" w:color="auto"/>
            <w:bottom w:val="none" w:sz="0" w:space="0" w:color="auto"/>
            <w:right w:val="none" w:sz="0" w:space="0" w:color="auto"/>
          </w:divBdr>
        </w:div>
        <w:div w:id="1638341853">
          <w:marLeft w:val="1080"/>
          <w:marRight w:val="0"/>
          <w:marTop w:val="0"/>
          <w:marBottom w:val="0"/>
          <w:divBdr>
            <w:top w:val="none" w:sz="0" w:space="0" w:color="auto"/>
            <w:left w:val="none" w:sz="0" w:space="0" w:color="auto"/>
            <w:bottom w:val="none" w:sz="0" w:space="0" w:color="auto"/>
            <w:right w:val="none" w:sz="0" w:space="0" w:color="auto"/>
          </w:divBdr>
        </w:div>
        <w:div w:id="1438208085">
          <w:marLeft w:val="1080"/>
          <w:marRight w:val="0"/>
          <w:marTop w:val="0"/>
          <w:marBottom w:val="0"/>
          <w:divBdr>
            <w:top w:val="none" w:sz="0" w:space="0" w:color="auto"/>
            <w:left w:val="none" w:sz="0" w:space="0" w:color="auto"/>
            <w:bottom w:val="none" w:sz="0" w:space="0" w:color="auto"/>
            <w:right w:val="none" w:sz="0" w:space="0" w:color="auto"/>
          </w:divBdr>
        </w:div>
        <w:div w:id="1790589571">
          <w:marLeft w:val="1080"/>
          <w:marRight w:val="0"/>
          <w:marTop w:val="0"/>
          <w:marBottom w:val="0"/>
          <w:divBdr>
            <w:top w:val="none" w:sz="0" w:space="0" w:color="auto"/>
            <w:left w:val="none" w:sz="0" w:space="0" w:color="auto"/>
            <w:bottom w:val="none" w:sz="0" w:space="0" w:color="auto"/>
            <w:right w:val="none" w:sz="0" w:space="0" w:color="auto"/>
          </w:divBdr>
        </w:div>
        <w:div w:id="1088118524">
          <w:marLeft w:val="1080"/>
          <w:marRight w:val="0"/>
          <w:marTop w:val="0"/>
          <w:marBottom w:val="0"/>
          <w:divBdr>
            <w:top w:val="none" w:sz="0" w:space="0" w:color="auto"/>
            <w:left w:val="none" w:sz="0" w:space="0" w:color="auto"/>
            <w:bottom w:val="none" w:sz="0" w:space="0" w:color="auto"/>
            <w:right w:val="none" w:sz="0" w:space="0" w:color="auto"/>
          </w:divBdr>
        </w:div>
        <w:div w:id="2069449299">
          <w:marLeft w:val="1080"/>
          <w:marRight w:val="0"/>
          <w:marTop w:val="0"/>
          <w:marBottom w:val="0"/>
          <w:divBdr>
            <w:top w:val="none" w:sz="0" w:space="0" w:color="auto"/>
            <w:left w:val="none" w:sz="0" w:space="0" w:color="auto"/>
            <w:bottom w:val="none" w:sz="0" w:space="0" w:color="auto"/>
            <w:right w:val="none" w:sz="0" w:space="0" w:color="auto"/>
          </w:divBdr>
        </w:div>
        <w:div w:id="1837040307">
          <w:marLeft w:val="1080"/>
          <w:marRight w:val="0"/>
          <w:marTop w:val="0"/>
          <w:marBottom w:val="0"/>
          <w:divBdr>
            <w:top w:val="none" w:sz="0" w:space="0" w:color="auto"/>
            <w:left w:val="none" w:sz="0" w:space="0" w:color="auto"/>
            <w:bottom w:val="none" w:sz="0" w:space="0" w:color="auto"/>
            <w:right w:val="none" w:sz="0" w:space="0" w:color="auto"/>
          </w:divBdr>
        </w:div>
        <w:div w:id="505631412">
          <w:marLeft w:val="1080"/>
          <w:marRight w:val="0"/>
          <w:marTop w:val="0"/>
          <w:marBottom w:val="0"/>
          <w:divBdr>
            <w:top w:val="none" w:sz="0" w:space="0" w:color="auto"/>
            <w:left w:val="none" w:sz="0" w:space="0" w:color="auto"/>
            <w:bottom w:val="none" w:sz="0" w:space="0" w:color="auto"/>
            <w:right w:val="none" w:sz="0" w:space="0" w:color="auto"/>
          </w:divBdr>
        </w:div>
        <w:div w:id="1532261391">
          <w:marLeft w:val="1080"/>
          <w:marRight w:val="0"/>
          <w:marTop w:val="0"/>
          <w:marBottom w:val="0"/>
          <w:divBdr>
            <w:top w:val="none" w:sz="0" w:space="0" w:color="auto"/>
            <w:left w:val="none" w:sz="0" w:space="0" w:color="auto"/>
            <w:bottom w:val="none" w:sz="0" w:space="0" w:color="auto"/>
            <w:right w:val="none" w:sz="0" w:space="0" w:color="auto"/>
          </w:divBdr>
        </w:div>
        <w:div w:id="482821791">
          <w:marLeft w:val="1080"/>
          <w:marRight w:val="0"/>
          <w:marTop w:val="0"/>
          <w:marBottom w:val="0"/>
          <w:divBdr>
            <w:top w:val="none" w:sz="0" w:space="0" w:color="auto"/>
            <w:left w:val="none" w:sz="0" w:space="0" w:color="auto"/>
            <w:bottom w:val="none" w:sz="0" w:space="0" w:color="auto"/>
            <w:right w:val="none" w:sz="0" w:space="0" w:color="auto"/>
          </w:divBdr>
        </w:div>
        <w:div w:id="1564635519">
          <w:marLeft w:val="1080"/>
          <w:marRight w:val="0"/>
          <w:marTop w:val="0"/>
          <w:marBottom w:val="0"/>
          <w:divBdr>
            <w:top w:val="none" w:sz="0" w:space="0" w:color="auto"/>
            <w:left w:val="none" w:sz="0" w:space="0" w:color="auto"/>
            <w:bottom w:val="none" w:sz="0" w:space="0" w:color="auto"/>
            <w:right w:val="none" w:sz="0" w:space="0" w:color="auto"/>
          </w:divBdr>
        </w:div>
        <w:div w:id="878392739">
          <w:marLeft w:val="1080"/>
          <w:marRight w:val="0"/>
          <w:marTop w:val="0"/>
          <w:marBottom w:val="0"/>
          <w:divBdr>
            <w:top w:val="none" w:sz="0" w:space="0" w:color="auto"/>
            <w:left w:val="none" w:sz="0" w:space="0" w:color="auto"/>
            <w:bottom w:val="none" w:sz="0" w:space="0" w:color="auto"/>
            <w:right w:val="none" w:sz="0" w:space="0" w:color="auto"/>
          </w:divBdr>
        </w:div>
        <w:div w:id="1211309484">
          <w:marLeft w:val="1080"/>
          <w:marRight w:val="0"/>
          <w:marTop w:val="0"/>
          <w:marBottom w:val="0"/>
          <w:divBdr>
            <w:top w:val="none" w:sz="0" w:space="0" w:color="auto"/>
            <w:left w:val="none" w:sz="0" w:space="0" w:color="auto"/>
            <w:bottom w:val="none" w:sz="0" w:space="0" w:color="auto"/>
            <w:right w:val="none" w:sz="0" w:space="0" w:color="auto"/>
          </w:divBdr>
        </w:div>
        <w:div w:id="1787852180">
          <w:marLeft w:val="1080"/>
          <w:marRight w:val="0"/>
          <w:marTop w:val="0"/>
          <w:marBottom w:val="0"/>
          <w:divBdr>
            <w:top w:val="none" w:sz="0" w:space="0" w:color="auto"/>
            <w:left w:val="none" w:sz="0" w:space="0" w:color="auto"/>
            <w:bottom w:val="none" w:sz="0" w:space="0" w:color="auto"/>
            <w:right w:val="none" w:sz="0" w:space="0" w:color="auto"/>
          </w:divBdr>
        </w:div>
        <w:div w:id="1776904334">
          <w:marLeft w:val="960"/>
          <w:marRight w:val="0"/>
          <w:marTop w:val="0"/>
          <w:marBottom w:val="0"/>
          <w:divBdr>
            <w:top w:val="none" w:sz="0" w:space="0" w:color="auto"/>
            <w:left w:val="none" w:sz="0" w:space="0" w:color="auto"/>
            <w:bottom w:val="none" w:sz="0" w:space="0" w:color="auto"/>
            <w:right w:val="none" w:sz="0" w:space="0" w:color="auto"/>
          </w:divBdr>
        </w:div>
        <w:div w:id="829751704">
          <w:marLeft w:val="960"/>
          <w:marRight w:val="0"/>
          <w:marTop w:val="0"/>
          <w:marBottom w:val="0"/>
          <w:divBdr>
            <w:top w:val="none" w:sz="0" w:space="0" w:color="auto"/>
            <w:left w:val="none" w:sz="0" w:space="0" w:color="auto"/>
            <w:bottom w:val="none" w:sz="0" w:space="0" w:color="auto"/>
            <w:right w:val="none" w:sz="0" w:space="0" w:color="auto"/>
          </w:divBdr>
        </w:div>
        <w:div w:id="986471627">
          <w:marLeft w:val="960"/>
          <w:marRight w:val="0"/>
          <w:marTop w:val="0"/>
          <w:marBottom w:val="0"/>
          <w:divBdr>
            <w:top w:val="none" w:sz="0" w:space="0" w:color="auto"/>
            <w:left w:val="none" w:sz="0" w:space="0" w:color="auto"/>
            <w:bottom w:val="none" w:sz="0" w:space="0" w:color="auto"/>
            <w:right w:val="none" w:sz="0" w:space="0" w:color="auto"/>
          </w:divBdr>
        </w:div>
        <w:div w:id="1874027384">
          <w:marLeft w:val="960"/>
          <w:marRight w:val="0"/>
          <w:marTop w:val="0"/>
          <w:marBottom w:val="0"/>
          <w:divBdr>
            <w:top w:val="none" w:sz="0" w:space="0" w:color="auto"/>
            <w:left w:val="none" w:sz="0" w:space="0" w:color="auto"/>
            <w:bottom w:val="none" w:sz="0" w:space="0" w:color="auto"/>
            <w:right w:val="none" w:sz="0" w:space="0" w:color="auto"/>
          </w:divBdr>
        </w:div>
        <w:div w:id="87242044">
          <w:marLeft w:val="960"/>
          <w:marRight w:val="0"/>
          <w:marTop w:val="0"/>
          <w:marBottom w:val="0"/>
          <w:divBdr>
            <w:top w:val="none" w:sz="0" w:space="0" w:color="auto"/>
            <w:left w:val="none" w:sz="0" w:space="0" w:color="auto"/>
            <w:bottom w:val="none" w:sz="0" w:space="0" w:color="auto"/>
            <w:right w:val="none" w:sz="0" w:space="0" w:color="auto"/>
          </w:divBdr>
        </w:div>
        <w:div w:id="1846089436">
          <w:marLeft w:val="0"/>
          <w:marRight w:val="0"/>
          <w:marTop w:val="0"/>
          <w:marBottom w:val="0"/>
          <w:divBdr>
            <w:top w:val="none" w:sz="0" w:space="0" w:color="auto"/>
            <w:left w:val="none" w:sz="0" w:space="0" w:color="auto"/>
            <w:bottom w:val="none" w:sz="0" w:space="0" w:color="auto"/>
            <w:right w:val="none" w:sz="0" w:space="0" w:color="auto"/>
          </w:divBdr>
          <w:divsChild>
            <w:div w:id="850410496">
              <w:marLeft w:val="0"/>
              <w:marRight w:val="0"/>
              <w:marTop w:val="120"/>
              <w:marBottom w:val="0"/>
              <w:divBdr>
                <w:top w:val="none" w:sz="0" w:space="0" w:color="auto"/>
                <w:left w:val="none" w:sz="0" w:space="0" w:color="auto"/>
                <w:bottom w:val="none" w:sz="0" w:space="0" w:color="auto"/>
                <w:right w:val="none" w:sz="0" w:space="0" w:color="auto"/>
              </w:divBdr>
            </w:div>
            <w:div w:id="1411737670">
              <w:marLeft w:val="0"/>
              <w:marRight w:val="0"/>
              <w:marTop w:val="0"/>
              <w:marBottom w:val="0"/>
              <w:divBdr>
                <w:top w:val="none" w:sz="0" w:space="0" w:color="auto"/>
                <w:left w:val="none" w:sz="0" w:space="0" w:color="auto"/>
                <w:bottom w:val="none" w:sz="0" w:space="0" w:color="auto"/>
                <w:right w:val="none" w:sz="0" w:space="0" w:color="auto"/>
              </w:divBdr>
              <w:divsChild>
                <w:div w:id="15815225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8122357">
          <w:marLeft w:val="0"/>
          <w:marRight w:val="0"/>
          <w:marTop w:val="0"/>
          <w:marBottom w:val="0"/>
          <w:divBdr>
            <w:top w:val="none" w:sz="0" w:space="0" w:color="auto"/>
            <w:left w:val="none" w:sz="0" w:space="0" w:color="auto"/>
            <w:bottom w:val="none" w:sz="0" w:space="0" w:color="auto"/>
            <w:right w:val="none" w:sz="0" w:space="0" w:color="auto"/>
          </w:divBdr>
          <w:divsChild>
            <w:div w:id="2129859396">
              <w:marLeft w:val="0"/>
              <w:marRight w:val="0"/>
              <w:marTop w:val="120"/>
              <w:marBottom w:val="0"/>
              <w:divBdr>
                <w:top w:val="none" w:sz="0" w:space="0" w:color="auto"/>
                <w:left w:val="none" w:sz="0" w:space="0" w:color="auto"/>
                <w:bottom w:val="none" w:sz="0" w:space="0" w:color="auto"/>
                <w:right w:val="none" w:sz="0" w:space="0" w:color="auto"/>
              </w:divBdr>
            </w:div>
            <w:div w:id="68624797">
              <w:marLeft w:val="0"/>
              <w:marRight w:val="0"/>
              <w:marTop w:val="0"/>
              <w:marBottom w:val="0"/>
              <w:divBdr>
                <w:top w:val="none" w:sz="0" w:space="0" w:color="auto"/>
                <w:left w:val="none" w:sz="0" w:space="0" w:color="auto"/>
                <w:bottom w:val="none" w:sz="0" w:space="0" w:color="auto"/>
                <w:right w:val="none" w:sz="0" w:space="0" w:color="auto"/>
              </w:divBdr>
              <w:divsChild>
                <w:div w:id="7669723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71726">
          <w:marLeft w:val="0"/>
          <w:marRight w:val="0"/>
          <w:marTop w:val="0"/>
          <w:marBottom w:val="0"/>
          <w:divBdr>
            <w:top w:val="none" w:sz="0" w:space="0" w:color="auto"/>
            <w:left w:val="none" w:sz="0" w:space="0" w:color="auto"/>
            <w:bottom w:val="none" w:sz="0" w:space="0" w:color="auto"/>
            <w:right w:val="none" w:sz="0" w:space="0" w:color="auto"/>
          </w:divBdr>
          <w:divsChild>
            <w:div w:id="2137603352">
              <w:marLeft w:val="0"/>
              <w:marRight w:val="0"/>
              <w:marTop w:val="120"/>
              <w:marBottom w:val="0"/>
              <w:divBdr>
                <w:top w:val="none" w:sz="0" w:space="0" w:color="auto"/>
                <w:left w:val="none" w:sz="0" w:space="0" w:color="auto"/>
                <w:bottom w:val="none" w:sz="0" w:space="0" w:color="auto"/>
                <w:right w:val="none" w:sz="0" w:space="0" w:color="auto"/>
              </w:divBdr>
            </w:div>
            <w:div w:id="373507557">
              <w:marLeft w:val="0"/>
              <w:marRight w:val="0"/>
              <w:marTop w:val="0"/>
              <w:marBottom w:val="0"/>
              <w:divBdr>
                <w:top w:val="none" w:sz="0" w:space="0" w:color="auto"/>
                <w:left w:val="none" w:sz="0" w:space="0" w:color="auto"/>
                <w:bottom w:val="none" w:sz="0" w:space="0" w:color="auto"/>
                <w:right w:val="none" w:sz="0" w:space="0" w:color="auto"/>
              </w:divBdr>
              <w:divsChild>
                <w:div w:id="15861128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4446309">
          <w:marLeft w:val="0"/>
          <w:marRight w:val="0"/>
          <w:marTop w:val="0"/>
          <w:marBottom w:val="0"/>
          <w:divBdr>
            <w:top w:val="none" w:sz="0" w:space="0" w:color="auto"/>
            <w:left w:val="none" w:sz="0" w:space="0" w:color="auto"/>
            <w:bottom w:val="none" w:sz="0" w:space="0" w:color="auto"/>
            <w:right w:val="none" w:sz="0" w:space="0" w:color="auto"/>
          </w:divBdr>
        </w:div>
        <w:div w:id="1991473434">
          <w:marLeft w:val="0"/>
          <w:marRight w:val="0"/>
          <w:marTop w:val="0"/>
          <w:marBottom w:val="0"/>
          <w:divBdr>
            <w:top w:val="none" w:sz="0" w:space="0" w:color="auto"/>
            <w:left w:val="none" w:sz="0" w:space="0" w:color="auto"/>
            <w:bottom w:val="none" w:sz="0" w:space="0" w:color="auto"/>
            <w:right w:val="none" w:sz="0" w:space="0" w:color="auto"/>
          </w:divBdr>
        </w:div>
        <w:div w:id="257251701">
          <w:marLeft w:val="0"/>
          <w:marRight w:val="0"/>
          <w:marTop w:val="0"/>
          <w:marBottom w:val="0"/>
          <w:divBdr>
            <w:top w:val="none" w:sz="0" w:space="0" w:color="auto"/>
            <w:left w:val="none" w:sz="0" w:space="0" w:color="auto"/>
            <w:bottom w:val="none" w:sz="0" w:space="0" w:color="auto"/>
            <w:right w:val="none" w:sz="0" w:space="0" w:color="auto"/>
          </w:divBdr>
        </w:div>
        <w:div w:id="1223520386">
          <w:marLeft w:val="960"/>
          <w:marRight w:val="0"/>
          <w:marTop w:val="0"/>
          <w:marBottom w:val="0"/>
          <w:divBdr>
            <w:top w:val="none" w:sz="0" w:space="0" w:color="auto"/>
            <w:left w:val="none" w:sz="0" w:space="0" w:color="auto"/>
            <w:bottom w:val="none" w:sz="0" w:space="0" w:color="auto"/>
            <w:right w:val="none" w:sz="0" w:space="0" w:color="auto"/>
          </w:divBdr>
        </w:div>
        <w:div w:id="1240795950">
          <w:marLeft w:val="960"/>
          <w:marRight w:val="0"/>
          <w:marTop w:val="0"/>
          <w:marBottom w:val="0"/>
          <w:divBdr>
            <w:top w:val="none" w:sz="0" w:space="0" w:color="auto"/>
            <w:left w:val="none" w:sz="0" w:space="0" w:color="auto"/>
            <w:bottom w:val="none" w:sz="0" w:space="0" w:color="auto"/>
            <w:right w:val="none" w:sz="0" w:space="0" w:color="auto"/>
          </w:divBdr>
        </w:div>
        <w:div w:id="1969050357">
          <w:marLeft w:val="960"/>
          <w:marRight w:val="0"/>
          <w:marTop w:val="0"/>
          <w:marBottom w:val="0"/>
          <w:divBdr>
            <w:top w:val="none" w:sz="0" w:space="0" w:color="auto"/>
            <w:left w:val="none" w:sz="0" w:space="0" w:color="auto"/>
            <w:bottom w:val="none" w:sz="0" w:space="0" w:color="auto"/>
            <w:right w:val="none" w:sz="0" w:space="0" w:color="auto"/>
          </w:divBdr>
        </w:div>
        <w:div w:id="652611024">
          <w:marLeft w:val="960"/>
          <w:marRight w:val="0"/>
          <w:marTop w:val="0"/>
          <w:marBottom w:val="0"/>
          <w:divBdr>
            <w:top w:val="none" w:sz="0" w:space="0" w:color="auto"/>
            <w:left w:val="none" w:sz="0" w:space="0" w:color="auto"/>
            <w:bottom w:val="none" w:sz="0" w:space="0" w:color="auto"/>
            <w:right w:val="none" w:sz="0" w:space="0" w:color="auto"/>
          </w:divBdr>
        </w:div>
        <w:div w:id="2119056305">
          <w:marLeft w:val="960"/>
          <w:marRight w:val="0"/>
          <w:marTop w:val="0"/>
          <w:marBottom w:val="0"/>
          <w:divBdr>
            <w:top w:val="none" w:sz="0" w:space="0" w:color="auto"/>
            <w:left w:val="none" w:sz="0" w:space="0" w:color="auto"/>
            <w:bottom w:val="none" w:sz="0" w:space="0" w:color="auto"/>
            <w:right w:val="none" w:sz="0" w:space="0" w:color="auto"/>
          </w:divBdr>
        </w:div>
        <w:div w:id="543325534">
          <w:marLeft w:val="960"/>
          <w:marRight w:val="0"/>
          <w:marTop w:val="0"/>
          <w:marBottom w:val="0"/>
          <w:divBdr>
            <w:top w:val="none" w:sz="0" w:space="0" w:color="auto"/>
            <w:left w:val="none" w:sz="0" w:space="0" w:color="auto"/>
            <w:bottom w:val="none" w:sz="0" w:space="0" w:color="auto"/>
            <w:right w:val="none" w:sz="0" w:space="0" w:color="auto"/>
          </w:divBdr>
        </w:div>
        <w:div w:id="623654717">
          <w:marLeft w:val="960"/>
          <w:marRight w:val="0"/>
          <w:marTop w:val="0"/>
          <w:marBottom w:val="0"/>
          <w:divBdr>
            <w:top w:val="none" w:sz="0" w:space="0" w:color="auto"/>
            <w:left w:val="none" w:sz="0" w:space="0" w:color="auto"/>
            <w:bottom w:val="none" w:sz="0" w:space="0" w:color="auto"/>
            <w:right w:val="none" w:sz="0" w:space="0" w:color="auto"/>
          </w:divBdr>
        </w:div>
        <w:div w:id="1091387478">
          <w:marLeft w:val="960"/>
          <w:marRight w:val="0"/>
          <w:marTop w:val="0"/>
          <w:marBottom w:val="0"/>
          <w:divBdr>
            <w:top w:val="none" w:sz="0" w:space="0" w:color="auto"/>
            <w:left w:val="none" w:sz="0" w:space="0" w:color="auto"/>
            <w:bottom w:val="none" w:sz="0" w:space="0" w:color="auto"/>
            <w:right w:val="none" w:sz="0" w:space="0" w:color="auto"/>
          </w:divBdr>
        </w:div>
        <w:div w:id="1238124856">
          <w:marLeft w:val="960"/>
          <w:marRight w:val="0"/>
          <w:marTop w:val="0"/>
          <w:marBottom w:val="0"/>
          <w:divBdr>
            <w:top w:val="none" w:sz="0" w:space="0" w:color="auto"/>
            <w:left w:val="none" w:sz="0" w:space="0" w:color="auto"/>
            <w:bottom w:val="none" w:sz="0" w:space="0" w:color="auto"/>
            <w:right w:val="none" w:sz="0" w:space="0" w:color="auto"/>
          </w:divBdr>
        </w:div>
        <w:div w:id="166558149">
          <w:marLeft w:val="960"/>
          <w:marRight w:val="0"/>
          <w:marTop w:val="0"/>
          <w:marBottom w:val="0"/>
          <w:divBdr>
            <w:top w:val="none" w:sz="0" w:space="0" w:color="auto"/>
            <w:left w:val="none" w:sz="0" w:space="0" w:color="auto"/>
            <w:bottom w:val="none" w:sz="0" w:space="0" w:color="auto"/>
            <w:right w:val="none" w:sz="0" w:space="0" w:color="auto"/>
          </w:divBdr>
        </w:div>
        <w:div w:id="366373215">
          <w:marLeft w:val="960"/>
          <w:marRight w:val="0"/>
          <w:marTop w:val="0"/>
          <w:marBottom w:val="0"/>
          <w:divBdr>
            <w:top w:val="none" w:sz="0" w:space="0" w:color="auto"/>
            <w:left w:val="none" w:sz="0" w:space="0" w:color="auto"/>
            <w:bottom w:val="none" w:sz="0" w:space="0" w:color="auto"/>
            <w:right w:val="none" w:sz="0" w:space="0" w:color="auto"/>
          </w:divBdr>
        </w:div>
        <w:div w:id="1988048207">
          <w:marLeft w:val="960"/>
          <w:marRight w:val="0"/>
          <w:marTop w:val="0"/>
          <w:marBottom w:val="0"/>
          <w:divBdr>
            <w:top w:val="none" w:sz="0" w:space="0" w:color="auto"/>
            <w:left w:val="none" w:sz="0" w:space="0" w:color="auto"/>
            <w:bottom w:val="none" w:sz="0" w:space="0" w:color="auto"/>
            <w:right w:val="none" w:sz="0" w:space="0" w:color="auto"/>
          </w:divBdr>
        </w:div>
        <w:div w:id="1085416869">
          <w:marLeft w:val="960"/>
          <w:marRight w:val="0"/>
          <w:marTop w:val="0"/>
          <w:marBottom w:val="0"/>
          <w:divBdr>
            <w:top w:val="none" w:sz="0" w:space="0" w:color="auto"/>
            <w:left w:val="none" w:sz="0" w:space="0" w:color="auto"/>
            <w:bottom w:val="none" w:sz="0" w:space="0" w:color="auto"/>
            <w:right w:val="none" w:sz="0" w:space="0" w:color="auto"/>
          </w:divBdr>
        </w:div>
        <w:div w:id="989528118">
          <w:marLeft w:val="960"/>
          <w:marRight w:val="0"/>
          <w:marTop w:val="0"/>
          <w:marBottom w:val="0"/>
          <w:divBdr>
            <w:top w:val="none" w:sz="0" w:space="0" w:color="auto"/>
            <w:left w:val="none" w:sz="0" w:space="0" w:color="auto"/>
            <w:bottom w:val="none" w:sz="0" w:space="0" w:color="auto"/>
            <w:right w:val="none" w:sz="0" w:space="0" w:color="auto"/>
          </w:divBdr>
        </w:div>
        <w:div w:id="698971049">
          <w:marLeft w:val="960"/>
          <w:marRight w:val="0"/>
          <w:marTop w:val="0"/>
          <w:marBottom w:val="0"/>
          <w:divBdr>
            <w:top w:val="none" w:sz="0" w:space="0" w:color="auto"/>
            <w:left w:val="none" w:sz="0" w:space="0" w:color="auto"/>
            <w:bottom w:val="none" w:sz="0" w:space="0" w:color="auto"/>
            <w:right w:val="none" w:sz="0" w:space="0" w:color="auto"/>
          </w:divBdr>
        </w:div>
        <w:div w:id="934435843">
          <w:marLeft w:val="960"/>
          <w:marRight w:val="0"/>
          <w:marTop w:val="0"/>
          <w:marBottom w:val="0"/>
          <w:divBdr>
            <w:top w:val="none" w:sz="0" w:space="0" w:color="auto"/>
            <w:left w:val="none" w:sz="0" w:space="0" w:color="auto"/>
            <w:bottom w:val="none" w:sz="0" w:space="0" w:color="auto"/>
            <w:right w:val="none" w:sz="0" w:space="0" w:color="auto"/>
          </w:divBdr>
        </w:div>
        <w:div w:id="1921522822">
          <w:marLeft w:val="960"/>
          <w:marRight w:val="0"/>
          <w:marTop w:val="0"/>
          <w:marBottom w:val="0"/>
          <w:divBdr>
            <w:top w:val="none" w:sz="0" w:space="0" w:color="auto"/>
            <w:left w:val="none" w:sz="0" w:space="0" w:color="auto"/>
            <w:bottom w:val="none" w:sz="0" w:space="0" w:color="auto"/>
            <w:right w:val="none" w:sz="0" w:space="0" w:color="auto"/>
          </w:divBdr>
        </w:div>
        <w:div w:id="1567446985">
          <w:marLeft w:val="960"/>
          <w:marRight w:val="0"/>
          <w:marTop w:val="0"/>
          <w:marBottom w:val="0"/>
          <w:divBdr>
            <w:top w:val="none" w:sz="0" w:space="0" w:color="auto"/>
            <w:left w:val="none" w:sz="0" w:space="0" w:color="auto"/>
            <w:bottom w:val="none" w:sz="0" w:space="0" w:color="auto"/>
            <w:right w:val="none" w:sz="0" w:space="0" w:color="auto"/>
          </w:divBdr>
        </w:div>
        <w:div w:id="1389375177">
          <w:marLeft w:val="0"/>
          <w:marRight w:val="0"/>
          <w:marTop w:val="0"/>
          <w:marBottom w:val="0"/>
          <w:divBdr>
            <w:top w:val="none" w:sz="0" w:space="0" w:color="auto"/>
            <w:left w:val="none" w:sz="0" w:space="0" w:color="auto"/>
            <w:bottom w:val="none" w:sz="0" w:space="0" w:color="auto"/>
            <w:right w:val="none" w:sz="0" w:space="0" w:color="auto"/>
          </w:divBdr>
          <w:divsChild>
            <w:div w:id="213741839">
              <w:marLeft w:val="0"/>
              <w:marRight w:val="0"/>
              <w:marTop w:val="120"/>
              <w:marBottom w:val="0"/>
              <w:divBdr>
                <w:top w:val="none" w:sz="0" w:space="0" w:color="auto"/>
                <w:left w:val="none" w:sz="0" w:space="0" w:color="auto"/>
                <w:bottom w:val="none" w:sz="0" w:space="0" w:color="auto"/>
                <w:right w:val="none" w:sz="0" w:space="0" w:color="auto"/>
              </w:divBdr>
            </w:div>
            <w:div w:id="30033467">
              <w:marLeft w:val="0"/>
              <w:marRight w:val="0"/>
              <w:marTop w:val="0"/>
              <w:marBottom w:val="0"/>
              <w:divBdr>
                <w:top w:val="none" w:sz="0" w:space="0" w:color="auto"/>
                <w:left w:val="none" w:sz="0" w:space="0" w:color="auto"/>
                <w:bottom w:val="none" w:sz="0" w:space="0" w:color="auto"/>
                <w:right w:val="none" w:sz="0" w:space="0" w:color="auto"/>
              </w:divBdr>
            </w:div>
          </w:divsChild>
        </w:div>
        <w:div w:id="66998550">
          <w:marLeft w:val="0"/>
          <w:marRight w:val="0"/>
          <w:marTop w:val="0"/>
          <w:marBottom w:val="0"/>
          <w:divBdr>
            <w:top w:val="none" w:sz="0" w:space="0" w:color="auto"/>
            <w:left w:val="none" w:sz="0" w:space="0" w:color="auto"/>
            <w:bottom w:val="none" w:sz="0" w:space="0" w:color="auto"/>
            <w:right w:val="none" w:sz="0" w:space="0" w:color="auto"/>
          </w:divBdr>
          <w:divsChild>
            <w:div w:id="1528786849">
              <w:marLeft w:val="0"/>
              <w:marRight w:val="0"/>
              <w:marTop w:val="120"/>
              <w:marBottom w:val="0"/>
              <w:divBdr>
                <w:top w:val="none" w:sz="0" w:space="0" w:color="auto"/>
                <w:left w:val="none" w:sz="0" w:space="0" w:color="auto"/>
                <w:bottom w:val="none" w:sz="0" w:space="0" w:color="auto"/>
                <w:right w:val="none" w:sz="0" w:space="0" w:color="auto"/>
              </w:divBdr>
            </w:div>
            <w:div w:id="676230823">
              <w:marLeft w:val="0"/>
              <w:marRight w:val="0"/>
              <w:marTop w:val="0"/>
              <w:marBottom w:val="0"/>
              <w:divBdr>
                <w:top w:val="none" w:sz="0" w:space="0" w:color="auto"/>
                <w:left w:val="none" w:sz="0" w:space="0" w:color="auto"/>
                <w:bottom w:val="none" w:sz="0" w:space="0" w:color="auto"/>
                <w:right w:val="none" w:sz="0" w:space="0" w:color="auto"/>
              </w:divBdr>
            </w:div>
          </w:divsChild>
        </w:div>
        <w:div w:id="1361931599">
          <w:marLeft w:val="0"/>
          <w:marRight w:val="0"/>
          <w:marTop w:val="0"/>
          <w:marBottom w:val="0"/>
          <w:divBdr>
            <w:top w:val="none" w:sz="0" w:space="0" w:color="auto"/>
            <w:left w:val="none" w:sz="0" w:space="0" w:color="auto"/>
            <w:bottom w:val="none" w:sz="0" w:space="0" w:color="auto"/>
            <w:right w:val="none" w:sz="0" w:space="0" w:color="auto"/>
          </w:divBdr>
          <w:divsChild>
            <w:div w:id="1786341363">
              <w:marLeft w:val="0"/>
              <w:marRight w:val="0"/>
              <w:marTop w:val="120"/>
              <w:marBottom w:val="0"/>
              <w:divBdr>
                <w:top w:val="none" w:sz="0" w:space="0" w:color="auto"/>
                <w:left w:val="none" w:sz="0" w:space="0" w:color="auto"/>
                <w:bottom w:val="none" w:sz="0" w:space="0" w:color="auto"/>
                <w:right w:val="none" w:sz="0" w:space="0" w:color="auto"/>
              </w:divBdr>
            </w:div>
            <w:div w:id="207306331">
              <w:marLeft w:val="0"/>
              <w:marRight w:val="0"/>
              <w:marTop w:val="0"/>
              <w:marBottom w:val="0"/>
              <w:divBdr>
                <w:top w:val="none" w:sz="0" w:space="0" w:color="auto"/>
                <w:left w:val="none" w:sz="0" w:space="0" w:color="auto"/>
                <w:bottom w:val="none" w:sz="0" w:space="0" w:color="auto"/>
                <w:right w:val="none" w:sz="0" w:space="0" w:color="auto"/>
              </w:divBdr>
            </w:div>
          </w:divsChild>
        </w:div>
        <w:div w:id="1396123020">
          <w:marLeft w:val="0"/>
          <w:marRight w:val="0"/>
          <w:marTop w:val="0"/>
          <w:marBottom w:val="0"/>
          <w:divBdr>
            <w:top w:val="none" w:sz="0" w:space="0" w:color="auto"/>
            <w:left w:val="none" w:sz="0" w:space="0" w:color="auto"/>
            <w:bottom w:val="none" w:sz="0" w:space="0" w:color="auto"/>
            <w:right w:val="none" w:sz="0" w:space="0" w:color="auto"/>
          </w:divBdr>
          <w:divsChild>
            <w:div w:id="523321730">
              <w:marLeft w:val="0"/>
              <w:marRight w:val="0"/>
              <w:marTop w:val="120"/>
              <w:marBottom w:val="0"/>
              <w:divBdr>
                <w:top w:val="none" w:sz="0" w:space="0" w:color="auto"/>
                <w:left w:val="none" w:sz="0" w:space="0" w:color="auto"/>
                <w:bottom w:val="none" w:sz="0" w:space="0" w:color="auto"/>
                <w:right w:val="none" w:sz="0" w:space="0" w:color="auto"/>
              </w:divBdr>
            </w:div>
            <w:div w:id="1042482929">
              <w:marLeft w:val="0"/>
              <w:marRight w:val="0"/>
              <w:marTop w:val="0"/>
              <w:marBottom w:val="0"/>
              <w:divBdr>
                <w:top w:val="none" w:sz="0" w:space="0" w:color="auto"/>
                <w:left w:val="none" w:sz="0" w:space="0" w:color="auto"/>
                <w:bottom w:val="none" w:sz="0" w:space="0" w:color="auto"/>
                <w:right w:val="none" w:sz="0" w:space="0" w:color="auto"/>
              </w:divBdr>
              <w:divsChild>
                <w:div w:id="7508520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2795649">
          <w:marLeft w:val="0"/>
          <w:marRight w:val="0"/>
          <w:marTop w:val="0"/>
          <w:marBottom w:val="0"/>
          <w:divBdr>
            <w:top w:val="none" w:sz="0" w:space="0" w:color="auto"/>
            <w:left w:val="none" w:sz="0" w:space="0" w:color="auto"/>
            <w:bottom w:val="none" w:sz="0" w:space="0" w:color="auto"/>
            <w:right w:val="none" w:sz="0" w:space="0" w:color="auto"/>
          </w:divBdr>
          <w:divsChild>
            <w:div w:id="221982738">
              <w:marLeft w:val="0"/>
              <w:marRight w:val="0"/>
              <w:marTop w:val="120"/>
              <w:marBottom w:val="0"/>
              <w:divBdr>
                <w:top w:val="none" w:sz="0" w:space="0" w:color="auto"/>
                <w:left w:val="none" w:sz="0" w:space="0" w:color="auto"/>
                <w:bottom w:val="none" w:sz="0" w:space="0" w:color="auto"/>
                <w:right w:val="none" w:sz="0" w:space="0" w:color="auto"/>
              </w:divBdr>
            </w:div>
            <w:div w:id="482936424">
              <w:marLeft w:val="0"/>
              <w:marRight w:val="0"/>
              <w:marTop w:val="0"/>
              <w:marBottom w:val="0"/>
              <w:divBdr>
                <w:top w:val="none" w:sz="0" w:space="0" w:color="auto"/>
                <w:left w:val="none" w:sz="0" w:space="0" w:color="auto"/>
                <w:bottom w:val="none" w:sz="0" w:space="0" w:color="auto"/>
                <w:right w:val="none" w:sz="0" w:space="0" w:color="auto"/>
              </w:divBdr>
              <w:divsChild>
                <w:div w:id="7894741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94246730">
          <w:marLeft w:val="0"/>
          <w:marRight w:val="0"/>
          <w:marTop w:val="0"/>
          <w:marBottom w:val="0"/>
          <w:divBdr>
            <w:top w:val="none" w:sz="0" w:space="0" w:color="auto"/>
            <w:left w:val="none" w:sz="0" w:space="0" w:color="auto"/>
            <w:bottom w:val="none" w:sz="0" w:space="0" w:color="auto"/>
            <w:right w:val="none" w:sz="0" w:space="0" w:color="auto"/>
          </w:divBdr>
          <w:divsChild>
            <w:div w:id="1982147676">
              <w:marLeft w:val="0"/>
              <w:marRight w:val="0"/>
              <w:marTop w:val="120"/>
              <w:marBottom w:val="0"/>
              <w:divBdr>
                <w:top w:val="none" w:sz="0" w:space="0" w:color="auto"/>
                <w:left w:val="none" w:sz="0" w:space="0" w:color="auto"/>
                <w:bottom w:val="none" w:sz="0" w:space="0" w:color="auto"/>
                <w:right w:val="none" w:sz="0" w:space="0" w:color="auto"/>
              </w:divBdr>
            </w:div>
            <w:div w:id="205680984">
              <w:marLeft w:val="0"/>
              <w:marRight w:val="0"/>
              <w:marTop w:val="0"/>
              <w:marBottom w:val="0"/>
              <w:divBdr>
                <w:top w:val="none" w:sz="0" w:space="0" w:color="auto"/>
                <w:left w:val="none" w:sz="0" w:space="0" w:color="auto"/>
                <w:bottom w:val="none" w:sz="0" w:space="0" w:color="auto"/>
                <w:right w:val="none" w:sz="0" w:space="0" w:color="auto"/>
              </w:divBdr>
              <w:divsChild>
                <w:div w:id="13674826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3297696">
          <w:marLeft w:val="720"/>
          <w:marRight w:val="0"/>
          <w:marTop w:val="0"/>
          <w:marBottom w:val="0"/>
          <w:divBdr>
            <w:top w:val="none" w:sz="0" w:space="0" w:color="auto"/>
            <w:left w:val="none" w:sz="0" w:space="0" w:color="auto"/>
            <w:bottom w:val="none" w:sz="0" w:space="0" w:color="auto"/>
            <w:right w:val="none" w:sz="0" w:space="0" w:color="auto"/>
          </w:divBdr>
        </w:div>
        <w:div w:id="1696884282">
          <w:marLeft w:val="720"/>
          <w:marRight w:val="0"/>
          <w:marTop w:val="0"/>
          <w:marBottom w:val="0"/>
          <w:divBdr>
            <w:top w:val="none" w:sz="0" w:space="0" w:color="auto"/>
            <w:left w:val="none" w:sz="0" w:space="0" w:color="auto"/>
            <w:bottom w:val="none" w:sz="0" w:space="0" w:color="auto"/>
            <w:right w:val="none" w:sz="0" w:space="0" w:color="auto"/>
          </w:divBdr>
        </w:div>
        <w:div w:id="1498381870">
          <w:marLeft w:val="720"/>
          <w:marRight w:val="0"/>
          <w:marTop w:val="0"/>
          <w:marBottom w:val="0"/>
          <w:divBdr>
            <w:top w:val="none" w:sz="0" w:space="0" w:color="auto"/>
            <w:left w:val="none" w:sz="0" w:space="0" w:color="auto"/>
            <w:bottom w:val="none" w:sz="0" w:space="0" w:color="auto"/>
            <w:right w:val="none" w:sz="0" w:space="0" w:color="auto"/>
          </w:divBdr>
        </w:div>
        <w:div w:id="374889460">
          <w:marLeft w:val="0"/>
          <w:marRight w:val="0"/>
          <w:marTop w:val="0"/>
          <w:marBottom w:val="0"/>
          <w:divBdr>
            <w:top w:val="none" w:sz="0" w:space="0" w:color="auto"/>
            <w:left w:val="none" w:sz="0" w:space="0" w:color="auto"/>
            <w:bottom w:val="none" w:sz="0" w:space="0" w:color="auto"/>
            <w:right w:val="none" w:sz="0" w:space="0" w:color="auto"/>
          </w:divBdr>
          <w:divsChild>
            <w:div w:id="1171062993">
              <w:marLeft w:val="0"/>
              <w:marRight w:val="0"/>
              <w:marTop w:val="120"/>
              <w:marBottom w:val="0"/>
              <w:divBdr>
                <w:top w:val="none" w:sz="0" w:space="0" w:color="auto"/>
                <w:left w:val="none" w:sz="0" w:space="0" w:color="auto"/>
                <w:bottom w:val="none" w:sz="0" w:space="0" w:color="auto"/>
                <w:right w:val="none" w:sz="0" w:space="0" w:color="auto"/>
              </w:divBdr>
            </w:div>
            <w:div w:id="1512137392">
              <w:marLeft w:val="0"/>
              <w:marRight w:val="0"/>
              <w:marTop w:val="0"/>
              <w:marBottom w:val="0"/>
              <w:divBdr>
                <w:top w:val="none" w:sz="0" w:space="0" w:color="auto"/>
                <w:left w:val="none" w:sz="0" w:space="0" w:color="auto"/>
                <w:bottom w:val="none" w:sz="0" w:space="0" w:color="auto"/>
                <w:right w:val="none" w:sz="0" w:space="0" w:color="auto"/>
              </w:divBdr>
              <w:divsChild>
                <w:div w:id="16388000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18254572">
          <w:marLeft w:val="0"/>
          <w:marRight w:val="0"/>
          <w:marTop w:val="0"/>
          <w:marBottom w:val="0"/>
          <w:divBdr>
            <w:top w:val="none" w:sz="0" w:space="0" w:color="auto"/>
            <w:left w:val="none" w:sz="0" w:space="0" w:color="auto"/>
            <w:bottom w:val="none" w:sz="0" w:space="0" w:color="auto"/>
            <w:right w:val="none" w:sz="0" w:space="0" w:color="auto"/>
          </w:divBdr>
          <w:divsChild>
            <w:div w:id="1203831333">
              <w:marLeft w:val="0"/>
              <w:marRight w:val="0"/>
              <w:marTop w:val="120"/>
              <w:marBottom w:val="0"/>
              <w:divBdr>
                <w:top w:val="none" w:sz="0" w:space="0" w:color="auto"/>
                <w:left w:val="none" w:sz="0" w:space="0" w:color="auto"/>
                <w:bottom w:val="none" w:sz="0" w:space="0" w:color="auto"/>
                <w:right w:val="none" w:sz="0" w:space="0" w:color="auto"/>
              </w:divBdr>
            </w:div>
            <w:div w:id="1647473904">
              <w:marLeft w:val="0"/>
              <w:marRight w:val="0"/>
              <w:marTop w:val="0"/>
              <w:marBottom w:val="0"/>
              <w:divBdr>
                <w:top w:val="none" w:sz="0" w:space="0" w:color="auto"/>
                <w:left w:val="none" w:sz="0" w:space="0" w:color="auto"/>
                <w:bottom w:val="none" w:sz="0" w:space="0" w:color="auto"/>
                <w:right w:val="none" w:sz="0" w:space="0" w:color="auto"/>
              </w:divBdr>
              <w:divsChild>
                <w:div w:id="16032966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6323901">
          <w:marLeft w:val="0"/>
          <w:marRight w:val="0"/>
          <w:marTop w:val="0"/>
          <w:marBottom w:val="0"/>
          <w:divBdr>
            <w:top w:val="none" w:sz="0" w:space="0" w:color="auto"/>
            <w:left w:val="none" w:sz="0" w:space="0" w:color="auto"/>
            <w:bottom w:val="none" w:sz="0" w:space="0" w:color="auto"/>
            <w:right w:val="none" w:sz="0" w:space="0" w:color="auto"/>
          </w:divBdr>
          <w:divsChild>
            <w:div w:id="1192378477">
              <w:marLeft w:val="0"/>
              <w:marRight w:val="0"/>
              <w:marTop w:val="120"/>
              <w:marBottom w:val="0"/>
              <w:divBdr>
                <w:top w:val="none" w:sz="0" w:space="0" w:color="auto"/>
                <w:left w:val="none" w:sz="0" w:space="0" w:color="auto"/>
                <w:bottom w:val="none" w:sz="0" w:space="0" w:color="auto"/>
                <w:right w:val="none" w:sz="0" w:space="0" w:color="auto"/>
              </w:divBdr>
            </w:div>
            <w:div w:id="1468359176">
              <w:marLeft w:val="0"/>
              <w:marRight w:val="0"/>
              <w:marTop w:val="0"/>
              <w:marBottom w:val="0"/>
              <w:divBdr>
                <w:top w:val="none" w:sz="0" w:space="0" w:color="auto"/>
                <w:left w:val="none" w:sz="0" w:space="0" w:color="auto"/>
                <w:bottom w:val="none" w:sz="0" w:space="0" w:color="auto"/>
                <w:right w:val="none" w:sz="0" w:space="0" w:color="auto"/>
              </w:divBdr>
              <w:divsChild>
                <w:div w:id="10320746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1763133">
          <w:marLeft w:val="0"/>
          <w:marRight w:val="0"/>
          <w:marTop w:val="0"/>
          <w:marBottom w:val="0"/>
          <w:divBdr>
            <w:top w:val="none" w:sz="0" w:space="0" w:color="auto"/>
            <w:left w:val="none" w:sz="0" w:space="0" w:color="auto"/>
            <w:bottom w:val="none" w:sz="0" w:space="0" w:color="auto"/>
            <w:right w:val="none" w:sz="0" w:space="0" w:color="auto"/>
          </w:divBdr>
          <w:divsChild>
            <w:div w:id="14772024">
              <w:marLeft w:val="0"/>
              <w:marRight w:val="0"/>
              <w:marTop w:val="120"/>
              <w:marBottom w:val="0"/>
              <w:divBdr>
                <w:top w:val="none" w:sz="0" w:space="0" w:color="auto"/>
                <w:left w:val="none" w:sz="0" w:space="0" w:color="auto"/>
                <w:bottom w:val="none" w:sz="0" w:space="0" w:color="auto"/>
                <w:right w:val="none" w:sz="0" w:space="0" w:color="auto"/>
              </w:divBdr>
            </w:div>
            <w:div w:id="1697267887">
              <w:marLeft w:val="0"/>
              <w:marRight w:val="0"/>
              <w:marTop w:val="0"/>
              <w:marBottom w:val="0"/>
              <w:divBdr>
                <w:top w:val="none" w:sz="0" w:space="0" w:color="auto"/>
                <w:left w:val="none" w:sz="0" w:space="0" w:color="auto"/>
                <w:bottom w:val="none" w:sz="0" w:space="0" w:color="auto"/>
                <w:right w:val="none" w:sz="0" w:space="0" w:color="auto"/>
              </w:divBdr>
              <w:divsChild>
                <w:div w:id="18287851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89910207">
          <w:marLeft w:val="0"/>
          <w:marRight w:val="0"/>
          <w:marTop w:val="0"/>
          <w:marBottom w:val="0"/>
          <w:divBdr>
            <w:top w:val="none" w:sz="0" w:space="0" w:color="auto"/>
            <w:left w:val="none" w:sz="0" w:space="0" w:color="auto"/>
            <w:bottom w:val="none" w:sz="0" w:space="0" w:color="auto"/>
            <w:right w:val="none" w:sz="0" w:space="0" w:color="auto"/>
          </w:divBdr>
          <w:divsChild>
            <w:div w:id="2140030788">
              <w:marLeft w:val="0"/>
              <w:marRight w:val="0"/>
              <w:marTop w:val="120"/>
              <w:marBottom w:val="0"/>
              <w:divBdr>
                <w:top w:val="none" w:sz="0" w:space="0" w:color="auto"/>
                <w:left w:val="none" w:sz="0" w:space="0" w:color="auto"/>
                <w:bottom w:val="none" w:sz="0" w:space="0" w:color="auto"/>
                <w:right w:val="none" w:sz="0" w:space="0" w:color="auto"/>
              </w:divBdr>
            </w:div>
            <w:div w:id="2043094310">
              <w:marLeft w:val="0"/>
              <w:marRight w:val="0"/>
              <w:marTop w:val="0"/>
              <w:marBottom w:val="0"/>
              <w:divBdr>
                <w:top w:val="none" w:sz="0" w:space="0" w:color="auto"/>
                <w:left w:val="none" w:sz="0" w:space="0" w:color="auto"/>
                <w:bottom w:val="none" w:sz="0" w:space="0" w:color="auto"/>
                <w:right w:val="none" w:sz="0" w:space="0" w:color="auto"/>
              </w:divBdr>
              <w:divsChild>
                <w:div w:id="6814736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6709385">
          <w:marLeft w:val="0"/>
          <w:marRight w:val="0"/>
          <w:marTop w:val="0"/>
          <w:marBottom w:val="0"/>
          <w:divBdr>
            <w:top w:val="none" w:sz="0" w:space="0" w:color="auto"/>
            <w:left w:val="none" w:sz="0" w:space="0" w:color="auto"/>
            <w:bottom w:val="none" w:sz="0" w:space="0" w:color="auto"/>
            <w:right w:val="none" w:sz="0" w:space="0" w:color="auto"/>
          </w:divBdr>
          <w:divsChild>
            <w:div w:id="51781193">
              <w:marLeft w:val="0"/>
              <w:marRight w:val="0"/>
              <w:marTop w:val="120"/>
              <w:marBottom w:val="0"/>
              <w:divBdr>
                <w:top w:val="none" w:sz="0" w:space="0" w:color="auto"/>
                <w:left w:val="none" w:sz="0" w:space="0" w:color="auto"/>
                <w:bottom w:val="none" w:sz="0" w:space="0" w:color="auto"/>
                <w:right w:val="none" w:sz="0" w:space="0" w:color="auto"/>
              </w:divBdr>
            </w:div>
            <w:div w:id="761223213">
              <w:marLeft w:val="0"/>
              <w:marRight w:val="0"/>
              <w:marTop w:val="0"/>
              <w:marBottom w:val="0"/>
              <w:divBdr>
                <w:top w:val="none" w:sz="0" w:space="0" w:color="auto"/>
                <w:left w:val="none" w:sz="0" w:space="0" w:color="auto"/>
                <w:bottom w:val="none" w:sz="0" w:space="0" w:color="auto"/>
                <w:right w:val="none" w:sz="0" w:space="0" w:color="auto"/>
              </w:divBdr>
              <w:divsChild>
                <w:div w:id="18545638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0881719">
          <w:marLeft w:val="0"/>
          <w:marRight w:val="0"/>
          <w:marTop w:val="0"/>
          <w:marBottom w:val="0"/>
          <w:divBdr>
            <w:top w:val="none" w:sz="0" w:space="0" w:color="auto"/>
            <w:left w:val="none" w:sz="0" w:space="0" w:color="auto"/>
            <w:bottom w:val="none" w:sz="0" w:space="0" w:color="auto"/>
            <w:right w:val="none" w:sz="0" w:space="0" w:color="auto"/>
          </w:divBdr>
          <w:divsChild>
            <w:div w:id="2073651693">
              <w:marLeft w:val="0"/>
              <w:marRight w:val="0"/>
              <w:marTop w:val="120"/>
              <w:marBottom w:val="0"/>
              <w:divBdr>
                <w:top w:val="none" w:sz="0" w:space="0" w:color="auto"/>
                <w:left w:val="none" w:sz="0" w:space="0" w:color="auto"/>
                <w:bottom w:val="none" w:sz="0" w:space="0" w:color="auto"/>
                <w:right w:val="none" w:sz="0" w:space="0" w:color="auto"/>
              </w:divBdr>
            </w:div>
            <w:div w:id="873033722">
              <w:marLeft w:val="0"/>
              <w:marRight w:val="0"/>
              <w:marTop w:val="0"/>
              <w:marBottom w:val="0"/>
              <w:divBdr>
                <w:top w:val="none" w:sz="0" w:space="0" w:color="auto"/>
                <w:left w:val="none" w:sz="0" w:space="0" w:color="auto"/>
                <w:bottom w:val="none" w:sz="0" w:space="0" w:color="auto"/>
                <w:right w:val="none" w:sz="0" w:space="0" w:color="auto"/>
              </w:divBdr>
              <w:divsChild>
                <w:div w:id="1153329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2054876">
          <w:marLeft w:val="0"/>
          <w:marRight w:val="0"/>
          <w:marTop w:val="0"/>
          <w:marBottom w:val="0"/>
          <w:divBdr>
            <w:top w:val="none" w:sz="0" w:space="0" w:color="auto"/>
            <w:left w:val="none" w:sz="0" w:space="0" w:color="auto"/>
            <w:bottom w:val="none" w:sz="0" w:space="0" w:color="auto"/>
            <w:right w:val="none" w:sz="0" w:space="0" w:color="auto"/>
          </w:divBdr>
          <w:divsChild>
            <w:div w:id="1436559924">
              <w:marLeft w:val="0"/>
              <w:marRight w:val="0"/>
              <w:marTop w:val="120"/>
              <w:marBottom w:val="0"/>
              <w:divBdr>
                <w:top w:val="none" w:sz="0" w:space="0" w:color="auto"/>
                <w:left w:val="none" w:sz="0" w:space="0" w:color="auto"/>
                <w:bottom w:val="none" w:sz="0" w:space="0" w:color="auto"/>
                <w:right w:val="none" w:sz="0" w:space="0" w:color="auto"/>
              </w:divBdr>
            </w:div>
            <w:div w:id="913851709">
              <w:marLeft w:val="0"/>
              <w:marRight w:val="0"/>
              <w:marTop w:val="0"/>
              <w:marBottom w:val="0"/>
              <w:divBdr>
                <w:top w:val="none" w:sz="0" w:space="0" w:color="auto"/>
                <w:left w:val="none" w:sz="0" w:space="0" w:color="auto"/>
                <w:bottom w:val="none" w:sz="0" w:space="0" w:color="auto"/>
                <w:right w:val="none" w:sz="0" w:space="0" w:color="auto"/>
              </w:divBdr>
              <w:divsChild>
                <w:div w:id="624459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1017110">
          <w:marLeft w:val="0"/>
          <w:marRight w:val="0"/>
          <w:marTop w:val="0"/>
          <w:marBottom w:val="0"/>
          <w:divBdr>
            <w:top w:val="none" w:sz="0" w:space="0" w:color="auto"/>
            <w:left w:val="none" w:sz="0" w:space="0" w:color="auto"/>
            <w:bottom w:val="none" w:sz="0" w:space="0" w:color="auto"/>
            <w:right w:val="none" w:sz="0" w:space="0" w:color="auto"/>
          </w:divBdr>
          <w:divsChild>
            <w:div w:id="181289499">
              <w:marLeft w:val="0"/>
              <w:marRight w:val="0"/>
              <w:marTop w:val="120"/>
              <w:marBottom w:val="0"/>
              <w:divBdr>
                <w:top w:val="none" w:sz="0" w:space="0" w:color="auto"/>
                <w:left w:val="none" w:sz="0" w:space="0" w:color="auto"/>
                <w:bottom w:val="none" w:sz="0" w:space="0" w:color="auto"/>
                <w:right w:val="none" w:sz="0" w:space="0" w:color="auto"/>
              </w:divBdr>
            </w:div>
            <w:div w:id="1921019329">
              <w:marLeft w:val="0"/>
              <w:marRight w:val="0"/>
              <w:marTop w:val="0"/>
              <w:marBottom w:val="0"/>
              <w:divBdr>
                <w:top w:val="none" w:sz="0" w:space="0" w:color="auto"/>
                <w:left w:val="none" w:sz="0" w:space="0" w:color="auto"/>
                <w:bottom w:val="none" w:sz="0" w:space="0" w:color="auto"/>
                <w:right w:val="none" w:sz="0" w:space="0" w:color="auto"/>
              </w:divBdr>
              <w:divsChild>
                <w:div w:id="3811023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5753529">
          <w:marLeft w:val="0"/>
          <w:marRight w:val="0"/>
          <w:marTop w:val="0"/>
          <w:marBottom w:val="0"/>
          <w:divBdr>
            <w:top w:val="none" w:sz="0" w:space="0" w:color="auto"/>
            <w:left w:val="none" w:sz="0" w:space="0" w:color="auto"/>
            <w:bottom w:val="none" w:sz="0" w:space="0" w:color="auto"/>
            <w:right w:val="none" w:sz="0" w:space="0" w:color="auto"/>
          </w:divBdr>
          <w:divsChild>
            <w:div w:id="695086605">
              <w:marLeft w:val="0"/>
              <w:marRight w:val="0"/>
              <w:marTop w:val="120"/>
              <w:marBottom w:val="0"/>
              <w:divBdr>
                <w:top w:val="none" w:sz="0" w:space="0" w:color="auto"/>
                <w:left w:val="none" w:sz="0" w:space="0" w:color="auto"/>
                <w:bottom w:val="none" w:sz="0" w:space="0" w:color="auto"/>
                <w:right w:val="none" w:sz="0" w:space="0" w:color="auto"/>
              </w:divBdr>
            </w:div>
            <w:div w:id="1595237362">
              <w:marLeft w:val="0"/>
              <w:marRight w:val="0"/>
              <w:marTop w:val="0"/>
              <w:marBottom w:val="0"/>
              <w:divBdr>
                <w:top w:val="none" w:sz="0" w:space="0" w:color="auto"/>
                <w:left w:val="none" w:sz="0" w:space="0" w:color="auto"/>
                <w:bottom w:val="none" w:sz="0" w:space="0" w:color="auto"/>
                <w:right w:val="none" w:sz="0" w:space="0" w:color="auto"/>
              </w:divBdr>
              <w:divsChild>
                <w:div w:id="11261198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35757228">
          <w:marLeft w:val="0"/>
          <w:marRight w:val="0"/>
          <w:marTop w:val="0"/>
          <w:marBottom w:val="0"/>
          <w:divBdr>
            <w:top w:val="none" w:sz="0" w:space="0" w:color="auto"/>
            <w:left w:val="none" w:sz="0" w:space="0" w:color="auto"/>
            <w:bottom w:val="none" w:sz="0" w:space="0" w:color="auto"/>
            <w:right w:val="none" w:sz="0" w:space="0" w:color="auto"/>
          </w:divBdr>
          <w:divsChild>
            <w:div w:id="105317692">
              <w:marLeft w:val="0"/>
              <w:marRight w:val="0"/>
              <w:marTop w:val="120"/>
              <w:marBottom w:val="0"/>
              <w:divBdr>
                <w:top w:val="none" w:sz="0" w:space="0" w:color="auto"/>
                <w:left w:val="none" w:sz="0" w:space="0" w:color="auto"/>
                <w:bottom w:val="none" w:sz="0" w:space="0" w:color="auto"/>
                <w:right w:val="none" w:sz="0" w:space="0" w:color="auto"/>
              </w:divBdr>
            </w:div>
            <w:div w:id="203373420">
              <w:marLeft w:val="0"/>
              <w:marRight w:val="0"/>
              <w:marTop w:val="0"/>
              <w:marBottom w:val="0"/>
              <w:divBdr>
                <w:top w:val="none" w:sz="0" w:space="0" w:color="auto"/>
                <w:left w:val="none" w:sz="0" w:space="0" w:color="auto"/>
                <w:bottom w:val="none" w:sz="0" w:space="0" w:color="auto"/>
                <w:right w:val="none" w:sz="0" w:space="0" w:color="auto"/>
              </w:divBdr>
              <w:divsChild>
                <w:div w:id="15233243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15892924">
          <w:marLeft w:val="0"/>
          <w:marRight w:val="0"/>
          <w:marTop w:val="0"/>
          <w:marBottom w:val="0"/>
          <w:divBdr>
            <w:top w:val="none" w:sz="0" w:space="0" w:color="auto"/>
            <w:left w:val="none" w:sz="0" w:space="0" w:color="auto"/>
            <w:bottom w:val="none" w:sz="0" w:space="0" w:color="auto"/>
            <w:right w:val="none" w:sz="0" w:space="0" w:color="auto"/>
          </w:divBdr>
          <w:divsChild>
            <w:div w:id="983706184">
              <w:marLeft w:val="0"/>
              <w:marRight w:val="0"/>
              <w:marTop w:val="120"/>
              <w:marBottom w:val="0"/>
              <w:divBdr>
                <w:top w:val="none" w:sz="0" w:space="0" w:color="auto"/>
                <w:left w:val="none" w:sz="0" w:space="0" w:color="auto"/>
                <w:bottom w:val="none" w:sz="0" w:space="0" w:color="auto"/>
                <w:right w:val="none" w:sz="0" w:space="0" w:color="auto"/>
              </w:divBdr>
            </w:div>
            <w:div w:id="1500342118">
              <w:marLeft w:val="0"/>
              <w:marRight w:val="0"/>
              <w:marTop w:val="0"/>
              <w:marBottom w:val="0"/>
              <w:divBdr>
                <w:top w:val="none" w:sz="0" w:space="0" w:color="auto"/>
                <w:left w:val="none" w:sz="0" w:space="0" w:color="auto"/>
                <w:bottom w:val="none" w:sz="0" w:space="0" w:color="auto"/>
                <w:right w:val="none" w:sz="0" w:space="0" w:color="auto"/>
              </w:divBdr>
              <w:divsChild>
                <w:div w:id="7698591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6099340">
          <w:marLeft w:val="0"/>
          <w:marRight w:val="0"/>
          <w:marTop w:val="120"/>
          <w:marBottom w:val="0"/>
          <w:divBdr>
            <w:top w:val="none" w:sz="0" w:space="0" w:color="auto"/>
            <w:left w:val="none" w:sz="0" w:space="0" w:color="auto"/>
            <w:bottom w:val="none" w:sz="0" w:space="0" w:color="auto"/>
            <w:right w:val="none" w:sz="0" w:space="0" w:color="auto"/>
          </w:divBdr>
        </w:div>
        <w:div w:id="1645162410">
          <w:marLeft w:val="0"/>
          <w:marRight w:val="0"/>
          <w:marTop w:val="120"/>
          <w:marBottom w:val="0"/>
          <w:divBdr>
            <w:top w:val="none" w:sz="0" w:space="0" w:color="auto"/>
            <w:left w:val="none" w:sz="0" w:space="0" w:color="auto"/>
            <w:bottom w:val="none" w:sz="0" w:space="0" w:color="auto"/>
            <w:right w:val="none" w:sz="0" w:space="0" w:color="auto"/>
          </w:divBdr>
        </w:div>
        <w:div w:id="543324640">
          <w:marLeft w:val="0"/>
          <w:marRight w:val="0"/>
          <w:marTop w:val="120"/>
          <w:marBottom w:val="0"/>
          <w:divBdr>
            <w:top w:val="none" w:sz="0" w:space="0" w:color="auto"/>
            <w:left w:val="none" w:sz="0" w:space="0" w:color="auto"/>
            <w:bottom w:val="none" w:sz="0" w:space="0" w:color="auto"/>
            <w:right w:val="none" w:sz="0" w:space="0" w:color="auto"/>
          </w:divBdr>
        </w:div>
        <w:div w:id="911543475">
          <w:marLeft w:val="0"/>
          <w:marRight w:val="0"/>
          <w:marTop w:val="120"/>
          <w:marBottom w:val="0"/>
          <w:divBdr>
            <w:top w:val="none" w:sz="0" w:space="0" w:color="auto"/>
            <w:left w:val="none" w:sz="0" w:space="0" w:color="auto"/>
            <w:bottom w:val="none" w:sz="0" w:space="0" w:color="auto"/>
            <w:right w:val="none" w:sz="0" w:space="0" w:color="auto"/>
          </w:divBdr>
        </w:div>
        <w:div w:id="799956231">
          <w:marLeft w:val="0"/>
          <w:marRight w:val="0"/>
          <w:marTop w:val="120"/>
          <w:marBottom w:val="0"/>
          <w:divBdr>
            <w:top w:val="none" w:sz="0" w:space="0" w:color="auto"/>
            <w:left w:val="none" w:sz="0" w:space="0" w:color="auto"/>
            <w:bottom w:val="none" w:sz="0" w:space="0" w:color="auto"/>
            <w:right w:val="none" w:sz="0" w:space="0" w:color="auto"/>
          </w:divBdr>
        </w:div>
        <w:div w:id="1898591487">
          <w:marLeft w:val="0"/>
          <w:marRight w:val="0"/>
          <w:marTop w:val="120"/>
          <w:marBottom w:val="0"/>
          <w:divBdr>
            <w:top w:val="none" w:sz="0" w:space="0" w:color="auto"/>
            <w:left w:val="none" w:sz="0" w:space="0" w:color="auto"/>
            <w:bottom w:val="none" w:sz="0" w:space="0" w:color="auto"/>
            <w:right w:val="none" w:sz="0" w:space="0" w:color="auto"/>
          </w:divBdr>
        </w:div>
        <w:div w:id="763767550">
          <w:marLeft w:val="0"/>
          <w:marRight w:val="0"/>
          <w:marTop w:val="120"/>
          <w:marBottom w:val="0"/>
          <w:divBdr>
            <w:top w:val="none" w:sz="0" w:space="0" w:color="auto"/>
            <w:left w:val="none" w:sz="0" w:space="0" w:color="auto"/>
            <w:bottom w:val="none" w:sz="0" w:space="0" w:color="auto"/>
            <w:right w:val="none" w:sz="0" w:space="0" w:color="auto"/>
          </w:divBdr>
        </w:div>
        <w:div w:id="1931692018">
          <w:marLeft w:val="0"/>
          <w:marRight w:val="0"/>
          <w:marTop w:val="120"/>
          <w:marBottom w:val="0"/>
          <w:divBdr>
            <w:top w:val="none" w:sz="0" w:space="0" w:color="auto"/>
            <w:left w:val="none" w:sz="0" w:space="0" w:color="auto"/>
            <w:bottom w:val="none" w:sz="0" w:space="0" w:color="auto"/>
            <w:right w:val="none" w:sz="0" w:space="0" w:color="auto"/>
          </w:divBdr>
        </w:div>
        <w:div w:id="748503061">
          <w:marLeft w:val="0"/>
          <w:marRight w:val="0"/>
          <w:marTop w:val="120"/>
          <w:marBottom w:val="0"/>
          <w:divBdr>
            <w:top w:val="none" w:sz="0" w:space="0" w:color="auto"/>
            <w:left w:val="none" w:sz="0" w:space="0" w:color="auto"/>
            <w:bottom w:val="none" w:sz="0" w:space="0" w:color="auto"/>
            <w:right w:val="none" w:sz="0" w:space="0" w:color="auto"/>
          </w:divBdr>
        </w:div>
        <w:div w:id="2067795256">
          <w:marLeft w:val="0"/>
          <w:marRight w:val="0"/>
          <w:marTop w:val="120"/>
          <w:marBottom w:val="0"/>
          <w:divBdr>
            <w:top w:val="none" w:sz="0" w:space="0" w:color="auto"/>
            <w:left w:val="none" w:sz="0" w:space="0" w:color="auto"/>
            <w:bottom w:val="none" w:sz="0" w:space="0" w:color="auto"/>
            <w:right w:val="none" w:sz="0" w:space="0" w:color="auto"/>
          </w:divBdr>
        </w:div>
        <w:div w:id="637565521">
          <w:marLeft w:val="0"/>
          <w:marRight w:val="0"/>
          <w:marTop w:val="120"/>
          <w:marBottom w:val="0"/>
          <w:divBdr>
            <w:top w:val="none" w:sz="0" w:space="0" w:color="auto"/>
            <w:left w:val="none" w:sz="0" w:space="0" w:color="auto"/>
            <w:bottom w:val="none" w:sz="0" w:space="0" w:color="auto"/>
            <w:right w:val="none" w:sz="0" w:space="0" w:color="auto"/>
          </w:divBdr>
        </w:div>
        <w:div w:id="307324279">
          <w:marLeft w:val="0"/>
          <w:marRight w:val="0"/>
          <w:marTop w:val="120"/>
          <w:marBottom w:val="0"/>
          <w:divBdr>
            <w:top w:val="none" w:sz="0" w:space="0" w:color="auto"/>
            <w:left w:val="none" w:sz="0" w:space="0" w:color="auto"/>
            <w:bottom w:val="none" w:sz="0" w:space="0" w:color="auto"/>
            <w:right w:val="none" w:sz="0" w:space="0" w:color="auto"/>
          </w:divBdr>
        </w:div>
        <w:div w:id="954212070">
          <w:marLeft w:val="0"/>
          <w:marRight w:val="0"/>
          <w:marTop w:val="120"/>
          <w:marBottom w:val="0"/>
          <w:divBdr>
            <w:top w:val="none" w:sz="0" w:space="0" w:color="auto"/>
            <w:left w:val="none" w:sz="0" w:space="0" w:color="auto"/>
            <w:bottom w:val="none" w:sz="0" w:space="0" w:color="auto"/>
            <w:right w:val="none" w:sz="0" w:space="0" w:color="auto"/>
          </w:divBdr>
        </w:div>
        <w:div w:id="1885096626">
          <w:marLeft w:val="0"/>
          <w:marRight w:val="0"/>
          <w:marTop w:val="120"/>
          <w:marBottom w:val="0"/>
          <w:divBdr>
            <w:top w:val="none" w:sz="0" w:space="0" w:color="auto"/>
            <w:left w:val="none" w:sz="0" w:space="0" w:color="auto"/>
            <w:bottom w:val="none" w:sz="0" w:space="0" w:color="auto"/>
            <w:right w:val="none" w:sz="0" w:space="0" w:color="auto"/>
          </w:divBdr>
        </w:div>
        <w:div w:id="619068231">
          <w:marLeft w:val="0"/>
          <w:marRight w:val="0"/>
          <w:marTop w:val="120"/>
          <w:marBottom w:val="0"/>
          <w:divBdr>
            <w:top w:val="none" w:sz="0" w:space="0" w:color="auto"/>
            <w:left w:val="none" w:sz="0" w:space="0" w:color="auto"/>
            <w:bottom w:val="none" w:sz="0" w:space="0" w:color="auto"/>
            <w:right w:val="none" w:sz="0" w:space="0" w:color="auto"/>
          </w:divBdr>
        </w:div>
        <w:div w:id="1079475299">
          <w:marLeft w:val="0"/>
          <w:marRight w:val="0"/>
          <w:marTop w:val="0"/>
          <w:marBottom w:val="0"/>
          <w:divBdr>
            <w:top w:val="none" w:sz="0" w:space="0" w:color="auto"/>
            <w:left w:val="none" w:sz="0" w:space="0" w:color="auto"/>
            <w:bottom w:val="none" w:sz="0" w:space="0" w:color="auto"/>
            <w:right w:val="none" w:sz="0" w:space="0" w:color="auto"/>
          </w:divBdr>
          <w:divsChild>
            <w:div w:id="502088809">
              <w:marLeft w:val="0"/>
              <w:marRight w:val="0"/>
              <w:marTop w:val="120"/>
              <w:marBottom w:val="0"/>
              <w:divBdr>
                <w:top w:val="none" w:sz="0" w:space="0" w:color="auto"/>
                <w:left w:val="none" w:sz="0" w:space="0" w:color="auto"/>
                <w:bottom w:val="none" w:sz="0" w:space="0" w:color="auto"/>
                <w:right w:val="none" w:sz="0" w:space="0" w:color="auto"/>
              </w:divBdr>
            </w:div>
            <w:div w:id="2054185986">
              <w:marLeft w:val="0"/>
              <w:marRight w:val="0"/>
              <w:marTop w:val="0"/>
              <w:marBottom w:val="0"/>
              <w:divBdr>
                <w:top w:val="none" w:sz="0" w:space="0" w:color="auto"/>
                <w:left w:val="none" w:sz="0" w:space="0" w:color="auto"/>
                <w:bottom w:val="none" w:sz="0" w:space="0" w:color="auto"/>
                <w:right w:val="none" w:sz="0" w:space="0" w:color="auto"/>
              </w:divBdr>
              <w:divsChild>
                <w:div w:id="3630212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25795109">
          <w:marLeft w:val="0"/>
          <w:marRight w:val="0"/>
          <w:marTop w:val="0"/>
          <w:marBottom w:val="0"/>
          <w:divBdr>
            <w:top w:val="none" w:sz="0" w:space="0" w:color="auto"/>
            <w:left w:val="none" w:sz="0" w:space="0" w:color="auto"/>
            <w:bottom w:val="none" w:sz="0" w:space="0" w:color="auto"/>
            <w:right w:val="none" w:sz="0" w:space="0" w:color="auto"/>
          </w:divBdr>
          <w:divsChild>
            <w:div w:id="3167014">
              <w:marLeft w:val="0"/>
              <w:marRight w:val="0"/>
              <w:marTop w:val="120"/>
              <w:marBottom w:val="0"/>
              <w:divBdr>
                <w:top w:val="none" w:sz="0" w:space="0" w:color="auto"/>
                <w:left w:val="none" w:sz="0" w:space="0" w:color="auto"/>
                <w:bottom w:val="none" w:sz="0" w:space="0" w:color="auto"/>
                <w:right w:val="none" w:sz="0" w:space="0" w:color="auto"/>
              </w:divBdr>
            </w:div>
            <w:div w:id="190458411">
              <w:marLeft w:val="0"/>
              <w:marRight w:val="0"/>
              <w:marTop w:val="0"/>
              <w:marBottom w:val="0"/>
              <w:divBdr>
                <w:top w:val="none" w:sz="0" w:space="0" w:color="auto"/>
                <w:left w:val="none" w:sz="0" w:space="0" w:color="auto"/>
                <w:bottom w:val="none" w:sz="0" w:space="0" w:color="auto"/>
                <w:right w:val="none" w:sz="0" w:space="0" w:color="auto"/>
              </w:divBdr>
              <w:divsChild>
                <w:div w:id="19792619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3925376">
          <w:marLeft w:val="0"/>
          <w:marRight w:val="0"/>
          <w:marTop w:val="0"/>
          <w:marBottom w:val="0"/>
          <w:divBdr>
            <w:top w:val="none" w:sz="0" w:space="0" w:color="auto"/>
            <w:left w:val="none" w:sz="0" w:space="0" w:color="auto"/>
            <w:bottom w:val="none" w:sz="0" w:space="0" w:color="auto"/>
            <w:right w:val="none" w:sz="0" w:space="0" w:color="auto"/>
          </w:divBdr>
          <w:divsChild>
            <w:div w:id="1593856268">
              <w:marLeft w:val="0"/>
              <w:marRight w:val="0"/>
              <w:marTop w:val="120"/>
              <w:marBottom w:val="0"/>
              <w:divBdr>
                <w:top w:val="none" w:sz="0" w:space="0" w:color="auto"/>
                <w:left w:val="none" w:sz="0" w:space="0" w:color="auto"/>
                <w:bottom w:val="none" w:sz="0" w:space="0" w:color="auto"/>
                <w:right w:val="none" w:sz="0" w:space="0" w:color="auto"/>
              </w:divBdr>
            </w:div>
            <w:div w:id="1573586764">
              <w:marLeft w:val="0"/>
              <w:marRight w:val="0"/>
              <w:marTop w:val="0"/>
              <w:marBottom w:val="0"/>
              <w:divBdr>
                <w:top w:val="none" w:sz="0" w:space="0" w:color="auto"/>
                <w:left w:val="none" w:sz="0" w:space="0" w:color="auto"/>
                <w:bottom w:val="none" w:sz="0" w:space="0" w:color="auto"/>
                <w:right w:val="none" w:sz="0" w:space="0" w:color="auto"/>
              </w:divBdr>
            </w:div>
          </w:divsChild>
        </w:div>
        <w:div w:id="1563053045">
          <w:marLeft w:val="0"/>
          <w:marRight w:val="0"/>
          <w:marTop w:val="0"/>
          <w:marBottom w:val="0"/>
          <w:divBdr>
            <w:top w:val="none" w:sz="0" w:space="0" w:color="auto"/>
            <w:left w:val="none" w:sz="0" w:space="0" w:color="auto"/>
            <w:bottom w:val="none" w:sz="0" w:space="0" w:color="auto"/>
            <w:right w:val="none" w:sz="0" w:space="0" w:color="auto"/>
          </w:divBdr>
          <w:divsChild>
            <w:div w:id="1240869982">
              <w:marLeft w:val="0"/>
              <w:marRight w:val="0"/>
              <w:marTop w:val="120"/>
              <w:marBottom w:val="0"/>
              <w:divBdr>
                <w:top w:val="none" w:sz="0" w:space="0" w:color="auto"/>
                <w:left w:val="none" w:sz="0" w:space="0" w:color="auto"/>
                <w:bottom w:val="none" w:sz="0" w:space="0" w:color="auto"/>
                <w:right w:val="none" w:sz="0" w:space="0" w:color="auto"/>
              </w:divBdr>
            </w:div>
            <w:div w:id="351959778">
              <w:marLeft w:val="0"/>
              <w:marRight w:val="0"/>
              <w:marTop w:val="0"/>
              <w:marBottom w:val="0"/>
              <w:divBdr>
                <w:top w:val="none" w:sz="0" w:space="0" w:color="auto"/>
                <w:left w:val="none" w:sz="0" w:space="0" w:color="auto"/>
                <w:bottom w:val="none" w:sz="0" w:space="0" w:color="auto"/>
                <w:right w:val="none" w:sz="0" w:space="0" w:color="auto"/>
              </w:divBdr>
            </w:div>
          </w:divsChild>
        </w:div>
        <w:div w:id="372729745">
          <w:marLeft w:val="720"/>
          <w:marRight w:val="0"/>
          <w:marTop w:val="0"/>
          <w:marBottom w:val="0"/>
          <w:divBdr>
            <w:top w:val="none" w:sz="0" w:space="0" w:color="auto"/>
            <w:left w:val="none" w:sz="0" w:space="0" w:color="auto"/>
            <w:bottom w:val="none" w:sz="0" w:space="0" w:color="auto"/>
            <w:right w:val="none" w:sz="0" w:space="0" w:color="auto"/>
          </w:divBdr>
        </w:div>
        <w:div w:id="1056392094">
          <w:marLeft w:val="720"/>
          <w:marRight w:val="0"/>
          <w:marTop w:val="0"/>
          <w:marBottom w:val="0"/>
          <w:divBdr>
            <w:top w:val="none" w:sz="0" w:space="0" w:color="auto"/>
            <w:left w:val="none" w:sz="0" w:space="0" w:color="auto"/>
            <w:bottom w:val="none" w:sz="0" w:space="0" w:color="auto"/>
            <w:right w:val="none" w:sz="0" w:space="0" w:color="auto"/>
          </w:divBdr>
        </w:div>
        <w:div w:id="865096000">
          <w:marLeft w:val="720"/>
          <w:marRight w:val="0"/>
          <w:marTop w:val="0"/>
          <w:marBottom w:val="0"/>
          <w:divBdr>
            <w:top w:val="none" w:sz="0" w:space="0" w:color="auto"/>
            <w:left w:val="none" w:sz="0" w:space="0" w:color="auto"/>
            <w:bottom w:val="none" w:sz="0" w:space="0" w:color="auto"/>
            <w:right w:val="none" w:sz="0" w:space="0" w:color="auto"/>
          </w:divBdr>
        </w:div>
        <w:div w:id="446851299">
          <w:marLeft w:val="720"/>
          <w:marRight w:val="0"/>
          <w:marTop w:val="0"/>
          <w:marBottom w:val="0"/>
          <w:divBdr>
            <w:top w:val="none" w:sz="0" w:space="0" w:color="auto"/>
            <w:left w:val="none" w:sz="0" w:space="0" w:color="auto"/>
            <w:bottom w:val="none" w:sz="0" w:space="0" w:color="auto"/>
            <w:right w:val="none" w:sz="0" w:space="0" w:color="auto"/>
          </w:divBdr>
        </w:div>
        <w:div w:id="2128035879">
          <w:marLeft w:val="720"/>
          <w:marRight w:val="0"/>
          <w:marTop w:val="0"/>
          <w:marBottom w:val="0"/>
          <w:divBdr>
            <w:top w:val="none" w:sz="0" w:space="0" w:color="auto"/>
            <w:left w:val="none" w:sz="0" w:space="0" w:color="auto"/>
            <w:bottom w:val="none" w:sz="0" w:space="0" w:color="auto"/>
            <w:right w:val="none" w:sz="0" w:space="0" w:color="auto"/>
          </w:divBdr>
        </w:div>
        <w:div w:id="901333237">
          <w:marLeft w:val="720"/>
          <w:marRight w:val="0"/>
          <w:marTop w:val="0"/>
          <w:marBottom w:val="0"/>
          <w:divBdr>
            <w:top w:val="none" w:sz="0" w:space="0" w:color="auto"/>
            <w:left w:val="none" w:sz="0" w:space="0" w:color="auto"/>
            <w:bottom w:val="none" w:sz="0" w:space="0" w:color="auto"/>
            <w:right w:val="none" w:sz="0" w:space="0" w:color="auto"/>
          </w:divBdr>
        </w:div>
        <w:div w:id="324667183">
          <w:marLeft w:val="720"/>
          <w:marRight w:val="0"/>
          <w:marTop w:val="0"/>
          <w:marBottom w:val="0"/>
          <w:divBdr>
            <w:top w:val="none" w:sz="0" w:space="0" w:color="auto"/>
            <w:left w:val="none" w:sz="0" w:space="0" w:color="auto"/>
            <w:bottom w:val="none" w:sz="0" w:space="0" w:color="auto"/>
            <w:right w:val="none" w:sz="0" w:space="0" w:color="auto"/>
          </w:divBdr>
        </w:div>
        <w:div w:id="632909693">
          <w:marLeft w:val="720"/>
          <w:marRight w:val="0"/>
          <w:marTop w:val="0"/>
          <w:marBottom w:val="0"/>
          <w:divBdr>
            <w:top w:val="none" w:sz="0" w:space="0" w:color="auto"/>
            <w:left w:val="none" w:sz="0" w:space="0" w:color="auto"/>
            <w:bottom w:val="none" w:sz="0" w:space="0" w:color="auto"/>
            <w:right w:val="none" w:sz="0" w:space="0" w:color="auto"/>
          </w:divBdr>
        </w:div>
        <w:div w:id="787772692">
          <w:marLeft w:val="720"/>
          <w:marRight w:val="0"/>
          <w:marTop w:val="0"/>
          <w:marBottom w:val="0"/>
          <w:divBdr>
            <w:top w:val="none" w:sz="0" w:space="0" w:color="auto"/>
            <w:left w:val="none" w:sz="0" w:space="0" w:color="auto"/>
            <w:bottom w:val="none" w:sz="0" w:space="0" w:color="auto"/>
            <w:right w:val="none" w:sz="0" w:space="0" w:color="auto"/>
          </w:divBdr>
        </w:div>
        <w:div w:id="452795856">
          <w:marLeft w:val="720"/>
          <w:marRight w:val="0"/>
          <w:marTop w:val="0"/>
          <w:marBottom w:val="0"/>
          <w:divBdr>
            <w:top w:val="none" w:sz="0" w:space="0" w:color="auto"/>
            <w:left w:val="none" w:sz="0" w:space="0" w:color="auto"/>
            <w:bottom w:val="none" w:sz="0" w:space="0" w:color="auto"/>
            <w:right w:val="none" w:sz="0" w:space="0" w:color="auto"/>
          </w:divBdr>
        </w:div>
        <w:div w:id="1318994250">
          <w:marLeft w:val="720"/>
          <w:marRight w:val="0"/>
          <w:marTop w:val="0"/>
          <w:marBottom w:val="0"/>
          <w:divBdr>
            <w:top w:val="none" w:sz="0" w:space="0" w:color="auto"/>
            <w:left w:val="none" w:sz="0" w:space="0" w:color="auto"/>
            <w:bottom w:val="none" w:sz="0" w:space="0" w:color="auto"/>
            <w:right w:val="none" w:sz="0" w:space="0" w:color="auto"/>
          </w:divBdr>
        </w:div>
        <w:div w:id="1195070172">
          <w:marLeft w:val="720"/>
          <w:marRight w:val="0"/>
          <w:marTop w:val="0"/>
          <w:marBottom w:val="0"/>
          <w:divBdr>
            <w:top w:val="none" w:sz="0" w:space="0" w:color="auto"/>
            <w:left w:val="none" w:sz="0" w:space="0" w:color="auto"/>
            <w:bottom w:val="none" w:sz="0" w:space="0" w:color="auto"/>
            <w:right w:val="none" w:sz="0" w:space="0" w:color="auto"/>
          </w:divBdr>
        </w:div>
        <w:div w:id="1359621676">
          <w:marLeft w:val="960"/>
          <w:marRight w:val="0"/>
          <w:marTop w:val="0"/>
          <w:marBottom w:val="0"/>
          <w:divBdr>
            <w:top w:val="none" w:sz="0" w:space="0" w:color="auto"/>
            <w:left w:val="none" w:sz="0" w:space="0" w:color="auto"/>
            <w:bottom w:val="none" w:sz="0" w:space="0" w:color="auto"/>
            <w:right w:val="none" w:sz="0" w:space="0" w:color="auto"/>
          </w:divBdr>
        </w:div>
        <w:div w:id="1711883791">
          <w:marLeft w:val="960"/>
          <w:marRight w:val="0"/>
          <w:marTop w:val="0"/>
          <w:marBottom w:val="0"/>
          <w:divBdr>
            <w:top w:val="none" w:sz="0" w:space="0" w:color="auto"/>
            <w:left w:val="none" w:sz="0" w:space="0" w:color="auto"/>
            <w:bottom w:val="none" w:sz="0" w:space="0" w:color="auto"/>
            <w:right w:val="none" w:sz="0" w:space="0" w:color="auto"/>
          </w:divBdr>
        </w:div>
        <w:div w:id="1219320541">
          <w:marLeft w:val="960"/>
          <w:marRight w:val="0"/>
          <w:marTop w:val="0"/>
          <w:marBottom w:val="0"/>
          <w:divBdr>
            <w:top w:val="none" w:sz="0" w:space="0" w:color="auto"/>
            <w:left w:val="none" w:sz="0" w:space="0" w:color="auto"/>
            <w:bottom w:val="none" w:sz="0" w:space="0" w:color="auto"/>
            <w:right w:val="none" w:sz="0" w:space="0" w:color="auto"/>
          </w:divBdr>
        </w:div>
        <w:div w:id="62021739">
          <w:marLeft w:val="960"/>
          <w:marRight w:val="0"/>
          <w:marTop w:val="0"/>
          <w:marBottom w:val="0"/>
          <w:divBdr>
            <w:top w:val="none" w:sz="0" w:space="0" w:color="auto"/>
            <w:left w:val="none" w:sz="0" w:space="0" w:color="auto"/>
            <w:bottom w:val="none" w:sz="0" w:space="0" w:color="auto"/>
            <w:right w:val="none" w:sz="0" w:space="0" w:color="auto"/>
          </w:divBdr>
        </w:div>
        <w:div w:id="454756970">
          <w:marLeft w:val="960"/>
          <w:marRight w:val="0"/>
          <w:marTop w:val="0"/>
          <w:marBottom w:val="0"/>
          <w:divBdr>
            <w:top w:val="none" w:sz="0" w:space="0" w:color="auto"/>
            <w:left w:val="none" w:sz="0" w:space="0" w:color="auto"/>
            <w:bottom w:val="none" w:sz="0" w:space="0" w:color="auto"/>
            <w:right w:val="none" w:sz="0" w:space="0" w:color="auto"/>
          </w:divBdr>
        </w:div>
        <w:div w:id="549342193">
          <w:marLeft w:val="960"/>
          <w:marRight w:val="0"/>
          <w:marTop w:val="0"/>
          <w:marBottom w:val="0"/>
          <w:divBdr>
            <w:top w:val="none" w:sz="0" w:space="0" w:color="auto"/>
            <w:left w:val="none" w:sz="0" w:space="0" w:color="auto"/>
            <w:bottom w:val="none" w:sz="0" w:space="0" w:color="auto"/>
            <w:right w:val="none" w:sz="0" w:space="0" w:color="auto"/>
          </w:divBdr>
        </w:div>
        <w:div w:id="140587947">
          <w:marLeft w:val="960"/>
          <w:marRight w:val="0"/>
          <w:marTop w:val="0"/>
          <w:marBottom w:val="0"/>
          <w:divBdr>
            <w:top w:val="none" w:sz="0" w:space="0" w:color="auto"/>
            <w:left w:val="none" w:sz="0" w:space="0" w:color="auto"/>
            <w:bottom w:val="none" w:sz="0" w:space="0" w:color="auto"/>
            <w:right w:val="none" w:sz="0" w:space="0" w:color="auto"/>
          </w:divBdr>
        </w:div>
        <w:div w:id="1313678239">
          <w:marLeft w:val="960"/>
          <w:marRight w:val="0"/>
          <w:marTop w:val="0"/>
          <w:marBottom w:val="0"/>
          <w:divBdr>
            <w:top w:val="none" w:sz="0" w:space="0" w:color="auto"/>
            <w:left w:val="none" w:sz="0" w:space="0" w:color="auto"/>
            <w:bottom w:val="none" w:sz="0" w:space="0" w:color="auto"/>
            <w:right w:val="none" w:sz="0" w:space="0" w:color="auto"/>
          </w:divBdr>
        </w:div>
        <w:div w:id="599532107">
          <w:marLeft w:val="0"/>
          <w:marRight w:val="0"/>
          <w:marTop w:val="0"/>
          <w:marBottom w:val="0"/>
          <w:divBdr>
            <w:top w:val="none" w:sz="0" w:space="0" w:color="auto"/>
            <w:left w:val="none" w:sz="0" w:space="0" w:color="auto"/>
            <w:bottom w:val="none" w:sz="0" w:space="0" w:color="auto"/>
            <w:right w:val="none" w:sz="0" w:space="0" w:color="auto"/>
          </w:divBdr>
        </w:div>
        <w:div w:id="1828588829">
          <w:marLeft w:val="960"/>
          <w:marRight w:val="0"/>
          <w:marTop w:val="0"/>
          <w:marBottom w:val="0"/>
          <w:divBdr>
            <w:top w:val="none" w:sz="0" w:space="0" w:color="auto"/>
            <w:left w:val="none" w:sz="0" w:space="0" w:color="auto"/>
            <w:bottom w:val="none" w:sz="0" w:space="0" w:color="auto"/>
            <w:right w:val="none" w:sz="0" w:space="0" w:color="auto"/>
          </w:divBdr>
        </w:div>
        <w:div w:id="350110074">
          <w:marLeft w:val="960"/>
          <w:marRight w:val="0"/>
          <w:marTop w:val="0"/>
          <w:marBottom w:val="0"/>
          <w:divBdr>
            <w:top w:val="none" w:sz="0" w:space="0" w:color="auto"/>
            <w:left w:val="none" w:sz="0" w:space="0" w:color="auto"/>
            <w:bottom w:val="none" w:sz="0" w:space="0" w:color="auto"/>
            <w:right w:val="none" w:sz="0" w:space="0" w:color="auto"/>
          </w:divBdr>
        </w:div>
        <w:div w:id="17005639">
          <w:marLeft w:val="960"/>
          <w:marRight w:val="0"/>
          <w:marTop w:val="0"/>
          <w:marBottom w:val="0"/>
          <w:divBdr>
            <w:top w:val="none" w:sz="0" w:space="0" w:color="auto"/>
            <w:left w:val="none" w:sz="0" w:space="0" w:color="auto"/>
            <w:bottom w:val="none" w:sz="0" w:space="0" w:color="auto"/>
            <w:right w:val="none" w:sz="0" w:space="0" w:color="auto"/>
          </w:divBdr>
        </w:div>
        <w:div w:id="1274022571">
          <w:marLeft w:val="960"/>
          <w:marRight w:val="0"/>
          <w:marTop w:val="0"/>
          <w:marBottom w:val="0"/>
          <w:divBdr>
            <w:top w:val="none" w:sz="0" w:space="0" w:color="auto"/>
            <w:left w:val="none" w:sz="0" w:space="0" w:color="auto"/>
            <w:bottom w:val="none" w:sz="0" w:space="0" w:color="auto"/>
            <w:right w:val="none" w:sz="0" w:space="0" w:color="auto"/>
          </w:divBdr>
        </w:div>
        <w:div w:id="1431664523">
          <w:marLeft w:val="960"/>
          <w:marRight w:val="0"/>
          <w:marTop w:val="0"/>
          <w:marBottom w:val="0"/>
          <w:divBdr>
            <w:top w:val="none" w:sz="0" w:space="0" w:color="auto"/>
            <w:left w:val="none" w:sz="0" w:space="0" w:color="auto"/>
            <w:bottom w:val="none" w:sz="0" w:space="0" w:color="auto"/>
            <w:right w:val="none" w:sz="0" w:space="0" w:color="auto"/>
          </w:divBdr>
        </w:div>
        <w:div w:id="1192188244">
          <w:marLeft w:val="960"/>
          <w:marRight w:val="0"/>
          <w:marTop w:val="0"/>
          <w:marBottom w:val="0"/>
          <w:divBdr>
            <w:top w:val="none" w:sz="0" w:space="0" w:color="auto"/>
            <w:left w:val="none" w:sz="0" w:space="0" w:color="auto"/>
            <w:bottom w:val="none" w:sz="0" w:space="0" w:color="auto"/>
            <w:right w:val="none" w:sz="0" w:space="0" w:color="auto"/>
          </w:divBdr>
        </w:div>
        <w:div w:id="24453288">
          <w:marLeft w:val="960"/>
          <w:marRight w:val="0"/>
          <w:marTop w:val="0"/>
          <w:marBottom w:val="0"/>
          <w:divBdr>
            <w:top w:val="none" w:sz="0" w:space="0" w:color="auto"/>
            <w:left w:val="none" w:sz="0" w:space="0" w:color="auto"/>
            <w:bottom w:val="none" w:sz="0" w:space="0" w:color="auto"/>
            <w:right w:val="none" w:sz="0" w:space="0" w:color="auto"/>
          </w:divBdr>
        </w:div>
        <w:div w:id="1678917839">
          <w:marLeft w:val="960"/>
          <w:marRight w:val="0"/>
          <w:marTop w:val="0"/>
          <w:marBottom w:val="0"/>
          <w:divBdr>
            <w:top w:val="none" w:sz="0" w:space="0" w:color="auto"/>
            <w:left w:val="none" w:sz="0" w:space="0" w:color="auto"/>
            <w:bottom w:val="none" w:sz="0" w:space="0" w:color="auto"/>
            <w:right w:val="none" w:sz="0" w:space="0" w:color="auto"/>
          </w:divBdr>
        </w:div>
        <w:div w:id="1438062665">
          <w:marLeft w:val="960"/>
          <w:marRight w:val="0"/>
          <w:marTop w:val="0"/>
          <w:marBottom w:val="0"/>
          <w:divBdr>
            <w:top w:val="none" w:sz="0" w:space="0" w:color="auto"/>
            <w:left w:val="none" w:sz="0" w:space="0" w:color="auto"/>
            <w:bottom w:val="none" w:sz="0" w:space="0" w:color="auto"/>
            <w:right w:val="none" w:sz="0" w:space="0" w:color="auto"/>
          </w:divBdr>
        </w:div>
        <w:div w:id="875392469">
          <w:marLeft w:val="960"/>
          <w:marRight w:val="0"/>
          <w:marTop w:val="0"/>
          <w:marBottom w:val="0"/>
          <w:divBdr>
            <w:top w:val="none" w:sz="0" w:space="0" w:color="auto"/>
            <w:left w:val="none" w:sz="0" w:space="0" w:color="auto"/>
            <w:bottom w:val="none" w:sz="0" w:space="0" w:color="auto"/>
            <w:right w:val="none" w:sz="0" w:space="0" w:color="auto"/>
          </w:divBdr>
        </w:div>
        <w:div w:id="820929512">
          <w:marLeft w:val="960"/>
          <w:marRight w:val="0"/>
          <w:marTop w:val="0"/>
          <w:marBottom w:val="0"/>
          <w:divBdr>
            <w:top w:val="none" w:sz="0" w:space="0" w:color="auto"/>
            <w:left w:val="none" w:sz="0" w:space="0" w:color="auto"/>
            <w:bottom w:val="none" w:sz="0" w:space="0" w:color="auto"/>
            <w:right w:val="none" w:sz="0" w:space="0" w:color="auto"/>
          </w:divBdr>
        </w:div>
        <w:div w:id="1893731643">
          <w:marLeft w:val="960"/>
          <w:marRight w:val="0"/>
          <w:marTop w:val="0"/>
          <w:marBottom w:val="0"/>
          <w:divBdr>
            <w:top w:val="none" w:sz="0" w:space="0" w:color="auto"/>
            <w:left w:val="none" w:sz="0" w:space="0" w:color="auto"/>
            <w:bottom w:val="none" w:sz="0" w:space="0" w:color="auto"/>
            <w:right w:val="none" w:sz="0" w:space="0" w:color="auto"/>
          </w:divBdr>
        </w:div>
        <w:div w:id="345980560">
          <w:marLeft w:val="960"/>
          <w:marRight w:val="0"/>
          <w:marTop w:val="0"/>
          <w:marBottom w:val="0"/>
          <w:divBdr>
            <w:top w:val="none" w:sz="0" w:space="0" w:color="auto"/>
            <w:left w:val="none" w:sz="0" w:space="0" w:color="auto"/>
            <w:bottom w:val="none" w:sz="0" w:space="0" w:color="auto"/>
            <w:right w:val="none" w:sz="0" w:space="0" w:color="auto"/>
          </w:divBdr>
        </w:div>
        <w:div w:id="279725671">
          <w:marLeft w:val="0"/>
          <w:marRight w:val="0"/>
          <w:marTop w:val="0"/>
          <w:marBottom w:val="0"/>
          <w:divBdr>
            <w:top w:val="none" w:sz="0" w:space="0" w:color="auto"/>
            <w:left w:val="none" w:sz="0" w:space="0" w:color="auto"/>
            <w:bottom w:val="none" w:sz="0" w:space="0" w:color="auto"/>
            <w:right w:val="none" w:sz="0" w:space="0" w:color="auto"/>
          </w:divBdr>
          <w:divsChild>
            <w:div w:id="949822023">
              <w:marLeft w:val="0"/>
              <w:marRight w:val="0"/>
              <w:marTop w:val="120"/>
              <w:marBottom w:val="0"/>
              <w:divBdr>
                <w:top w:val="none" w:sz="0" w:space="0" w:color="auto"/>
                <w:left w:val="none" w:sz="0" w:space="0" w:color="auto"/>
                <w:bottom w:val="none" w:sz="0" w:space="0" w:color="auto"/>
                <w:right w:val="none" w:sz="0" w:space="0" w:color="auto"/>
              </w:divBdr>
            </w:div>
            <w:div w:id="1638755760">
              <w:marLeft w:val="0"/>
              <w:marRight w:val="0"/>
              <w:marTop w:val="0"/>
              <w:marBottom w:val="0"/>
              <w:divBdr>
                <w:top w:val="none" w:sz="0" w:space="0" w:color="auto"/>
                <w:left w:val="none" w:sz="0" w:space="0" w:color="auto"/>
                <w:bottom w:val="none" w:sz="0" w:space="0" w:color="auto"/>
                <w:right w:val="none" w:sz="0" w:space="0" w:color="auto"/>
              </w:divBdr>
              <w:divsChild>
                <w:div w:id="20986688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9969520">
          <w:marLeft w:val="0"/>
          <w:marRight w:val="0"/>
          <w:marTop w:val="0"/>
          <w:marBottom w:val="0"/>
          <w:divBdr>
            <w:top w:val="none" w:sz="0" w:space="0" w:color="auto"/>
            <w:left w:val="none" w:sz="0" w:space="0" w:color="auto"/>
            <w:bottom w:val="none" w:sz="0" w:space="0" w:color="auto"/>
            <w:right w:val="none" w:sz="0" w:space="0" w:color="auto"/>
          </w:divBdr>
          <w:divsChild>
            <w:div w:id="1888755019">
              <w:marLeft w:val="0"/>
              <w:marRight w:val="0"/>
              <w:marTop w:val="120"/>
              <w:marBottom w:val="0"/>
              <w:divBdr>
                <w:top w:val="none" w:sz="0" w:space="0" w:color="auto"/>
                <w:left w:val="none" w:sz="0" w:space="0" w:color="auto"/>
                <w:bottom w:val="none" w:sz="0" w:space="0" w:color="auto"/>
                <w:right w:val="none" w:sz="0" w:space="0" w:color="auto"/>
              </w:divBdr>
            </w:div>
            <w:div w:id="69545083">
              <w:marLeft w:val="0"/>
              <w:marRight w:val="0"/>
              <w:marTop w:val="0"/>
              <w:marBottom w:val="0"/>
              <w:divBdr>
                <w:top w:val="none" w:sz="0" w:space="0" w:color="auto"/>
                <w:left w:val="none" w:sz="0" w:space="0" w:color="auto"/>
                <w:bottom w:val="none" w:sz="0" w:space="0" w:color="auto"/>
                <w:right w:val="none" w:sz="0" w:space="0" w:color="auto"/>
              </w:divBdr>
              <w:divsChild>
                <w:div w:id="12187103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92373242">
          <w:marLeft w:val="0"/>
          <w:marRight w:val="0"/>
          <w:marTop w:val="0"/>
          <w:marBottom w:val="0"/>
          <w:divBdr>
            <w:top w:val="none" w:sz="0" w:space="0" w:color="auto"/>
            <w:left w:val="none" w:sz="0" w:space="0" w:color="auto"/>
            <w:bottom w:val="none" w:sz="0" w:space="0" w:color="auto"/>
            <w:right w:val="none" w:sz="0" w:space="0" w:color="auto"/>
          </w:divBdr>
          <w:divsChild>
            <w:div w:id="109786167">
              <w:marLeft w:val="0"/>
              <w:marRight w:val="0"/>
              <w:marTop w:val="120"/>
              <w:marBottom w:val="0"/>
              <w:divBdr>
                <w:top w:val="none" w:sz="0" w:space="0" w:color="auto"/>
                <w:left w:val="none" w:sz="0" w:space="0" w:color="auto"/>
                <w:bottom w:val="none" w:sz="0" w:space="0" w:color="auto"/>
                <w:right w:val="none" w:sz="0" w:space="0" w:color="auto"/>
              </w:divBdr>
            </w:div>
            <w:div w:id="263344257">
              <w:marLeft w:val="0"/>
              <w:marRight w:val="0"/>
              <w:marTop w:val="0"/>
              <w:marBottom w:val="0"/>
              <w:divBdr>
                <w:top w:val="none" w:sz="0" w:space="0" w:color="auto"/>
                <w:left w:val="none" w:sz="0" w:space="0" w:color="auto"/>
                <w:bottom w:val="none" w:sz="0" w:space="0" w:color="auto"/>
                <w:right w:val="none" w:sz="0" w:space="0" w:color="auto"/>
              </w:divBdr>
              <w:divsChild>
                <w:div w:id="805128157">
                  <w:marLeft w:val="0"/>
                  <w:marRight w:val="0"/>
                  <w:marTop w:val="120"/>
                  <w:marBottom w:val="0"/>
                  <w:divBdr>
                    <w:top w:val="none" w:sz="0" w:space="0" w:color="auto"/>
                    <w:left w:val="none" w:sz="0" w:space="0" w:color="auto"/>
                    <w:bottom w:val="none" w:sz="0" w:space="0" w:color="auto"/>
                    <w:right w:val="none" w:sz="0" w:space="0" w:color="auto"/>
                  </w:divBdr>
                </w:div>
                <w:div w:id="843862876">
                  <w:marLeft w:val="0"/>
                  <w:marRight w:val="0"/>
                  <w:marTop w:val="120"/>
                  <w:marBottom w:val="0"/>
                  <w:divBdr>
                    <w:top w:val="none" w:sz="0" w:space="0" w:color="auto"/>
                    <w:left w:val="none" w:sz="0" w:space="0" w:color="auto"/>
                    <w:bottom w:val="none" w:sz="0" w:space="0" w:color="auto"/>
                    <w:right w:val="none" w:sz="0" w:space="0" w:color="auto"/>
                  </w:divBdr>
                  <w:divsChild>
                    <w:div w:id="189295289">
                      <w:marLeft w:val="0"/>
                      <w:marRight w:val="0"/>
                      <w:marTop w:val="120"/>
                      <w:marBottom w:val="0"/>
                      <w:divBdr>
                        <w:top w:val="none" w:sz="0" w:space="0" w:color="auto"/>
                        <w:left w:val="none" w:sz="0" w:space="0" w:color="auto"/>
                        <w:bottom w:val="none" w:sz="0" w:space="0" w:color="auto"/>
                        <w:right w:val="none" w:sz="0" w:space="0" w:color="auto"/>
                      </w:divBdr>
                    </w:div>
                    <w:div w:id="13667152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40124275">
          <w:marLeft w:val="0"/>
          <w:marRight w:val="0"/>
          <w:marTop w:val="0"/>
          <w:marBottom w:val="0"/>
          <w:divBdr>
            <w:top w:val="none" w:sz="0" w:space="0" w:color="auto"/>
            <w:left w:val="none" w:sz="0" w:space="0" w:color="auto"/>
            <w:bottom w:val="none" w:sz="0" w:space="0" w:color="auto"/>
            <w:right w:val="none" w:sz="0" w:space="0" w:color="auto"/>
          </w:divBdr>
          <w:divsChild>
            <w:div w:id="2135168960">
              <w:marLeft w:val="0"/>
              <w:marRight w:val="0"/>
              <w:marTop w:val="120"/>
              <w:marBottom w:val="0"/>
              <w:divBdr>
                <w:top w:val="none" w:sz="0" w:space="0" w:color="auto"/>
                <w:left w:val="none" w:sz="0" w:space="0" w:color="auto"/>
                <w:bottom w:val="none" w:sz="0" w:space="0" w:color="auto"/>
                <w:right w:val="none" w:sz="0" w:space="0" w:color="auto"/>
              </w:divBdr>
            </w:div>
            <w:div w:id="1170364962">
              <w:marLeft w:val="0"/>
              <w:marRight w:val="0"/>
              <w:marTop w:val="0"/>
              <w:marBottom w:val="0"/>
              <w:divBdr>
                <w:top w:val="none" w:sz="0" w:space="0" w:color="auto"/>
                <w:left w:val="none" w:sz="0" w:space="0" w:color="auto"/>
                <w:bottom w:val="none" w:sz="0" w:space="0" w:color="auto"/>
                <w:right w:val="none" w:sz="0" w:space="0" w:color="auto"/>
              </w:divBdr>
              <w:divsChild>
                <w:div w:id="797532106">
                  <w:marLeft w:val="0"/>
                  <w:marRight w:val="0"/>
                  <w:marTop w:val="120"/>
                  <w:marBottom w:val="0"/>
                  <w:divBdr>
                    <w:top w:val="none" w:sz="0" w:space="0" w:color="auto"/>
                    <w:left w:val="none" w:sz="0" w:space="0" w:color="auto"/>
                    <w:bottom w:val="none" w:sz="0" w:space="0" w:color="auto"/>
                    <w:right w:val="none" w:sz="0" w:space="0" w:color="auto"/>
                  </w:divBdr>
                </w:div>
                <w:div w:id="1663313554">
                  <w:marLeft w:val="0"/>
                  <w:marRight w:val="0"/>
                  <w:marTop w:val="120"/>
                  <w:marBottom w:val="0"/>
                  <w:divBdr>
                    <w:top w:val="none" w:sz="0" w:space="0" w:color="auto"/>
                    <w:left w:val="none" w:sz="0" w:space="0" w:color="auto"/>
                    <w:bottom w:val="none" w:sz="0" w:space="0" w:color="auto"/>
                    <w:right w:val="none" w:sz="0" w:space="0" w:color="auto"/>
                  </w:divBdr>
                  <w:divsChild>
                    <w:div w:id="1732465265">
                      <w:marLeft w:val="0"/>
                      <w:marRight w:val="0"/>
                      <w:marTop w:val="120"/>
                      <w:marBottom w:val="0"/>
                      <w:divBdr>
                        <w:top w:val="none" w:sz="0" w:space="0" w:color="auto"/>
                        <w:left w:val="none" w:sz="0" w:space="0" w:color="auto"/>
                        <w:bottom w:val="none" w:sz="0" w:space="0" w:color="auto"/>
                        <w:right w:val="none" w:sz="0" w:space="0" w:color="auto"/>
                      </w:divBdr>
                    </w:div>
                    <w:div w:id="1195852249">
                      <w:marLeft w:val="0"/>
                      <w:marRight w:val="0"/>
                      <w:marTop w:val="120"/>
                      <w:marBottom w:val="0"/>
                      <w:divBdr>
                        <w:top w:val="none" w:sz="0" w:space="0" w:color="auto"/>
                        <w:left w:val="none" w:sz="0" w:space="0" w:color="auto"/>
                        <w:bottom w:val="none" w:sz="0" w:space="0" w:color="auto"/>
                        <w:right w:val="none" w:sz="0" w:space="0" w:color="auto"/>
                      </w:divBdr>
                    </w:div>
                    <w:div w:id="883566911">
                      <w:marLeft w:val="0"/>
                      <w:marRight w:val="0"/>
                      <w:marTop w:val="120"/>
                      <w:marBottom w:val="0"/>
                      <w:divBdr>
                        <w:top w:val="none" w:sz="0" w:space="0" w:color="auto"/>
                        <w:left w:val="none" w:sz="0" w:space="0" w:color="auto"/>
                        <w:bottom w:val="none" w:sz="0" w:space="0" w:color="auto"/>
                        <w:right w:val="none" w:sz="0" w:space="0" w:color="auto"/>
                      </w:divBdr>
                    </w:div>
                    <w:div w:id="18482471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0656461">
          <w:marLeft w:val="0"/>
          <w:marRight w:val="0"/>
          <w:marTop w:val="0"/>
          <w:marBottom w:val="0"/>
          <w:divBdr>
            <w:top w:val="none" w:sz="0" w:space="0" w:color="auto"/>
            <w:left w:val="none" w:sz="0" w:space="0" w:color="auto"/>
            <w:bottom w:val="none" w:sz="0" w:space="0" w:color="auto"/>
            <w:right w:val="none" w:sz="0" w:space="0" w:color="auto"/>
          </w:divBdr>
          <w:divsChild>
            <w:div w:id="1657562445">
              <w:marLeft w:val="0"/>
              <w:marRight w:val="0"/>
              <w:marTop w:val="120"/>
              <w:marBottom w:val="0"/>
              <w:divBdr>
                <w:top w:val="none" w:sz="0" w:space="0" w:color="auto"/>
                <w:left w:val="none" w:sz="0" w:space="0" w:color="auto"/>
                <w:bottom w:val="none" w:sz="0" w:space="0" w:color="auto"/>
                <w:right w:val="none" w:sz="0" w:space="0" w:color="auto"/>
              </w:divBdr>
            </w:div>
            <w:div w:id="1776632957">
              <w:marLeft w:val="0"/>
              <w:marRight w:val="0"/>
              <w:marTop w:val="0"/>
              <w:marBottom w:val="0"/>
              <w:divBdr>
                <w:top w:val="none" w:sz="0" w:space="0" w:color="auto"/>
                <w:left w:val="none" w:sz="0" w:space="0" w:color="auto"/>
                <w:bottom w:val="none" w:sz="0" w:space="0" w:color="auto"/>
                <w:right w:val="none" w:sz="0" w:space="0" w:color="auto"/>
              </w:divBdr>
              <w:divsChild>
                <w:div w:id="1449275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96576699">
          <w:marLeft w:val="0"/>
          <w:marRight w:val="0"/>
          <w:marTop w:val="0"/>
          <w:marBottom w:val="0"/>
          <w:divBdr>
            <w:top w:val="none" w:sz="0" w:space="0" w:color="auto"/>
            <w:left w:val="none" w:sz="0" w:space="0" w:color="auto"/>
            <w:bottom w:val="none" w:sz="0" w:space="0" w:color="auto"/>
            <w:right w:val="none" w:sz="0" w:space="0" w:color="auto"/>
          </w:divBdr>
          <w:divsChild>
            <w:div w:id="1446459771">
              <w:marLeft w:val="0"/>
              <w:marRight w:val="0"/>
              <w:marTop w:val="120"/>
              <w:marBottom w:val="0"/>
              <w:divBdr>
                <w:top w:val="none" w:sz="0" w:space="0" w:color="auto"/>
                <w:left w:val="none" w:sz="0" w:space="0" w:color="auto"/>
                <w:bottom w:val="none" w:sz="0" w:space="0" w:color="auto"/>
                <w:right w:val="none" w:sz="0" w:space="0" w:color="auto"/>
              </w:divBdr>
            </w:div>
            <w:div w:id="1516534332">
              <w:marLeft w:val="0"/>
              <w:marRight w:val="0"/>
              <w:marTop w:val="0"/>
              <w:marBottom w:val="0"/>
              <w:divBdr>
                <w:top w:val="none" w:sz="0" w:space="0" w:color="auto"/>
                <w:left w:val="none" w:sz="0" w:space="0" w:color="auto"/>
                <w:bottom w:val="none" w:sz="0" w:space="0" w:color="auto"/>
                <w:right w:val="none" w:sz="0" w:space="0" w:color="auto"/>
              </w:divBdr>
              <w:divsChild>
                <w:div w:id="11930327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08569006">
          <w:marLeft w:val="0"/>
          <w:marRight w:val="0"/>
          <w:marTop w:val="0"/>
          <w:marBottom w:val="0"/>
          <w:divBdr>
            <w:top w:val="none" w:sz="0" w:space="0" w:color="auto"/>
            <w:left w:val="none" w:sz="0" w:space="0" w:color="auto"/>
            <w:bottom w:val="none" w:sz="0" w:space="0" w:color="auto"/>
            <w:right w:val="none" w:sz="0" w:space="0" w:color="auto"/>
          </w:divBdr>
          <w:divsChild>
            <w:div w:id="452018729">
              <w:marLeft w:val="0"/>
              <w:marRight w:val="0"/>
              <w:marTop w:val="120"/>
              <w:marBottom w:val="0"/>
              <w:divBdr>
                <w:top w:val="none" w:sz="0" w:space="0" w:color="auto"/>
                <w:left w:val="none" w:sz="0" w:space="0" w:color="auto"/>
                <w:bottom w:val="none" w:sz="0" w:space="0" w:color="auto"/>
                <w:right w:val="none" w:sz="0" w:space="0" w:color="auto"/>
              </w:divBdr>
            </w:div>
            <w:div w:id="51511910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02386378">
          <w:marLeft w:val="0"/>
          <w:marRight w:val="0"/>
          <w:marTop w:val="0"/>
          <w:marBottom w:val="0"/>
          <w:divBdr>
            <w:top w:val="none" w:sz="0" w:space="0" w:color="auto"/>
            <w:left w:val="none" w:sz="0" w:space="0" w:color="auto"/>
            <w:bottom w:val="none" w:sz="0" w:space="0" w:color="auto"/>
            <w:right w:val="none" w:sz="0" w:space="0" w:color="auto"/>
          </w:divBdr>
          <w:divsChild>
            <w:div w:id="1106537414">
              <w:marLeft w:val="0"/>
              <w:marRight w:val="0"/>
              <w:marTop w:val="120"/>
              <w:marBottom w:val="0"/>
              <w:divBdr>
                <w:top w:val="none" w:sz="0" w:space="0" w:color="auto"/>
                <w:left w:val="none" w:sz="0" w:space="0" w:color="auto"/>
                <w:bottom w:val="none" w:sz="0" w:space="0" w:color="auto"/>
                <w:right w:val="none" w:sz="0" w:space="0" w:color="auto"/>
              </w:divBdr>
            </w:div>
            <w:div w:id="1834225850">
              <w:marLeft w:val="0"/>
              <w:marRight w:val="0"/>
              <w:marTop w:val="0"/>
              <w:marBottom w:val="0"/>
              <w:divBdr>
                <w:top w:val="none" w:sz="0" w:space="0" w:color="auto"/>
                <w:left w:val="none" w:sz="0" w:space="0" w:color="auto"/>
                <w:bottom w:val="none" w:sz="0" w:space="0" w:color="auto"/>
                <w:right w:val="none" w:sz="0" w:space="0" w:color="auto"/>
              </w:divBdr>
              <w:divsChild>
                <w:div w:id="10242851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13431310">
          <w:marLeft w:val="0"/>
          <w:marRight w:val="0"/>
          <w:marTop w:val="0"/>
          <w:marBottom w:val="0"/>
          <w:divBdr>
            <w:top w:val="none" w:sz="0" w:space="0" w:color="auto"/>
            <w:left w:val="none" w:sz="0" w:space="0" w:color="auto"/>
            <w:bottom w:val="none" w:sz="0" w:space="0" w:color="auto"/>
            <w:right w:val="none" w:sz="0" w:space="0" w:color="auto"/>
          </w:divBdr>
          <w:divsChild>
            <w:div w:id="24530122">
              <w:marLeft w:val="0"/>
              <w:marRight w:val="0"/>
              <w:marTop w:val="120"/>
              <w:marBottom w:val="0"/>
              <w:divBdr>
                <w:top w:val="none" w:sz="0" w:space="0" w:color="auto"/>
                <w:left w:val="none" w:sz="0" w:space="0" w:color="auto"/>
                <w:bottom w:val="none" w:sz="0" w:space="0" w:color="auto"/>
                <w:right w:val="none" w:sz="0" w:space="0" w:color="auto"/>
              </w:divBdr>
            </w:div>
            <w:div w:id="1038816912">
              <w:marLeft w:val="0"/>
              <w:marRight w:val="0"/>
              <w:marTop w:val="0"/>
              <w:marBottom w:val="0"/>
              <w:divBdr>
                <w:top w:val="none" w:sz="0" w:space="0" w:color="auto"/>
                <w:left w:val="none" w:sz="0" w:space="0" w:color="auto"/>
                <w:bottom w:val="none" w:sz="0" w:space="0" w:color="auto"/>
                <w:right w:val="none" w:sz="0" w:space="0" w:color="auto"/>
              </w:divBdr>
              <w:divsChild>
                <w:div w:id="19147307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7241343">
          <w:marLeft w:val="960"/>
          <w:marRight w:val="0"/>
          <w:marTop w:val="0"/>
          <w:marBottom w:val="0"/>
          <w:divBdr>
            <w:top w:val="none" w:sz="0" w:space="0" w:color="auto"/>
            <w:left w:val="none" w:sz="0" w:space="0" w:color="auto"/>
            <w:bottom w:val="none" w:sz="0" w:space="0" w:color="auto"/>
            <w:right w:val="none" w:sz="0" w:space="0" w:color="auto"/>
          </w:divBdr>
        </w:div>
        <w:div w:id="17589168">
          <w:marLeft w:val="960"/>
          <w:marRight w:val="0"/>
          <w:marTop w:val="0"/>
          <w:marBottom w:val="0"/>
          <w:divBdr>
            <w:top w:val="none" w:sz="0" w:space="0" w:color="auto"/>
            <w:left w:val="none" w:sz="0" w:space="0" w:color="auto"/>
            <w:bottom w:val="none" w:sz="0" w:space="0" w:color="auto"/>
            <w:right w:val="none" w:sz="0" w:space="0" w:color="auto"/>
          </w:divBdr>
        </w:div>
        <w:div w:id="246698448">
          <w:marLeft w:val="960"/>
          <w:marRight w:val="0"/>
          <w:marTop w:val="0"/>
          <w:marBottom w:val="0"/>
          <w:divBdr>
            <w:top w:val="none" w:sz="0" w:space="0" w:color="auto"/>
            <w:left w:val="none" w:sz="0" w:space="0" w:color="auto"/>
            <w:bottom w:val="none" w:sz="0" w:space="0" w:color="auto"/>
            <w:right w:val="none" w:sz="0" w:space="0" w:color="auto"/>
          </w:divBdr>
        </w:div>
        <w:div w:id="1168207342">
          <w:marLeft w:val="960"/>
          <w:marRight w:val="0"/>
          <w:marTop w:val="0"/>
          <w:marBottom w:val="0"/>
          <w:divBdr>
            <w:top w:val="none" w:sz="0" w:space="0" w:color="auto"/>
            <w:left w:val="none" w:sz="0" w:space="0" w:color="auto"/>
            <w:bottom w:val="none" w:sz="0" w:space="0" w:color="auto"/>
            <w:right w:val="none" w:sz="0" w:space="0" w:color="auto"/>
          </w:divBdr>
        </w:div>
        <w:div w:id="1791629126">
          <w:marLeft w:val="960"/>
          <w:marRight w:val="0"/>
          <w:marTop w:val="0"/>
          <w:marBottom w:val="0"/>
          <w:divBdr>
            <w:top w:val="none" w:sz="0" w:space="0" w:color="auto"/>
            <w:left w:val="none" w:sz="0" w:space="0" w:color="auto"/>
            <w:bottom w:val="none" w:sz="0" w:space="0" w:color="auto"/>
            <w:right w:val="none" w:sz="0" w:space="0" w:color="auto"/>
          </w:divBdr>
        </w:div>
        <w:div w:id="406928319">
          <w:marLeft w:val="960"/>
          <w:marRight w:val="0"/>
          <w:marTop w:val="0"/>
          <w:marBottom w:val="0"/>
          <w:divBdr>
            <w:top w:val="none" w:sz="0" w:space="0" w:color="auto"/>
            <w:left w:val="none" w:sz="0" w:space="0" w:color="auto"/>
            <w:bottom w:val="none" w:sz="0" w:space="0" w:color="auto"/>
            <w:right w:val="none" w:sz="0" w:space="0" w:color="auto"/>
          </w:divBdr>
        </w:div>
        <w:div w:id="1635215867">
          <w:marLeft w:val="960"/>
          <w:marRight w:val="0"/>
          <w:marTop w:val="0"/>
          <w:marBottom w:val="0"/>
          <w:divBdr>
            <w:top w:val="none" w:sz="0" w:space="0" w:color="auto"/>
            <w:left w:val="none" w:sz="0" w:space="0" w:color="auto"/>
            <w:bottom w:val="none" w:sz="0" w:space="0" w:color="auto"/>
            <w:right w:val="none" w:sz="0" w:space="0" w:color="auto"/>
          </w:divBdr>
        </w:div>
        <w:div w:id="1269199059">
          <w:marLeft w:val="0"/>
          <w:marRight w:val="0"/>
          <w:marTop w:val="0"/>
          <w:marBottom w:val="0"/>
          <w:divBdr>
            <w:top w:val="none" w:sz="0" w:space="0" w:color="auto"/>
            <w:left w:val="none" w:sz="0" w:space="0" w:color="auto"/>
            <w:bottom w:val="none" w:sz="0" w:space="0" w:color="auto"/>
            <w:right w:val="none" w:sz="0" w:space="0" w:color="auto"/>
          </w:divBdr>
          <w:divsChild>
            <w:div w:id="1568104221">
              <w:marLeft w:val="0"/>
              <w:marRight w:val="0"/>
              <w:marTop w:val="120"/>
              <w:marBottom w:val="0"/>
              <w:divBdr>
                <w:top w:val="none" w:sz="0" w:space="0" w:color="auto"/>
                <w:left w:val="none" w:sz="0" w:space="0" w:color="auto"/>
                <w:bottom w:val="none" w:sz="0" w:space="0" w:color="auto"/>
                <w:right w:val="none" w:sz="0" w:space="0" w:color="auto"/>
              </w:divBdr>
            </w:div>
            <w:div w:id="1878228869">
              <w:marLeft w:val="0"/>
              <w:marRight w:val="0"/>
              <w:marTop w:val="0"/>
              <w:marBottom w:val="0"/>
              <w:divBdr>
                <w:top w:val="none" w:sz="0" w:space="0" w:color="auto"/>
                <w:left w:val="none" w:sz="0" w:space="0" w:color="auto"/>
                <w:bottom w:val="none" w:sz="0" w:space="0" w:color="auto"/>
                <w:right w:val="none" w:sz="0" w:space="0" w:color="auto"/>
              </w:divBdr>
            </w:div>
          </w:divsChild>
        </w:div>
        <w:div w:id="1579943821">
          <w:marLeft w:val="0"/>
          <w:marRight w:val="0"/>
          <w:marTop w:val="0"/>
          <w:marBottom w:val="0"/>
          <w:divBdr>
            <w:top w:val="none" w:sz="0" w:space="0" w:color="auto"/>
            <w:left w:val="none" w:sz="0" w:space="0" w:color="auto"/>
            <w:bottom w:val="none" w:sz="0" w:space="0" w:color="auto"/>
            <w:right w:val="none" w:sz="0" w:space="0" w:color="auto"/>
          </w:divBdr>
          <w:divsChild>
            <w:div w:id="2025665054">
              <w:marLeft w:val="0"/>
              <w:marRight w:val="0"/>
              <w:marTop w:val="120"/>
              <w:marBottom w:val="0"/>
              <w:divBdr>
                <w:top w:val="none" w:sz="0" w:space="0" w:color="auto"/>
                <w:left w:val="none" w:sz="0" w:space="0" w:color="auto"/>
                <w:bottom w:val="none" w:sz="0" w:space="0" w:color="auto"/>
                <w:right w:val="none" w:sz="0" w:space="0" w:color="auto"/>
              </w:divBdr>
            </w:div>
            <w:div w:id="1387485209">
              <w:marLeft w:val="0"/>
              <w:marRight w:val="0"/>
              <w:marTop w:val="0"/>
              <w:marBottom w:val="0"/>
              <w:divBdr>
                <w:top w:val="none" w:sz="0" w:space="0" w:color="auto"/>
                <w:left w:val="none" w:sz="0" w:space="0" w:color="auto"/>
                <w:bottom w:val="none" w:sz="0" w:space="0" w:color="auto"/>
                <w:right w:val="none" w:sz="0" w:space="0" w:color="auto"/>
              </w:divBdr>
            </w:div>
          </w:divsChild>
        </w:div>
        <w:div w:id="542254587">
          <w:marLeft w:val="960"/>
          <w:marRight w:val="0"/>
          <w:marTop w:val="0"/>
          <w:marBottom w:val="0"/>
          <w:divBdr>
            <w:top w:val="none" w:sz="0" w:space="0" w:color="auto"/>
            <w:left w:val="none" w:sz="0" w:space="0" w:color="auto"/>
            <w:bottom w:val="none" w:sz="0" w:space="0" w:color="auto"/>
            <w:right w:val="none" w:sz="0" w:space="0" w:color="auto"/>
          </w:divBdr>
        </w:div>
        <w:div w:id="360667284">
          <w:marLeft w:val="960"/>
          <w:marRight w:val="0"/>
          <w:marTop w:val="0"/>
          <w:marBottom w:val="0"/>
          <w:divBdr>
            <w:top w:val="none" w:sz="0" w:space="0" w:color="auto"/>
            <w:left w:val="none" w:sz="0" w:space="0" w:color="auto"/>
            <w:bottom w:val="none" w:sz="0" w:space="0" w:color="auto"/>
            <w:right w:val="none" w:sz="0" w:space="0" w:color="auto"/>
          </w:divBdr>
        </w:div>
        <w:div w:id="1505584650">
          <w:marLeft w:val="960"/>
          <w:marRight w:val="0"/>
          <w:marTop w:val="0"/>
          <w:marBottom w:val="0"/>
          <w:divBdr>
            <w:top w:val="none" w:sz="0" w:space="0" w:color="auto"/>
            <w:left w:val="none" w:sz="0" w:space="0" w:color="auto"/>
            <w:bottom w:val="none" w:sz="0" w:space="0" w:color="auto"/>
            <w:right w:val="none" w:sz="0" w:space="0" w:color="auto"/>
          </w:divBdr>
        </w:div>
        <w:div w:id="954944320">
          <w:marLeft w:val="960"/>
          <w:marRight w:val="0"/>
          <w:marTop w:val="0"/>
          <w:marBottom w:val="0"/>
          <w:divBdr>
            <w:top w:val="none" w:sz="0" w:space="0" w:color="auto"/>
            <w:left w:val="none" w:sz="0" w:space="0" w:color="auto"/>
            <w:bottom w:val="none" w:sz="0" w:space="0" w:color="auto"/>
            <w:right w:val="none" w:sz="0" w:space="0" w:color="auto"/>
          </w:divBdr>
        </w:div>
        <w:div w:id="1836067005">
          <w:marLeft w:val="960"/>
          <w:marRight w:val="0"/>
          <w:marTop w:val="0"/>
          <w:marBottom w:val="0"/>
          <w:divBdr>
            <w:top w:val="none" w:sz="0" w:space="0" w:color="auto"/>
            <w:left w:val="none" w:sz="0" w:space="0" w:color="auto"/>
            <w:bottom w:val="none" w:sz="0" w:space="0" w:color="auto"/>
            <w:right w:val="none" w:sz="0" w:space="0" w:color="auto"/>
          </w:divBdr>
        </w:div>
        <w:div w:id="1583952858">
          <w:marLeft w:val="960"/>
          <w:marRight w:val="0"/>
          <w:marTop w:val="0"/>
          <w:marBottom w:val="0"/>
          <w:divBdr>
            <w:top w:val="none" w:sz="0" w:space="0" w:color="auto"/>
            <w:left w:val="none" w:sz="0" w:space="0" w:color="auto"/>
            <w:bottom w:val="none" w:sz="0" w:space="0" w:color="auto"/>
            <w:right w:val="none" w:sz="0" w:space="0" w:color="auto"/>
          </w:divBdr>
        </w:div>
        <w:div w:id="1434861633">
          <w:marLeft w:val="960"/>
          <w:marRight w:val="0"/>
          <w:marTop w:val="0"/>
          <w:marBottom w:val="0"/>
          <w:divBdr>
            <w:top w:val="none" w:sz="0" w:space="0" w:color="auto"/>
            <w:left w:val="none" w:sz="0" w:space="0" w:color="auto"/>
            <w:bottom w:val="none" w:sz="0" w:space="0" w:color="auto"/>
            <w:right w:val="none" w:sz="0" w:space="0" w:color="auto"/>
          </w:divBdr>
        </w:div>
        <w:div w:id="633021159">
          <w:marLeft w:val="960"/>
          <w:marRight w:val="0"/>
          <w:marTop w:val="0"/>
          <w:marBottom w:val="0"/>
          <w:divBdr>
            <w:top w:val="none" w:sz="0" w:space="0" w:color="auto"/>
            <w:left w:val="none" w:sz="0" w:space="0" w:color="auto"/>
            <w:bottom w:val="none" w:sz="0" w:space="0" w:color="auto"/>
            <w:right w:val="none" w:sz="0" w:space="0" w:color="auto"/>
          </w:divBdr>
        </w:div>
        <w:div w:id="2077891406">
          <w:marLeft w:val="960"/>
          <w:marRight w:val="0"/>
          <w:marTop w:val="0"/>
          <w:marBottom w:val="0"/>
          <w:divBdr>
            <w:top w:val="none" w:sz="0" w:space="0" w:color="auto"/>
            <w:left w:val="none" w:sz="0" w:space="0" w:color="auto"/>
            <w:bottom w:val="none" w:sz="0" w:space="0" w:color="auto"/>
            <w:right w:val="none" w:sz="0" w:space="0" w:color="auto"/>
          </w:divBdr>
        </w:div>
        <w:div w:id="501162153">
          <w:marLeft w:val="960"/>
          <w:marRight w:val="0"/>
          <w:marTop w:val="0"/>
          <w:marBottom w:val="0"/>
          <w:divBdr>
            <w:top w:val="none" w:sz="0" w:space="0" w:color="auto"/>
            <w:left w:val="none" w:sz="0" w:space="0" w:color="auto"/>
            <w:bottom w:val="none" w:sz="0" w:space="0" w:color="auto"/>
            <w:right w:val="none" w:sz="0" w:space="0" w:color="auto"/>
          </w:divBdr>
        </w:div>
        <w:div w:id="70738850">
          <w:marLeft w:val="960"/>
          <w:marRight w:val="0"/>
          <w:marTop w:val="0"/>
          <w:marBottom w:val="0"/>
          <w:divBdr>
            <w:top w:val="none" w:sz="0" w:space="0" w:color="auto"/>
            <w:left w:val="none" w:sz="0" w:space="0" w:color="auto"/>
            <w:bottom w:val="none" w:sz="0" w:space="0" w:color="auto"/>
            <w:right w:val="none" w:sz="0" w:space="0" w:color="auto"/>
          </w:divBdr>
        </w:div>
        <w:div w:id="1638029288">
          <w:marLeft w:val="960"/>
          <w:marRight w:val="0"/>
          <w:marTop w:val="0"/>
          <w:marBottom w:val="0"/>
          <w:divBdr>
            <w:top w:val="none" w:sz="0" w:space="0" w:color="auto"/>
            <w:left w:val="none" w:sz="0" w:space="0" w:color="auto"/>
            <w:bottom w:val="none" w:sz="0" w:space="0" w:color="auto"/>
            <w:right w:val="none" w:sz="0" w:space="0" w:color="auto"/>
          </w:divBdr>
        </w:div>
        <w:div w:id="193621780">
          <w:marLeft w:val="960"/>
          <w:marRight w:val="0"/>
          <w:marTop w:val="0"/>
          <w:marBottom w:val="0"/>
          <w:divBdr>
            <w:top w:val="none" w:sz="0" w:space="0" w:color="auto"/>
            <w:left w:val="none" w:sz="0" w:space="0" w:color="auto"/>
            <w:bottom w:val="none" w:sz="0" w:space="0" w:color="auto"/>
            <w:right w:val="none" w:sz="0" w:space="0" w:color="auto"/>
          </w:divBdr>
        </w:div>
        <w:div w:id="74977980">
          <w:marLeft w:val="960"/>
          <w:marRight w:val="0"/>
          <w:marTop w:val="0"/>
          <w:marBottom w:val="0"/>
          <w:divBdr>
            <w:top w:val="none" w:sz="0" w:space="0" w:color="auto"/>
            <w:left w:val="none" w:sz="0" w:space="0" w:color="auto"/>
            <w:bottom w:val="none" w:sz="0" w:space="0" w:color="auto"/>
            <w:right w:val="none" w:sz="0" w:space="0" w:color="auto"/>
          </w:divBdr>
        </w:div>
        <w:div w:id="1219903838">
          <w:marLeft w:val="960"/>
          <w:marRight w:val="0"/>
          <w:marTop w:val="0"/>
          <w:marBottom w:val="0"/>
          <w:divBdr>
            <w:top w:val="none" w:sz="0" w:space="0" w:color="auto"/>
            <w:left w:val="none" w:sz="0" w:space="0" w:color="auto"/>
            <w:bottom w:val="none" w:sz="0" w:space="0" w:color="auto"/>
            <w:right w:val="none" w:sz="0" w:space="0" w:color="auto"/>
          </w:divBdr>
        </w:div>
        <w:div w:id="1238007553">
          <w:marLeft w:val="960"/>
          <w:marRight w:val="0"/>
          <w:marTop w:val="0"/>
          <w:marBottom w:val="0"/>
          <w:divBdr>
            <w:top w:val="none" w:sz="0" w:space="0" w:color="auto"/>
            <w:left w:val="none" w:sz="0" w:space="0" w:color="auto"/>
            <w:bottom w:val="none" w:sz="0" w:space="0" w:color="auto"/>
            <w:right w:val="none" w:sz="0" w:space="0" w:color="auto"/>
          </w:divBdr>
        </w:div>
        <w:div w:id="1997420635">
          <w:marLeft w:val="960"/>
          <w:marRight w:val="0"/>
          <w:marTop w:val="0"/>
          <w:marBottom w:val="0"/>
          <w:divBdr>
            <w:top w:val="none" w:sz="0" w:space="0" w:color="auto"/>
            <w:left w:val="none" w:sz="0" w:space="0" w:color="auto"/>
            <w:bottom w:val="none" w:sz="0" w:space="0" w:color="auto"/>
            <w:right w:val="none" w:sz="0" w:space="0" w:color="auto"/>
          </w:divBdr>
        </w:div>
        <w:div w:id="367488944">
          <w:marLeft w:val="960"/>
          <w:marRight w:val="0"/>
          <w:marTop w:val="0"/>
          <w:marBottom w:val="0"/>
          <w:divBdr>
            <w:top w:val="none" w:sz="0" w:space="0" w:color="auto"/>
            <w:left w:val="none" w:sz="0" w:space="0" w:color="auto"/>
            <w:bottom w:val="none" w:sz="0" w:space="0" w:color="auto"/>
            <w:right w:val="none" w:sz="0" w:space="0" w:color="auto"/>
          </w:divBdr>
        </w:div>
        <w:div w:id="1703165936">
          <w:marLeft w:val="960"/>
          <w:marRight w:val="0"/>
          <w:marTop w:val="0"/>
          <w:marBottom w:val="0"/>
          <w:divBdr>
            <w:top w:val="none" w:sz="0" w:space="0" w:color="auto"/>
            <w:left w:val="none" w:sz="0" w:space="0" w:color="auto"/>
            <w:bottom w:val="none" w:sz="0" w:space="0" w:color="auto"/>
            <w:right w:val="none" w:sz="0" w:space="0" w:color="auto"/>
          </w:divBdr>
        </w:div>
        <w:div w:id="2106343648">
          <w:marLeft w:val="960"/>
          <w:marRight w:val="0"/>
          <w:marTop w:val="0"/>
          <w:marBottom w:val="0"/>
          <w:divBdr>
            <w:top w:val="none" w:sz="0" w:space="0" w:color="auto"/>
            <w:left w:val="none" w:sz="0" w:space="0" w:color="auto"/>
            <w:bottom w:val="none" w:sz="0" w:space="0" w:color="auto"/>
            <w:right w:val="none" w:sz="0" w:space="0" w:color="auto"/>
          </w:divBdr>
        </w:div>
        <w:div w:id="1708336457">
          <w:marLeft w:val="960"/>
          <w:marRight w:val="0"/>
          <w:marTop w:val="0"/>
          <w:marBottom w:val="0"/>
          <w:divBdr>
            <w:top w:val="none" w:sz="0" w:space="0" w:color="auto"/>
            <w:left w:val="none" w:sz="0" w:space="0" w:color="auto"/>
            <w:bottom w:val="none" w:sz="0" w:space="0" w:color="auto"/>
            <w:right w:val="none" w:sz="0" w:space="0" w:color="auto"/>
          </w:divBdr>
        </w:div>
        <w:div w:id="2031491855">
          <w:marLeft w:val="960"/>
          <w:marRight w:val="0"/>
          <w:marTop w:val="0"/>
          <w:marBottom w:val="0"/>
          <w:divBdr>
            <w:top w:val="none" w:sz="0" w:space="0" w:color="auto"/>
            <w:left w:val="none" w:sz="0" w:space="0" w:color="auto"/>
            <w:bottom w:val="none" w:sz="0" w:space="0" w:color="auto"/>
            <w:right w:val="none" w:sz="0" w:space="0" w:color="auto"/>
          </w:divBdr>
        </w:div>
        <w:div w:id="770590234">
          <w:marLeft w:val="960"/>
          <w:marRight w:val="0"/>
          <w:marTop w:val="0"/>
          <w:marBottom w:val="0"/>
          <w:divBdr>
            <w:top w:val="none" w:sz="0" w:space="0" w:color="auto"/>
            <w:left w:val="none" w:sz="0" w:space="0" w:color="auto"/>
            <w:bottom w:val="none" w:sz="0" w:space="0" w:color="auto"/>
            <w:right w:val="none" w:sz="0" w:space="0" w:color="auto"/>
          </w:divBdr>
        </w:div>
        <w:div w:id="1887838292">
          <w:marLeft w:val="960"/>
          <w:marRight w:val="0"/>
          <w:marTop w:val="0"/>
          <w:marBottom w:val="0"/>
          <w:divBdr>
            <w:top w:val="none" w:sz="0" w:space="0" w:color="auto"/>
            <w:left w:val="none" w:sz="0" w:space="0" w:color="auto"/>
            <w:bottom w:val="none" w:sz="0" w:space="0" w:color="auto"/>
            <w:right w:val="none" w:sz="0" w:space="0" w:color="auto"/>
          </w:divBdr>
        </w:div>
        <w:div w:id="1474565965">
          <w:marLeft w:val="960"/>
          <w:marRight w:val="0"/>
          <w:marTop w:val="0"/>
          <w:marBottom w:val="0"/>
          <w:divBdr>
            <w:top w:val="none" w:sz="0" w:space="0" w:color="auto"/>
            <w:left w:val="none" w:sz="0" w:space="0" w:color="auto"/>
            <w:bottom w:val="none" w:sz="0" w:space="0" w:color="auto"/>
            <w:right w:val="none" w:sz="0" w:space="0" w:color="auto"/>
          </w:divBdr>
        </w:div>
        <w:div w:id="2004964188">
          <w:marLeft w:val="960"/>
          <w:marRight w:val="0"/>
          <w:marTop w:val="0"/>
          <w:marBottom w:val="0"/>
          <w:divBdr>
            <w:top w:val="none" w:sz="0" w:space="0" w:color="auto"/>
            <w:left w:val="none" w:sz="0" w:space="0" w:color="auto"/>
            <w:bottom w:val="none" w:sz="0" w:space="0" w:color="auto"/>
            <w:right w:val="none" w:sz="0" w:space="0" w:color="auto"/>
          </w:divBdr>
        </w:div>
        <w:div w:id="153255342">
          <w:marLeft w:val="960"/>
          <w:marRight w:val="0"/>
          <w:marTop w:val="0"/>
          <w:marBottom w:val="0"/>
          <w:divBdr>
            <w:top w:val="none" w:sz="0" w:space="0" w:color="auto"/>
            <w:left w:val="none" w:sz="0" w:space="0" w:color="auto"/>
            <w:bottom w:val="none" w:sz="0" w:space="0" w:color="auto"/>
            <w:right w:val="none" w:sz="0" w:space="0" w:color="auto"/>
          </w:divBdr>
        </w:div>
        <w:div w:id="870724036">
          <w:marLeft w:val="960"/>
          <w:marRight w:val="0"/>
          <w:marTop w:val="0"/>
          <w:marBottom w:val="0"/>
          <w:divBdr>
            <w:top w:val="none" w:sz="0" w:space="0" w:color="auto"/>
            <w:left w:val="none" w:sz="0" w:space="0" w:color="auto"/>
            <w:bottom w:val="none" w:sz="0" w:space="0" w:color="auto"/>
            <w:right w:val="none" w:sz="0" w:space="0" w:color="auto"/>
          </w:divBdr>
        </w:div>
        <w:div w:id="876549089">
          <w:marLeft w:val="960"/>
          <w:marRight w:val="0"/>
          <w:marTop w:val="0"/>
          <w:marBottom w:val="0"/>
          <w:divBdr>
            <w:top w:val="none" w:sz="0" w:space="0" w:color="auto"/>
            <w:left w:val="none" w:sz="0" w:space="0" w:color="auto"/>
            <w:bottom w:val="none" w:sz="0" w:space="0" w:color="auto"/>
            <w:right w:val="none" w:sz="0" w:space="0" w:color="auto"/>
          </w:divBdr>
        </w:div>
        <w:div w:id="1010719877">
          <w:marLeft w:val="960"/>
          <w:marRight w:val="0"/>
          <w:marTop w:val="0"/>
          <w:marBottom w:val="0"/>
          <w:divBdr>
            <w:top w:val="none" w:sz="0" w:space="0" w:color="auto"/>
            <w:left w:val="none" w:sz="0" w:space="0" w:color="auto"/>
            <w:bottom w:val="none" w:sz="0" w:space="0" w:color="auto"/>
            <w:right w:val="none" w:sz="0" w:space="0" w:color="auto"/>
          </w:divBdr>
        </w:div>
        <w:div w:id="1892229813">
          <w:marLeft w:val="720"/>
          <w:marRight w:val="0"/>
          <w:marTop w:val="0"/>
          <w:marBottom w:val="0"/>
          <w:divBdr>
            <w:top w:val="none" w:sz="0" w:space="0" w:color="auto"/>
            <w:left w:val="none" w:sz="0" w:space="0" w:color="auto"/>
            <w:bottom w:val="none" w:sz="0" w:space="0" w:color="auto"/>
            <w:right w:val="none" w:sz="0" w:space="0" w:color="auto"/>
          </w:divBdr>
        </w:div>
        <w:div w:id="48069518">
          <w:marLeft w:val="720"/>
          <w:marRight w:val="0"/>
          <w:marTop w:val="0"/>
          <w:marBottom w:val="0"/>
          <w:divBdr>
            <w:top w:val="none" w:sz="0" w:space="0" w:color="auto"/>
            <w:left w:val="none" w:sz="0" w:space="0" w:color="auto"/>
            <w:bottom w:val="none" w:sz="0" w:space="0" w:color="auto"/>
            <w:right w:val="none" w:sz="0" w:space="0" w:color="auto"/>
          </w:divBdr>
        </w:div>
        <w:div w:id="450055054">
          <w:marLeft w:val="720"/>
          <w:marRight w:val="0"/>
          <w:marTop w:val="0"/>
          <w:marBottom w:val="0"/>
          <w:divBdr>
            <w:top w:val="none" w:sz="0" w:space="0" w:color="auto"/>
            <w:left w:val="none" w:sz="0" w:space="0" w:color="auto"/>
            <w:bottom w:val="none" w:sz="0" w:space="0" w:color="auto"/>
            <w:right w:val="none" w:sz="0" w:space="0" w:color="auto"/>
          </w:divBdr>
        </w:div>
        <w:div w:id="201938532">
          <w:marLeft w:val="0"/>
          <w:marRight w:val="0"/>
          <w:marTop w:val="0"/>
          <w:marBottom w:val="0"/>
          <w:divBdr>
            <w:top w:val="none" w:sz="0" w:space="0" w:color="auto"/>
            <w:left w:val="none" w:sz="0" w:space="0" w:color="auto"/>
            <w:bottom w:val="none" w:sz="0" w:space="0" w:color="auto"/>
            <w:right w:val="none" w:sz="0" w:space="0" w:color="auto"/>
          </w:divBdr>
          <w:divsChild>
            <w:div w:id="550650384">
              <w:marLeft w:val="0"/>
              <w:marRight w:val="0"/>
              <w:marTop w:val="120"/>
              <w:marBottom w:val="0"/>
              <w:divBdr>
                <w:top w:val="none" w:sz="0" w:space="0" w:color="auto"/>
                <w:left w:val="none" w:sz="0" w:space="0" w:color="auto"/>
                <w:bottom w:val="none" w:sz="0" w:space="0" w:color="auto"/>
                <w:right w:val="none" w:sz="0" w:space="0" w:color="auto"/>
              </w:divBdr>
            </w:div>
            <w:div w:id="1938050350">
              <w:marLeft w:val="0"/>
              <w:marRight w:val="0"/>
              <w:marTop w:val="0"/>
              <w:marBottom w:val="0"/>
              <w:divBdr>
                <w:top w:val="none" w:sz="0" w:space="0" w:color="auto"/>
                <w:left w:val="none" w:sz="0" w:space="0" w:color="auto"/>
                <w:bottom w:val="none" w:sz="0" w:space="0" w:color="auto"/>
                <w:right w:val="none" w:sz="0" w:space="0" w:color="auto"/>
              </w:divBdr>
            </w:div>
          </w:divsChild>
        </w:div>
        <w:div w:id="88355482">
          <w:marLeft w:val="0"/>
          <w:marRight w:val="0"/>
          <w:marTop w:val="0"/>
          <w:marBottom w:val="0"/>
          <w:divBdr>
            <w:top w:val="none" w:sz="0" w:space="0" w:color="auto"/>
            <w:left w:val="none" w:sz="0" w:space="0" w:color="auto"/>
            <w:bottom w:val="none" w:sz="0" w:space="0" w:color="auto"/>
            <w:right w:val="none" w:sz="0" w:space="0" w:color="auto"/>
          </w:divBdr>
          <w:divsChild>
            <w:div w:id="1290087332">
              <w:marLeft w:val="0"/>
              <w:marRight w:val="0"/>
              <w:marTop w:val="120"/>
              <w:marBottom w:val="0"/>
              <w:divBdr>
                <w:top w:val="none" w:sz="0" w:space="0" w:color="auto"/>
                <w:left w:val="none" w:sz="0" w:space="0" w:color="auto"/>
                <w:bottom w:val="none" w:sz="0" w:space="0" w:color="auto"/>
                <w:right w:val="none" w:sz="0" w:space="0" w:color="auto"/>
              </w:divBdr>
            </w:div>
            <w:div w:id="1387338971">
              <w:marLeft w:val="0"/>
              <w:marRight w:val="0"/>
              <w:marTop w:val="0"/>
              <w:marBottom w:val="0"/>
              <w:divBdr>
                <w:top w:val="none" w:sz="0" w:space="0" w:color="auto"/>
                <w:left w:val="none" w:sz="0" w:space="0" w:color="auto"/>
                <w:bottom w:val="none" w:sz="0" w:space="0" w:color="auto"/>
                <w:right w:val="none" w:sz="0" w:space="0" w:color="auto"/>
              </w:divBdr>
            </w:div>
          </w:divsChild>
        </w:div>
        <w:div w:id="1295285672">
          <w:marLeft w:val="0"/>
          <w:marRight w:val="0"/>
          <w:marTop w:val="0"/>
          <w:marBottom w:val="0"/>
          <w:divBdr>
            <w:top w:val="none" w:sz="0" w:space="0" w:color="auto"/>
            <w:left w:val="none" w:sz="0" w:space="0" w:color="auto"/>
            <w:bottom w:val="none" w:sz="0" w:space="0" w:color="auto"/>
            <w:right w:val="none" w:sz="0" w:space="0" w:color="auto"/>
          </w:divBdr>
          <w:divsChild>
            <w:div w:id="1176923752">
              <w:marLeft w:val="0"/>
              <w:marRight w:val="0"/>
              <w:marTop w:val="120"/>
              <w:marBottom w:val="0"/>
              <w:divBdr>
                <w:top w:val="none" w:sz="0" w:space="0" w:color="auto"/>
                <w:left w:val="none" w:sz="0" w:space="0" w:color="auto"/>
                <w:bottom w:val="none" w:sz="0" w:space="0" w:color="auto"/>
                <w:right w:val="none" w:sz="0" w:space="0" w:color="auto"/>
              </w:divBdr>
            </w:div>
            <w:div w:id="1115438737">
              <w:marLeft w:val="0"/>
              <w:marRight w:val="0"/>
              <w:marTop w:val="0"/>
              <w:marBottom w:val="0"/>
              <w:divBdr>
                <w:top w:val="none" w:sz="0" w:space="0" w:color="auto"/>
                <w:left w:val="none" w:sz="0" w:space="0" w:color="auto"/>
                <w:bottom w:val="none" w:sz="0" w:space="0" w:color="auto"/>
                <w:right w:val="none" w:sz="0" w:space="0" w:color="auto"/>
              </w:divBdr>
            </w:div>
          </w:divsChild>
        </w:div>
        <w:div w:id="1374618717">
          <w:marLeft w:val="720"/>
          <w:marRight w:val="0"/>
          <w:marTop w:val="0"/>
          <w:marBottom w:val="0"/>
          <w:divBdr>
            <w:top w:val="none" w:sz="0" w:space="0" w:color="auto"/>
            <w:left w:val="none" w:sz="0" w:space="0" w:color="auto"/>
            <w:bottom w:val="none" w:sz="0" w:space="0" w:color="auto"/>
            <w:right w:val="none" w:sz="0" w:space="0" w:color="auto"/>
          </w:divBdr>
        </w:div>
        <w:div w:id="1588154387">
          <w:marLeft w:val="720"/>
          <w:marRight w:val="0"/>
          <w:marTop w:val="0"/>
          <w:marBottom w:val="0"/>
          <w:divBdr>
            <w:top w:val="none" w:sz="0" w:space="0" w:color="auto"/>
            <w:left w:val="none" w:sz="0" w:space="0" w:color="auto"/>
            <w:bottom w:val="none" w:sz="0" w:space="0" w:color="auto"/>
            <w:right w:val="none" w:sz="0" w:space="0" w:color="auto"/>
          </w:divBdr>
        </w:div>
        <w:div w:id="438573634">
          <w:marLeft w:val="720"/>
          <w:marRight w:val="0"/>
          <w:marTop w:val="0"/>
          <w:marBottom w:val="0"/>
          <w:divBdr>
            <w:top w:val="none" w:sz="0" w:space="0" w:color="auto"/>
            <w:left w:val="none" w:sz="0" w:space="0" w:color="auto"/>
            <w:bottom w:val="none" w:sz="0" w:space="0" w:color="auto"/>
            <w:right w:val="none" w:sz="0" w:space="0" w:color="auto"/>
          </w:divBdr>
        </w:div>
        <w:div w:id="1593195565">
          <w:marLeft w:val="720"/>
          <w:marRight w:val="0"/>
          <w:marTop w:val="0"/>
          <w:marBottom w:val="0"/>
          <w:divBdr>
            <w:top w:val="none" w:sz="0" w:space="0" w:color="auto"/>
            <w:left w:val="none" w:sz="0" w:space="0" w:color="auto"/>
            <w:bottom w:val="none" w:sz="0" w:space="0" w:color="auto"/>
            <w:right w:val="none" w:sz="0" w:space="0" w:color="auto"/>
          </w:divBdr>
        </w:div>
        <w:div w:id="922495443">
          <w:marLeft w:val="0"/>
          <w:marRight w:val="0"/>
          <w:marTop w:val="0"/>
          <w:marBottom w:val="0"/>
          <w:divBdr>
            <w:top w:val="none" w:sz="0" w:space="0" w:color="auto"/>
            <w:left w:val="none" w:sz="0" w:space="0" w:color="auto"/>
            <w:bottom w:val="none" w:sz="0" w:space="0" w:color="auto"/>
            <w:right w:val="none" w:sz="0" w:space="0" w:color="auto"/>
          </w:divBdr>
          <w:divsChild>
            <w:div w:id="709381627">
              <w:marLeft w:val="0"/>
              <w:marRight w:val="0"/>
              <w:marTop w:val="120"/>
              <w:marBottom w:val="0"/>
              <w:divBdr>
                <w:top w:val="none" w:sz="0" w:space="0" w:color="auto"/>
                <w:left w:val="none" w:sz="0" w:space="0" w:color="auto"/>
                <w:bottom w:val="none" w:sz="0" w:space="0" w:color="auto"/>
                <w:right w:val="none" w:sz="0" w:space="0" w:color="auto"/>
              </w:divBdr>
            </w:div>
            <w:div w:id="986398045">
              <w:marLeft w:val="0"/>
              <w:marRight w:val="0"/>
              <w:marTop w:val="0"/>
              <w:marBottom w:val="0"/>
              <w:divBdr>
                <w:top w:val="none" w:sz="0" w:space="0" w:color="auto"/>
                <w:left w:val="none" w:sz="0" w:space="0" w:color="auto"/>
                <w:bottom w:val="none" w:sz="0" w:space="0" w:color="auto"/>
                <w:right w:val="none" w:sz="0" w:space="0" w:color="auto"/>
              </w:divBdr>
            </w:div>
          </w:divsChild>
        </w:div>
        <w:div w:id="2037146736">
          <w:marLeft w:val="0"/>
          <w:marRight w:val="0"/>
          <w:marTop w:val="0"/>
          <w:marBottom w:val="0"/>
          <w:divBdr>
            <w:top w:val="none" w:sz="0" w:space="0" w:color="auto"/>
            <w:left w:val="none" w:sz="0" w:space="0" w:color="auto"/>
            <w:bottom w:val="none" w:sz="0" w:space="0" w:color="auto"/>
            <w:right w:val="none" w:sz="0" w:space="0" w:color="auto"/>
          </w:divBdr>
          <w:divsChild>
            <w:div w:id="386956730">
              <w:marLeft w:val="0"/>
              <w:marRight w:val="0"/>
              <w:marTop w:val="120"/>
              <w:marBottom w:val="0"/>
              <w:divBdr>
                <w:top w:val="none" w:sz="0" w:space="0" w:color="auto"/>
                <w:left w:val="none" w:sz="0" w:space="0" w:color="auto"/>
                <w:bottom w:val="none" w:sz="0" w:space="0" w:color="auto"/>
                <w:right w:val="none" w:sz="0" w:space="0" w:color="auto"/>
              </w:divBdr>
            </w:div>
            <w:div w:id="1839349344">
              <w:marLeft w:val="0"/>
              <w:marRight w:val="0"/>
              <w:marTop w:val="0"/>
              <w:marBottom w:val="0"/>
              <w:divBdr>
                <w:top w:val="none" w:sz="0" w:space="0" w:color="auto"/>
                <w:left w:val="none" w:sz="0" w:space="0" w:color="auto"/>
                <w:bottom w:val="none" w:sz="0" w:space="0" w:color="auto"/>
                <w:right w:val="none" w:sz="0" w:space="0" w:color="auto"/>
              </w:divBdr>
            </w:div>
          </w:divsChild>
        </w:div>
        <w:div w:id="2080639112">
          <w:marLeft w:val="0"/>
          <w:marRight w:val="0"/>
          <w:marTop w:val="0"/>
          <w:marBottom w:val="0"/>
          <w:divBdr>
            <w:top w:val="none" w:sz="0" w:space="0" w:color="auto"/>
            <w:left w:val="none" w:sz="0" w:space="0" w:color="auto"/>
            <w:bottom w:val="none" w:sz="0" w:space="0" w:color="auto"/>
            <w:right w:val="none" w:sz="0" w:space="0" w:color="auto"/>
          </w:divBdr>
          <w:divsChild>
            <w:div w:id="1348747716">
              <w:marLeft w:val="0"/>
              <w:marRight w:val="0"/>
              <w:marTop w:val="120"/>
              <w:marBottom w:val="0"/>
              <w:divBdr>
                <w:top w:val="none" w:sz="0" w:space="0" w:color="auto"/>
                <w:left w:val="none" w:sz="0" w:space="0" w:color="auto"/>
                <w:bottom w:val="none" w:sz="0" w:space="0" w:color="auto"/>
                <w:right w:val="none" w:sz="0" w:space="0" w:color="auto"/>
              </w:divBdr>
            </w:div>
            <w:div w:id="177279738">
              <w:marLeft w:val="0"/>
              <w:marRight w:val="0"/>
              <w:marTop w:val="0"/>
              <w:marBottom w:val="0"/>
              <w:divBdr>
                <w:top w:val="none" w:sz="0" w:space="0" w:color="auto"/>
                <w:left w:val="none" w:sz="0" w:space="0" w:color="auto"/>
                <w:bottom w:val="none" w:sz="0" w:space="0" w:color="auto"/>
                <w:right w:val="none" w:sz="0" w:space="0" w:color="auto"/>
              </w:divBdr>
            </w:div>
          </w:divsChild>
        </w:div>
        <w:div w:id="1276136246">
          <w:marLeft w:val="720"/>
          <w:marRight w:val="0"/>
          <w:marTop w:val="0"/>
          <w:marBottom w:val="0"/>
          <w:divBdr>
            <w:top w:val="none" w:sz="0" w:space="0" w:color="auto"/>
            <w:left w:val="none" w:sz="0" w:space="0" w:color="auto"/>
            <w:bottom w:val="none" w:sz="0" w:space="0" w:color="auto"/>
            <w:right w:val="none" w:sz="0" w:space="0" w:color="auto"/>
          </w:divBdr>
        </w:div>
        <w:div w:id="1433820897">
          <w:marLeft w:val="0"/>
          <w:marRight w:val="0"/>
          <w:marTop w:val="0"/>
          <w:marBottom w:val="0"/>
          <w:divBdr>
            <w:top w:val="none" w:sz="0" w:space="0" w:color="auto"/>
            <w:left w:val="none" w:sz="0" w:space="0" w:color="auto"/>
            <w:bottom w:val="none" w:sz="0" w:space="0" w:color="auto"/>
            <w:right w:val="none" w:sz="0" w:space="0" w:color="auto"/>
          </w:divBdr>
          <w:divsChild>
            <w:div w:id="2144037318">
              <w:marLeft w:val="0"/>
              <w:marRight w:val="0"/>
              <w:marTop w:val="120"/>
              <w:marBottom w:val="0"/>
              <w:divBdr>
                <w:top w:val="none" w:sz="0" w:space="0" w:color="auto"/>
                <w:left w:val="none" w:sz="0" w:space="0" w:color="auto"/>
                <w:bottom w:val="none" w:sz="0" w:space="0" w:color="auto"/>
                <w:right w:val="none" w:sz="0" w:space="0" w:color="auto"/>
              </w:divBdr>
            </w:div>
            <w:div w:id="1995254025">
              <w:marLeft w:val="0"/>
              <w:marRight w:val="0"/>
              <w:marTop w:val="0"/>
              <w:marBottom w:val="0"/>
              <w:divBdr>
                <w:top w:val="none" w:sz="0" w:space="0" w:color="auto"/>
                <w:left w:val="none" w:sz="0" w:space="0" w:color="auto"/>
                <w:bottom w:val="none" w:sz="0" w:space="0" w:color="auto"/>
                <w:right w:val="none" w:sz="0" w:space="0" w:color="auto"/>
              </w:divBdr>
            </w:div>
          </w:divsChild>
        </w:div>
        <w:div w:id="380206324">
          <w:marLeft w:val="0"/>
          <w:marRight w:val="0"/>
          <w:marTop w:val="0"/>
          <w:marBottom w:val="0"/>
          <w:divBdr>
            <w:top w:val="none" w:sz="0" w:space="0" w:color="auto"/>
            <w:left w:val="none" w:sz="0" w:space="0" w:color="auto"/>
            <w:bottom w:val="none" w:sz="0" w:space="0" w:color="auto"/>
            <w:right w:val="none" w:sz="0" w:space="0" w:color="auto"/>
          </w:divBdr>
          <w:divsChild>
            <w:div w:id="238373864">
              <w:marLeft w:val="0"/>
              <w:marRight w:val="0"/>
              <w:marTop w:val="120"/>
              <w:marBottom w:val="0"/>
              <w:divBdr>
                <w:top w:val="none" w:sz="0" w:space="0" w:color="auto"/>
                <w:left w:val="none" w:sz="0" w:space="0" w:color="auto"/>
                <w:bottom w:val="none" w:sz="0" w:space="0" w:color="auto"/>
                <w:right w:val="none" w:sz="0" w:space="0" w:color="auto"/>
              </w:divBdr>
            </w:div>
            <w:div w:id="418060557">
              <w:marLeft w:val="0"/>
              <w:marRight w:val="0"/>
              <w:marTop w:val="0"/>
              <w:marBottom w:val="0"/>
              <w:divBdr>
                <w:top w:val="none" w:sz="0" w:space="0" w:color="auto"/>
                <w:left w:val="none" w:sz="0" w:space="0" w:color="auto"/>
                <w:bottom w:val="none" w:sz="0" w:space="0" w:color="auto"/>
                <w:right w:val="none" w:sz="0" w:space="0" w:color="auto"/>
              </w:divBdr>
            </w:div>
          </w:divsChild>
        </w:div>
        <w:div w:id="1528912259">
          <w:marLeft w:val="0"/>
          <w:marRight w:val="0"/>
          <w:marTop w:val="0"/>
          <w:marBottom w:val="0"/>
          <w:divBdr>
            <w:top w:val="none" w:sz="0" w:space="0" w:color="auto"/>
            <w:left w:val="none" w:sz="0" w:space="0" w:color="auto"/>
            <w:bottom w:val="none" w:sz="0" w:space="0" w:color="auto"/>
            <w:right w:val="none" w:sz="0" w:space="0" w:color="auto"/>
          </w:divBdr>
          <w:divsChild>
            <w:div w:id="1212108361">
              <w:marLeft w:val="0"/>
              <w:marRight w:val="0"/>
              <w:marTop w:val="120"/>
              <w:marBottom w:val="0"/>
              <w:divBdr>
                <w:top w:val="none" w:sz="0" w:space="0" w:color="auto"/>
                <w:left w:val="none" w:sz="0" w:space="0" w:color="auto"/>
                <w:bottom w:val="none" w:sz="0" w:space="0" w:color="auto"/>
                <w:right w:val="none" w:sz="0" w:space="0" w:color="auto"/>
              </w:divBdr>
            </w:div>
            <w:div w:id="1417896372">
              <w:marLeft w:val="0"/>
              <w:marRight w:val="0"/>
              <w:marTop w:val="0"/>
              <w:marBottom w:val="0"/>
              <w:divBdr>
                <w:top w:val="none" w:sz="0" w:space="0" w:color="auto"/>
                <w:left w:val="none" w:sz="0" w:space="0" w:color="auto"/>
                <w:bottom w:val="none" w:sz="0" w:space="0" w:color="auto"/>
                <w:right w:val="none" w:sz="0" w:space="0" w:color="auto"/>
              </w:divBdr>
            </w:div>
          </w:divsChild>
        </w:div>
        <w:div w:id="459232278">
          <w:marLeft w:val="720"/>
          <w:marRight w:val="0"/>
          <w:marTop w:val="0"/>
          <w:marBottom w:val="0"/>
          <w:divBdr>
            <w:top w:val="none" w:sz="0" w:space="0" w:color="auto"/>
            <w:left w:val="none" w:sz="0" w:space="0" w:color="auto"/>
            <w:bottom w:val="none" w:sz="0" w:space="0" w:color="auto"/>
            <w:right w:val="none" w:sz="0" w:space="0" w:color="auto"/>
          </w:divBdr>
        </w:div>
        <w:div w:id="1625575150">
          <w:marLeft w:val="0"/>
          <w:marRight w:val="0"/>
          <w:marTop w:val="0"/>
          <w:marBottom w:val="0"/>
          <w:divBdr>
            <w:top w:val="none" w:sz="0" w:space="0" w:color="auto"/>
            <w:left w:val="none" w:sz="0" w:space="0" w:color="auto"/>
            <w:bottom w:val="none" w:sz="0" w:space="0" w:color="auto"/>
            <w:right w:val="none" w:sz="0" w:space="0" w:color="auto"/>
          </w:divBdr>
        </w:div>
        <w:div w:id="1674869209">
          <w:marLeft w:val="840"/>
          <w:marRight w:val="0"/>
          <w:marTop w:val="0"/>
          <w:marBottom w:val="0"/>
          <w:divBdr>
            <w:top w:val="none" w:sz="0" w:space="0" w:color="auto"/>
            <w:left w:val="none" w:sz="0" w:space="0" w:color="auto"/>
            <w:bottom w:val="none" w:sz="0" w:space="0" w:color="auto"/>
            <w:right w:val="none" w:sz="0" w:space="0" w:color="auto"/>
          </w:divBdr>
        </w:div>
        <w:div w:id="389891368">
          <w:marLeft w:val="840"/>
          <w:marRight w:val="0"/>
          <w:marTop w:val="0"/>
          <w:marBottom w:val="0"/>
          <w:divBdr>
            <w:top w:val="none" w:sz="0" w:space="0" w:color="auto"/>
            <w:left w:val="none" w:sz="0" w:space="0" w:color="auto"/>
            <w:bottom w:val="none" w:sz="0" w:space="0" w:color="auto"/>
            <w:right w:val="none" w:sz="0" w:space="0" w:color="auto"/>
          </w:divBdr>
        </w:div>
        <w:div w:id="653798743">
          <w:marLeft w:val="840"/>
          <w:marRight w:val="0"/>
          <w:marTop w:val="0"/>
          <w:marBottom w:val="0"/>
          <w:divBdr>
            <w:top w:val="none" w:sz="0" w:space="0" w:color="auto"/>
            <w:left w:val="none" w:sz="0" w:space="0" w:color="auto"/>
            <w:bottom w:val="none" w:sz="0" w:space="0" w:color="auto"/>
            <w:right w:val="none" w:sz="0" w:space="0" w:color="auto"/>
          </w:divBdr>
        </w:div>
        <w:div w:id="28260263">
          <w:marLeft w:val="840"/>
          <w:marRight w:val="0"/>
          <w:marTop w:val="0"/>
          <w:marBottom w:val="0"/>
          <w:divBdr>
            <w:top w:val="none" w:sz="0" w:space="0" w:color="auto"/>
            <w:left w:val="none" w:sz="0" w:space="0" w:color="auto"/>
            <w:bottom w:val="none" w:sz="0" w:space="0" w:color="auto"/>
            <w:right w:val="none" w:sz="0" w:space="0" w:color="auto"/>
          </w:divBdr>
        </w:div>
        <w:div w:id="298731813">
          <w:marLeft w:val="840"/>
          <w:marRight w:val="0"/>
          <w:marTop w:val="0"/>
          <w:marBottom w:val="0"/>
          <w:divBdr>
            <w:top w:val="none" w:sz="0" w:space="0" w:color="auto"/>
            <w:left w:val="none" w:sz="0" w:space="0" w:color="auto"/>
            <w:bottom w:val="none" w:sz="0" w:space="0" w:color="auto"/>
            <w:right w:val="none" w:sz="0" w:space="0" w:color="auto"/>
          </w:divBdr>
        </w:div>
        <w:div w:id="869564257">
          <w:marLeft w:val="0"/>
          <w:marRight w:val="0"/>
          <w:marTop w:val="120"/>
          <w:marBottom w:val="0"/>
          <w:divBdr>
            <w:top w:val="none" w:sz="0" w:space="0" w:color="auto"/>
            <w:left w:val="none" w:sz="0" w:space="0" w:color="auto"/>
            <w:bottom w:val="none" w:sz="0" w:space="0" w:color="auto"/>
            <w:right w:val="none" w:sz="0" w:space="0" w:color="auto"/>
          </w:divBdr>
        </w:div>
        <w:div w:id="1675448634">
          <w:marLeft w:val="0"/>
          <w:marRight w:val="0"/>
          <w:marTop w:val="120"/>
          <w:marBottom w:val="0"/>
          <w:divBdr>
            <w:top w:val="none" w:sz="0" w:space="0" w:color="auto"/>
            <w:left w:val="none" w:sz="0" w:space="0" w:color="auto"/>
            <w:bottom w:val="none" w:sz="0" w:space="0" w:color="auto"/>
            <w:right w:val="none" w:sz="0" w:space="0" w:color="auto"/>
          </w:divBdr>
        </w:div>
        <w:div w:id="783039505">
          <w:marLeft w:val="0"/>
          <w:marRight w:val="0"/>
          <w:marTop w:val="120"/>
          <w:marBottom w:val="0"/>
          <w:divBdr>
            <w:top w:val="none" w:sz="0" w:space="0" w:color="auto"/>
            <w:left w:val="none" w:sz="0" w:space="0" w:color="auto"/>
            <w:bottom w:val="none" w:sz="0" w:space="0" w:color="auto"/>
            <w:right w:val="none" w:sz="0" w:space="0" w:color="auto"/>
          </w:divBdr>
        </w:div>
        <w:div w:id="31351036">
          <w:marLeft w:val="0"/>
          <w:marRight w:val="0"/>
          <w:marTop w:val="120"/>
          <w:marBottom w:val="0"/>
          <w:divBdr>
            <w:top w:val="none" w:sz="0" w:space="0" w:color="auto"/>
            <w:left w:val="none" w:sz="0" w:space="0" w:color="auto"/>
            <w:bottom w:val="none" w:sz="0" w:space="0" w:color="auto"/>
            <w:right w:val="none" w:sz="0" w:space="0" w:color="auto"/>
          </w:divBdr>
        </w:div>
        <w:div w:id="1098406039">
          <w:marLeft w:val="0"/>
          <w:marRight w:val="0"/>
          <w:marTop w:val="120"/>
          <w:marBottom w:val="0"/>
          <w:divBdr>
            <w:top w:val="none" w:sz="0" w:space="0" w:color="auto"/>
            <w:left w:val="none" w:sz="0" w:space="0" w:color="auto"/>
            <w:bottom w:val="none" w:sz="0" w:space="0" w:color="auto"/>
            <w:right w:val="none" w:sz="0" w:space="0" w:color="auto"/>
          </w:divBdr>
        </w:div>
        <w:div w:id="1069619654">
          <w:marLeft w:val="0"/>
          <w:marRight w:val="0"/>
          <w:marTop w:val="120"/>
          <w:marBottom w:val="0"/>
          <w:divBdr>
            <w:top w:val="none" w:sz="0" w:space="0" w:color="auto"/>
            <w:left w:val="none" w:sz="0" w:space="0" w:color="auto"/>
            <w:bottom w:val="none" w:sz="0" w:space="0" w:color="auto"/>
            <w:right w:val="none" w:sz="0" w:space="0" w:color="auto"/>
          </w:divBdr>
        </w:div>
        <w:div w:id="1077940522">
          <w:marLeft w:val="0"/>
          <w:marRight w:val="0"/>
          <w:marTop w:val="120"/>
          <w:marBottom w:val="0"/>
          <w:divBdr>
            <w:top w:val="none" w:sz="0" w:space="0" w:color="auto"/>
            <w:left w:val="none" w:sz="0" w:space="0" w:color="auto"/>
            <w:bottom w:val="none" w:sz="0" w:space="0" w:color="auto"/>
            <w:right w:val="none" w:sz="0" w:space="0" w:color="auto"/>
          </w:divBdr>
        </w:div>
        <w:div w:id="44064384">
          <w:marLeft w:val="0"/>
          <w:marRight w:val="0"/>
          <w:marTop w:val="120"/>
          <w:marBottom w:val="0"/>
          <w:divBdr>
            <w:top w:val="none" w:sz="0" w:space="0" w:color="auto"/>
            <w:left w:val="none" w:sz="0" w:space="0" w:color="auto"/>
            <w:bottom w:val="none" w:sz="0" w:space="0" w:color="auto"/>
            <w:right w:val="none" w:sz="0" w:space="0" w:color="auto"/>
          </w:divBdr>
        </w:div>
        <w:div w:id="1806702252">
          <w:marLeft w:val="0"/>
          <w:marRight w:val="0"/>
          <w:marTop w:val="120"/>
          <w:marBottom w:val="0"/>
          <w:divBdr>
            <w:top w:val="none" w:sz="0" w:space="0" w:color="auto"/>
            <w:left w:val="none" w:sz="0" w:space="0" w:color="auto"/>
            <w:bottom w:val="none" w:sz="0" w:space="0" w:color="auto"/>
            <w:right w:val="none" w:sz="0" w:space="0" w:color="auto"/>
          </w:divBdr>
        </w:div>
        <w:div w:id="1591086728">
          <w:marLeft w:val="0"/>
          <w:marRight w:val="0"/>
          <w:marTop w:val="120"/>
          <w:marBottom w:val="0"/>
          <w:divBdr>
            <w:top w:val="none" w:sz="0" w:space="0" w:color="auto"/>
            <w:left w:val="none" w:sz="0" w:space="0" w:color="auto"/>
            <w:bottom w:val="none" w:sz="0" w:space="0" w:color="auto"/>
            <w:right w:val="none" w:sz="0" w:space="0" w:color="auto"/>
          </w:divBdr>
        </w:div>
        <w:div w:id="70474056">
          <w:marLeft w:val="0"/>
          <w:marRight w:val="0"/>
          <w:marTop w:val="120"/>
          <w:marBottom w:val="0"/>
          <w:divBdr>
            <w:top w:val="none" w:sz="0" w:space="0" w:color="auto"/>
            <w:left w:val="none" w:sz="0" w:space="0" w:color="auto"/>
            <w:bottom w:val="none" w:sz="0" w:space="0" w:color="auto"/>
            <w:right w:val="none" w:sz="0" w:space="0" w:color="auto"/>
          </w:divBdr>
        </w:div>
        <w:div w:id="1260409978">
          <w:marLeft w:val="0"/>
          <w:marRight w:val="0"/>
          <w:marTop w:val="0"/>
          <w:marBottom w:val="0"/>
          <w:divBdr>
            <w:top w:val="none" w:sz="0" w:space="0" w:color="auto"/>
            <w:left w:val="none" w:sz="0" w:space="0" w:color="auto"/>
            <w:bottom w:val="none" w:sz="0" w:space="0" w:color="auto"/>
            <w:right w:val="none" w:sz="0" w:space="0" w:color="auto"/>
          </w:divBdr>
          <w:divsChild>
            <w:div w:id="1169249645">
              <w:marLeft w:val="0"/>
              <w:marRight w:val="0"/>
              <w:marTop w:val="120"/>
              <w:marBottom w:val="0"/>
              <w:divBdr>
                <w:top w:val="none" w:sz="0" w:space="0" w:color="auto"/>
                <w:left w:val="none" w:sz="0" w:space="0" w:color="auto"/>
                <w:bottom w:val="none" w:sz="0" w:space="0" w:color="auto"/>
                <w:right w:val="none" w:sz="0" w:space="0" w:color="auto"/>
              </w:divBdr>
            </w:div>
            <w:div w:id="1278830818">
              <w:marLeft w:val="0"/>
              <w:marRight w:val="0"/>
              <w:marTop w:val="0"/>
              <w:marBottom w:val="0"/>
              <w:divBdr>
                <w:top w:val="none" w:sz="0" w:space="0" w:color="auto"/>
                <w:left w:val="none" w:sz="0" w:space="0" w:color="auto"/>
                <w:bottom w:val="none" w:sz="0" w:space="0" w:color="auto"/>
                <w:right w:val="none" w:sz="0" w:space="0" w:color="auto"/>
              </w:divBdr>
            </w:div>
          </w:divsChild>
        </w:div>
        <w:div w:id="638344791">
          <w:marLeft w:val="0"/>
          <w:marRight w:val="0"/>
          <w:marTop w:val="0"/>
          <w:marBottom w:val="0"/>
          <w:divBdr>
            <w:top w:val="none" w:sz="0" w:space="0" w:color="auto"/>
            <w:left w:val="none" w:sz="0" w:space="0" w:color="auto"/>
            <w:bottom w:val="none" w:sz="0" w:space="0" w:color="auto"/>
            <w:right w:val="none" w:sz="0" w:space="0" w:color="auto"/>
          </w:divBdr>
          <w:divsChild>
            <w:div w:id="1599870321">
              <w:marLeft w:val="0"/>
              <w:marRight w:val="0"/>
              <w:marTop w:val="120"/>
              <w:marBottom w:val="0"/>
              <w:divBdr>
                <w:top w:val="none" w:sz="0" w:space="0" w:color="auto"/>
                <w:left w:val="none" w:sz="0" w:space="0" w:color="auto"/>
                <w:bottom w:val="none" w:sz="0" w:space="0" w:color="auto"/>
                <w:right w:val="none" w:sz="0" w:space="0" w:color="auto"/>
              </w:divBdr>
            </w:div>
            <w:div w:id="762383885">
              <w:marLeft w:val="0"/>
              <w:marRight w:val="0"/>
              <w:marTop w:val="0"/>
              <w:marBottom w:val="0"/>
              <w:divBdr>
                <w:top w:val="none" w:sz="0" w:space="0" w:color="auto"/>
                <w:left w:val="none" w:sz="0" w:space="0" w:color="auto"/>
                <w:bottom w:val="none" w:sz="0" w:space="0" w:color="auto"/>
                <w:right w:val="none" w:sz="0" w:space="0" w:color="auto"/>
              </w:divBdr>
            </w:div>
          </w:divsChild>
        </w:div>
        <w:div w:id="1890651267">
          <w:marLeft w:val="0"/>
          <w:marRight w:val="0"/>
          <w:marTop w:val="0"/>
          <w:marBottom w:val="0"/>
          <w:divBdr>
            <w:top w:val="none" w:sz="0" w:space="0" w:color="auto"/>
            <w:left w:val="none" w:sz="0" w:space="0" w:color="auto"/>
            <w:bottom w:val="none" w:sz="0" w:space="0" w:color="auto"/>
            <w:right w:val="none" w:sz="0" w:space="0" w:color="auto"/>
          </w:divBdr>
          <w:divsChild>
            <w:div w:id="1408335838">
              <w:marLeft w:val="0"/>
              <w:marRight w:val="0"/>
              <w:marTop w:val="120"/>
              <w:marBottom w:val="0"/>
              <w:divBdr>
                <w:top w:val="none" w:sz="0" w:space="0" w:color="auto"/>
                <w:left w:val="none" w:sz="0" w:space="0" w:color="auto"/>
                <w:bottom w:val="none" w:sz="0" w:space="0" w:color="auto"/>
                <w:right w:val="none" w:sz="0" w:space="0" w:color="auto"/>
              </w:divBdr>
            </w:div>
            <w:div w:id="258569400">
              <w:marLeft w:val="0"/>
              <w:marRight w:val="0"/>
              <w:marTop w:val="0"/>
              <w:marBottom w:val="0"/>
              <w:divBdr>
                <w:top w:val="none" w:sz="0" w:space="0" w:color="auto"/>
                <w:left w:val="none" w:sz="0" w:space="0" w:color="auto"/>
                <w:bottom w:val="none" w:sz="0" w:space="0" w:color="auto"/>
                <w:right w:val="none" w:sz="0" w:space="0" w:color="auto"/>
              </w:divBdr>
              <w:divsChild>
                <w:div w:id="1870678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6408670">
          <w:marLeft w:val="0"/>
          <w:marRight w:val="0"/>
          <w:marTop w:val="0"/>
          <w:marBottom w:val="0"/>
          <w:divBdr>
            <w:top w:val="none" w:sz="0" w:space="0" w:color="auto"/>
            <w:left w:val="none" w:sz="0" w:space="0" w:color="auto"/>
            <w:bottom w:val="none" w:sz="0" w:space="0" w:color="auto"/>
            <w:right w:val="none" w:sz="0" w:space="0" w:color="auto"/>
          </w:divBdr>
          <w:divsChild>
            <w:div w:id="2129469801">
              <w:marLeft w:val="0"/>
              <w:marRight w:val="0"/>
              <w:marTop w:val="120"/>
              <w:marBottom w:val="0"/>
              <w:divBdr>
                <w:top w:val="none" w:sz="0" w:space="0" w:color="auto"/>
                <w:left w:val="none" w:sz="0" w:space="0" w:color="auto"/>
                <w:bottom w:val="none" w:sz="0" w:space="0" w:color="auto"/>
                <w:right w:val="none" w:sz="0" w:space="0" w:color="auto"/>
              </w:divBdr>
            </w:div>
            <w:div w:id="1499881242">
              <w:marLeft w:val="0"/>
              <w:marRight w:val="0"/>
              <w:marTop w:val="0"/>
              <w:marBottom w:val="0"/>
              <w:divBdr>
                <w:top w:val="none" w:sz="0" w:space="0" w:color="auto"/>
                <w:left w:val="none" w:sz="0" w:space="0" w:color="auto"/>
                <w:bottom w:val="none" w:sz="0" w:space="0" w:color="auto"/>
                <w:right w:val="none" w:sz="0" w:space="0" w:color="auto"/>
              </w:divBdr>
              <w:divsChild>
                <w:div w:id="11736484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9062995">
          <w:marLeft w:val="0"/>
          <w:marRight w:val="0"/>
          <w:marTop w:val="0"/>
          <w:marBottom w:val="0"/>
          <w:divBdr>
            <w:top w:val="none" w:sz="0" w:space="0" w:color="auto"/>
            <w:left w:val="none" w:sz="0" w:space="0" w:color="auto"/>
            <w:bottom w:val="none" w:sz="0" w:space="0" w:color="auto"/>
            <w:right w:val="none" w:sz="0" w:space="0" w:color="auto"/>
          </w:divBdr>
          <w:divsChild>
            <w:div w:id="315649283">
              <w:marLeft w:val="0"/>
              <w:marRight w:val="0"/>
              <w:marTop w:val="120"/>
              <w:marBottom w:val="0"/>
              <w:divBdr>
                <w:top w:val="none" w:sz="0" w:space="0" w:color="auto"/>
                <w:left w:val="none" w:sz="0" w:space="0" w:color="auto"/>
                <w:bottom w:val="none" w:sz="0" w:space="0" w:color="auto"/>
                <w:right w:val="none" w:sz="0" w:space="0" w:color="auto"/>
              </w:divBdr>
            </w:div>
            <w:div w:id="248775998">
              <w:marLeft w:val="0"/>
              <w:marRight w:val="0"/>
              <w:marTop w:val="0"/>
              <w:marBottom w:val="0"/>
              <w:divBdr>
                <w:top w:val="none" w:sz="0" w:space="0" w:color="auto"/>
                <w:left w:val="none" w:sz="0" w:space="0" w:color="auto"/>
                <w:bottom w:val="none" w:sz="0" w:space="0" w:color="auto"/>
                <w:right w:val="none" w:sz="0" w:space="0" w:color="auto"/>
              </w:divBdr>
              <w:divsChild>
                <w:div w:id="9596036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15725857">
          <w:marLeft w:val="0"/>
          <w:marRight w:val="0"/>
          <w:marTop w:val="0"/>
          <w:marBottom w:val="0"/>
          <w:divBdr>
            <w:top w:val="none" w:sz="0" w:space="0" w:color="auto"/>
            <w:left w:val="none" w:sz="0" w:space="0" w:color="auto"/>
            <w:bottom w:val="none" w:sz="0" w:space="0" w:color="auto"/>
            <w:right w:val="none" w:sz="0" w:space="0" w:color="auto"/>
          </w:divBdr>
          <w:divsChild>
            <w:div w:id="321087270">
              <w:marLeft w:val="0"/>
              <w:marRight w:val="0"/>
              <w:marTop w:val="120"/>
              <w:marBottom w:val="0"/>
              <w:divBdr>
                <w:top w:val="none" w:sz="0" w:space="0" w:color="auto"/>
                <w:left w:val="none" w:sz="0" w:space="0" w:color="auto"/>
                <w:bottom w:val="none" w:sz="0" w:space="0" w:color="auto"/>
                <w:right w:val="none" w:sz="0" w:space="0" w:color="auto"/>
              </w:divBdr>
            </w:div>
            <w:div w:id="1978562444">
              <w:marLeft w:val="0"/>
              <w:marRight w:val="0"/>
              <w:marTop w:val="0"/>
              <w:marBottom w:val="0"/>
              <w:divBdr>
                <w:top w:val="none" w:sz="0" w:space="0" w:color="auto"/>
                <w:left w:val="none" w:sz="0" w:space="0" w:color="auto"/>
                <w:bottom w:val="none" w:sz="0" w:space="0" w:color="auto"/>
                <w:right w:val="none" w:sz="0" w:space="0" w:color="auto"/>
              </w:divBdr>
              <w:divsChild>
                <w:div w:id="13562759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6537711">
          <w:marLeft w:val="0"/>
          <w:marRight w:val="0"/>
          <w:marTop w:val="0"/>
          <w:marBottom w:val="0"/>
          <w:divBdr>
            <w:top w:val="none" w:sz="0" w:space="0" w:color="auto"/>
            <w:left w:val="none" w:sz="0" w:space="0" w:color="auto"/>
            <w:bottom w:val="none" w:sz="0" w:space="0" w:color="auto"/>
            <w:right w:val="none" w:sz="0" w:space="0" w:color="auto"/>
          </w:divBdr>
          <w:divsChild>
            <w:div w:id="119881576">
              <w:marLeft w:val="0"/>
              <w:marRight w:val="0"/>
              <w:marTop w:val="120"/>
              <w:marBottom w:val="0"/>
              <w:divBdr>
                <w:top w:val="none" w:sz="0" w:space="0" w:color="auto"/>
                <w:left w:val="none" w:sz="0" w:space="0" w:color="auto"/>
                <w:bottom w:val="none" w:sz="0" w:space="0" w:color="auto"/>
                <w:right w:val="none" w:sz="0" w:space="0" w:color="auto"/>
              </w:divBdr>
            </w:div>
            <w:div w:id="1194541540">
              <w:marLeft w:val="0"/>
              <w:marRight w:val="0"/>
              <w:marTop w:val="0"/>
              <w:marBottom w:val="0"/>
              <w:divBdr>
                <w:top w:val="none" w:sz="0" w:space="0" w:color="auto"/>
                <w:left w:val="none" w:sz="0" w:space="0" w:color="auto"/>
                <w:bottom w:val="none" w:sz="0" w:space="0" w:color="auto"/>
                <w:right w:val="none" w:sz="0" w:space="0" w:color="auto"/>
              </w:divBdr>
              <w:divsChild>
                <w:div w:id="6447013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94705534">
          <w:marLeft w:val="0"/>
          <w:marRight w:val="0"/>
          <w:marTop w:val="0"/>
          <w:marBottom w:val="0"/>
          <w:divBdr>
            <w:top w:val="none" w:sz="0" w:space="0" w:color="auto"/>
            <w:left w:val="none" w:sz="0" w:space="0" w:color="auto"/>
            <w:bottom w:val="none" w:sz="0" w:space="0" w:color="auto"/>
            <w:right w:val="none" w:sz="0" w:space="0" w:color="auto"/>
          </w:divBdr>
          <w:divsChild>
            <w:div w:id="1207764588">
              <w:marLeft w:val="0"/>
              <w:marRight w:val="0"/>
              <w:marTop w:val="120"/>
              <w:marBottom w:val="0"/>
              <w:divBdr>
                <w:top w:val="none" w:sz="0" w:space="0" w:color="auto"/>
                <w:left w:val="none" w:sz="0" w:space="0" w:color="auto"/>
                <w:bottom w:val="none" w:sz="0" w:space="0" w:color="auto"/>
                <w:right w:val="none" w:sz="0" w:space="0" w:color="auto"/>
              </w:divBdr>
            </w:div>
            <w:div w:id="1441952397">
              <w:marLeft w:val="0"/>
              <w:marRight w:val="0"/>
              <w:marTop w:val="0"/>
              <w:marBottom w:val="0"/>
              <w:divBdr>
                <w:top w:val="none" w:sz="0" w:space="0" w:color="auto"/>
                <w:left w:val="none" w:sz="0" w:space="0" w:color="auto"/>
                <w:bottom w:val="none" w:sz="0" w:space="0" w:color="auto"/>
                <w:right w:val="none" w:sz="0" w:space="0" w:color="auto"/>
              </w:divBdr>
              <w:divsChild>
                <w:div w:id="20075173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3844252">
          <w:marLeft w:val="0"/>
          <w:marRight w:val="0"/>
          <w:marTop w:val="0"/>
          <w:marBottom w:val="0"/>
          <w:divBdr>
            <w:top w:val="none" w:sz="0" w:space="0" w:color="auto"/>
            <w:left w:val="none" w:sz="0" w:space="0" w:color="auto"/>
            <w:bottom w:val="none" w:sz="0" w:space="0" w:color="auto"/>
            <w:right w:val="none" w:sz="0" w:space="0" w:color="auto"/>
          </w:divBdr>
          <w:divsChild>
            <w:div w:id="817190348">
              <w:marLeft w:val="0"/>
              <w:marRight w:val="0"/>
              <w:marTop w:val="120"/>
              <w:marBottom w:val="0"/>
              <w:divBdr>
                <w:top w:val="none" w:sz="0" w:space="0" w:color="auto"/>
                <w:left w:val="none" w:sz="0" w:space="0" w:color="auto"/>
                <w:bottom w:val="none" w:sz="0" w:space="0" w:color="auto"/>
                <w:right w:val="none" w:sz="0" w:space="0" w:color="auto"/>
              </w:divBdr>
            </w:div>
            <w:div w:id="1161963351">
              <w:marLeft w:val="0"/>
              <w:marRight w:val="0"/>
              <w:marTop w:val="0"/>
              <w:marBottom w:val="0"/>
              <w:divBdr>
                <w:top w:val="none" w:sz="0" w:space="0" w:color="auto"/>
                <w:left w:val="none" w:sz="0" w:space="0" w:color="auto"/>
                <w:bottom w:val="none" w:sz="0" w:space="0" w:color="auto"/>
                <w:right w:val="none" w:sz="0" w:space="0" w:color="auto"/>
              </w:divBdr>
              <w:divsChild>
                <w:div w:id="4984696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88989778">
          <w:marLeft w:val="0"/>
          <w:marRight w:val="0"/>
          <w:marTop w:val="0"/>
          <w:marBottom w:val="0"/>
          <w:divBdr>
            <w:top w:val="none" w:sz="0" w:space="0" w:color="auto"/>
            <w:left w:val="none" w:sz="0" w:space="0" w:color="auto"/>
            <w:bottom w:val="none" w:sz="0" w:space="0" w:color="auto"/>
            <w:right w:val="none" w:sz="0" w:space="0" w:color="auto"/>
          </w:divBdr>
          <w:divsChild>
            <w:div w:id="836118976">
              <w:marLeft w:val="0"/>
              <w:marRight w:val="0"/>
              <w:marTop w:val="120"/>
              <w:marBottom w:val="0"/>
              <w:divBdr>
                <w:top w:val="none" w:sz="0" w:space="0" w:color="auto"/>
                <w:left w:val="none" w:sz="0" w:space="0" w:color="auto"/>
                <w:bottom w:val="none" w:sz="0" w:space="0" w:color="auto"/>
                <w:right w:val="none" w:sz="0" w:space="0" w:color="auto"/>
              </w:divBdr>
            </w:div>
            <w:div w:id="1677347493">
              <w:marLeft w:val="0"/>
              <w:marRight w:val="0"/>
              <w:marTop w:val="0"/>
              <w:marBottom w:val="0"/>
              <w:divBdr>
                <w:top w:val="none" w:sz="0" w:space="0" w:color="auto"/>
                <w:left w:val="none" w:sz="0" w:space="0" w:color="auto"/>
                <w:bottom w:val="none" w:sz="0" w:space="0" w:color="auto"/>
                <w:right w:val="none" w:sz="0" w:space="0" w:color="auto"/>
              </w:divBdr>
              <w:divsChild>
                <w:div w:id="9807729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90908208">
          <w:marLeft w:val="0"/>
          <w:marRight w:val="0"/>
          <w:marTop w:val="0"/>
          <w:marBottom w:val="0"/>
          <w:divBdr>
            <w:top w:val="none" w:sz="0" w:space="0" w:color="auto"/>
            <w:left w:val="none" w:sz="0" w:space="0" w:color="auto"/>
            <w:bottom w:val="none" w:sz="0" w:space="0" w:color="auto"/>
            <w:right w:val="none" w:sz="0" w:space="0" w:color="auto"/>
          </w:divBdr>
          <w:divsChild>
            <w:div w:id="844705290">
              <w:marLeft w:val="0"/>
              <w:marRight w:val="0"/>
              <w:marTop w:val="120"/>
              <w:marBottom w:val="0"/>
              <w:divBdr>
                <w:top w:val="none" w:sz="0" w:space="0" w:color="auto"/>
                <w:left w:val="none" w:sz="0" w:space="0" w:color="auto"/>
                <w:bottom w:val="none" w:sz="0" w:space="0" w:color="auto"/>
                <w:right w:val="none" w:sz="0" w:space="0" w:color="auto"/>
              </w:divBdr>
            </w:div>
            <w:div w:id="1737243890">
              <w:marLeft w:val="0"/>
              <w:marRight w:val="0"/>
              <w:marTop w:val="0"/>
              <w:marBottom w:val="0"/>
              <w:divBdr>
                <w:top w:val="none" w:sz="0" w:space="0" w:color="auto"/>
                <w:left w:val="none" w:sz="0" w:space="0" w:color="auto"/>
                <w:bottom w:val="none" w:sz="0" w:space="0" w:color="auto"/>
                <w:right w:val="none" w:sz="0" w:space="0" w:color="auto"/>
              </w:divBdr>
              <w:divsChild>
                <w:div w:id="950741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0973081">
          <w:marLeft w:val="0"/>
          <w:marRight w:val="0"/>
          <w:marTop w:val="0"/>
          <w:marBottom w:val="0"/>
          <w:divBdr>
            <w:top w:val="none" w:sz="0" w:space="0" w:color="auto"/>
            <w:left w:val="none" w:sz="0" w:space="0" w:color="auto"/>
            <w:bottom w:val="none" w:sz="0" w:space="0" w:color="auto"/>
            <w:right w:val="none" w:sz="0" w:space="0" w:color="auto"/>
          </w:divBdr>
          <w:divsChild>
            <w:div w:id="905454655">
              <w:marLeft w:val="0"/>
              <w:marRight w:val="0"/>
              <w:marTop w:val="120"/>
              <w:marBottom w:val="0"/>
              <w:divBdr>
                <w:top w:val="none" w:sz="0" w:space="0" w:color="auto"/>
                <w:left w:val="none" w:sz="0" w:space="0" w:color="auto"/>
                <w:bottom w:val="none" w:sz="0" w:space="0" w:color="auto"/>
                <w:right w:val="none" w:sz="0" w:space="0" w:color="auto"/>
              </w:divBdr>
            </w:div>
            <w:div w:id="1439712443">
              <w:marLeft w:val="0"/>
              <w:marRight w:val="0"/>
              <w:marTop w:val="0"/>
              <w:marBottom w:val="0"/>
              <w:divBdr>
                <w:top w:val="none" w:sz="0" w:space="0" w:color="auto"/>
                <w:left w:val="none" w:sz="0" w:space="0" w:color="auto"/>
                <w:bottom w:val="none" w:sz="0" w:space="0" w:color="auto"/>
                <w:right w:val="none" w:sz="0" w:space="0" w:color="auto"/>
              </w:divBdr>
              <w:divsChild>
                <w:div w:id="3003543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0109900">
          <w:marLeft w:val="0"/>
          <w:marRight w:val="0"/>
          <w:marTop w:val="0"/>
          <w:marBottom w:val="0"/>
          <w:divBdr>
            <w:top w:val="none" w:sz="0" w:space="0" w:color="auto"/>
            <w:left w:val="none" w:sz="0" w:space="0" w:color="auto"/>
            <w:bottom w:val="none" w:sz="0" w:space="0" w:color="auto"/>
            <w:right w:val="none" w:sz="0" w:space="0" w:color="auto"/>
          </w:divBdr>
          <w:divsChild>
            <w:div w:id="575895179">
              <w:marLeft w:val="0"/>
              <w:marRight w:val="0"/>
              <w:marTop w:val="120"/>
              <w:marBottom w:val="0"/>
              <w:divBdr>
                <w:top w:val="none" w:sz="0" w:space="0" w:color="auto"/>
                <w:left w:val="none" w:sz="0" w:space="0" w:color="auto"/>
                <w:bottom w:val="none" w:sz="0" w:space="0" w:color="auto"/>
                <w:right w:val="none" w:sz="0" w:space="0" w:color="auto"/>
              </w:divBdr>
            </w:div>
            <w:div w:id="1889414431">
              <w:marLeft w:val="0"/>
              <w:marRight w:val="0"/>
              <w:marTop w:val="0"/>
              <w:marBottom w:val="0"/>
              <w:divBdr>
                <w:top w:val="none" w:sz="0" w:space="0" w:color="auto"/>
                <w:left w:val="none" w:sz="0" w:space="0" w:color="auto"/>
                <w:bottom w:val="none" w:sz="0" w:space="0" w:color="auto"/>
                <w:right w:val="none" w:sz="0" w:space="0" w:color="auto"/>
              </w:divBdr>
              <w:divsChild>
                <w:div w:id="15585913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21387315">
          <w:marLeft w:val="0"/>
          <w:marRight w:val="0"/>
          <w:marTop w:val="0"/>
          <w:marBottom w:val="0"/>
          <w:divBdr>
            <w:top w:val="none" w:sz="0" w:space="0" w:color="auto"/>
            <w:left w:val="none" w:sz="0" w:space="0" w:color="auto"/>
            <w:bottom w:val="none" w:sz="0" w:space="0" w:color="auto"/>
            <w:right w:val="none" w:sz="0" w:space="0" w:color="auto"/>
          </w:divBdr>
          <w:divsChild>
            <w:div w:id="546840926">
              <w:marLeft w:val="0"/>
              <w:marRight w:val="0"/>
              <w:marTop w:val="120"/>
              <w:marBottom w:val="0"/>
              <w:divBdr>
                <w:top w:val="none" w:sz="0" w:space="0" w:color="auto"/>
                <w:left w:val="none" w:sz="0" w:space="0" w:color="auto"/>
                <w:bottom w:val="none" w:sz="0" w:space="0" w:color="auto"/>
                <w:right w:val="none" w:sz="0" w:space="0" w:color="auto"/>
              </w:divBdr>
            </w:div>
            <w:div w:id="1522890615">
              <w:marLeft w:val="0"/>
              <w:marRight w:val="0"/>
              <w:marTop w:val="0"/>
              <w:marBottom w:val="0"/>
              <w:divBdr>
                <w:top w:val="none" w:sz="0" w:space="0" w:color="auto"/>
                <w:left w:val="none" w:sz="0" w:space="0" w:color="auto"/>
                <w:bottom w:val="none" w:sz="0" w:space="0" w:color="auto"/>
                <w:right w:val="none" w:sz="0" w:space="0" w:color="auto"/>
              </w:divBdr>
              <w:divsChild>
                <w:div w:id="6760041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6859356">
          <w:marLeft w:val="0"/>
          <w:marRight w:val="0"/>
          <w:marTop w:val="0"/>
          <w:marBottom w:val="0"/>
          <w:divBdr>
            <w:top w:val="none" w:sz="0" w:space="0" w:color="auto"/>
            <w:left w:val="none" w:sz="0" w:space="0" w:color="auto"/>
            <w:bottom w:val="none" w:sz="0" w:space="0" w:color="auto"/>
            <w:right w:val="none" w:sz="0" w:space="0" w:color="auto"/>
          </w:divBdr>
          <w:divsChild>
            <w:div w:id="1342657750">
              <w:marLeft w:val="0"/>
              <w:marRight w:val="0"/>
              <w:marTop w:val="120"/>
              <w:marBottom w:val="0"/>
              <w:divBdr>
                <w:top w:val="none" w:sz="0" w:space="0" w:color="auto"/>
                <w:left w:val="none" w:sz="0" w:space="0" w:color="auto"/>
                <w:bottom w:val="none" w:sz="0" w:space="0" w:color="auto"/>
                <w:right w:val="none" w:sz="0" w:space="0" w:color="auto"/>
              </w:divBdr>
            </w:div>
            <w:div w:id="561411912">
              <w:marLeft w:val="0"/>
              <w:marRight w:val="0"/>
              <w:marTop w:val="0"/>
              <w:marBottom w:val="0"/>
              <w:divBdr>
                <w:top w:val="none" w:sz="0" w:space="0" w:color="auto"/>
                <w:left w:val="none" w:sz="0" w:space="0" w:color="auto"/>
                <w:bottom w:val="none" w:sz="0" w:space="0" w:color="auto"/>
                <w:right w:val="none" w:sz="0" w:space="0" w:color="auto"/>
              </w:divBdr>
              <w:divsChild>
                <w:div w:id="1086535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650578">
          <w:marLeft w:val="0"/>
          <w:marRight w:val="0"/>
          <w:marTop w:val="0"/>
          <w:marBottom w:val="0"/>
          <w:divBdr>
            <w:top w:val="none" w:sz="0" w:space="0" w:color="auto"/>
            <w:left w:val="none" w:sz="0" w:space="0" w:color="auto"/>
            <w:bottom w:val="none" w:sz="0" w:space="0" w:color="auto"/>
            <w:right w:val="none" w:sz="0" w:space="0" w:color="auto"/>
          </w:divBdr>
          <w:divsChild>
            <w:div w:id="1708751617">
              <w:marLeft w:val="0"/>
              <w:marRight w:val="0"/>
              <w:marTop w:val="120"/>
              <w:marBottom w:val="0"/>
              <w:divBdr>
                <w:top w:val="none" w:sz="0" w:space="0" w:color="auto"/>
                <w:left w:val="none" w:sz="0" w:space="0" w:color="auto"/>
                <w:bottom w:val="none" w:sz="0" w:space="0" w:color="auto"/>
                <w:right w:val="none" w:sz="0" w:space="0" w:color="auto"/>
              </w:divBdr>
            </w:div>
            <w:div w:id="1494221664">
              <w:marLeft w:val="0"/>
              <w:marRight w:val="0"/>
              <w:marTop w:val="0"/>
              <w:marBottom w:val="0"/>
              <w:divBdr>
                <w:top w:val="none" w:sz="0" w:space="0" w:color="auto"/>
                <w:left w:val="none" w:sz="0" w:space="0" w:color="auto"/>
                <w:bottom w:val="none" w:sz="0" w:space="0" w:color="auto"/>
                <w:right w:val="none" w:sz="0" w:space="0" w:color="auto"/>
              </w:divBdr>
              <w:divsChild>
                <w:div w:id="18609233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55774717">
          <w:marLeft w:val="0"/>
          <w:marRight w:val="0"/>
          <w:marTop w:val="0"/>
          <w:marBottom w:val="0"/>
          <w:divBdr>
            <w:top w:val="none" w:sz="0" w:space="0" w:color="auto"/>
            <w:left w:val="none" w:sz="0" w:space="0" w:color="auto"/>
            <w:bottom w:val="none" w:sz="0" w:space="0" w:color="auto"/>
            <w:right w:val="none" w:sz="0" w:space="0" w:color="auto"/>
          </w:divBdr>
          <w:divsChild>
            <w:div w:id="963118185">
              <w:marLeft w:val="0"/>
              <w:marRight w:val="0"/>
              <w:marTop w:val="120"/>
              <w:marBottom w:val="0"/>
              <w:divBdr>
                <w:top w:val="none" w:sz="0" w:space="0" w:color="auto"/>
                <w:left w:val="none" w:sz="0" w:space="0" w:color="auto"/>
                <w:bottom w:val="none" w:sz="0" w:space="0" w:color="auto"/>
                <w:right w:val="none" w:sz="0" w:space="0" w:color="auto"/>
              </w:divBdr>
            </w:div>
            <w:div w:id="1901552511">
              <w:marLeft w:val="0"/>
              <w:marRight w:val="0"/>
              <w:marTop w:val="0"/>
              <w:marBottom w:val="0"/>
              <w:divBdr>
                <w:top w:val="none" w:sz="0" w:space="0" w:color="auto"/>
                <w:left w:val="none" w:sz="0" w:space="0" w:color="auto"/>
                <w:bottom w:val="none" w:sz="0" w:space="0" w:color="auto"/>
                <w:right w:val="none" w:sz="0" w:space="0" w:color="auto"/>
              </w:divBdr>
              <w:divsChild>
                <w:div w:id="9704817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8204046">
          <w:marLeft w:val="0"/>
          <w:marRight w:val="0"/>
          <w:marTop w:val="0"/>
          <w:marBottom w:val="0"/>
          <w:divBdr>
            <w:top w:val="none" w:sz="0" w:space="0" w:color="auto"/>
            <w:left w:val="none" w:sz="0" w:space="0" w:color="auto"/>
            <w:bottom w:val="none" w:sz="0" w:space="0" w:color="auto"/>
            <w:right w:val="none" w:sz="0" w:space="0" w:color="auto"/>
          </w:divBdr>
          <w:divsChild>
            <w:div w:id="556091017">
              <w:marLeft w:val="0"/>
              <w:marRight w:val="0"/>
              <w:marTop w:val="120"/>
              <w:marBottom w:val="0"/>
              <w:divBdr>
                <w:top w:val="none" w:sz="0" w:space="0" w:color="auto"/>
                <w:left w:val="none" w:sz="0" w:space="0" w:color="auto"/>
                <w:bottom w:val="none" w:sz="0" w:space="0" w:color="auto"/>
                <w:right w:val="none" w:sz="0" w:space="0" w:color="auto"/>
              </w:divBdr>
            </w:div>
            <w:div w:id="38210929">
              <w:marLeft w:val="0"/>
              <w:marRight w:val="0"/>
              <w:marTop w:val="0"/>
              <w:marBottom w:val="0"/>
              <w:divBdr>
                <w:top w:val="none" w:sz="0" w:space="0" w:color="auto"/>
                <w:left w:val="none" w:sz="0" w:space="0" w:color="auto"/>
                <w:bottom w:val="none" w:sz="0" w:space="0" w:color="auto"/>
                <w:right w:val="none" w:sz="0" w:space="0" w:color="auto"/>
              </w:divBdr>
              <w:divsChild>
                <w:div w:id="2426406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4409547">
          <w:marLeft w:val="0"/>
          <w:marRight w:val="0"/>
          <w:marTop w:val="0"/>
          <w:marBottom w:val="0"/>
          <w:divBdr>
            <w:top w:val="none" w:sz="0" w:space="0" w:color="auto"/>
            <w:left w:val="none" w:sz="0" w:space="0" w:color="auto"/>
            <w:bottom w:val="none" w:sz="0" w:space="0" w:color="auto"/>
            <w:right w:val="none" w:sz="0" w:space="0" w:color="auto"/>
          </w:divBdr>
          <w:divsChild>
            <w:div w:id="1608849552">
              <w:marLeft w:val="0"/>
              <w:marRight w:val="0"/>
              <w:marTop w:val="120"/>
              <w:marBottom w:val="0"/>
              <w:divBdr>
                <w:top w:val="none" w:sz="0" w:space="0" w:color="auto"/>
                <w:left w:val="none" w:sz="0" w:space="0" w:color="auto"/>
                <w:bottom w:val="none" w:sz="0" w:space="0" w:color="auto"/>
                <w:right w:val="none" w:sz="0" w:space="0" w:color="auto"/>
              </w:divBdr>
            </w:div>
            <w:div w:id="342516303">
              <w:marLeft w:val="0"/>
              <w:marRight w:val="0"/>
              <w:marTop w:val="0"/>
              <w:marBottom w:val="0"/>
              <w:divBdr>
                <w:top w:val="none" w:sz="0" w:space="0" w:color="auto"/>
                <w:left w:val="none" w:sz="0" w:space="0" w:color="auto"/>
                <w:bottom w:val="none" w:sz="0" w:space="0" w:color="auto"/>
                <w:right w:val="none" w:sz="0" w:space="0" w:color="auto"/>
              </w:divBdr>
              <w:divsChild>
                <w:div w:id="15389341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88908962">
          <w:marLeft w:val="0"/>
          <w:marRight w:val="0"/>
          <w:marTop w:val="0"/>
          <w:marBottom w:val="0"/>
          <w:divBdr>
            <w:top w:val="none" w:sz="0" w:space="0" w:color="auto"/>
            <w:left w:val="none" w:sz="0" w:space="0" w:color="auto"/>
            <w:bottom w:val="none" w:sz="0" w:space="0" w:color="auto"/>
            <w:right w:val="none" w:sz="0" w:space="0" w:color="auto"/>
          </w:divBdr>
          <w:divsChild>
            <w:div w:id="702050496">
              <w:marLeft w:val="0"/>
              <w:marRight w:val="0"/>
              <w:marTop w:val="120"/>
              <w:marBottom w:val="0"/>
              <w:divBdr>
                <w:top w:val="none" w:sz="0" w:space="0" w:color="auto"/>
                <w:left w:val="none" w:sz="0" w:space="0" w:color="auto"/>
                <w:bottom w:val="none" w:sz="0" w:space="0" w:color="auto"/>
                <w:right w:val="none" w:sz="0" w:space="0" w:color="auto"/>
              </w:divBdr>
            </w:div>
            <w:div w:id="1118648096">
              <w:marLeft w:val="0"/>
              <w:marRight w:val="0"/>
              <w:marTop w:val="0"/>
              <w:marBottom w:val="0"/>
              <w:divBdr>
                <w:top w:val="none" w:sz="0" w:space="0" w:color="auto"/>
                <w:left w:val="none" w:sz="0" w:space="0" w:color="auto"/>
                <w:bottom w:val="none" w:sz="0" w:space="0" w:color="auto"/>
                <w:right w:val="none" w:sz="0" w:space="0" w:color="auto"/>
              </w:divBdr>
              <w:divsChild>
                <w:div w:id="6323709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6394336">
          <w:marLeft w:val="0"/>
          <w:marRight w:val="0"/>
          <w:marTop w:val="0"/>
          <w:marBottom w:val="0"/>
          <w:divBdr>
            <w:top w:val="none" w:sz="0" w:space="0" w:color="auto"/>
            <w:left w:val="none" w:sz="0" w:space="0" w:color="auto"/>
            <w:bottom w:val="none" w:sz="0" w:space="0" w:color="auto"/>
            <w:right w:val="none" w:sz="0" w:space="0" w:color="auto"/>
          </w:divBdr>
          <w:divsChild>
            <w:div w:id="1493643848">
              <w:marLeft w:val="0"/>
              <w:marRight w:val="0"/>
              <w:marTop w:val="120"/>
              <w:marBottom w:val="0"/>
              <w:divBdr>
                <w:top w:val="none" w:sz="0" w:space="0" w:color="auto"/>
                <w:left w:val="none" w:sz="0" w:space="0" w:color="auto"/>
                <w:bottom w:val="none" w:sz="0" w:space="0" w:color="auto"/>
                <w:right w:val="none" w:sz="0" w:space="0" w:color="auto"/>
              </w:divBdr>
            </w:div>
            <w:div w:id="1647006934">
              <w:marLeft w:val="0"/>
              <w:marRight w:val="0"/>
              <w:marTop w:val="0"/>
              <w:marBottom w:val="0"/>
              <w:divBdr>
                <w:top w:val="none" w:sz="0" w:space="0" w:color="auto"/>
                <w:left w:val="none" w:sz="0" w:space="0" w:color="auto"/>
                <w:bottom w:val="none" w:sz="0" w:space="0" w:color="auto"/>
                <w:right w:val="none" w:sz="0" w:space="0" w:color="auto"/>
              </w:divBdr>
              <w:divsChild>
                <w:div w:id="21424587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6493083">
          <w:marLeft w:val="0"/>
          <w:marRight w:val="0"/>
          <w:marTop w:val="0"/>
          <w:marBottom w:val="0"/>
          <w:divBdr>
            <w:top w:val="none" w:sz="0" w:space="0" w:color="auto"/>
            <w:left w:val="none" w:sz="0" w:space="0" w:color="auto"/>
            <w:bottom w:val="none" w:sz="0" w:space="0" w:color="auto"/>
            <w:right w:val="none" w:sz="0" w:space="0" w:color="auto"/>
          </w:divBdr>
          <w:divsChild>
            <w:div w:id="2079816707">
              <w:marLeft w:val="0"/>
              <w:marRight w:val="0"/>
              <w:marTop w:val="120"/>
              <w:marBottom w:val="0"/>
              <w:divBdr>
                <w:top w:val="none" w:sz="0" w:space="0" w:color="auto"/>
                <w:left w:val="none" w:sz="0" w:space="0" w:color="auto"/>
                <w:bottom w:val="none" w:sz="0" w:space="0" w:color="auto"/>
                <w:right w:val="none" w:sz="0" w:space="0" w:color="auto"/>
              </w:divBdr>
            </w:div>
            <w:div w:id="1034380051">
              <w:marLeft w:val="0"/>
              <w:marRight w:val="0"/>
              <w:marTop w:val="0"/>
              <w:marBottom w:val="0"/>
              <w:divBdr>
                <w:top w:val="none" w:sz="0" w:space="0" w:color="auto"/>
                <w:left w:val="none" w:sz="0" w:space="0" w:color="auto"/>
                <w:bottom w:val="none" w:sz="0" w:space="0" w:color="auto"/>
                <w:right w:val="none" w:sz="0" w:space="0" w:color="auto"/>
              </w:divBdr>
              <w:divsChild>
                <w:div w:id="8007267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3881768">
          <w:marLeft w:val="0"/>
          <w:marRight w:val="0"/>
          <w:marTop w:val="0"/>
          <w:marBottom w:val="0"/>
          <w:divBdr>
            <w:top w:val="none" w:sz="0" w:space="0" w:color="auto"/>
            <w:left w:val="none" w:sz="0" w:space="0" w:color="auto"/>
            <w:bottom w:val="none" w:sz="0" w:space="0" w:color="auto"/>
            <w:right w:val="none" w:sz="0" w:space="0" w:color="auto"/>
          </w:divBdr>
          <w:divsChild>
            <w:div w:id="230969699">
              <w:marLeft w:val="0"/>
              <w:marRight w:val="0"/>
              <w:marTop w:val="120"/>
              <w:marBottom w:val="0"/>
              <w:divBdr>
                <w:top w:val="none" w:sz="0" w:space="0" w:color="auto"/>
                <w:left w:val="none" w:sz="0" w:space="0" w:color="auto"/>
                <w:bottom w:val="none" w:sz="0" w:space="0" w:color="auto"/>
                <w:right w:val="none" w:sz="0" w:space="0" w:color="auto"/>
              </w:divBdr>
            </w:div>
            <w:div w:id="1775633794">
              <w:marLeft w:val="0"/>
              <w:marRight w:val="0"/>
              <w:marTop w:val="0"/>
              <w:marBottom w:val="0"/>
              <w:divBdr>
                <w:top w:val="none" w:sz="0" w:space="0" w:color="auto"/>
                <w:left w:val="none" w:sz="0" w:space="0" w:color="auto"/>
                <w:bottom w:val="none" w:sz="0" w:space="0" w:color="auto"/>
                <w:right w:val="none" w:sz="0" w:space="0" w:color="auto"/>
              </w:divBdr>
              <w:divsChild>
                <w:div w:id="14762169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8556108">
          <w:marLeft w:val="0"/>
          <w:marRight w:val="0"/>
          <w:marTop w:val="0"/>
          <w:marBottom w:val="0"/>
          <w:divBdr>
            <w:top w:val="none" w:sz="0" w:space="0" w:color="auto"/>
            <w:left w:val="none" w:sz="0" w:space="0" w:color="auto"/>
            <w:bottom w:val="none" w:sz="0" w:space="0" w:color="auto"/>
            <w:right w:val="none" w:sz="0" w:space="0" w:color="auto"/>
          </w:divBdr>
          <w:divsChild>
            <w:div w:id="1223755399">
              <w:marLeft w:val="0"/>
              <w:marRight w:val="0"/>
              <w:marTop w:val="120"/>
              <w:marBottom w:val="0"/>
              <w:divBdr>
                <w:top w:val="none" w:sz="0" w:space="0" w:color="auto"/>
                <w:left w:val="none" w:sz="0" w:space="0" w:color="auto"/>
                <w:bottom w:val="none" w:sz="0" w:space="0" w:color="auto"/>
                <w:right w:val="none" w:sz="0" w:space="0" w:color="auto"/>
              </w:divBdr>
            </w:div>
            <w:div w:id="594630306">
              <w:marLeft w:val="0"/>
              <w:marRight w:val="0"/>
              <w:marTop w:val="0"/>
              <w:marBottom w:val="0"/>
              <w:divBdr>
                <w:top w:val="none" w:sz="0" w:space="0" w:color="auto"/>
                <w:left w:val="none" w:sz="0" w:space="0" w:color="auto"/>
                <w:bottom w:val="none" w:sz="0" w:space="0" w:color="auto"/>
                <w:right w:val="none" w:sz="0" w:space="0" w:color="auto"/>
              </w:divBdr>
              <w:divsChild>
                <w:div w:id="21064189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045851">
          <w:marLeft w:val="0"/>
          <w:marRight w:val="0"/>
          <w:marTop w:val="0"/>
          <w:marBottom w:val="0"/>
          <w:divBdr>
            <w:top w:val="none" w:sz="0" w:space="0" w:color="auto"/>
            <w:left w:val="none" w:sz="0" w:space="0" w:color="auto"/>
            <w:bottom w:val="none" w:sz="0" w:space="0" w:color="auto"/>
            <w:right w:val="none" w:sz="0" w:space="0" w:color="auto"/>
          </w:divBdr>
          <w:divsChild>
            <w:div w:id="1794473445">
              <w:marLeft w:val="0"/>
              <w:marRight w:val="0"/>
              <w:marTop w:val="120"/>
              <w:marBottom w:val="0"/>
              <w:divBdr>
                <w:top w:val="none" w:sz="0" w:space="0" w:color="auto"/>
                <w:left w:val="none" w:sz="0" w:space="0" w:color="auto"/>
                <w:bottom w:val="none" w:sz="0" w:space="0" w:color="auto"/>
                <w:right w:val="none" w:sz="0" w:space="0" w:color="auto"/>
              </w:divBdr>
            </w:div>
            <w:div w:id="1260485150">
              <w:marLeft w:val="0"/>
              <w:marRight w:val="0"/>
              <w:marTop w:val="0"/>
              <w:marBottom w:val="0"/>
              <w:divBdr>
                <w:top w:val="none" w:sz="0" w:space="0" w:color="auto"/>
                <w:left w:val="none" w:sz="0" w:space="0" w:color="auto"/>
                <w:bottom w:val="none" w:sz="0" w:space="0" w:color="auto"/>
                <w:right w:val="none" w:sz="0" w:space="0" w:color="auto"/>
              </w:divBdr>
              <w:divsChild>
                <w:div w:id="20159589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3288353">
          <w:marLeft w:val="0"/>
          <w:marRight w:val="0"/>
          <w:marTop w:val="0"/>
          <w:marBottom w:val="0"/>
          <w:divBdr>
            <w:top w:val="none" w:sz="0" w:space="0" w:color="auto"/>
            <w:left w:val="none" w:sz="0" w:space="0" w:color="auto"/>
            <w:bottom w:val="none" w:sz="0" w:space="0" w:color="auto"/>
            <w:right w:val="none" w:sz="0" w:space="0" w:color="auto"/>
          </w:divBdr>
          <w:divsChild>
            <w:div w:id="2146383533">
              <w:marLeft w:val="0"/>
              <w:marRight w:val="0"/>
              <w:marTop w:val="120"/>
              <w:marBottom w:val="0"/>
              <w:divBdr>
                <w:top w:val="none" w:sz="0" w:space="0" w:color="auto"/>
                <w:left w:val="none" w:sz="0" w:space="0" w:color="auto"/>
                <w:bottom w:val="none" w:sz="0" w:space="0" w:color="auto"/>
                <w:right w:val="none" w:sz="0" w:space="0" w:color="auto"/>
              </w:divBdr>
            </w:div>
            <w:div w:id="1809471708">
              <w:marLeft w:val="0"/>
              <w:marRight w:val="0"/>
              <w:marTop w:val="0"/>
              <w:marBottom w:val="0"/>
              <w:divBdr>
                <w:top w:val="none" w:sz="0" w:space="0" w:color="auto"/>
                <w:left w:val="none" w:sz="0" w:space="0" w:color="auto"/>
                <w:bottom w:val="none" w:sz="0" w:space="0" w:color="auto"/>
                <w:right w:val="none" w:sz="0" w:space="0" w:color="auto"/>
              </w:divBdr>
              <w:divsChild>
                <w:div w:id="4782343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4685970">
          <w:marLeft w:val="0"/>
          <w:marRight w:val="0"/>
          <w:marTop w:val="0"/>
          <w:marBottom w:val="0"/>
          <w:divBdr>
            <w:top w:val="none" w:sz="0" w:space="0" w:color="auto"/>
            <w:left w:val="none" w:sz="0" w:space="0" w:color="auto"/>
            <w:bottom w:val="none" w:sz="0" w:space="0" w:color="auto"/>
            <w:right w:val="none" w:sz="0" w:space="0" w:color="auto"/>
          </w:divBdr>
          <w:divsChild>
            <w:div w:id="1262300916">
              <w:marLeft w:val="0"/>
              <w:marRight w:val="0"/>
              <w:marTop w:val="120"/>
              <w:marBottom w:val="0"/>
              <w:divBdr>
                <w:top w:val="none" w:sz="0" w:space="0" w:color="auto"/>
                <w:left w:val="none" w:sz="0" w:space="0" w:color="auto"/>
                <w:bottom w:val="none" w:sz="0" w:space="0" w:color="auto"/>
                <w:right w:val="none" w:sz="0" w:space="0" w:color="auto"/>
              </w:divBdr>
            </w:div>
            <w:div w:id="987515288">
              <w:marLeft w:val="0"/>
              <w:marRight w:val="0"/>
              <w:marTop w:val="0"/>
              <w:marBottom w:val="0"/>
              <w:divBdr>
                <w:top w:val="none" w:sz="0" w:space="0" w:color="auto"/>
                <w:left w:val="none" w:sz="0" w:space="0" w:color="auto"/>
                <w:bottom w:val="none" w:sz="0" w:space="0" w:color="auto"/>
                <w:right w:val="none" w:sz="0" w:space="0" w:color="auto"/>
              </w:divBdr>
              <w:divsChild>
                <w:div w:id="13579976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92938464">
          <w:marLeft w:val="0"/>
          <w:marRight w:val="0"/>
          <w:marTop w:val="0"/>
          <w:marBottom w:val="0"/>
          <w:divBdr>
            <w:top w:val="none" w:sz="0" w:space="0" w:color="auto"/>
            <w:left w:val="none" w:sz="0" w:space="0" w:color="auto"/>
            <w:bottom w:val="none" w:sz="0" w:space="0" w:color="auto"/>
            <w:right w:val="none" w:sz="0" w:space="0" w:color="auto"/>
          </w:divBdr>
          <w:divsChild>
            <w:div w:id="2116053639">
              <w:marLeft w:val="0"/>
              <w:marRight w:val="0"/>
              <w:marTop w:val="120"/>
              <w:marBottom w:val="0"/>
              <w:divBdr>
                <w:top w:val="none" w:sz="0" w:space="0" w:color="auto"/>
                <w:left w:val="none" w:sz="0" w:space="0" w:color="auto"/>
                <w:bottom w:val="none" w:sz="0" w:space="0" w:color="auto"/>
                <w:right w:val="none" w:sz="0" w:space="0" w:color="auto"/>
              </w:divBdr>
            </w:div>
            <w:div w:id="1355036577">
              <w:marLeft w:val="0"/>
              <w:marRight w:val="0"/>
              <w:marTop w:val="0"/>
              <w:marBottom w:val="0"/>
              <w:divBdr>
                <w:top w:val="none" w:sz="0" w:space="0" w:color="auto"/>
                <w:left w:val="none" w:sz="0" w:space="0" w:color="auto"/>
                <w:bottom w:val="none" w:sz="0" w:space="0" w:color="auto"/>
                <w:right w:val="none" w:sz="0" w:space="0" w:color="auto"/>
              </w:divBdr>
              <w:divsChild>
                <w:div w:id="18919184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3954041">
          <w:marLeft w:val="0"/>
          <w:marRight w:val="0"/>
          <w:marTop w:val="0"/>
          <w:marBottom w:val="0"/>
          <w:divBdr>
            <w:top w:val="none" w:sz="0" w:space="0" w:color="auto"/>
            <w:left w:val="none" w:sz="0" w:space="0" w:color="auto"/>
            <w:bottom w:val="none" w:sz="0" w:space="0" w:color="auto"/>
            <w:right w:val="none" w:sz="0" w:space="0" w:color="auto"/>
          </w:divBdr>
          <w:divsChild>
            <w:div w:id="2129354155">
              <w:marLeft w:val="0"/>
              <w:marRight w:val="0"/>
              <w:marTop w:val="120"/>
              <w:marBottom w:val="0"/>
              <w:divBdr>
                <w:top w:val="none" w:sz="0" w:space="0" w:color="auto"/>
                <w:left w:val="none" w:sz="0" w:space="0" w:color="auto"/>
                <w:bottom w:val="none" w:sz="0" w:space="0" w:color="auto"/>
                <w:right w:val="none" w:sz="0" w:space="0" w:color="auto"/>
              </w:divBdr>
            </w:div>
            <w:div w:id="306403473">
              <w:marLeft w:val="0"/>
              <w:marRight w:val="0"/>
              <w:marTop w:val="0"/>
              <w:marBottom w:val="0"/>
              <w:divBdr>
                <w:top w:val="none" w:sz="0" w:space="0" w:color="auto"/>
                <w:left w:val="none" w:sz="0" w:space="0" w:color="auto"/>
                <w:bottom w:val="none" w:sz="0" w:space="0" w:color="auto"/>
                <w:right w:val="none" w:sz="0" w:space="0" w:color="auto"/>
              </w:divBdr>
              <w:divsChild>
                <w:div w:id="4164457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9595825">
          <w:marLeft w:val="0"/>
          <w:marRight w:val="0"/>
          <w:marTop w:val="0"/>
          <w:marBottom w:val="0"/>
          <w:divBdr>
            <w:top w:val="none" w:sz="0" w:space="0" w:color="auto"/>
            <w:left w:val="none" w:sz="0" w:space="0" w:color="auto"/>
            <w:bottom w:val="none" w:sz="0" w:space="0" w:color="auto"/>
            <w:right w:val="none" w:sz="0" w:space="0" w:color="auto"/>
          </w:divBdr>
          <w:divsChild>
            <w:div w:id="1856726917">
              <w:marLeft w:val="0"/>
              <w:marRight w:val="0"/>
              <w:marTop w:val="120"/>
              <w:marBottom w:val="0"/>
              <w:divBdr>
                <w:top w:val="none" w:sz="0" w:space="0" w:color="auto"/>
                <w:left w:val="none" w:sz="0" w:space="0" w:color="auto"/>
                <w:bottom w:val="none" w:sz="0" w:space="0" w:color="auto"/>
                <w:right w:val="none" w:sz="0" w:space="0" w:color="auto"/>
              </w:divBdr>
            </w:div>
            <w:div w:id="1981375965">
              <w:marLeft w:val="0"/>
              <w:marRight w:val="0"/>
              <w:marTop w:val="0"/>
              <w:marBottom w:val="0"/>
              <w:divBdr>
                <w:top w:val="none" w:sz="0" w:space="0" w:color="auto"/>
                <w:left w:val="none" w:sz="0" w:space="0" w:color="auto"/>
                <w:bottom w:val="none" w:sz="0" w:space="0" w:color="auto"/>
                <w:right w:val="none" w:sz="0" w:space="0" w:color="auto"/>
              </w:divBdr>
              <w:divsChild>
                <w:div w:id="20163005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45910137">
          <w:marLeft w:val="0"/>
          <w:marRight w:val="0"/>
          <w:marTop w:val="0"/>
          <w:marBottom w:val="0"/>
          <w:divBdr>
            <w:top w:val="none" w:sz="0" w:space="0" w:color="auto"/>
            <w:left w:val="none" w:sz="0" w:space="0" w:color="auto"/>
            <w:bottom w:val="none" w:sz="0" w:space="0" w:color="auto"/>
            <w:right w:val="none" w:sz="0" w:space="0" w:color="auto"/>
          </w:divBdr>
          <w:divsChild>
            <w:div w:id="542863468">
              <w:marLeft w:val="0"/>
              <w:marRight w:val="0"/>
              <w:marTop w:val="120"/>
              <w:marBottom w:val="0"/>
              <w:divBdr>
                <w:top w:val="none" w:sz="0" w:space="0" w:color="auto"/>
                <w:left w:val="none" w:sz="0" w:space="0" w:color="auto"/>
                <w:bottom w:val="none" w:sz="0" w:space="0" w:color="auto"/>
                <w:right w:val="none" w:sz="0" w:space="0" w:color="auto"/>
              </w:divBdr>
            </w:div>
            <w:div w:id="1197308381">
              <w:marLeft w:val="0"/>
              <w:marRight w:val="0"/>
              <w:marTop w:val="0"/>
              <w:marBottom w:val="0"/>
              <w:divBdr>
                <w:top w:val="none" w:sz="0" w:space="0" w:color="auto"/>
                <w:left w:val="none" w:sz="0" w:space="0" w:color="auto"/>
                <w:bottom w:val="none" w:sz="0" w:space="0" w:color="auto"/>
                <w:right w:val="none" w:sz="0" w:space="0" w:color="auto"/>
              </w:divBdr>
              <w:divsChild>
                <w:div w:id="3965894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8570560">
          <w:marLeft w:val="0"/>
          <w:marRight w:val="0"/>
          <w:marTop w:val="0"/>
          <w:marBottom w:val="0"/>
          <w:divBdr>
            <w:top w:val="none" w:sz="0" w:space="0" w:color="auto"/>
            <w:left w:val="none" w:sz="0" w:space="0" w:color="auto"/>
            <w:bottom w:val="none" w:sz="0" w:space="0" w:color="auto"/>
            <w:right w:val="none" w:sz="0" w:space="0" w:color="auto"/>
          </w:divBdr>
          <w:divsChild>
            <w:div w:id="146022786">
              <w:marLeft w:val="0"/>
              <w:marRight w:val="0"/>
              <w:marTop w:val="120"/>
              <w:marBottom w:val="0"/>
              <w:divBdr>
                <w:top w:val="none" w:sz="0" w:space="0" w:color="auto"/>
                <w:left w:val="none" w:sz="0" w:space="0" w:color="auto"/>
                <w:bottom w:val="none" w:sz="0" w:space="0" w:color="auto"/>
                <w:right w:val="none" w:sz="0" w:space="0" w:color="auto"/>
              </w:divBdr>
            </w:div>
            <w:div w:id="1940260365">
              <w:marLeft w:val="0"/>
              <w:marRight w:val="0"/>
              <w:marTop w:val="0"/>
              <w:marBottom w:val="0"/>
              <w:divBdr>
                <w:top w:val="none" w:sz="0" w:space="0" w:color="auto"/>
                <w:left w:val="none" w:sz="0" w:space="0" w:color="auto"/>
                <w:bottom w:val="none" w:sz="0" w:space="0" w:color="auto"/>
                <w:right w:val="none" w:sz="0" w:space="0" w:color="auto"/>
              </w:divBdr>
              <w:divsChild>
                <w:div w:id="3158442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3021214">
          <w:marLeft w:val="0"/>
          <w:marRight w:val="0"/>
          <w:marTop w:val="0"/>
          <w:marBottom w:val="0"/>
          <w:divBdr>
            <w:top w:val="none" w:sz="0" w:space="0" w:color="auto"/>
            <w:left w:val="none" w:sz="0" w:space="0" w:color="auto"/>
            <w:bottom w:val="none" w:sz="0" w:space="0" w:color="auto"/>
            <w:right w:val="none" w:sz="0" w:space="0" w:color="auto"/>
          </w:divBdr>
          <w:divsChild>
            <w:div w:id="168058659">
              <w:marLeft w:val="0"/>
              <w:marRight w:val="0"/>
              <w:marTop w:val="120"/>
              <w:marBottom w:val="0"/>
              <w:divBdr>
                <w:top w:val="none" w:sz="0" w:space="0" w:color="auto"/>
                <w:left w:val="none" w:sz="0" w:space="0" w:color="auto"/>
                <w:bottom w:val="none" w:sz="0" w:space="0" w:color="auto"/>
                <w:right w:val="none" w:sz="0" w:space="0" w:color="auto"/>
              </w:divBdr>
            </w:div>
            <w:div w:id="984359129">
              <w:marLeft w:val="0"/>
              <w:marRight w:val="0"/>
              <w:marTop w:val="0"/>
              <w:marBottom w:val="0"/>
              <w:divBdr>
                <w:top w:val="none" w:sz="0" w:space="0" w:color="auto"/>
                <w:left w:val="none" w:sz="0" w:space="0" w:color="auto"/>
                <w:bottom w:val="none" w:sz="0" w:space="0" w:color="auto"/>
                <w:right w:val="none" w:sz="0" w:space="0" w:color="auto"/>
              </w:divBdr>
              <w:divsChild>
                <w:div w:id="13933110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30194325">
          <w:marLeft w:val="1440"/>
          <w:marRight w:val="0"/>
          <w:marTop w:val="0"/>
          <w:marBottom w:val="0"/>
          <w:divBdr>
            <w:top w:val="none" w:sz="0" w:space="0" w:color="auto"/>
            <w:left w:val="none" w:sz="0" w:space="0" w:color="auto"/>
            <w:bottom w:val="none" w:sz="0" w:space="0" w:color="auto"/>
            <w:right w:val="none" w:sz="0" w:space="0" w:color="auto"/>
          </w:divBdr>
        </w:div>
        <w:div w:id="528032186">
          <w:marLeft w:val="1440"/>
          <w:marRight w:val="0"/>
          <w:marTop w:val="0"/>
          <w:marBottom w:val="0"/>
          <w:divBdr>
            <w:top w:val="none" w:sz="0" w:space="0" w:color="auto"/>
            <w:left w:val="none" w:sz="0" w:space="0" w:color="auto"/>
            <w:bottom w:val="none" w:sz="0" w:space="0" w:color="auto"/>
            <w:right w:val="none" w:sz="0" w:space="0" w:color="auto"/>
          </w:divBdr>
        </w:div>
        <w:div w:id="1764648646">
          <w:marLeft w:val="1440"/>
          <w:marRight w:val="0"/>
          <w:marTop w:val="0"/>
          <w:marBottom w:val="0"/>
          <w:divBdr>
            <w:top w:val="none" w:sz="0" w:space="0" w:color="auto"/>
            <w:left w:val="none" w:sz="0" w:space="0" w:color="auto"/>
            <w:bottom w:val="none" w:sz="0" w:space="0" w:color="auto"/>
            <w:right w:val="none" w:sz="0" w:space="0" w:color="auto"/>
          </w:divBdr>
        </w:div>
        <w:div w:id="1572957468">
          <w:marLeft w:val="0"/>
          <w:marRight w:val="0"/>
          <w:marTop w:val="0"/>
          <w:marBottom w:val="0"/>
          <w:divBdr>
            <w:top w:val="none" w:sz="0" w:space="0" w:color="auto"/>
            <w:left w:val="none" w:sz="0" w:space="0" w:color="auto"/>
            <w:bottom w:val="none" w:sz="0" w:space="0" w:color="auto"/>
            <w:right w:val="none" w:sz="0" w:space="0" w:color="auto"/>
          </w:divBdr>
          <w:divsChild>
            <w:div w:id="1762021644">
              <w:marLeft w:val="0"/>
              <w:marRight w:val="0"/>
              <w:marTop w:val="120"/>
              <w:marBottom w:val="0"/>
              <w:divBdr>
                <w:top w:val="none" w:sz="0" w:space="0" w:color="auto"/>
                <w:left w:val="none" w:sz="0" w:space="0" w:color="auto"/>
                <w:bottom w:val="none" w:sz="0" w:space="0" w:color="auto"/>
                <w:right w:val="none" w:sz="0" w:space="0" w:color="auto"/>
              </w:divBdr>
            </w:div>
            <w:div w:id="1228414103">
              <w:marLeft w:val="0"/>
              <w:marRight w:val="0"/>
              <w:marTop w:val="0"/>
              <w:marBottom w:val="0"/>
              <w:divBdr>
                <w:top w:val="none" w:sz="0" w:space="0" w:color="auto"/>
                <w:left w:val="none" w:sz="0" w:space="0" w:color="auto"/>
                <w:bottom w:val="none" w:sz="0" w:space="0" w:color="auto"/>
                <w:right w:val="none" w:sz="0" w:space="0" w:color="auto"/>
              </w:divBdr>
              <w:divsChild>
                <w:div w:id="1563832005">
                  <w:marLeft w:val="0"/>
                  <w:marRight w:val="0"/>
                  <w:marTop w:val="120"/>
                  <w:marBottom w:val="0"/>
                  <w:divBdr>
                    <w:top w:val="none" w:sz="0" w:space="0" w:color="auto"/>
                    <w:left w:val="none" w:sz="0" w:space="0" w:color="auto"/>
                    <w:bottom w:val="none" w:sz="0" w:space="0" w:color="auto"/>
                    <w:right w:val="none" w:sz="0" w:space="0" w:color="auto"/>
                  </w:divBdr>
                </w:div>
                <w:div w:id="1466855321">
                  <w:marLeft w:val="0"/>
                  <w:marRight w:val="0"/>
                  <w:marTop w:val="120"/>
                  <w:marBottom w:val="0"/>
                  <w:divBdr>
                    <w:top w:val="none" w:sz="0" w:space="0" w:color="auto"/>
                    <w:left w:val="none" w:sz="0" w:space="0" w:color="auto"/>
                    <w:bottom w:val="none" w:sz="0" w:space="0" w:color="auto"/>
                    <w:right w:val="none" w:sz="0" w:space="0" w:color="auto"/>
                  </w:divBdr>
                </w:div>
                <w:div w:id="1511599683">
                  <w:marLeft w:val="0"/>
                  <w:marRight w:val="0"/>
                  <w:marTop w:val="120"/>
                  <w:marBottom w:val="0"/>
                  <w:divBdr>
                    <w:top w:val="none" w:sz="0" w:space="0" w:color="auto"/>
                    <w:left w:val="none" w:sz="0" w:space="0" w:color="auto"/>
                    <w:bottom w:val="none" w:sz="0" w:space="0" w:color="auto"/>
                    <w:right w:val="none" w:sz="0" w:space="0" w:color="auto"/>
                  </w:divBdr>
                </w:div>
                <w:div w:id="17060554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555155">
          <w:marLeft w:val="0"/>
          <w:marRight w:val="0"/>
          <w:marTop w:val="0"/>
          <w:marBottom w:val="0"/>
          <w:divBdr>
            <w:top w:val="none" w:sz="0" w:space="0" w:color="auto"/>
            <w:left w:val="none" w:sz="0" w:space="0" w:color="auto"/>
            <w:bottom w:val="none" w:sz="0" w:space="0" w:color="auto"/>
            <w:right w:val="none" w:sz="0" w:space="0" w:color="auto"/>
          </w:divBdr>
          <w:divsChild>
            <w:div w:id="1906336851">
              <w:marLeft w:val="0"/>
              <w:marRight w:val="0"/>
              <w:marTop w:val="120"/>
              <w:marBottom w:val="0"/>
              <w:divBdr>
                <w:top w:val="none" w:sz="0" w:space="0" w:color="auto"/>
                <w:left w:val="none" w:sz="0" w:space="0" w:color="auto"/>
                <w:bottom w:val="none" w:sz="0" w:space="0" w:color="auto"/>
                <w:right w:val="none" w:sz="0" w:space="0" w:color="auto"/>
              </w:divBdr>
            </w:div>
            <w:div w:id="1082684901">
              <w:marLeft w:val="0"/>
              <w:marRight w:val="0"/>
              <w:marTop w:val="0"/>
              <w:marBottom w:val="0"/>
              <w:divBdr>
                <w:top w:val="none" w:sz="0" w:space="0" w:color="auto"/>
                <w:left w:val="none" w:sz="0" w:space="0" w:color="auto"/>
                <w:bottom w:val="none" w:sz="0" w:space="0" w:color="auto"/>
                <w:right w:val="none" w:sz="0" w:space="0" w:color="auto"/>
              </w:divBdr>
              <w:divsChild>
                <w:div w:id="1810510546">
                  <w:marLeft w:val="0"/>
                  <w:marRight w:val="0"/>
                  <w:marTop w:val="120"/>
                  <w:marBottom w:val="0"/>
                  <w:divBdr>
                    <w:top w:val="none" w:sz="0" w:space="0" w:color="auto"/>
                    <w:left w:val="none" w:sz="0" w:space="0" w:color="auto"/>
                    <w:bottom w:val="none" w:sz="0" w:space="0" w:color="auto"/>
                    <w:right w:val="none" w:sz="0" w:space="0" w:color="auto"/>
                  </w:divBdr>
                </w:div>
                <w:div w:id="9873972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62319044">
          <w:marLeft w:val="0"/>
          <w:marRight w:val="0"/>
          <w:marTop w:val="0"/>
          <w:marBottom w:val="0"/>
          <w:divBdr>
            <w:top w:val="none" w:sz="0" w:space="0" w:color="auto"/>
            <w:left w:val="none" w:sz="0" w:space="0" w:color="auto"/>
            <w:bottom w:val="none" w:sz="0" w:space="0" w:color="auto"/>
            <w:right w:val="none" w:sz="0" w:space="0" w:color="auto"/>
          </w:divBdr>
          <w:divsChild>
            <w:div w:id="847594641">
              <w:marLeft w:val="0"/>
              <w:marRight w:val="0"/>
              <w:marTop w:val="120"/>
              <w:marBottom w:val="0"/>
              <w:divBdr>
                <w:top w:val="none" w:sz="0" w:space="0" w:color="auto"/>
                <w:left w:val="none" w:sz="0" w:space="0" w:color="auto"/>
                <w:bottom w:val="none" w:sz="0" w:space="0" w:color="auto"/>
                <w:right w:val="none" w:sz="0" w:space="0" w:color="auto"/>
              </w:divBdr>
            </w:div>
            <w:div w:id="423065104">
              <w:marLeft w:val="0"/>
              <w:marRight w:val="0"/>
              <w:marTop w:val="0"/>
              <w:marBottom w:val="0"/>
              <w:divBdr>
                <w:top w:val="none" w:sz="0" w:space="0" w:color="auto"/>
                <w:left w:val="none" w:sz="0" w:space="0" w:color="auto"/>
                <w:bottom w:val="none" w:sz="0" w:space="0" w:color="auto"/>
                <w:right w:val="none" w:sz="0" w:space="0" w:color="auto"/>
              </w:divBdr>
              <w:divsChild>
                <w:div w:id="467824146">
                  <w:marLeft w:val="0"/>
                  <w:marRight w:val="0"/>
                  <w:marTop w:val="120"/>
                  <w:marBottom w:val="0"/>
                  <w:divBdr>
                    <w:top w:val="none" w:sz="0" w:space="0" w:color="auto"/>
                    <w:left w:val="none" w:sz="0" w:space="0" w:color="auto"/>
                    <w:bottom w:val="none" w:sz="0" w:space="0" w:color="auto"/>
                    <w:right w:val="none" w:sz="0" w:space="0" w:color="auto"/>
                  </w:divBdr>
                </w:div>
                <w:div w:id="1684552327">
                  <w:marLeft w:val="0"/>
                  <w:marRight w:val="0"/>
                  <w:marTop w:val="120"/>
                  <w:marBottom w:val="0"/>
                  <w:divBdr>
                    <w:top w:val="none" w:sz="0" w:space="0" w:color="auto"/>
                    <w:left w:val="none" w:sz="0" w:space="0" w:color="auto"/>
                    <w:bottom w:val="none" w:sz="0" w:space="0" w:color="auto"/>
                    <w:right w:val="none" w:sz="0" w:space="0" w:color="auto"/>
                  </w:divBdr>
                </w:div>
                <w:div w:id="1898204505">
                  <w:marLeft w:val="0"/>
                  <w:marRight w:val="0"/>
                  <w:marTop w:val="120"/>
                  <w:marBottom w:val="0"/>
                  <w:divBdr>
                    <w:top w:val="none" w:sz="0" w:space="0" w:color="auto"/>
                    <w:left w:val="none" w:sz="0" w:space="0" w:color="auto"/>
                    <w:bottom w:val="none" w:sz="0" w:space="0" w:color="auto"/>
                    <w:right w:val="none" w:sz="0" w:space="0" w:color="auto"/>
                  </w:divBdr>
                </w:div>
                <w:div w:id="1803301935">
                  <w:marLeft w:val="0"/>
                  <w:marRight w:val="0"/>
                  <w:marTop w:val="120"/>
                  <w:marBottom w:val="0"/>
                  <w:divBdr>
                    <w:top w:val="none" w:sz="0" w:space="0" w:color="auto"/>
                    <w:left w:val="none" w:sz="0" w:space="0" w:color="auto"/>
                    <w:bottom w:val="none" w:sz="0" w:space="0" w:color="auto"/>
                    <w:right w:val="none" w:sz="0" w:space="0" w:color="auto"/>
                  </w:divBdr>
                  <w:divsChild>
                    <w:div w:id="1643845821">
                      <w:marLeft w:val="0"/>
                      <w:marRight w:val="0"/>
                      <w:marTop w:val="0"/>
                      <w:marBottom w:val="0"/>
                      <w:divBdr>
                        <w:top w:val="none" w:sz="0" w:space="0" w:color="auto"/>
                        <w:left w:val="none" w:sz="0" w:space="0" w:color="auto"/>
                        <w:bottom w:val="none" w:sz="0" w:space="0" w:color="auto"/>
                        <w:right w:val="none" w:sz="0" w:space="0" w:color="auto"/>
                      </w:divBdr>
                      <w:divsChild>
                        <w:div w:id="1748378824">
                          <w:marLeft w:val="0"/>
                          <w:marRight w:val="0"/>
                          <w:marTop w:val="120"/>
                          <w:marBottom w:val="0"/>
                          <w:divBdr>
                            <w:top w:val="none" w:sz="0" w:space="0" w:color="auto"/>
                            <w:left w:val="none" w:sz="0" w:space="0" w:color="auto"/>
                            <w:bottom w:val="none" w:sz="0" w:space="0" w:color="auto"/>
                            <w:right w:val="none" w:sz="0" w:space="0" w:color="auto"/>
                          </w:divBdr>
                        </w:div>
                        <w:div w:id="944311186">
                          <w:marLeft w:val="0"/>
                          <w:marRight w:val="0"/>
                          <w:marTop w:val="0"/>
                          <w:marBottom w:val="0"/>
                          <w:divBdr>
                            <w:top w:val="none" w:sz="0" w:space="0" w:color="auto"/>
                            <w:left w:val="none" w:sz="0" w:space="0" w:color="auto"/>
                            <w:bottom w:val="none" w:sz="0" w:space="0" w:color="auto"/>
                            <w:right w:val="none" w:sz="0" w:space="0" w:color="auto"/>
                          </w:divBdr>
                          <w:divsChild>
                            <w:div w:id="4225799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1904428">
                      <w:marLeft w:val="0"/>
                      <w:marRight w:val="0"/>
                      <w:marTop w:val="0"/>
                      <w:marBottom w:val="0"/>
                      <w:divBdr>
                        <w:top w:val="none" w:sz="0" w:space="0" w:color="auto"/>
                        <w:left w:val="none" w:sz="0" w:space="0" w:color="auto"/>
                        <w:bottom w:val="none" w:sz="0" w:space="0" w:color="auto"/>
                        <w:right w:val="none" w:sz="0" w:space="0" w:color="auto"/>
                      </w:divBdr>
                      <w:divsChild>
                        <w:div w:id="126511175">
                          <w:marLeft w:val="0"/>
                          <w:marRight w:val="0"/>
                          <w:marTop w:val="120"/>
                          <w:marBottom w:val="0"/>
                          <w:divBdr>
                            <w:top w:val="none" w:sz="0" w:space="0" w:color="auto"/>
                            <w:left w:val="none" w:sz="0" w:space="0" w:color="auto"/>
                            <w:bottom w:val="none" w:sz="0" w:space="0" w:color="auto"/>
                            <w:right w:val="none" w:sz="0" w:space="0" w:color="auto"/>
                          </w:divBdr>
                        </w:div>
                        <w:div w:id="1896430645">
                          <w:marLeft w:val="0"/>
                          <w:marRight w:val="0"/>
                          <w:marTop w:val="0"/>
                          <w:marBottom w:val="0"/>
                          <w:divBdr>
                            <w:top w:val="none" w:sz="0" w:space="0" w:color="auto"/>
                            <w:left w:val="none" w:sz="0" w:space="0" w:color="auto"/>
                            <w:bottom w:val="none" w:sz="0" w:space="0" w:color="auto"/>
                            <w:right w:val="none" w:sz="0" w:space="0" w:color="auto"/>
                          </w:divBdr>
                          <w:divsChild>
                            <w:div w:id="4665565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1870958">
                      <w:marLeft w:val="0"/>
                      <w:marRight w:val="0"/>
                      <w:marTop w:val="0"/>
                      <w:marBottom w:val="0"/>
                      <w:divBdr>
                        <w:top w:val="none" w:sz="0" w:space="0" w:color="auto"/>
                        <w:left w:val="none" w:sz="0" w:space="0" w:color="auto"/>
                        <w:bottom w:val="none" w:sz="0" w:space="0" w:color="auto"/>
                        <w:right w:val="none" w:sz="0" w:space="0" w:color="auto"/>
                      </w:divBdr>
                      <w:divsChild>
                        <w:div w:id="873466105">
                          <w:marLeft w:val="0"/>
                          <w:marRight w:val="0"/>
                          <w:marTop w:val="120"/>
                          <w:marBottom w:val="0"/>
                          <w:divBdr>
                            <w:top w:val="none" w:sz="0" w:space="0" w:color="auto"/>
                            <w:left w:val="none" w:sz="0" w:space="0" w:color="auto"/>
                            <w:bottom w:val="none" w:sz="0" w:space="0" w:color="auto"/>
                            <w:right w:val="none" w:sz="0" w:space="0" w:color="auto"/>
                          </w:divBdr>
                        </w:div>
                        <w:div w:id="1545631582">
                          <w:marLeft w:val="0"/>
                          <w:marRight w:val="0"/>
                          <w:marTop w:val="0"/>
                          <w:marBottom w:val="0"/>
                          <w:divBdr>
                            <w:top w:val="none" w:sz="0" w:space="0" w:color="auto"/>
                            <w:left w:val="none" w:sz="0" w:space="0" w:color="auto"/>
                            <w:bottom w:val="none" w:sz="0" w:space="0" w:color="auto"/>
                            <w:right w:val="none" w:sz="0" w:space="0" w:color="auto"/>
                          </w:divBdr>
                          <w:divsChild>
                            <w:div w:id="904990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5480235">
                      <w:marLeft w:val="0"/>
                      <w:marRight w:val="0"/>
                      <w:marTop w:val="0"/>
                      <w:marBottom w:val="0"/>
                      <w:divBdr>
                        <w:top w:val="none" w:sz="0" w:space="0" w:color="auto"/>
                        <w:left w:val="none" w:sz="0" w:space="0" w:color="auto"/>
                        <w:bottom w:val="none" w:sz="0" w:space="0" w:color="auto"/>
                        <w:right w:val="none" w:sz="0" w:space="0" w:color="auto"/>
                      </w:divBdr>
                      <w:divsChild>
                        <w:div w:id="104812219">
                          <w:marLeft w:val="0"/>
                          <w:marRight w:val="0"/>
                          <w:marTop w:val="120"/>
                          <w:marBottom w:val="0"/>
                          <w:divBdr>
                            <w:top w:val="none" w:sz="0" w:space="0" w:color="auto"/>
                            <w:left w:val="none" w:sz="0" w:space="0" w:color="auto"/>
                            <w:bottom w:val="none" w:sz="0" w:space="0" w:color="auto"/>
                            <w:right w:val="none" w:sz="0" w:space="0" w:color="auto"/>
                          </w:divBdr>
                        </w:div>
                        <w:div w:id="111360962">
                          <w:marLeft w:val="0"/>
                          <w:marRight w:val="0"/>
                          <w:marTop w:val="0"/>
                          <w:marBottom w:val="0"/>
                          <w:divBdr>
                            <w:top w:val="none" w:sz="0" w:space="0" w:color="auto"/>
                            <w:left w:val="none" w:sz="0" w:space="0" w:color="auto"/>
                            <w:bottom w:val="none" w:sz="0" w:space="0" w:color="auto"/>
                            <w:right w:val="none" w:sz="0" w:space="0" w:color="auto"/>
                          </w:divBdr>
                          <w:divsChild>
                            <w:div w:id="1759295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08509536">
                      <w:marLeft w:val="0"/>
                      <w:marRight w:val="0"/>
                      <w:marTop w:val="0"/>
                      <w:marBottom w:val="0"/>
                      <w:divBdr>
                        <w:top w:val="none" w:sz="0" w:space="0" w:color="auto"/>
                        <w:left w:val="none" w:sz="0" w:space="0" w:color="auto"/>
                        <w:bottom w:val="none" w:sz="0" w:space="0" w:color="auto"/>
                        <w:right w:val="none" w:sz="0" w:space="0" w:color="auto"/>
                      </w:divBdr>
                      <w:divsChild>
                        <w:div w:id="2104835378">
                          <w:marLeft w:val="0"/>
                          <w:marRight w:val="0"/>
                          <w:marTop w:val="120"/>
                          <w:marBottom w:val="0"/>
                          <w:divBdr>
                            <w:top w:val="none" w:sz="0" w:space="0" w:color="auto"/>
                            <w:left w:val="none" w:sz="0" w:space="0" w:color="auto"/>
                            <w:bottom w:val="none" w:sz="0" w:space="0" w:color="auto"/>
                            <w:right w:val="none" w:sz="0" w:space="0" w:color="auto"/>
                          </w:divBdr>
                        </w:div>
                        <w:div w:id="578104104">
                          <w:marLeft w:val="0"/>
                          <w:marRight w:val="0"/>
                          <w:marTop w:val="0"/>
                          <w:marBottom w:val="0"/>
                          <w:divBdr>
                            <w:top w:val="none" w:sz="0" w:space="0" w:color="auto"/>
                            <w:left w:val="none" w:sz="0" w:space="0" w:color="auto"/>
                            <w:bottom w:val="none" w:sz="0" w:space="0" w:color="auto"/>
                            <w:right w:val="none" w:sz="0" w:space="0" w:color="auto"/>
                          </w:divBdr>
                          <w:divsChild>
                            <w:div w:id="8281331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9552">
          <w:marLeft w:val="1440"/>
          <w:marRight w:val="0"/>
          <w:marTop w:val="0"/>
          <w:marBottom w:val="0"/>
          <w:divBdr>
            <w:top w:val="none" w:sz="0" w:space="0" w:color="auto"/>
            <w:left w:val="none" w:sz="0" w:space="0" w:color="auto"/>
            <w:bottom w:val="none" w:sz="0" w:space="0" w:color="auto"/>
            <w:right w:val="none" w:sz="0" w:space="0" w:color="auto"/>
          </w:divBdr>
        </w:div>
        <w:div w:id="189533451">
          <w:marLeft w:val="0"/>
          <w:marRight w:val="0"/>
          <w:marTop w:val="0"/>
          <w:marBottom w:val="0"/>
          <w:divBdr>
            <w:top w:val="none" w:sz="0" w:space="0" w:color="auto"/>
            <w:left w:val="none" w:sz="0" w:space="0" w:color="auto"/>
            <w:bottom w:val="none" w:sz="0" w:space="0" w:color="auto"/>
            <w:right w:val="none" w:sz="0" w:space="0" w:color="auto"/>
          </w:divBdr>
          <w:divsChild>
            <w:div w:id="417481994">
              <w:marLeft w:val="0"/>
              <w:marRight w:val="0"/>
              <w:marTop w:val="120"/>
              <w:marBottom w:val="0"/>
              <w:divBdr>
                <w:top w:val="none" w:sz="0" w:space="0" w:color="auto"/>
                <w:left w:val="none" w:sz="0" w:space="0" w:color="auto"/>
                <w:bottom w:val="none" w:sz="0" w:space="0" w:color="auto"/>
                <w:right w:val="none" w:sz="0" w:space="0" w:color="auto"/>
              </w:divBdr>
            </w:div>
            <w:div w:id="37052420">
              <w:marLeft w:val="0"/>
              <w:marRight w:val="0"/>
              <w:marTop w:val="0"/>
              <w:marBottom w:val="0"/>
              <w:divBdr>
                <w:top w:val="none" w:sz="0" w:space="0" w:color="auto"/>
                <w:left w:val="none" w:sz="0" w:space="0" w:color="auto"/>
                <w:bottom w:val="none" w:sz="0" w:space="0" w:color="auto"/>
                <w:right w:val="none" w:sz="0" w:space="0" w:color="auto"/>
              </w:divBdr>
              <w:divsChild>
                <w:div w:id="563949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0739367">
          <w:marLeft w:val="0"/>
          <w:marRight w:val="0"/>
          <w:marTop w:val="0"/>
          <w:marBottom w:val="0"/>
          <w:divBdr>
            <w:top w:val="none" w:sz="0" w:space="0" w:color="auto"/>
            <w:left w:val="none" w:sz="0" w:space="0" w:color="auto"/>
            <w:bottom w:val="none" w:sz="0" w:space="0" w:color="auto"/>
            <w:right w:val="none" w:sz="0" w:space="0" w:color="auto"/>
          </w:divBdr>
          <w:divsChild>
            <w:div w:id="1520895439">
              <w:marLeft w:val="0"/>
              <w:marRight w:val="0"/>
              <w:marTop w:val="120"/>
              <w:marBottom w:val="0"/>
              <w:divBdr>
                <w:top w:val="none" w:sz="0" w:space="0" w:color="auto"/>
                <w:left w:val="none" w:sz="0" w:space="0" w:color="auto"/>
                <w:bottom w:val="none" w:sz="0" w:space="0" w:color="auto"/>
                <w:right w:val="none" w:sz="0" w:space="0" w:color="auto"/>
              </w:divBdr>
            </w:div>
            <w:div w:id="110366605">
              <w:marLeft w:val="0"/>
              <w:marRight w:val="0"/>
              <w:marTop w:val="0"/>
              <w:marBottom w:val="0"/>
              <w:divBdr>
                <w:top w:val="none" w:sz="0" w:space="0" w:color="auto"/>
                <w:left w:val="none" w:sz="0" w:space="0" w:color="auto"/>
                <w:bottom w:val="none" w:sz="0" w:space="0" w:color="auto"/>
                <w:right w:val="none" w:sz="0" w:space="0" w:color="auto"/>
              </w:divBdr>
              <w:divsChild>
                <w:div w:id="12942110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8674260">
          <w:marLeft w:val="0"/>
          <w:marRight w:val="0"/>
          <w:marTop w:val="0"/>
          <w:marBottom w:val="0"/>
          <w:divBdr>
            <w:top w:val="none" w:sz="0" w:space="0" w:color="auto"/>
            <w:left w:val="none" w:sz="0" w:space="0" w:color="auto"/>
            <w:bottom w:val="none" w:sz="0" w:space="0" w:color="auto"/>
            <w:right w:val="none" w:sz="0" w:space="0" w:color="auto"/>
          </w:divBdr>
          <w:divsChild>
            <w:div w:id="1064522196">
              <w:marLeft w:val="0"/>
              <w:marRight w:val="0"/>
              <w:marTop w:val="120"/>
              <w:marBottom w:val="0"/>
              <w:divBdr>
                <w:top w:val="none" w:sz="0" w:space="0" w:color="auto"/>
                <w:left w:val="none" w:sz="0" w:space="0" w:color="auto"/>
                <w:bottom w:val="none" w:sz="0" w:space="0" w:color="auto"/>
                <w:right w:val="none" w:sz="0" w:space="0" w:color="auto"/>
              </w:divBdr>
            </w:div>
            <w:div w:id="1829058131">
              <w:marLeft w:val="0"/>
              <w:marRight w:val="0"/>
              <w:marTop w:val="0"/>
              <w:marBottom w:val="0"/>
              <w:divBdr>
                <w:top w:val="none" w:sz="0" w:space="0" w:color="auto"/>
                <w:left w:val="none" w:sz="0" w:space="0" w:color="auto"/>
                <w:bottom w:val="none" w:sz="0" w:space="0" w:color="auto"/>
                <w:right w:val="none" w:sz="0" w:space="0" w:color="auto"/>
              </w:divBdr>
              <w:divsChild>
                <w:div w:id="11380386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9876471">
          <w:marLeft w:val="1200"/>
          <w:marRight w:val="0"/>
          <w:marTop w:val="0"/>
          <w:marBottom w:val="0"/>
          <w:divBdr>
            <w:top w:val="none" w:sz="0" w:space="0" w:color="auto"/>
            <w:left w:val="none" w:sz="0" w:space="0" w:color="auto"/>
            <w:bottom w:val="none" w:sz="0" w:space="0" w:color="auto"/>
            <w:right w:val="none" w:sz="0" w:space="0" w:color="auto"/>
          </w:divBdr>
        </w:div>
        <w:div w:id="360670028">
          <w:marLeft w:val="0"/>
          <w:marRight w:val="0"/>
          <w:marTop w:val="0"/>
          <w:marBottom w:val="0"/>
          <w:divBdr>
            <w:top w:val="none" w:sz="0" w:space="0" w:color="auto"/>
            <w:left w:val="none" w:sz="0" w:space="0" w:color="auto"/>
            <w:bottom w:val="none" w:sz="0" w:space="0" w:color="auto"/>
            <w:right w:val="none" w:sz="0" w:space="0" w:color="auto"/>
          </w:divBdr>
          <w:divsChild>
            <w:div w:id="1155561728">
              <w:marLeft w:val="0"/>
              <w:marRight w:val="0"/>
              <w:marTop w:val="120"/>
              <w:marBottom w:val="0"/>
              <w:divBdr>
                <w:top w:val="none" w:sz="0" w:space="0" w:color="auto"/>
                <w:left w:val="none" w:sz="0" w:space="0" w:color="auto"/>
                <w:bottom w:val="none" w:sz="0" w:space="0" w:color="auto"/>
                <w:right w:val="none" w:sz="0" w:space="0" w:color="auto"/>
              </w:divBdr>
            </w:div>
            <w:div w:id="1630164138">
              <w:marLeft w:val="0"/>
              <w:marRight w:val="0"/>
              <w:marTop w:val="0"/>
              <w:marBottom w:val="0"/>
              <w:divBdr>
                <w:top w:val="none" w:sz="0" w:space="0" w:color="auto"/>
                <w:left w:val="none" w:sz="0" w:space="0" w:color="auto"/>
                <w:bottom w:val="none" w:sz="0" w:space="0" w:color="auto"/>
                <w:right w:val="none" w:sz="0" w:space="0" w:color="auto"/>
              </w:divBdr>
              <w:divsChild>
                <w:div w:id="7096521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4826253">
          <w:marLeft w:val="0"/>
          <w:marRight w:val="0"/>
          <w:marTop w:val="0"/>
          <w:marBottom w:val="0"/>
          <w:divBdr>
            <w:top w:val="none" w:sz="0" w:space="0" w:color="auto"/>
            <w:left w:val="none" w:sz="0" w:space="0" w:color="auto"/>
            <w:bottom w:val="none" w:sz="0" w:space="0" w:color="auto"/>
            <w:right w:val="none" w:sz="0" w:space="0" w:color="auto"/>
          </w:divBdr>
          <w:divsChild>
            <w:div w:id="136846486">
              <w:marLeft w:val="0"/>
              <w:marRight w:val="0"/>
              <w:marTop w:val="120"/>
              <w:marBottom w:val="0"/>
              <w:divBdr>
                <w:top w:val="none" w:sz="0" w:space="0" w:color="auto"/>
                <w:left w:val="none" w:sz="0" w:space="0" w:color="auto"/>
                <w:bottom w:val="none" w:sz="0" w:space="0" w:color="auto"/>
                <w:right w:val="none" w:sz="0" w:space="0" w:color="auto"/>
              </w:divBdr>
            </w:div>
            <w:div w:id="937373031">
              <w:marLeft w:val="0"/>
              <w:marRight w:val="0"/>
              <w:marTop w:val="0"/>
              <w:marBottom w:val="0"/>
              <w:divBdr>
                <w:top w:val="none" w:sz="0" w:space="0" w:color="auto"/>
                <w:left w:val="none" w:sz="0" w:space="0" w:color="auto"/>
                <w:bottom w:val="none" w:sz="0" w:space="0" w:color="auto"/>
                <w:right w:val="none" w:sz="0" w:space="0" w:color="auto"/>
              </w:divBdr>
              <w:divsChild>
                <w:div w:id="12187393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55835119">
          <w:marLeft w:val="0"/>
          <w:marRight w:val="0"/>
          <w:marTop w:val="0"/>
          <w:marBottom w:val="0"/>
          <w:divBdr>
            <w:top w:val="none" w:sz="0" w:space="0" w:color="auto"/>
            <w:left w:val="none" w:sz="0" w:space="0" w:color="auto"/>
            <w:bottom w:val="none" w:sz="0" w:space="0" w:color="auto"/>
            <w:right w:val="none" w:sz="0" w:space="0" w:color="auto"/>
          </w:divBdr>
          <w:divsChild>
            <w:div w:id="453527814">
              <w:marLeft w:val="0"/>
              <w:marRight w:val="0"/>
              <w:marTop w:val="120"/>
              <w:marBottom w:val="0"/>
              <w:divBdr>
                <w:top w:val="none" w:sz="0" w:space="0" w:color="auto"/>
                <w:left w:val="none" w:sz="0" w:space="0" w:color="auto"/>
                <w:bottom w:val="none" w:sz="0" w:space="0" w:color="auto"/>
                <w:right w:val="none" w:sz="0" w:space="0" w:color="auto"/>
              </w:divBdr>
            </w:div>
            <w:div w:id="1159273137">
              <w:marLeft w:val="0"/>
              <w:marRight w:val="0"/>
              <w:marTop w:val="0"/>
              <w:marBottom w:val="0"/>
              <w:divBdr>
                <w:top w:val="none" w:sz="0" w:space="0" w:color="auto"/>
                <w:left w:val="none" w:sz="0" w:space="0" w:color="auto"/>
                <w:bottom w:val="none" w:sz="0" w:space="0" w:color="auto"/>
                <w:right w:val="none" w:sz="0" w:space="0" w:color="auto"/>
              </w:divBdr>
              <w:divsChild>
                <w:div w:id="2495861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91363881">
          <w:marLeft w:val="1200"/>
          <w:marRight w:val="0"/>
          <w:marTop w:val="0"/>
          <w:marBottom w:val="0"/>
          <w:divBdr>
            <w:top w:val="none" w:sz="0" w:space="0" w:color="auto"/>
            <w:left w:val="none" w:sz="0" w:space="0" w:color="auto"/>
            <w:bottom w:val="none" w:sz="0" w:space="0" w:color="auto"/>
            <w:right w:val="none" w:sz="0" w:space="0" w:color="auto"/>
          </w:divBdr>
        </w:div>
        <w:div w:id="360984439">
          <w:marLeft w:val="0"/>
          <w:marRight w:val="0"/>
          <w:marTop w:val="0"/>
          <w:marBottom w:val="0"/>
          <w:divBdr>
            <w:top w:val="none" w:sz="0" w:space="0" w:color="auto"/>
            <w:left w:val="none" w:sz="0" w:space="0" w:color="auto"/>
            <w:bottom w:val="none" w:sz="0" w:space="0" w:color="auto"/>
            <w:right w:val="none" w:sz="0" w:space="0" w:color="auto"/>
          </w:divBdr>
          <w:divsChild>
            <w:div w:id="61028240">
              <w:marLeft w:val="0"/>
              <w:marRight w:val="0"/>
              <w:marTop w:val="120"/>
              <w:marBottom w:val="0"/>
              <w:divBdr>
                <w:top w:val="none" w:sz="0" w:space="0" w:color="auto"/>
                <w:left w:val="none" w:sz="0" w:space="0" w:color="auto"/>
                <w:bottom w:val="none" w:sz="0" w:space="0" w:color="auto"/>
                <w:right w:val="none" w:sz="0" w:space="0" w:color="auto"/>
              </w:divBdr>
            </w:div>
            <w:div w:id="605891611">
              <w:marLeft w:val="0"/>
              <w:marRight w:val="0"/>
              <w:marTop w:val="0"/>
              <w:marBottom w:val="0"/>
              <w:divBdr>
                <w:top w:val="none" w:sz="0" w:space="0" w:color="auto"/>
                <w:left w:val="none" w:sz="0" w:space="0" w:color="auto"/>
                <w:bottom w:val="none" w:sz="0" w:space="0" w:color="auto"/>
                <w:right w:val="none" w:sz="0" w:space="0" w:color="auto"/>
              </w:divBdr>
              <w:divsChild>
                <w:div w:id="6576562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6681881">
          <w:marLeft w:val="0"/>
          <w:marRight w:val="0"/>
          <w:marTop w:val="0"/>
          <w:marBottom w:val="0"/>
          <w:divBdr>
            <w:top w:val="none" w:sz="0" w:space="0" w:color="auto"/>
            <w:left w:val="none" w:sz="0" w:space="0" w:color="auto"/>
            <w:bottom w:val="none" w:sz="0" w:space="0" w:color="auto"/>
            <w:right w:val="none" w:sz="0" w:space="0" w:color="auto"/>
          </w:divBdr>
          <w:divsChild>
            <w:div w:id="1901667477">
              <w:marLeft w:val="0"/>
              <w:marRight w:val="0"/>
              <w:marTop w:val="120"/>
              <w:marBottom w:val="0"/>
              <w:divBdr>
                <w:top w:val="none" w:sz="0" w:space="0" w:color="auto"/>
                <w:left w:val="none" w:sz="0" w:space="0" w:color="auto"/>
                <w:bottom w:val="none" w:sz="0" w:space="0" w:color="auto"/>
                <w:right w:val="none" w:sz="0" w:space="0" w:color="auto"/>
              </w:divBdr>
            </w:div>
            <w:div w:id="1608151530">
              <w:marLeft w:val="0"/>
              <w:marRight w:val="0"/>
              <w:marTop w:val="0"/>
              <w:marBottom w:val="0"/>
              <w:divBdr>
                <w:top w:val="none" w:sz="0" w:space="0" w:color="auto"/>
                <w:left w:val="none" w:sz="0" w:space="0" w:color="auto"/>
                <w:bottom w:val="none" w:sz="0" w:space="0" w:color="auto"/>
                <w:right w:val="none" w:sz="0" w:space="0" w:color="auto"/>
              </w:divBdr>
              <w:divsChild>
                <w:div w:id="19200209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65886483">
          <w:marLeft w:val="0"/>
          <w:marRight w:val="0"/>
          <w:marTop w:val="0"/>
          <w:marBottom w:val="0"/>
          <w:divBdr>
            <w:top w:val="none" w:sz="0" w:space="0" w:color="auto"/>
            <w:left w:val="none" w:sz="0" w:space="0" w:color="auto"/>
            <w:bottom w:val="none" w:sz="0" w:space="0" w:color="auto"/>
            <w:right w:val="none" w:sz="0" w:space="0" w:color="auto"/>
          </w:divBdr>
          <w:divsChild>
            <w:div w:id="2142073746">
              <w:marLeft w:val="0"/>
              <w:marRight w:val="0"/>
              <w:marTop w:val="120"/>
              <w:marBottom w:val="0"/>
              <w:divBdr>
                <w:top w:val="none" w:sz="0" w:space="0" w:color="auto"/>
                <w:left w:val="none" w:sz="0" w:space="0" w:color="auto"/>
                <w:bottom w:val="none" w:sz="0" w:space="0" w:color="auto"/>
                <w:right w:val="none" w:sz="0" w:space="0" w:color="auto"/>
              </w:divBdr>
            </w:div>
            <w:div w:id="1299921293">
              <w:marLeft w:val="0"/>
              <w:marRight w:val="0"/>
              <w:marTop w:val="0"/>
              <w:marBottom w:val="0"/>
              <w:divBdr>
                <w:top w:val="none" w:sz="0" w:space="0" w:color="auto"/>
                <w:left w:val="none" w:sz="0" w:space="0" w:color="auto"/>
                <w:bottom w:val="none" w:sz="0" w:space="0" w:color="auto"/>
                <w:right w:val="none" w:sz="0" w:space="0" w:color="auto"/>
              </w:divBdr>
              <w:divsChild>
                <w:div w:id="10670750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415700">
          <w:marLeft w:val="0"/>
          <w:marRight w:val="0"/>
          <w:marTop w:val="0"/>
          <w:marBottom w:val="0"/>
          <w:divBdr>
            <w:top w:val="none" w:sz="0" w:space="0" w:color="auto"/>
            <w:left w:val="none" w:sz="0" w:space="0" w:color="auto"/>
            <w:bottom w:val="none" w:sz="0" w:space="0" w:color="auto"/>
            <w:right w:val="none" w:sz="0" w:space="0" w:color="auto"/>
          </w:divBdr>
          <w:divsChild>
            <w:div w:id="1009059460">
              <w:marLeft w:val="0"/>
              <w:marRight w:val="0"/>
              <w:marTop w:val="120"/>
              <w:marBottom w:val="0"/>
              <w:divBdr>
                <w:top w:val="none" w:sz="0" w:space="0" w:color="auto"/>
                <w:left w:val="none" w:sz="0" w:space="0" w:color="auto"/>
                <w:bottom w:val="none" w:sz="0" w:space="0" w:color="auto"/>
                <w:right w:val="none" w:sz="0" w:space="0" w:color="auto"/>
              </w:divBdr>
            </w:div>
            <w:div w:id="829251614">
              <w:marLeft w:val="0"/>
              <w:marRight w:val="0"/>
              <w:marTop w:val="0"/>
              <w:marBottom w:val="0"/>
              <w:divBdr>
                <w:top w:val="none" w:sz="0" w:space="0" w:color="auto"/>
                <w:left w:val="none" w:sz="0" w:space="0" w:color="auto"/>
                <w:bottom w:val="none" w:sz="0" w:space="0" w:color="auto"/>
                <w:right w:val="none" w:sz="0" w:space="0" w:color="auto"/>
              </w:divBdr>
              <w:divsChild>
                <w:div w:id="19399426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21276207">
          <w:marLeft w:val="0"/>
          <w:marRight w:val="0"/>
          <w:marTop w:val="0"/>
          <w:marBottom w:val="0"/>
          <w:divBdr>
            <w:top w:val="none" w:sz="0" w:space="0" w:color="auto"/>
            <w:left w:val="none" w:sz="0" w:space="0" w:color="auto"/>
            <w:bottom w:val="none" w:sz="0" w:space="0" w:color="auto"/>
            <w:right w:val="none" w:sz="0" w:space="0" w:color="auto"/>
          </w:divBdr>
          <w:divsChild>
            <w:div w:id="525363458">
              <w:marLeft w:val="0"/>
              <w:marRight w:val="0"/>
              <w:marTop w:val="120"/>
              <w:marBottom w:val="0"/>
              <w:divBdr>
                <w:top w:val="none" w:sz="0" w:space="0" w:color="auto"/>
                <w:left w:val="none" w:sz="0" w:space="0" w:color="auto"/>
                <w:bottom w:val="none" w:sz="0" w:space="0" w:color="auto"/>
                <w:right w:val="none" w:sz="0" w:space="0" w:color="auto"/>
              </w:divBdr>
            </w:div>
            <w:div w:id="1328947646">
              <w:marLeft w:val="0"/>
              <w:marRight w:val="0"/>
              <w:marTop w:val="0"/>
              <w:marBottom w:val="0"/>
              <w:divBdr>
                <w:top w:val="none" w:sz="0" w:space="0" w:color="auto"/>
                <w:left w:val="none" w:sz="0" w:space="0" w:color="auto"/>
                <w:bottom w:val="none" w:sz="0" w:space="0" w:color="auto"/>
                <w:right w:val="none" w:sz="0" w:space="0" w:color="auto"/>
              </w:divBdr>
              <w:divsChild>
                <w:div w:id="6226143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7099840">
          <w:marLeft w:val="0"/>
          <w:marRight w:val="0"/>
          <w:marTop w:val="0"/>
          <w:marBottom w:val="0"/>
          <w:divBdr>
            <w:top w:val="none" w:sz="0" w:space="0" w:color="auto"/>
            <w:left w:val="none" w:sz="0" w:space="0" w:color="auto"/>
            <w:bottom w:val="none" w:sz="0" w:space="0" w:color="auto"/>
            <w:right w:val="none" w:sz="0" w:space="0" w:color="auto"/>
          </w:divBdr>
          <w:divsChild>
            <w:div w:id="944389570">
              <w:marLeft w:val="0"/>
              <w:marRight w:val="0"/>
              <w:marTop w:val="120"/>
              <w:marBottom w:val="0"/>
              <w:divBdr>
                <w:top w:val="none" w:sz="0" w:space="0" w:color="auto"/>
                <w:left w:val="none" w:sz="0" w:space="0" w:color="auto"/>
                <w:bottom w:val="none" w:sz="0" w:space="0" w:color="auto"/>
                <w:right w:val="none" w:sz="0" w:space="0" w:color="auto"/>
              </w:divBdr>
            </w:div>
            <w:div w:id="646133315">
              <w:marLeft w:val="0"/>
              <w:marRight w:val="0"/>
              <w:marTop w:val="0"/>
              <w:marBottom w:val="0"/>
              <w:divBdr>
                <w:top w:val="none" w:sz="0" w:space="0" w:color="auto"/>
                <w:left w:val="none" w:sz="0" w:space="0" w:color="auto"/>
                <w:bottom w:val="none" w:sz="0" w:space="0" w:color="auto"/>
                <w:right w:val="none" w:sz="0" w:space="0" w:color="auto"/>
              </w:divBdr>
              <w:divsChild>
                <w:div w:id="14769959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0603078">
          <w:marLeft w:val="0"/>
          <w:marRight w:val="0"/>
          <w:marTop w:val="0"/>
          <w:marBottom w:val="0"/>
          <w:divBdr>
            <w:top w:val="none" w:sz="0" w:space="0" w:color="auto"/>
            <w:left w:val="none" w:sz="0" w:space="0" w:color="auto"/>
            <w:bottom w:val="none" w:sz="0" w:space="0" w:color="auto"/>
            <w:right w:val="none" w:sz="0" w:space="0" w:color="auto"/>
          </w:divBdr>
          <w:divsChild>
            <w:div w:id="1523088047">
              <w:marLeft w:val="0"/>
              <w:marRight w:val="0"/>
              <w:marTop w:val="120"/>
              <w:marBottom w:val="0"/>
              <w:divBdr>
                <w:top w:val="none" w:sz="0" w:space="0" w:color="auto"/>
                <w:left w:val="none" w:sz="0" w:space="0" w:color="auto"/>
                <w:bottom w:val="none" w:sz="0" w:space="0" w:color="auto"/>
                <w:right w:val="none" w:sz="0" w:space="0" w:color="auto"/>
              </w:divBdr>
            </w:div>
            <w:div w:id="1068769719">
              <w:marLeft w:val="0"/>
              <w:marRight w:val="0"/>
              <w:marTop w:val="0"/>
              <w:marBottom w:val="0"/>
              <w:divBdr>
                <w:top w:val="none" w:sz="0" w:space="0" w:color="auto"/>
                <w:left w:val="none" w:sz="0" w:space="0" w:color="auto"/>
                <w:bottom w:val="none" w:sz="0" w:space="0" w:color="auto"/>
                <w:right w:val="none" w:sz="0" w:space="0" w:color="auto"/>
              </w:divBdr>
              <w:divsChild>
                <w:div w:id="9776080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22394740">
          <w:marLeft w:val="1200"/>
          <w:marRight w:val="0"/>
          <w:marTop w:val="0"/>
          <w:marBottom w:val="0"/>
          <w:divBdr>
            <w:top w:val="none" w:sz="0" w:space="0" w:color="auto"/>
            <w:left w:val="none" w:sz="0" w:space="0" w:color="auto"/>
            <w:bottom w:val="none" w:sz="0" w:space="0" w:color="auto"/>
            <w:right w:val="none" w:sz="0" w:space="0" w:color="auto"/>
          </w:divBdr>
        </w:div>
        <w:div w:id="1293363163">
          <w:marLeft w:val="0"/>
          <w:marRight w:val="0"/>
          <w:marTop w:val="0"/>
          <w:marBottom w:val="0"/>
          <w:divBdr>
            <w:top w:val="none" w:sz="0" w:space="0" w:color="auto"/>
            <w:left w:val="none" w:sz="0" w:space="0" w:color="auto"/>
            <w:bottom w:val="none" w:sz="0" w:space="0" w:color="auto"/>
            <w:right w:val="none" w:sz="0" w:space="0" w:color="auto"/>
          </w:divBdr>
          <w:divsChild>
            <w:div w:id="1085569177">
              <w:marLeft w:val="0"/>
              <w:marRight w:val="0"/>
              <w:marTop w:val="120"/>
              <w:marBottom w:val="0"/>
              <w:divBdr>
                <w:top w:val="none" w:sz="0" w:space="0" w:color="auto"/>
                <w:left w:val="none" w:sz="0" w:space="0" w:color="auto"/>
                <w:bottom w:val="none" w:sz="0" w:space="0" w:color="auto"/>
                <w:right w:val="none" w:sz="0" w:space="0" w:color="auto"/>
              </w:divBdr>
            </w:div>
            <w:div w:id="674184068">
              <w:marLeft w:val="0"/>
              <w:marRight w:val="0"/>
              <w:marTop w:val="0"/>
              <w:marBottom w:val="0"/>
              <w:divBdr>
                <w:top w:val="none" w:sz="0" w:space="0" w:color="auto"/>
                <w:left w:val="none" w:sz="0" w:space="0" w:color="auto"/>
                <w:bottom w:val="none" w:sz="0" w:space="0" w:color="auto"/>
                <w:right w:val="none" w:sz="0" w:space="0" w:color="auto"/>
              </w:divBdr>
              <w:divsChild>
                <w:div w:id="10134582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8424131">
          <w:marLeft w:val="0"/>
          <w:marRight w:val="0"/>
          <w:marTop w:val="0"/>
          <w:marBottom w:val="0"/>
          <w:divBdr>
            <w:top w:val="none" w:sz="0" w:space="0" w:color="auto"/>
            <w:left w:val="none" w:sz="0" w:space="0" w:color="auto"/>
            <w:bottom w:val="none" w:sz="0" w:space="0" w:color="auto"/>
            <w:right w:val="none" w:sz="0" w:space="0" w:color="auto"/>
          </w:divBdr>
          <w:divsChild>
            <w:div w:id="257760252">
              <w:marLeft w:val="0"/>
              <w:marRight w:val="0"/>
              <w:marTop w:val="120"/>
              <w:marBottom w:val="0"/>
              <w:divBdr>
                <w:top w:val="none" w:sz="0" w:space="0" w:color="auto"/>
                <w:left w:val="none" w:sz="0" w:space="0" w:color="auto"/>
                <w:bottom w:val="none" w:sz="0" w:space="0" w:color="auto"/>
                <w:right w:val="none" w:sz="0" w:space="0" w:color="auto"/>
              </w:divBdr>
            </w:div>
            <w:div w:id="1667979417">
              <w:marLeft w:val="0"/>
              <w:marRight w:val="0"/>
              <w:marTop w:val="0"/>
              <w:marBottom w:val="0"/>
              <w:divBdr>
                <w:top w:val="none" w:sz="0" w:space="0" w:color="auto"/>
                <w:left w:val="none" w:sz="0" w:space="0" w:color="auto"/>
                <w:bottom w:val="none" w:sz="0" w:space="0" w:color="auto"/>
                <w:right w:val="none" w:sz="0" w:space="0" w:color="auto"/>
              </w:divBdr>
              <w:divsChild>
                <w:div w:id="7377057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54573701">
          <w:marLeft w:val="0"/>
          <w:marRight w:val="0"/>
          <w:marTop w:val="0"/>
          <w:marBottom w:val="0"/>
          <w:divBdr>
            <w:top w:val="none" w:sz="0" w:space="0" w:color="auto"/>
            <w:left w:val="none" w:sz="0" w:space="0" w:color="auto"/>
            <w:bottom w:val="none" w:sz="0" w:space="0" w:color="auto"/>
            <w:right w:val="none" w:sz="0" w:space="0" w:color="auto"/>
          </w:divBdr>
          <w:divsChild>
            <w:div w:id="1401950433">
              <w:marLeft w:val="0"/>
              <w:marRight w:val="0"/>
              <w:marTop w:val="120"/>
              <w:marBottom w:val="0"/>
              <w:divBdr>
                <w:top w:val="none" w:sz="0" w:space="0" w:color="auto"/>
                <w:left w:val="none" w:sz="0" w:space="0" w:color="auto"/>
                <w:bottom w:val="none" w:sz="0" w:space="0" w:color="auto"/>
                <w:right w:val="none" w:sz="0" w:space="0" w:color="auto"/>
              </w:divBdr>
            </w:div>
            <w:div w:id="1598514010">
              <w:marLeft w:val="0"/>
              <w:marRight w:val="0"/>
              <w:marTop w:val="0"/>
              <w:marBottom w:val="0"/>
              <w:divBdr>
                <w:top w:val="none" w:sz="0" w:space="0" w:color="auto"/>
                <w:left w:val="none" w:sz="0" w:space="0" w:color="auto"/>
                <w:bottom w:val="none" w:sz="0" w:space="0" w:color="auto"/>
                <w:right w:val="none" w:sz="0" w:space="0" w:color="auto"/>
              </w:divBdr>
              <w:divsChild>
                <w:div w:id="3548152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98789446">
          <w:marLeft w:val="0"/>
          <w:marRight w:val="0"/>
          <w:marTop w:val="0"/>
          <w:marBottom w:val="0"/>
          <w:divBdr>
            <w:top w:val="none" w:sz="0" w:space="0" w:color="auto"/>
            <w:left w:val="none" w:sz="0" w:space="0" w:color="auto"/>
            <w:bottom w:val="none" w:sz="0" w:space="0" w:color="auto"/>
            <w:right w:val="none" w:sz="0" w:space="0" w:color="auto"/>
          </w:divBdr>
          <w:divsChild>
            <w:div w:id="1591230284">
              <w:marLeft w:val="0"/>
              <w:marRight w:val="0"/>
              <w:marTop w:val="120"/>
              <w:marBottom w:val="0"/>
              <w:divBdr>
                <w:top w:val="none" w:sz="0" w:space="0" w:color="auto"/>
                <w:left w:val="none" w:sz="0" w:space="0" w:color="auto"/>
                <w:bottom w:val="none" w:sz="0" w:space="0" w:color="auto"/>
                <w:right w:val="none" w:sz="0" w:space="0" w:color="auto"/>
              </w:divBdr>
            </w:div>
            <w:div w:id="845435339">
              <w:marLeft w:val="0"/>
              <w:marRight w:val="0"/>
              <w:marTop w:val="0"/>
              <w:marBottom w:val="0"/>
              <w:divBdr>
                <w:top w:val="none" w:sz="0" w:space="0" w:color="auto"/>
                <w:left w:val="none" w:sz="0" w:space="0" w:color="auto"/>
                <w:bottom w:val="none" w:sz="0" w:space="0" w:color="auto"/>
                <w:right w:val="none" w:sz="0" w:space="0" w:color="auto"/>
              </w:divBdr>
              <w:divsChild>
                <w:div w:id="1785881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1978409">
          <w:marLeft w:val="0"/>
          <w:marRight w:val="0"/>
          <w:marTop w:val="0"/>
          <w:marBottom w:val="0"/>
          <w:divBdr>
            <w:top w:val="none" w:sz="0" w:space="0" w:color="auto"/>
            <w:left w:val="none" w:sz="0" w:space="0" w:color="auto"/>
            <w:bottom w:val="none" w:sz="0" w:space="0" w:color="auto"/>
            <w:right w:val="none" w:sz="0" w:space="0" w:color="auto"/>
          </w:divBdr>
          <w:divsChild>
            <w:div w:id="2000185500">
              <w:marLeft w:val="0"/>
              <w:marRight w:val="0"/>
              <w:marTop w:val="120"/>
              <w:marBottom w:val="0"/>
              <w:divBdr>
                <w:top w:val="none" w:sz="0" w:space="0" w:color="auto"/>
                <w:left w:val="none" w:sz="0" w:space="0" w:color="auto"/>
                <w:bottom w:val="none" w:sz="0" w:space="0" w:color="auto"/>
                <w:right w:val="none" w:sz="0" w:space="0" w:color="auto"/>
              </w:divBdr>
            </w:div>
            <w:div w:id="489558955">
              <w:marLeft w:val="0"/>
              <w:marRight w:val="0"/>
              <w:marTop w:val="0"/>
              <w:marBottom w:val="0"/>
              <w:divBdr>
                <w:top w:val="none" w:sz="0" w:space="0" w:color="auto"/>
                <w:left w:val="none" w:sz="0" w:space="0" w:color="auto"/>
                <w:bottom w:val="none" w:sz="0" w:space="0" w:color="auto"/>
                <w:right w:val="none" w:sz="0" w:space="0" w:color="auto"/>
              </w:divBdr>
              <w:divsChild>
                <w:div w:id="13789692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4211698">
          <w:marLeft w:val="0"/>
          <w:marRight w:val="0"/>
          <w:marTop w:val="0"/>
          <w:marBottom w:val="0"/>
          <w:divBdr>
            <w:top w:val="none" w:sz="0" w:space="0" w:color="auto"/>
            <w:left w:val="none" w:sz="0" w:space="0" w:color="auto"/>
            <w:bottom w:val="none" w:sz="0" w:space="0" w:color="auto"/>
            <w:right w:val="none" w:sz="0" w:space="0" w:color="auto"/>
          </w:divBdr>
          <w:divsChild>
            <w:div w:id="749234423">
              <w:marLeft w:val="0"/>
              <w:marRight w:val="0"/>
              <w:marTop w:val="120"/>
              <w:marBottom w:val="0"/>
              <w:divBdr>
                <w:top w:val="none" w:sz="0" w:space="0" w:color="auto"/>
                <w:left w:val="none" w:sz="0" w:space="0" w:color="auto"/>
                <w:bottom w:val="none" w:sz="0" w:space="0" w:color="auto"/>
                <w:right w:val="none" w:sz="0" w:space="0" w:color="auto"/>
              </w:divBdr>
            </w:div>
            <w:div w:id="861285066">
              <w:marLeft w:val="0"/>
              <w:marRight w:val="0"/>
              <w:marTop w:val="0"/>
              <w:marBottom w:val="0"/>
              <w:divBdr>
                <w:top w:val="none" w:sz="0" w:space="0" w:color="auto"/>
                <w:left w:val="none" w:sz="0" w:space="0" w:color="auto"/>
                <w:bottom w:val="none" w:sz="0" w:space="0" w:color="auto"/>
                <w:right w:val="none" w:sz="0" w:space="0" w:color="auto"/>
              </w:divBdr>
              <w:divsChild>
                <w:div w:id="959091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36987487">
          <w:marLeft w:val="0"/>
          <w:marRight w:val="0"/>
          <w:marTop w:val="0"/>
          <w:marBottom w:val="0"/>
          <w:divBdr>
            <w:top w:val="none" w:sz="0" w:space="0" w:color="auto"/>
            <w:left w:val="none" w:sz="0" w:space="0" w:color="auto"/>
            <w:bottom w:val="none" w:sz="0" w:space="0" w:color="auto"/>
            <w:right w:val="none" w:sz="0" w:space="0" w:color="auto"/>
          </w:divBdr>
          <w:divsChild>
            <w:div w:id="1257328476">
              <w:marLeft w:val="0"/>
              <w:marRight w:val="0"/>
              <w:marTop w:val="120"/>
              <w:marBottom w:val="0"/>
              <w:divBdr>
                <w:top w:val="none" w:sz="0" w:space="0" w:color="auto"/>
                <w:left w:val="none" w:sz="0" w:space="0" w:color="auto"/>
                <w:bottom w:val="none" w:sz="0" w:space="0" w:color="auto"/>
                <w:right w:val="none" w:sz="0" w:space="0" w:color="auto"/>
              </w:divBdr>
            </w:div>
            <w:div w:id="1655180834">
              <w:marLeft w:val="0"/>
              <w:marRight w:val="0"/>
              <w:marTop w:val="0"/>
              <w:marBottom w:val="0"/>
              <w:divBdr>
                <w:top w:val="none" w:sz="0" w:space="0" w:color="auto"/>
                <w:left w:val="none" w:sz="0" w:space="0" w:color="auto"/>
                <w:bottom w:val="none" w:sz="0" w:space="0" w:color="auto"/>
                <w:right w:val="none" w:sz="0" w:space="0" w:color="auto"/>
              </w:divBdr>
              <w:divsChild>
                <w:div w:id="3433634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45621013">
          <w:marLeft w:val="0"/>
          <w:marRight w:val="0"/>
          <w:marTop w:val="0"/>
          <w:marBottom w:val="0"/>
          <w:divBdr>
            <w:top w:val="none" w:sz="0" w:space="0" w:color="auto"/>
            <w:left w:val="none" w:sz="0" w:space="0" w:color="auto"/>
            <w:bottom w:val="none" w:sz="0" w:space="0" w:color="auto"/>
            <w:right w:val="none" w:sz="0" w:space="0" w:color="auto"/>
          </w:divBdr>
          <w:divsChild>
            <w:div w:id="209920347">
              <w:marLeft w:val="0"/>
              <w:marRight w:val="0"/>
              <w:marTop w:val="120"/>
              <w:marBottom w:val="0"/>
              <w:divBdr>
                <w:top w:val="none" w:sz="0" w:space="0" w:color="auto"/>
                <w:left w:val="none" w:sz="0" w:space="0" w:color="auto"/>
                <w:bottom w:val="none" w:sz="0" w:space="0" w:color="auto"/>
                <w:right w:val="none" w:sz="0" w:space="0" w:color="auto"/>
              </w:divBdr>
            </w:div>
            <w:div w:id="1259749428">
              <w:marLeft w:val="0"/>
              <w:marRight w:val="0"/>
              <w:marTop w:val="0"/>
              <w:marBottom w:val="0"/>
              <w:divBdr>
                <w:top w:val="none" w:sz="0" w:space="0" w:color="auto"/>
                <w:left w:val="none" w:sz="0" w:space="0" w:color="auto"/>
                <w:bottom w:val="none" w:sz="0" w:space="0" w:color="auto"/>
                <w:right w:val="none" w:sz="0" w:space="0" w:color="auto"/>
              </w:divBdr>
              <w:divsChild>
                <w:div w:id="11222628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3870394">
          <w:marLeft w:val="0"/>
          <w:marRight w:val="0"/>
          <w:marTop w:val="0"/>
          <w:marBottom w:val="0"/>
          <w:divBdr>
            <w:top w:val="none" w:sz="0" w:space="0" w:color="auto"/>
            <w:left w:val="none" w:sz="0" w:space="0" w:color="auto"/>
            <w:bottom w:val="none" w:sz="0" w:space="0" w:color="auto"/>
            <w:right w:val="none" w:sz="0" w:space="0" w:color="auto"/>
          </w:divBdr>
          <w:divsChild>
            <w:div w:id="2246600">
              <w:marLeft w:val="0"/>
              <w:marRight w:val="0"/>
              <w:marTop w:val="120"/>
              <w:marBottom w:val="0"/>
              <w:divBdr>
                <w:top w:val="none" w:sz="0" w:space="0" w:color="auto"/>
                <w:left w:val="none" w:sz="0" w:space="0" w:color="auto"/>
                <w:bottom w:val="none" w:sz="0" w:space="0" w:color="auto"/>
                <w:right w:val="none" w:sz="0" w:space="0" w:color="auto"/>
              </w:divBdr>
            </w:div>
            <w:div w:id="123281802">
              <w:marLeft w:val="0"/>
              <w:marRight w:val="0"/>
              <w:marTop w:val="0"/>
              <w:marBottom w:val="0"/>
              <w:divBdr>
                <w:top w:val="none" w:sz="0" w:space="0" w:color="auto"/>
                <w:left w:val="none" w:sz="0" w:space="0" w:color="auto"/>
                <w:bottom w:val="none" w:sz="0" w:space="0" w:color="auto"/>
                <w:right w:val="none" w:sz="0" w:space="0" w:color="auto"/>
              </w:divBdr>
              <w:divsChild>
                <w:div w:id="1520201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0739170">
          <w:marLeft w:val="0"/>
          <w:marRight w:val="0"/>
          <w:marTop w:val="0"/>
          <w:marBottom w:val="0"/>
          <w:divBdr>
            <w:top w:val="none" w:sz="0" w:space="0" w:color="auto"/>
            <w:left w:val="none" w:sz="0" w:space="0" w:color="auto"/>
            <w:bottom w:val="none" w:sz="0" w:space="0" w:color="auto"/>
            <w:right w:val="none" w:sz="0" w:space="0" w:color="auto"/>
          </w:divBdr>
          <w:divsChild>
            <w:div w:id="1058013802">
              <w:marLeft w:val="0"/>
              <w:marRight w:val="0"/>
              <w:marTop w:val="120"/>
              <w:marBottom w:val="0"/>
              <w:divBdr>
                <w:top w:val="none" w:sz="0" w:space="0" w:color="auto"/>
                <w:left w:val="none" w:sz="0" w:space="0" w:color="auto"/>
                <w:bottom w:val="none" w:sz="0" w:space="0" w:color="auto"/>
                <w:right w:val="none" w:sz="0" w:space="0" w:color="auto"/>
              </w:divBdr>
            </w:div>
            <w:div w:id="1908879368">
              <w:marLeft w:val="0"/>
              <w:marRight w:val="0"/>
              <w:marTop w:val="0"/>
              <w:marBottom w:val="0"/>
              <w:divBdr>
                <w:top w:val="none" w:sz="0" w:space="0" w:color="auto"/>
                <w:left w:val="none" w:sz="0" w:space="0" w:color="auto"/>
                <w:bottom w:val="none" w:sz="0" w:space="0" w:color="auto"/>
                <w:right w:val="none" w:sz="0" w:space="0" w:color="auto"/>
              </w:divBdr>
              <w:divsChild>
                <w:div w:id="7785736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31522868">
          <w:marLeft w:val="0"/>
          <w:marRight w:val="0"/>
          <w:marTop w:val="0"/>
          <w:marBottom w:val="0"/>
          <w:divBdr>
            <w:top w:val="none" w:sz="0" w:space="0" w:color="auto"/>
            <w:left w:val="none" w:sz="0" w:space="0" w:color="auto"/>
            <w:bottom w:val="none" w:sz="0" w:space="0" w:color="auto"/>
            <w:right w:val="none" w:sz="0" w:space="0" w:color="auto"/>
          </w:divBdr>
          <w:divsChild>
            <w:div w:id="581765922">
              <w:marLeft w:val="0"/>
              <w:marRight w:val="0"/>
              <w:marTop w:val="120"/>
              <w:marBottom w:val="0"/>
              <w:divBdr>
                <w:top w:val="none" w:sz="0" w:space="0" w:color="auto"/>
                <w:left w:val="none" w:sz="0" w:space="0" w:color="auto"/>
                <w:bottom w:val="none" w:sz="0" w:space="0" w:color="auto"/>
                <w:right w:val="none" w:sz="0" w:space="0" w:color="auto"/>
              </w:divBdr>
            </w:div>
            <w:div w:id="843979061">
              <w:marLeft w:val="0"/>
              <w:marRight w:val="0"/>
              <w:marTop w:val="0"/>
              <w:marBottom w:val="0"/>
              <w:divBdr>
                <w:top w:val="none" w:sz="0" w:space="0" w:color="auto"/>
                <w:left w:val="none" w:sz="0" w:space="0" w:color="auto"/>
                <w:bottom w:val="none" w:sz="0" w:space="0" w:color="auto"/>
                <w:right w:val="none" w:sz="0" w:space="0" w:color="auto"/>
              </w:divBdr>
              <w:divsChild>
                <w:div w:id="8452186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9011986">
          <w:marLeft w:val="0"/>
          <w:marRight w:val="0"/>
          <w:marTop w:val="0"/>
          <w:marBottom w:val="0"/>
          <w:divBdr>
            <w:top w:val="none" w:sz="0" w:space="0" w:color="auto"/>
            <w:left w:val="none" w:sz="0" w:space="0" w:color="auto"/>
            <w:bottom w:val="none" w:sz="0" w:space="0" w:color="auto"/>
            <w:right w:val="none" w:sz="0" w:space="0" w:color="auto"/>
          </w:divBdr>
          <w:divsChild>
            <w:div w:id="1181504952">
              <w:marLeft w:val="0"/>
              <w:marRight w:val="0"/>
              <w:marTop w:val="120"/>
              <w:marBottom w:val="0"/>
              <w:divBdr>
                <w:top w:val="none" w:sz="0" w:space="0" w:color="auto"/>
                <w:left w:val="none" w:sz="0" w:space="0" w:color="auto"/>
                <w:bottom w:val="none" w:sz="0" w:space="0" w:color="auto"/>
                <w:right w:val="none" w:sz="0" w:space="0" w:color="auto"/>
              </w:divBdr>
            </w:div>
            <w:div w:id="1505432514">
              <w:marLeft w:val="0"/>
              <w:marRight w:val="0"/>
              <w:marTop w:val="0"/>
              <w:marBottom w:val="0"/>
              <w:divBdr>
                <w:top w:val="none" w:sz="0" w:space="0" w:color="auto"/>
                <w:left w:val="none" w:sz="0" w:space="0" w:color="auto"/>
                <w:bottom w:val="none" w:sz="0" w:space="0" w:color="auto"/>
                <w:right w:val="none" w:sz="0" w:space="0" w:color="auto"/>
              </w:divBdr>
              <w:divsChild>
                <w:div w:id="4643988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9475337">
          <w:marLeft w:val="0"/>
          <w:marRight w:val="0"/>
          <w:marTop w:val="0"/>
          <w:marBottom w:val="0"/>
          <w:divBdr>
            <w:top w:val="none" w:sz="0" w:space="0" w:color="auto"/>
            <w:left w:val="none" w:sz="0" w:space="0" w:color="auto"/>
            <w:bottom w:val="none" w:sz="0" w:space="0" w:color="auto"/>
            <w:right w:val="none" w:sz="0" w:space="0" w:color="auto"/>
          </w:divBdr>
          <w:divsChild>
            <w:div w:id="1362897058">
              <w:marLeft w:val="0"/>
              <w:marRight w:val="0"/>
              <w:marTop w:val="120"/>
              <w:marBottom w:val="0"/>
              <w:divBdr>
                <w:top w:val="none" w:sz="0" w:space="0" w:color="auto"/>
                <w:left w:val="none" w:sz="0" w:space="0" w:color="auto"/>
                <w:bottom w:val="none" w:sz="0" w:space="0" w:color="auto"/>
                <w:right w:val="none" w:sz="0" w:space="0" w:color="auto"/>
              </w:divBdr>
            </w:div>
            <w:div w:id="605383934">
              <w:marLeft w:val="0"/>
              <w:marRight w:val="0"/>
              <w:marTop w:val="0"/>
              <w:marBottom w:val="0"/>
              <w:divBdr>
                <w:top w:val="none" w:sz="0" w:space="0" w:color="auto"/>
                <w:left w:val="none" w:sz="0" w:space="0" w:color="auto"/>
                <w:bottom w:val="none" w:sz="0" w:space="0" w:color="auto"/>
                <w:right w:val="none" w:sz="0" w:space="0" w:color="auto"/>
              </w:divBdr>
              <w:divsChild>
                <w:div w:id="17257184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15186926">
          <w:marLeft w:val="0"/>
          <w:marRight w:val="0"/>
          <w:marTop w:val="0"/>
          <w:marBottom w:val="0"/>
          <w:divBdr>
            <w:top w:val="none" w:sz="0" w:space="0" w:color="auto"/>
            <w:left w:val="none" w:sz="0" w:space="0" w:color="auto"/>
            <w:bottom w:val="none" w:sz="0" w:space="0" w:color="auto"/>
            <w:right w:val="none" w:sz="0" w:space="0" w:color="auto"/>
          </w:divBdr>
          <w:divsChild>
            <w:div w:id="865751434">
              <w:marLeft w:val="0"/>
              <w:marRight w:val="0"/>
              <w:marTop w:val="120"/>
              <w:marBottom w:val="0"/>
              <w:divBdr>
                <w:top w:val="none" w:sz="0" w:space="0" w:color="auto"/>
                <w:left w:val="none" w:sz="0" w:space="0" w:color="auto"/>
                <w:bottom w:val="none" w:sz="0" w:space="0" w:color="auto"/>
                <w:right w:val="none" w:sz="0" w:space="0" w:color="auto"/>
              </w:divBdr>
            </w:div>
            <w:div w:id="812257571">
              <w:marLeft w:val="0"/>
              <w:marRight w:val="0"/>
              <w:marTop w:val="0"/>
              <w:marBottom w:val="0"/>
              <w:divBdr>
                <w:top w:val="none" w:sz="0" w:space="0" w:color="auto"/>
                <w:left w:val="none" w:sz="0" w:space="0" w:color="auto"/>
                <w:bottom w:val="none" w:sz="0" w:space="0" w:color="auto"/>
                <w:right w:val="none" w:sz="0" w:space="0" w:color="auto"/>
              </w:divBdr>
              <w:divsChild>
                <w:div w:id="114983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58739687">
      <w:marLeft w:val="0"/>
      <w:marRight w:val="0"/>
      <w:marTop w:val="120"/>
      <w:marBottom w:val="0"/>
      <w:divBdr>
        <w:top w:val="none" w:sz="0" w:space="0" w:color="auto"/>
        <w:left w:val="none" w:sz="0" w:space="0" w:color="auto"/>
        <w:bottom w:val="none" w:sz="0" w:space="0" w:color="auto"/>
        <w:right w:val="none" w:sz="0" w:space="0" w:color="auto"/>
      </w:divBdr>
    </w:div>
    <w:div w:id="1863860057">
      <w:marLeft w:val="720"/>
      <w:marRight w:val="0"/>
      <w:marTop w:val="0"/>
      <w:marBottom w:val="0"/>
      <w:divBdr>
        <w:top w:val="none" w:sz="0" w:space="0" w:color="auto"/>
        <w:left w:val="none" w:sz="0" w:space="0" w:color="auto"/>
        <w:bottom w:val="none" w:sz="0" w:space="0" w:color="auto"/>
        <w:right w:val="none" w:sz="0" w:space="0" w:color="auto"/>
      </w:divBdr>
    </w:div>
    <w:div w:id="1864124125">
      <w:marLeft w:val="1080"/>
      <w:marRight w:val="0"/>
      <w:marTop w:val="0"/>
      <w:marBottom w:val="0"/>
      <w:divBdr>
        <w:top w:val="none" w:sz="0" w:space="0" w:color="auto"/>
        <w:left w:val="none" w:sz="0" w:space="0" w:color="auto"/>
        <w:bottom w:val="none" w:sz="0" w:space="0" w:color="auto"/>
        <w:right w:val="none" w:sz="0" w:space="0" w:color="auto"/>
      </w:divBdr>
    </w:div>
    <w:div w:id="1864325068">
      <w:marLeft w:val="0"/>
      <w:marRight w:val="0"/>
      <w:marTop w:val="120"/>
      <w:marBottom w:val="0"/>
      <w:divBdr>
        <w:top w:val="none" w:sz="0" w:space="0" w:color="auto"/>
        <w:left w:val="none" w:sz="0" w:space="0" w:color="auto"/>
        <w:bottom w:val="none" w:sz="0" w:space="0" w:color="auto"/>
        <w:right w:val="none" w:sz="0" w:space="0" w:color="auto"/>
      </w:divBdr>
    </w:div>
    <w:div w:id="1864635740">
      <w:marLeft w:val="0"/>
      <w:marRight w:val="0"/>
      <w:marTop w:val="0"/>
      <w:marBottom w:val="0"/>
      <w:divBdr>
        <w:top w:val="none" w:sz="0" w:space="0" w:color="auto"/>
        <w:left w:val="none" w:sz="0" w:space="0" w:color="auto"/>
        <w:bottom w:val="none" w:sz="0" w:space="0" w:color="auto"/>
        <w:right w:val="none" w:sz="0" w:space="0" w:color="auto"/>
      </w:divBdr>
      <w:divsChild>
        <w:div w:id="983655371">
          <w:marLeft w:val="0"/>
          <w:marRight w:val="0"/>
          <w:marTop w:val="120"/>
          <w:marBottom w:val="0"/>
          <w:divBdr>
            <w:top w:val="none" w:sz="0" w:space="0" w:color="auto"/>
            <w:left w:val="none" w:sz="0" w:space="0" w:color="auto"/>
            <w:bottom w:val="none" w:sz="0" w:space="0" w:color="auto"/>
            <w:right w:val="none" w:sz="0" w:space="0" w:color="auto"/>
          </w:divBdr>
        </w:div>
        <w:div w:id="675839138">
          <w:marLeft w:val="0"/>
          <w:marRight w:val="0"/>
          <w:marTop w:val="0"/>
          <w:marBottom w:val="0"/>
          <w:divBdr>
            <w:top w:val="none" w:sz="0" w:space="0" w:color="auto"/>
            <w:left w:val="none" w:sz="0" w:space="0" w:color="auto"/>
            <w:bottom w:val="none" w:sz="0" w:space="0" w:color="auto"/>
            <w:right w:val="none" w:sz="0" w:space="0" w:color="auto"/>
          </w:divBdr>
          <w:divsChild>
            <w:div w:id="2060081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7405923">
      <w:marLeft w:val="0"/>
      <w:marRight w:val="0"/>
      <w:marTop w:val="0"/>
      <w:marBottom w:val="0"/>
      <w:divBdr>
        <w:top w:val="none" w:sz="0" w:space="0" w:color="auto"/>
        <w:left w:val="none" w:sz="0" w:space="0" w:color="auto"/>
        <w:bottom w:val="none" w:sz="0" w:space="0" w:color="auto"/>
        <w:right w:val="none" w:sz="0" w:space="0" w:color="auto"/>
      </w:divBdr>
      <w:divsChild>
        <w:div w:id="774591831">
          <w:marLeft w:val="0"/>
          <w:marRight w:val="0"/>
          <w:marTop w:val="120"/>
          <w:marBottom w:val="0"/>
          <w:divBdr>
            <w:top w:val="none" w:sz="0" w:space="0" w:color="auto"/>
            <w:left w:val="none" w:sz="0" w:space="0" w:color="auto"/>
            <w:bottom w:val="none" w:sz="0" w:space="0" w:color="auto"/>
            <w:right w:val="none" w:sz="0" w:space="0" w:color="auto"/>
          </w:divBdr>
        </w:div>
        <w:div w:id="1065372590">
          <w:marLeft w:val="0"/>
          <w:marRight w:val="0"/>
          <w:marTop w:val="0"/>
          <w:marBottom w:val="0"/>
          <w:divBdr>
            <w:top w:val="none" w:sz="0" w:space="0" w:color="auto"/>
            <w:left w:val="none" w:sz="0" w:space="0" w:color="auto"/>
            <w:bottom w:val="none" w:sz="0" w:space="0" w:color="auto"/>
            <w:right w:val="none" w:sz="0" w:space="0" w:color="auto"/>
          </w:divBdr>
          <w:divsChild>
            <w:div w:id="2873204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7602016">
      <w:marLeft w:val="0"/>
      <w:marRight w:val="0"/>
      <w:marTop w:val="120"/>
      <w:marBottom w:val="0"/>
      <w:divBdr>
        <w:top w:val="none" w:sz="0" w:space="0" w:color="auto"/>
        <w:left w:val="none" w:sz="0" w:space="0" w:color="auto"/>
        <w:bottom w:val="none" w:sz="0" w:space="0" w:color="auto"/>
        <w:right w:val="none" w:sz="0" w:space="0" w:color="auto"/>
      </w:divBdr>
    </w:div>
    <w:div w:id="1870406791">
      <w:marLeft w:val="0"/>
      <w:marRight w:val="0"/>
      <w:marTop w:val="0"/>
      <w:marBottom w:val="0"/>
      <w:divBdr>
        <w:top w:val="none" w:sz="0" w:space="0" w:color="auto"/>
        <w:left w:val="none" w:sz="0" w:space="0" w:color="auto"/>
        <w:bottom w:val="none" w:sz="0" w:space="0" w:color="auto"/>
        <w:right w:val="none" w:sz="0" w:space="0" w:color="auto"/>
      </w:divBdr>
      <w:divsChild>
        <w:div w:id="1123118292">
          <w:marLeft w:val="0"/>
          <w:marRight w:val="0"/>
          <w:marTop w:val="120"/>
          <w:marBottom w:val="0"/>
          <w:divBdr>
            <w:top w:val="none" w:sz="0" w:space="0" w:color="auto"/>
            <w:left w:val="none" w:sz="0" w:space="0" w:color="auto"/>
            <w:bottom w:val="none" w:sz="0" w:space="0" w:color="auto"/>
            <w:right w:val="none" w:sz="0" w:space="0" w:color="auto"/>
          </w:divBdr>
        </w:div>
        <w:div w:id="264919286">
          <w:marLeft w:val="0"/>
          <w:marRight w:val="0"/>
          <w:marTop w:val="0"/>
          <w:marBottom w:val="0"/>
          <w:divBdr>
            <w:top w:val="none" w:sz="0" w:space="0" w:color="auto"/>
            <w:left w:val="none" w:sz="0" w:space="0" w:color="auto"/>
            <w:bottom w:val="none" w:sz="0" w:space="0" w:color="auto"/>
            <w:right w:val="none" w:sz="0" w:space="0" w:color="auto"/>
          </w:divBdr>
          <w:divsChild>
            <w:div w:id="7534293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73807636">
      <w:marLeft w:val="960"/>
      <w:marRight w:val="0"/>
      <w:marTop w:val="0"/>
      <w:marBottom w:val="0"/>
      <w:divBdr>
        <w:top w:val="none" w:sz="0" w:space="0" w:color="auto"/>
        <w:left w:val="none" w:sz="0" w:space="0" w:color="auto"/>
        <w:bottom w:val="none" w:sz="0" w:space="0" w:color="auto"/>
        <w:right w:val="none" w:sz="0" w:space="0" w:color="auto"/>
      </w:divBdr>
    </w:div>
    <w:div w:id="1878079060">
      <w:marLeft w:val="960"/>
      <w:marRight w:val="0"/>
      <w:marTop w:val="0"/>
      <w:marBottom w:val="0"/>
      <w:divBdr>
        <w:top w:val="none" w:sz="0" w:space="0" w:color="auto"/>
        <w:left w:val="none" w:sz="0" w:space="0" w:color="auto"/>
        <w:bottom w:val="none" w:sz="0" w:space="0" w:color="auto"/>
        <w:right w:val="none" w:sz="0" w:space="0" w:color="auto"/>
      </w:divBdr>
    </w:div>
    <w:div w:id="1878851667">
      <w:marLeft w:val="960"/>
      <w:marRight w:val="0"/>
      <w:marTop w:val="0"/>
      <w:marBottom w:val="0"/>
      <w:divBdr>
        <w:top w:val="none" w:sz="0" w:space="0" w:color="auto"/>
        <w:left w:val="none" w:sz="0" w:space="0" w:color="auto"/>
        <w:bottom w:val="none" w:sz="0" w:space="0" w:color="auto"/>
        <w:right w:val="none" w:sz="0" w:space="0" w:color="auto"/>
      </w:divBdr>
    </w:div>
    <w:div w:id="1891186339">
      <w:marLeft w:val="840"/>
      <w:marRight w:val="0"/>
      <w:marTop w:val="0"/>
      <w:marBottom w:val="0"/>
      <w:divBdr>
        <w:top w:val="none" w:sz="0" w:space="0" w:color="auto"/>
        <w:left w:val="none" w:sz="0" w:space="0" w:color="auto"/>
        <w:bottom w:val="none" w:sz="0" w:space="0" w:color="auto"/>
        <w:right w:val="none" w:sz="0" w:space="0" w:color="auto"/>
      </w:divBdr>
    </w:div>
    <w:div w:id="1895117351">
      <w:marLeft w:val="0"/>
      <w:marRight w:val="0"/>
      <w:marTop w:val="0"/>
      <w:marBottom w:val="0"/>
      <w:divBdr>
        <w:top w:val="none" w:sz="0" w:space="0" w:color="auto"/>
        <w:left w:val="none" w:sz="0" w:space="0" w:color="auto"/>
        <w:bottom w:val="none" w:sz="0" w:space="0" w:color="auto"/>
        <w:right w:val="none" w:sz="0" w:space="0" w:color="auto"/>
      </w:divBdr>
      <w:divsChild>
        <w:div w:id="930699690">
          <w:marLeft w:val="0"/>
          <w:marRight w:val="0"/>
          <w:marTop w:val="120"/>
          <w:marBottom w:val="0"/>
          <w:divBdr>
            <w:top w:val="none" w:sz="0" w:space="0" w:color="auto"/>
            <w:left w:val="none" w:sz="0" w:space="0" w:color="auto"/>
            <w:bottom w:val="none" w:sz="0" w:space="0" w:color="auto"/>
            <w:right w:val="none" w:sz="0" w:space="0" w:color="auto"/>
          </w:divBdr>
        </w:div>
        <w:div w:id="1740666905">
          <w:marLeft w:val="0"/>
          <w:marRight w:val="0"/>
          <w:marTop w:val="0"/>
          <w:marBottom w:val="0"/>
          <w:divBdr>
            <w:top w:val="none" w:sz="0" w:space="0" w:color="auto"/>
            <w:left w:val="none" w:sz="0" w:space="0" w:color="auto"/>
            <w:bottom w:val="none" w:sz="0" w:space="0" w:color="auto"/>
            <w:right w:val="none" w:sz="0" w:space="0" w:color="auto"/>
          </w:divBdr>
        </w:div>
      </w:divsChild>
    </w:div>
    <w:div w:id="1896816629">
      <w:marLeft w:val="1080"/>
      <w:marRight w:val="0"/>
      <w:marTop w:val="0"/>
      <w:marBottom w:val="0"/>
      <w:divBdr>
        <w:top w:val="none" w:sz="0" w:space="0" w:color="auto"/>
        <w:left w:val="none" w:sz="0" w:space="0" w:color="auto"/>
        <w:bottom w:val="none" w:sz="0" w:space="0" w:color="auto"/>
        <w:right w:val="none" w:sz="0" w:space="0" w:color="auto"/>
      </w:divBdr>
    </w:div>
    <w:div w:id="1896889671">
      <w:marLeft w:val="960"/>
      <w:marRight w:val="0"/>
      <w:marTop w:val="0"/>
      <w:marBottom w:val="0"/>
      <w:divBdr>
        <w:top w:val="none" w:sz="0" w:space="0" w:color="auto"/>
        <w:left w:val="none" w:sz="0" w:space="0" w:color="auto"/>
        <w:bottom w:val="none" w:sz="0" w:space="0" w:color="auto"/>
        <w:right w:val="none" w:sz="0" w:space="0" w:color="auto"/>
      </w:divBdr>
    </w:div>
    <w:div w:id="1900746935">
      <w:marLeft w:val="720"/>
      <w:marRight w:val="0"/>
      <w:marTop w:val="0"/>
      <w:marBottom w:val="0"/>
      <w:divBdr>
        <w:top w:val="none" w:sz="0" w:space="0" w:color="auto"/>
        <w:left w:val="none" w:sz="0" w:space="0" w:color="auto"/>
        <w:bottom w:val="none" w:sz="0" w:space="0" w:color="auto"/>
        <w:right w:val="none" w:sz="0" w:space="0" w:color="auto"/>
      </w:divBdr>
    </w:div>
    <w:div w:id="1902979666">
      <w:marLeft w:val="720"/>
      <w:marRight w:val="0"/>
      <w:marTop w:val="0"/>
      <w:marBottom w:val="0"/>
      <w:divBdr>
        <w:top w:val="none" w:sz="0" w:space="0" w:color="auto"/>
        <w:left w:val="none" w:sz="0" w:space="0" w:color="auto"/>
        <w:bottom w:val="none" w:sz="0" w:space="0" w:color="auto"/>
        <w:right w:val="none" w:sz="0" w:space="0" w:color="auto"/>
      </w:divBdr>
    </w:div>
    <w:div w:id="1903520754">
      <w:marLeft w:val="720"/>
      <w:marRight w:val="0"/>
      <w:marTop w:val="0"/>
      <w:marBottom w:val="0"/>
      <w:divBdr>
        <w:top w:val="none" w:sz="0" w:space="0" w:color="auto"/>
        <w:left w:val="none" w:sz="0" w:space="0" w:color="auto"/>
        <w:bottom w:val="none" w:sz="0" w:space="0" w:color="auto"/>
        <w:right w:val="none" w:sz="0" w:space="0" w:color="auto"/>
      </w:divBdr>
    </w:div>
    <w:div w:id="1905986224">
      <w:marLeft w:val="840"/>
      <w:marRight w:val="0"/>
      <w:marTop w:val="0"/>
      <w:marBottom w:val="0"/>
      <w:divBdr>
        <w:top w:val="none" w:sz="0" w:space="0" w:color="auto"/>
        <w:left w:val="none" w:sz="0" w:space="0" w:color="auto"/>
        <w:bottom w:val="none" w:sz="0" w:space="0" w:color="auto"/>
        <w:right w:val="none" w:sz="0" w:space="0" w:color="auto"/>
      </w:divBdr>
    </w:div>
    <w:div w:id="1906337454">
      <w:marLeft w:val="720"/>
      <w:marRight w:val="0"/>
      <w:marTop w:val="0"/>
      <w:marBottom w:val="0"/>
      <w:divBdr>
        <w:top w:val="none" w:sz="0" w:space="0" w:color="auto"/>
        <w:left w:val="none" w:sz="0" w:space="0" w:color="auto"/>
        <w:bottom w:val="none" w:sz="0" w:space="0" w:color="auto"/>
        <w:right w:val="none" w:sz="0" w:space="0" w:color="auto"/>
      </w:divBdr>
    </w:div>
    <w:div w:id="1910917553">
      <w:marLeft w:val="960"/>
      <w:marRight w:val="0"/>
      <w:marTop w:val="0"/>
      <w:marBottom w:val="0"/>
      <w:divBdr>
        <w:top w:val="none" w:sz="0" w:space="0" w:color="auto"/>
        <w:left w:val="none" w:sz="0" w:space="0" w:color="auto"/>
        <w:bottom w:val="none" w:sz="0" w:space="0" w:color="auto"/>
        <w:right w:val="none" w:sz="0" w:space="0" w:color="auto"/>
      </w:divBdr>
    </w:div>
    <w:div w:id="1918858288">
      <w:marLeft w:val="840"/>
      <w:marRight w:val="0"/>
      <w:marTop w:val="0"/>
      <w:marBottom w:val="0"/>
      <w:divBdr>
        <w:top w:val="none" w:sz="0" w:space="0" w:color="auto"/>
        <w:left w:val="none" w:sz="0" w:space="0" w:color="auto"/>
        <w:bottom w:val="none" w:sz="0" w:space="0" w:color="auto"/>
        <w:right w:val="none" w:sz="0" w:space="0" w:color="auto"/>
      </w:divBdr>
    </w:div>
    <w:div w:id="1918976662">
      <w:marLeft w:val="720"/>
      <w:marRight w:val="0"/>
      <w:marTop w:val="0"/>
      <w:marBottom w:val="0"/>
      <w:divBdr>
        <w:top w:val="none" w:sz="0" w:space="0" w:color="auto"/>
        <w:left w:val="none" w:sz="0" w:space="0" w:color="auto"/>
        <w:bottom w:val="none" w:sz="0" w:space="0" w:color="auto"/>
        <w:right w:val="none" w:sz="0" w:space="0" w:color="auto"/>
      </w:divBdr>
    </w:div>
    <w:div w:id="1919167016">
      <w:marLeft w:val="0"/>
      <w:marRight w:val="0"/>
      <w:marTop w:val="0"/>
      <w:marBottom w:val="0"/>
      <w:divBdr>
        <w:top w:val="none" w:sz="0" w:space="0" w:color="auto"/>
        <w:left w:val="none" w:sz="0" w:space="0" w:color="auto"/>
        <w:bottom w:val="none" w:sz="0" w:space="0" w:color="auto"/>
        <w:right w:val="none" w:sz="0" w:space="0" w:color="auto"/>
      </w:divBdr>
      <w:divsChild>
        <w:div w:id="1248877583">
          <w:marLeft w:val="0"/>
          <w:marRight w:val="0"/>
          <w:marTop w:val="120"/>
          <w:marBottom w:val="0"/>
          <w:divBdr>
            <w:top w:val="none" w:sz="0" w:space="0" w:color="auto"/>
            <w:left w:val="none" w:sz="0" w:space="0" w:color="auto"/>
            <w:bottom w:val="none" w:sz="0" w:space="0" w:color="auto"/>
            <w:right w:val="none" w:sz="0" w:space="0" w:color="auto"/>
          </w:divBdr>
        </w:div>
        <w:div w:id="1097556221">
          <w:marLeft w:val="0"/>
          <w:marRight w:val="0"/>
          <w:marTop w:val="0"/>
          <w:marBottom w:val="0"/>
          <w:divBdr>
            <w:top w:val="none" w:sz="0" w:space="0" w:color="auto"/>
            <w:left w:val="none" w:sz="0" w:space="0" w:color="auto"/>
            <w:bottom w:val="none" w:sz="0" w:space="0" w:color="auto"/>
            <w:right w:val="none" w:sz="0" w:space="0" w:color="auto"/>
          </w:divBdr>
          <w:divsChild>
            <w:div w:id="1353456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21020642">
      <w:marLeft w:val="840"/>
      <w:marRight w:val="0"/>
      <w:marTop w:val="0"/>
      <w:marBottom w:val="0"/>
      <w:divBdr>
        <w:top w:val="none" w:sz="0" w:space="0" w:color="auto"/>
        <w:left w:val="none" w:sz="0" w:space="0" w:color="auto"/>
        <w:bottom w:val="none" w:sz="0" w:space="0" w:color="auto"/>
        <w:right w:val="none" w:sz="0" w:space="0" w:color="auto"/>
      </w:divBdr>
    </w:div>
    <w:div w:id="1922251887">
      <w:marLeft w:val="960"/>
      <w:marRight w:val="0"/>
      <w:marTop w:val="0"/>
      <w:marBottom w:val="0"/>
      <w:divBdr>
        <w:top w:val="none" w:sz="0" w:space="0" w:color="auto"/>
        <w:left w:val="none" w:sz="0" w:space="0" w:color="auto"/>
        <w:bottom w:val="none" w:sz="0" w:space="0" w:color="auto"/>
        <w:right w:val="none" w:sz="0" w:space="0" w:color="auto"/>
      </w:divBdr>
    </w:div>
    <w:div w:id="1940140270">
      <w:marLeft w:val="960"/>
      <w:marRight w:val="0"/>
      <w:marTop w:val="0"/>
      <w:marBottom w:val="0"/>
      <w:divBdr>
        <w:top w:val="none" w:sz="0" w:space="0" w:color="auto"/>
        <w:left w:val="none" w:sz="0" w:space="0" w:color="auto"/>
        <w:bottom w:val="none" w:sz="0" w:space="0" w:color="auto"/>
        <w:right w:val="none" w:sz="0" w:space="0" w:color="auto"/>
      </w:divBdr>
    </w:div>
    <w:div w:id="1940259067">
      <w:marLeft w:val="720"/>
      <w:marRight w:val="0"/>
      <w:marTop w:val="0"/>
      <w:marBottom w:val="0"/>
      <w:divBdr>
        <w:top w:val="none" w:sz="0" w:space="0" w:color="auto"/>
        <w:left w:val="none" w:sz="0" w:space="0" w:color="auto"/>
        <w:bottom w:val="none" w:sz="0" w:space="0" w:color="auto"/>
        <w:right w:val="none" w:sz="0" w:space="0" w:color="auto"/>
      </w:divBdr>
    </w:div>
    <w:div w:id="1940602495">
      <w:marLeft w:val="1080"/>
      <w:marRight w:val="0"/>
      <w:marTop w:val="0"/>
      <w:marBottom w:val="0"/>
      <w:divBdr>
        <w:top w:val="none" w:sz="0" w:space="0" w:color="auto"/>
        <w:left w:val="none" w:sz="0" w:space="0" w:color="auto"/>
        <w:bottom w:val="none" w:sz="0" w:space="0" w:color="auto"/>
        <w:right w:val="none" w:sz="0" w:space="0" w:color="auto"/>
      </w:divBdr>
    </w:div>
    <w:div w:id="1951817713">
      <w:marLeft w:val="0"/>
      <w:marRight w:val="0"/>
      <w:marTop w:val="0"/>
      <w:marBottom w:val="0"/>
      <w:divBdr>
        <w:top w:val="none" w:sz="0" w:space="0" w:color="auto"/>
        <w:left w:val="none" w:sz="0" w:space="0" w:color="auto"/>
        <w:bottom w:val="none" w:sz="0" w:space="0" w:color="auto"/>
        <w:right w:val="none" w:sz="0" w:space="0" w:color="auto"/>
      </w:divBdr>
      <w:divsChild>
        <w:div w:id="1920478866">
          <w:marLeft w:val="0"/>
          <w:marRight w:val="0"/>
          <w:marTop w:val="120"/>
          <w:marBottom w:val="0"/>
          <w:divBdr>
            <w:top w:val="none" w:sz="0" w:space="0" w:color="auto"/>
            <w:left w:val="none" w:sz="0" w:space="0" w:color="auto"/>
            <w:bottom w:val="none" w:sz="0" w:space="0" w:color="auto"/>
            <w:right w:val="none" w:sz="0" w:space="0" w:color="auto"/>
          </w:divBdr>
        </w:div>
        <w:div w:id="780077326">
          <w:marLeft w:val="0"/>
          <w:marRight w:val="0"/>
          <w:marTop w:val="0"/>
          <w:marBottom w:val="0"/>
          <w:divBdr>
            <w:top w:val="none" w:sz="0" w:space="0" w:color="auto"/>
            <w:left w:val="none" w:sz="0" w:space="0" w:color="auto"/>
            <w:bottom w:val="none" w:sz="0" w:space="0" w:color="auto"/>
            <w:right w:val="none" w:sz="0" w:space="0" w:color="auto"/>
          </w:divBdr>
        </w:div>
      </w:divsChild>
    </w:div>
    <w:div w:id="1963029658">
      <w:marLeft w:val="0"/>
      <w:marRight w:val="0"/>
      <w:marTop w:val="0"/>
      <w:marBottom w:val="0"/>
      <w:divBdr>
        <w:top w:val="none" w:sz="0" w:space="0" w:color="auto"/>
        <w:left w:val="none" w:sz="0" w:space="0" w:color="auto"/>
        <w:bottom w:val="none" w:sz="0" w:space="0" w:color="auto"/>
        <w:right w:val="none" w:sz="0" w:space="0" w:color="auto"/>
      </w:divBdr>
      <w:divsChild>
        <w:div w:id="1435710740">
          <w:marLeft w:val="0"/>
          <w:marRight w:val="0"/>
          <w:marTop w:val="120"/>
          <w:marBottom w:val="0"/>
          <w:divBdr>
            <w:top w:val="none" w:sz="0" w:space="0" w:color="auto"/>
            <w:left w:val="none" w:sz="0" w:space="0" w:color="auto"/>
            <w:bottom w:val="none" w:sz="0" w:space="0" w:color="auto"/>
            <w:right w:val="none" w:sz="0" w:space="0" w:color="auto"/>
          </w:divBdr>
        </w:div>
        <w:div w:id="156573628">
          <w:marLeft w:val="0"/>
          <w:marRight w:val="0"/>
          <w:marTop w:val="0"/>
          <w:marBottom w:val="0"/>
          <w:divBdr>
            <w:top w:val="none" w:sz="0" w:space="0" w:color="auto"/>
            <w:left w:val="none" w:sz="0" w:space="0" w:color="auto"/>
            <w:bottom w:val="none" w:sz="0" w:space="0" w:color="auto"/>
            <w:right w:val="none" w:sz="0" w:space="0" w:color="auto"/>
          </w:divBdr>
          <w:divsChild>
            <w:div w:id="16894102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67811335">
      <w:marLeft w:val="1080"/>
      <w:marRight w:val="0"/>
      <w:marTop w:val="0"/>
      <w:marBottom w:val="0"/>
      <w:divBdr>
        <w:top w:val="none" w:sz="0" w:space="0" w:color="auto"/>
        <w:left w:val="none" w:sz="0" w:space="0" w:color="auto"/>
        <w:bottom w:val="none" w:sz="0" w:space="0" w:color="auto"/>
        <w:right w:val="none" w:sz="0" w:space="0" w:color="auto"/>
      </w:divBdr>
    </w:div>
    <w:div w:id="1971470178">
      <w:marLeft w:val="0"/>
      <w:marRight w:val="0"/>
      <w:marTop w:val="0"/>
      <w:marBottom w:val="0"/>
      <w:divBdr>
        <w:top w:val="none" w:sz="0" w:space="0" w:color="auto"/>
        <w:left w:val="none" w:sz="0" w:space="0" w:color="auto"/>
        <w:bottom w:val="none" w:sz="0" w:space="0" w:color="auto"/>
        <w:right w:val="none" w:sz="0" w:space="0" w:color="auto"/>
      </w:divBdr>
      <w:divsChild>
        <w:div w:id="1615287420">
          <w:marLeft w:val="0"/>
          <w:marRight w:val="0"/>
          <w:marTop w:val="120"/>
          <w:marBottom w:val="0"/>
          <w:divBdr>
            <w:top w:val="none" w:sz="0" w:space="0" w:color="auto"/>
            <w:left w:val="none" w:sz="0" w:space="0" w:color="auto"/>
            <w:bottom w:val="none" w:sz="0" w:space="0" w:color="auto"/>
            <w:right w:val="none" w:sz="0" w:space="0" w:color="auto"/>
          </w:divBdr>
        </w:div>
        <w:div w:id="659388698">
          <w:marLeft w:val="0"/>
          <w:marRight w:val="0"/>
          <w:marTop w:val="0"/>
          <w:marBottom w:val="0"/>
          <w:divBdr>
            <w:top w:val="none" w:sz="0" w:space="0" w:color="auto"/>
            <w:left w:val="none" w:sz="0" w:space="0" w:color="auto"/>
            <w:bottom w:val="none" w:sz="0" w:space="0" w:color="auto"/>
            <w:right w:val="none" w:sz="0" w:space="0" w:color="auto"/>
          </w:divBdr>
        </w:div>
      </w:divsChild>
    </w:div>
    <w:div w:id="1973368626">
      <w:marLeft w:val="960"/>
      <w:marRight w:val="0"/>
      <w:marTop w:val="0"/>
      <w:marBottom w:val="0"/>
      <w:divBdr>
        <w:top w:val="none" w:sz="0" w:space="0" w:color="auto"/>
        <w:left w:val="none" w:sz="0" w:space="0" w:color="auto"/>
        <w:bottom w:val="none" w:sz="0" w:space="0" w:color="auto"/>
        <w:right w:val="none" w:sz="0" w:space="0" w:color="auto"/>
      </w:divBdr>
    </w:div>
    <w:div w:id="1989287241">
      <w:marLeft w:val="1080"/>
      <w:marRight w:val="0"/>
      <w:marTop w:val="0"/>
      <w:marBottom w:val="0"/>
      <w:divBdr>
        <w:top w:val="none" w:sz="0" w:space="0" w:color="auto"/>
        <w:left w:val="none" w:sz="0" w:space="0" w:color="auto"/>
        <w:bottom w:val="none" w:sz="0" w:space="0" w:color="auto"/>
        <w:right w:val="none" w:sz="0" w:space="0" w:color="auto"/>
      </w:divBdr>
    </w:div>
    <w:div w:id="1990090957">
      <w:marLeft w:val="840"/>
      <w:marRight w:val="0"/>
      <w:marTop w:val="0"/>
      <w:marBottom w:val="0"/>
      <w:divBdr>
        <w:top w:val="none" w:sz="0" w:space="0" w:color="auto"/>
        <w:left w:val="none" w:sz="0" w:space="0" w:color="auto"/>
        <w:bottom w:val="none" w:sz="0" w:space="0" w:color="auto"/>
        <w:right w:val="none" w:sz="0" w:space="0" w:color="auto"/>
      </w:divBdr>
    </w:div>
    <w:div w:id="1992247415">
      <w:marLeft w:val="720"/>
      <w:marRight w:val="0"/>
      <w:marTop w:val="0"/>
      <w:marBottom w:val="0"/>
      <w:divBdr>
        <w:top w:val="none" w:sz="0" w:space="0" w:color="auto"/>
        <w:left w:val="none" w:sz="0" w:space="0" w:color="auto"/>
        <w:bottom w:val="none" w:sz="0" w:space="0" w:color="auto"/>
        <w:right w:val="none" w:sz="0" w:space="0" w:color="auto"/>
      </w:divBdr>
    </w:div>
    <w:div w:id="1995835468">
      <w:marLeft w:val="1080"/>
      <w:marRight w:val="0"/>
      <w:marTop w:val="0"/>
      <w:marBottom w:val="0"/>
      <w:divBdr>
        <w:top w:val="none" w:sz="0" w:space="0" w:color="auto"/>
        <w:left w:val="none" w:sz="0" w:space="0" w:color="auto"/>
        <w:bottom w:val="none" w:sz="0" w:space="0" w:color="auto"/>
        <w:right w:val="none" w:sz="0" w:space="0" w:color="auto"/>
      </w:divBdr>
    </w:div>
    <w:div w:id="1996107891">
      <w:marLeft w:val="960"/>
      <w:marRight w:val="0"/>
      <w:marTop w:val="0"/>
      <w:marBottom w:val="0"/>
      <w:divBdr>
        <w:top w:val="none" w:sz="0" w:space="0" w:color="auto"/>
        <w:left w:val="none" w:sz="0" w:space="0" w:color="auto"/>
        <w:bottom w:val="none" w:sz="0" w:space="0" w:color="auto"/>
        <w:right w:val="none" w:sz="0" w:space="0" w:color="auto"/>
      </w:divBdr>
    </w:div>
    <w:div w:id="1996952463">
      <w:marLeft w:val="1080"/>
      <w:marRight w:val="0"/>
      <w:marTop w:val="0"/>
      <w:marBottom w:val="0"/>
      <w:divBdr>
        <w:top w:val="none" w:sz="0" w:space="0" w:color="auto"/>
        <w:left w:val="none" w:sz="0" w:space="0" w:color="auto"/>
        <w:bottom w:val="none" w:sz="0" w:space="0" w:color="auto"/>
        <w:right w:val="none" w:sz="0" w:space="0" w:color="auto"/>
      </w:divBdr>
    </w:div>
    <w:div w:id="2000770305">
      <w:marLeft w:val="0"/>
      <w:marRight w:val="0"/>
      <w:marTop w:val="0"/>
      <w:marBottom w:val="0"/>
      <w:divBdr>
        <w:top w:val="none" w:sz="0" w:space="0" w:color="auto"/>
        <w:left w:val="none" w:sz="0" w:space="0" w:color="auto"/>
        <w:bottom w:val="none" w:sz="0" w:space="0" w:color="auto"/>
        <w:right w:val="none" w:sz="0" w:space="0" w:color="auto"/>
      </w:divBdr>
      <w:divsChild>
        <w:div w:id="1452751008">
          <w:marLeft w:val="0"/>
          <w:marRight w:val="0"/>
          <w:marTop w:val="120"/>
          <w:marBottom w:val="0"/>
          <w:divBdr>
            <w:top w:val="none" w:sz="0" w:space="0" w:color="auto"/>
            <w:left w:val="none" w:sz="0" w:space="0" w:color="auto"/>
            <w:bottom w:val="none" w:sz="0" w:space="0" w:color="auto"/>
            <w:right w:val="none" w:sz="0" w:space="0" w:color="auto"/>
          </w:divBdr>
        </w:div>
        <w:div w:id="2052916801">
          <w:marLeft w:val="0"/>
          <w:marRight w:val="0"/>
          <w:marTop w:val="0"/>
          <w:marBottom w:val="0"/>
          <w:divBdr>
            <w:top w:val="none" w:sz="0" w:space="0" w:color="auto"/>
            <w:left w:val="none" w:sz="0" w:space="0" w:color="auto"/>
            <w:bottom w:val="none" w:sz="0" w:space="0" w:color="auto"/>
            <w:right w:val="none" w:sz="0" w:space="0" w:color="auto"/>
          </w:divBdr>
          <w:divsChild>
            <w:div w:id="19801111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5666621">
      <w:marLeft w:val="0"/>
      <w:marRight w:val="0"/>
      <w:marTop w:val="0"/>
      <w:marBottom w:val="0"/>
      <w:divBdr>
        <w:top w:val="none" w:sz="0" w:space="0" w:color="auto"/>
        <w:left w:val="none" w:sz="0" w:space="0" w:color="auto"/>
        <w:bottom w:val="none" w:sz="0" w:space="0" w:color="auto"/>
        <w:right w:val="none" w:sz="0" w:space="0" w:color="auto"/>
      </w:divBdr>
      <w:divsChild>
        <w:div w:id="1557350287">
          <w:marLeft w:val="0"/>
          <w:marRight w:val="0"/>
          <w:marTop w:val="120"/>
          <w:marBottom w:val="0"/>
          <w:divBdr>
            <w:top w:val="none" w:sz="0" w:space="0" w:color="auto"/>
            <w:left w:val="none" w:sz="0" w:space="0" w:color="auto"/>
            <w:bottom w:val="none" w:sz="0" w:space="0" w:color="auto"/>
            <w:right w:val="none" w:sz="0" w:space="0" w:color="auto"/>
          </w:divBdr>
        </w:div>
        <w:div w:id="693578585">
          <w:marLeft w:val="0"/>
          <w:marRight w:val="0"/>
          <w:marTop w:val="0"/>
          <w:marBottom w:val="0"/>
          <w:divBdr>
            <w:top w:val="none" w:sz="0" w:space="0" w:color="auto"/>
            <w:left w:val="none" w:sz="0" w:space="0" w:color="auto"/>
            <w:bottom w:val="none" w:sz="0" w:space="0" w:color="auto"/>
            <w:right w:val="none" w:sz="0" w:space="0" w:color="auto"/>
          </w:divBdr>
          <w:divsChild>
            <w:div w:id="12674957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6007278">
      <w:marLeft w:val="0"/>
      <w:marRight w:val="0"/>
      <w:marTop w:val="0"/>
      <w:marBottom w:val="0"/>
      <w:divBdr>
        <w:top w:val="none" w:sz="0" w:space="0" w:color="auto"/>
        <w:left w:val="none" w:sz="0" w:space="0" w:color="auto"/>
        <w:bottom w:val="none" w:sz="0" w:space="0" w:color="auto"/>
        <w:right w:val="none" w:sz="0" w:space="0" w:color="auto"/>
      </w:divBdr>
      <w:divsChild>
        <w:div w:id="1805660678">
          <w:marLeft w:val="0"/>
          <w:marRight w:val="0"/>
          <w:marTop w:val="120"/>
          <w:marBottom w:val="0"/>
          <w:divBdr>
            <w:top w:val="none" w:sz="0" w:space="0" w:color="auto"/>
            <w:left w:val="none" w:sz="0" w:space="0" w:color="auto"/>
            <w:bottom w:val="none" w:sz="0" w:space="0" w:color="auto"/>
            <w:right w:val="none" w:sz="0" w:space="0" w:color="auto"/>
          </w:divBdr>
        </w:div>
        <w:div w:id="785735132">
          <w:marLeft w:val="0"/>
          <w:marRight w:val="0"/>
          <w:marTop w:val="0"/>
          <w:marBottom w:val="0"/>
          <w:divBdr>
            <w:top w:val="none" w:sz="0" w:space="0" w:color="auto"/>
            <w:left w:val="none" w:sz="0" w:space="0" w:color="auto"/>
            <w:bottom w:val="none" w:sz="0" w:space="0" w:color="auto"/>
            <w:right w:val="none" w:sz="0" w:space="0" w:color="auto"/>
          </w:divBdr>
          <w:divsChild>
            <w:div w:id="5552372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6736234">
      <w:marLeft w:val="0"/>
      <w:marRight w:val="0"/>
      <w:marTop w:val="0"/>
      <w:marBottom w:val="0"/>
      <w:divBdr>
        <w:top w:val="none" w:sz="0" w:space="0" w:color="auto"/>
        <w:left w:val="none" w:sz="0" w:space="0" w:color="auto"/>
        <w:bottom w:val="none" w:sz="0" w:space="0" w:color="auto"/>
        <w:right w:val="none" w:sz="0" w:space="0" w:color="auto"/>
      </w:divBdr>
      <w:divsChild>
        <w:div w:id="1249996315">
          <w:marLeft w:val="0"/>
          <w:marRight w:val="0"/>
          <w:marTop w:val="120"/>
          <w:marBottom w:val="0"/>
          <w:divBdr>
            <w:top w:val="none" w:sz="0" w:space="0" w:color="auto"/>
            <w:left w:val="none" w:sz="0" w:space="0" w:color="auto"/>
            <w:bottom w:val="none" w:sz="0" w:space="0" w:color="auto"/>
            <w:right w:val="none" w:sz="0" w:space="0" w:color="auto"/>
          </w:divBdr>
        </w:div>
        <w:div w:id="1372612932">
          <w:marLeft w:val="0"/>
          <w:marRight w:val="0"/>
          <w:marTop w:val="0"/>
          <w:marBottom w:val="0"/>
          <w:divBdr>
            <w:top w:val="none" w:sz="0" w:space="0" w:color="auto"/>
            <w:left w:val="none" w:sz="0" w:space="0" w:color="auto"/>
            <w:bottom w:val="none" w:sz="0" w:space="0" w:color="auto"/>
            <w:right w:val="none" w:sz="0" w:space="0" w:color="auto"/>
          </w:divBdr>
          <w:divsChild>
            <w:div w:id="431173148">
              <w:marLeft w:val="0"/>
              <w:marRight w:val="0"/>
              <w:marTop w:val="120"/>
              <w:marBottom w:val="0"/>
              <w:divBdr>
                <w:top w:val="none" w:sz="0" w:space="0" w:color="auto"/>
                <w:left w:val="none" w:sz="0" w:space="0" w:color="auto"/>
                <w:bottom w:val="none" w:sz="0" w:space="0" w:color="auto"/>
                <w:right w:val="none" w:sz="0" w:space="0" w:color="auto"/>
              </w:divBdr>
            </w:div>
            <w:div w:id="1338969514">
              <w:marLeft w:val="0"/>
              <w:marRight w:val="0"/>
              <w:marTop w:val="120"/>
              <w:marBottom w:val="0"/>
              <w:divBdr>
                <w:top w:val="none" w:sz="0" w:space="0" w:color="auto"/>
                <w:left w:val="none" w:sz="0" w:space="0" w:color="auto"/>
                <w:bottom w:val="none" w:sz="0" w:space="0" w:color="auto"/>
                <w:right w:val="none" w:sz="0" w:space="0" w:color="auto"/>
              </w:divBdr>
              <w:divsChild>
                <w:div w:id="73354870">
                  <w:marLeft w:val="0"/>
                  <w:marRight w:val="0"/>
                  <w:marTop w:val="0"/>
                  <w:marBottom w:val="0"/>
                  <w:divBdr>
                    <w:top w:val="none" w:sz="0" w:space="0" w:color="auto"/>
                    <w:left w:val="none" w:sz="0" w:space="0" w:color="auto"/>
                    <w:bottom w:val="none" w:sz="0" w:space="0" w:color="auto"/>
                    <w:right w:val="none" w:sz="0" w:space="0" w:color="auto"/>
                  </w:divBdr>
                  <w:divsChild>
                    <w:div w:id="58792824">
                      <w:marLeft w:val="0"/>
                      <w:marRight w:val="0"/>
                      <w:marTop w:val="120"/>
                      <w:marBottom w:val="0"/>
                      <w:divBdr>
                        <w:top w:val="none" w:sz="0" w:space="0" w:color="auto"/>
                        <w:left w:val="none" w:sz="0" w:space="0" w:color="auto"/>
                        <w:bottom w:val="none" w:sz="0" w:space="0" w:color="auto"/>
                        <w:right w:val="none" w:sz="0" w:space="0" w:color="auto"/>
                      </w:divBdr>
                    </w:div>
                    <w:div w:id="1127970714">
                      <w:marLeft w:val="0"/>
                      <w:marRight w:val="0"/>
                      <w:marTop w:val="0"/>
                      <w:marBottom w:val="0"/>
                      <w:divBdr>
                        <w:top w:val="none" w:sz="0" w:space="0" w:color="auto"/>
                        <w:left w:val="none" w:sz="0" w:space="0" w:color="auto"/>
                        <w:bottom w:val="none" w:sz="0" w:space="0" w:color="auto"/>
                        <w:right w:val="none" w:sz="0" w:space="0" w:color="auto"/>
                      </w:divBdr>
                      <w:divsChild>
                        <w:div w:id="14101570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51086597">
                  <w:marLeft w:val="0"/>
                  <w:marRight w:val="0"/>
                  <w:marTop w:val="0"/>
                  <w:marBottom w:val="0"/>
                  <w:divBdr>
                    <w:top w:val="none" w:sz="0" w:space="0" w:color="auto"/>
                    <w:left w:val="none" w:sz="0" w:space="0" w:color="auto"/>
                    <w:bottom w:val="none" w:sz="0" w:space="0" w:color="auto"/>
                    <w:right w:val="none" w:sz="0" w:space="0" w:color="auto"/>
                  </w:divBdr>
                  <w:divsChild>
                    <w:div w:id="494996828">
                      <w:marLeft w:val="0"/>
                      <w:marRight w:val="0"/>
                      <w:marTop w:val="120"/>
                      <w:marBottom w:val="0"/>
                      <w:divBdr>
                        <w:top w:val="none" w:sz="0" w:space="0" w:color="auto"/>
                        <w:left w:val="none" w:sz="0" w:space="0" w:color="auto"/>
                        <w:bottom w:val="none" w:sz="0" w:space="0" w:color="auto"/>
                        <w:right w:val="none" w:sz="0" w:space="0" w:color="auto"/>
                      </w:divBdr>
                    </w:div>
                    <w:div w:id="1950970769">
                      <w:marLeft w:val="0"/>
                      <w:marRight w:val="0"/>
                      <w:marTop w:val="0"/>
                      <w:marBottom w:val="0"/>
                      <w:divBdr>
                        <w:top w:val="none" w:sz="0" w:space="0" w:color="auto"/>
                        <w:left w:val="none" w:sz="0" w:space="0" w:color="auto"/>
                        <w:bottom w:val="none" w:sz="0" w:space="0" w:color="auto"/>
                        <w:right w:val="none" w:sz="0" w:space="0" w:color="auto"/>
                      </w:divBdr>
                      <w:divsChild>
                        <w:div w:id="1618238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869756">
      <w:marLeft w:val="960"/>
      <w:marRight w:val="0"/>
      <w:marTop w:val="0"/>
      <w:marBottom w:val="0"/>
      <w:divBdr>
        <w:top w:val="none" w:sz="0" w:space="0" w:color="auto"/>
        <w:left w:val="none" w:sz="0" w:space="0" w:color="auto"/>
        <w:bottom w:val="none" w:sz="0" w:space="0" w:color="auto"/>
        <w:right w:val="none" w:sz="0" w:space="0" w:color="auto"/>
      </w:divBdr>
    </w:div>
    <w:div w:id="2011133857">
      <w:marLeft w:val="0"/>
      <w:marRight w:val="0"/>
      <w:marTop w:val="0"/>
      <w:marBottom w:val="0"/>
      <w:divBdr>
        <w:top w:val="none" w:sz="0" w:space="0" w:color="auto"/>
        <w:left w:val="none" w:sz="0" w:space="0" w:color="auto"/>
        <w:bottom w:val="none" w:sz="0" w:space="0" w:color="auto"/>
        <w:right w:val="none" w:sz="0" w:space="0" w:color="auto"/>
      </w:divBdr>
      <w:divsChild>
        <w:div w:id="1628464241">
          <w:marLeft w:val="0"/>
          <w:marRight w:val="0"/>
          <w:marTop w:val="120"/>
          <w:marBottom w:val="0"/>
          <w:divBdr>
            <w:top w:val="none" w:sz="0" w:space="0" w:color="auto"/>
            <w:left w:val="none" w:sz="0" w:space="0" w:color="auto"/>
            <w:bottom w:val="none" w:sz="0" w:space="0" w:color="auto"/>
            <w:right w:val="none" w:sz="0" w:space="0" w:color="auto"/>
          </w:divBdr>
        </w:div>
        <w:div w:id="294337667">
          <w:marLeft w:val="0"/>
          <w:marRight w:val="0"/>
          <w:marTop w:val="0"/>
          <w:marBottom w:val="0"/>
          <w:divBdr>
            <w:top w:val="none" w:sz="0" w:space="0" w:color="auto"/>
            <w:left w:val="none" w:sz="0" w:space="0" w:color="auto"/>
            <w:bottom w:val="none" w:sz="0" w:space="0" w:color="auto"/>
            <w:right w:val="none" w:sz="0" w:space="0" w:color="auto"/>
          </w:divBdr>
          <w:divsChild>
            <w:div w:id="18487838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15646113">
      <w:marLeft w:val="1080"/>
      <w:marRight w:val="0"/>
      <w:marTop w:val="0"/>
      <w:marBottom w:val="0"/>
      <w:divBdr>
        <w:top w:val="none" w:sz="0" w:space="0" w:color="auto"/>
        <w:left w:val="none" w:sz="0" w:space="0" w:color="auto"/>
        <w:bottom w:val="none" w:sz="0" w:space="0" w:color="auto"/>
        <w:right w:val="none" w:sz="0" w:space="0" w:color="auto"/>
      </w:divBdr>
    </w:div>
    <w:div w:id="2028016687">
      <w:marLeft w:val="720"/>
      <w:marRight w:val="0"/>
      <w:marTop w:val="0"/>
      <w:marBottom w:val="0"/>
      <w:divBdr>
        <w:top w:val="none" w:sz="0" w:space="0" w:color="auto"/>
        <w:left w:val="none" w:sz="0" w:space="0" w:color="auto"/>
        <w:bottom w:val="none" w:sz="0" w:space="0" w:color="auto"/>
        <w:right w:val="none" w:sz="0" w:space="0" w:color="auto"/>
      </w:divBdr>
    </w:div>
    <w:div w:id="2031445016">
      <w:marLeft w:val="840"/>
      <w:marRight w:val="0"/>
      <w:marTop w:val="0"/>
      <w:marBottom w:val="0"/>
      <w:divBdr>
        <w:top w:val="none" w:sz="0" w:space="0" w:color="auto"/>
        <w:left w:val="none" w:sz="0" w:space="0" w:color="auto"/>
        <w:bottom w:val="none" w:sz="0" w:space="0" w:color="auto"/>
        <w:right w:val="none" w:sz="0" w:space="0" w:color="auto"/>
      </w:divBdr>
    </w:div>
    <w:div w:id="2032148218">
      <w:marLeft w:val="720"/>
      <w:marRight w:val="0"/>
      <w:marTop w:val="0"/>
      <w:marBottom w:val="0"/>
      <w:divBdr>
        <w:top w:val="none" w:sz="0" w:space="0" w:color="auto"/>
        <w:left w:val="none" w:sz="0" w:space="0" w:color="auto"/>
        <w:bottom w:val="none" w:sz="0" w:space="0" w:color="auto"/>
        <w:right w:val="none" w:sz="0" w:space="0" w:color="auto"/>
      </w:divBdr>
    </w:div>
    <w:div w:id="2039423999">
      <w:marLeft w:val="1080"/>
      <w:marRight w:val="0"/>
      <w:marTop w:val="0"/>
      <w:marBottom w:val="0"/>
      <w:divBdr>
        <w:top w:val="none" w:sz="0" w:space="0" w:color="auto"/>
        <w:left w:val="none" w:sz="0" w:space="0" w:color="auto"/>
        <w:bottom w:val="none" w:sz="0" w:space="0" w:color="auto"/>
        <w:right w:val="none" w:sz="0" w:space="0" w:color="auto"/>
      </w:divBdr>
    </w:div>
    <w:div w:id="2044095246">
      <w:marLeft w:val="960"/>
      <w:marRight w:val="0"/>
      <w:marTop w:val="0"/>
      <w:marBottom w:val="0"/>
      <w:divBdr>
        <w:top w:val="none" w:sz="0" w:space="0" w:color="auto"/>
        <w:left w:val="none" w:sz="0" w:space="0" w:color="auto"/>
        <w:bottom w:val="none" w:sz="0" w:space="0" w:color="auto"/>
        <w:right w:val="none" w:sz="0" w:space="0" w:color="auto"/>
      </w:divBdr>
    </w:div>
    <w:div w:id="2047947894">
      <w:marLeft w:val="960"/>
      <w:marRight w:val="0"/>
      <w:marTop w:val="0"/>
      <w:marBottom w:val="0"/>
      <w:divBdr>
        <w:top w:val="none" w:sz="0" w:space="0" w:color="auto"/>
        <w:left w:val="none" w:sz="0" w:space="0" w:color="auto"/>
        <w:bottom w:val="none" w:sz="0" w:space="0" w:color="auto"/>
        <w:right w:val="none" w:sz="0" w:space="0" w:color="auto"/>
      </w:divBdr>
    </w:div>
    <w:div w:id="2060548353">
      <w:marLeft w:val="1080"/>
      <w:marRight w:val="0"/>
      <w:marTop w:val="0"/>
      <w:marBottom w:val="0"/>
      <w:divBdr>
        <w:top w:val="none" w:sz="0" w:space="0" w:color="auto"/>
        <w:left w:val="none" w:sz="0" w:space="0" w:color="auto"/>
        <w:bottom w:val="none" w:sz="0" w:space="0" w:color="auto"/>
        <w:right w:val="none" w:sz="0" w:space="0" w:color="auto"/>
      </w:divBdr>
    </w:div>
    <w:div w:id="2062097845">
      <w:marLeft w:val="840"/>
      <w:marRight w:val="0"/>
      <w:marTop w:val="0"/>
      <w:marBottom w:val="0"/>
      <w:divBdr>
        <w:top w:val="none" w:sz="0" w:space="0" w:color="auto"/>
        <w:left w:val="none" w:sz="0" w:space="0" w:color="auto"/>
        <w:bottom w:val="none" w:sz="0" w:space="0" w:color="auto"/>
        <w:right w:val="none" w:sz="0" w:space="0" w:color="auto"/>
      </w:divBdr>
    </w:div>
    <w:div w:id="2065374665">
      <w:marLeft w:val="0"/>
      <w:marRight w:val="0"/>
      <w:marTop w:val="0"/>
      <w:marBottom w:val="0"/>
      <w:divBdr>
        <w:top w:val="none" w:sz="0" w:space="0" w:color="auto"/>
        <w:left w:val="none" w:sz="0" w:space="0" w:color="auto"/>
        <w:bottom w:val="none" w:sz="0" w:space="0" w:color="auto"/>
        <w:right w:val="none" w:sz="0" w:space="0" w:color="auto"/>
      </w:divBdr>
      <w:divsChild>
        <w:div w:id="1447311897">
          <w:marLeft w:val="0"/>
          <w:marRight w:val="0"/>
          <w:marTop w:val="120"/>
          <w:marBottom w:val="0"/>
          <w:divBdr>
            <w:top w:val="none" w:sz="0" w:space="0" w:color="auto"/>
            <w:left w:val="none" w:sz="0" w:space="0" w:color="auto"/>
            <w:bottom w:val="none" w:sz="0" w:space="0" w:color="auto"/>
            <w:right w:val="none" w:sz="0" w:space="0" w:color="auto"/>
          </w:divBdr>
        </w:div>
        <w:div w:id="1981180745">
          <w:marLeft w:val="0"/>
          <w:marRight w:val="0"/>
          <w:marTop w:val="0"/>
          <w:marBottom w:val="0"/>
          <w:divBdr>
            <w:top w:val="none" w:sz="0" w:space="0" w:color="auto"/>
            <w:left w:val="none" w:sz="0" w:space="0" w:color="auto"/>
            <w:bottom w:val="none" w:sz="0" w:space="0" w:color="auto"/>
            <w:right w:val="none" w:sz="0" w:space="0" w:color="auto"/>
          </w:divBdr>
        </w:div>
      </w:divsChild>
    </w:div>
    <w:div w:id="2067483517">
      <w:marLeft w:val="0"/>
      <w:marRight w:val="0"/>
      <w:marTop w:val="0"/>
      <w:marBottom w:val="0"/>
      <w:divBdr>
        <w:top w:val="none" w:sz="0" w:space="0" w:color="auto"/>
        <w:left w:val="none" w:sz="0" w:space="0" w:color="auto"/>
        <w:bottom w:val="none" w:sz="0" w:space="0" w:color="auto"/>
        <w:right w:val="none" w:sz="0" w:space="0" w:color="auto"/>
      </w:divBdr>
      <w:divsChild>
        <w:div w:id="1207183267">
          <w:marLeft w:val="0"/>
          <w:marRight w:val="0"/>
          <w:marTop w:val="120"/>
          <w:marBottom w:val="0"/>
          <w:divBdr>
            <w:top w:val="none" w:sz="0" w:space="0" w:color="auto"/>
            <w:left w:val="none" w:sz="0" w:space="0" w:color="auto"/>
            <w:bottom w:val="none" w:sz="0" w:space="0" w:color="auto"/>
            <w:right w:val="none" w:sz="0" w:space="0" w:color="auto"/>
          </w:divBdr>
        </w:div>
        <w:div w:id="1617560109">
          <w:marLeft w:val="0"/>
          <w:marRight w:val="0"/>
          <w:marTop w:val="0"/>
          <w:marBottom w:val="0"/>
          <w:divBdr>
            <w:top w:val="none" w:sz="0" w:space="0" w:color="auto"/>
            <w:left w:val="none" w:sz="0" w:space="0" w:color="auto"/>
            <w:bottom w:val="none" w:sz="0" w:space="0" w:color="auto"/>
            <w:right w:val="none" w:sz="0" w:space="0" w:color="auto"/>
          </w:divBdr>
          <w:divsChild>
            <w:div w:id="8836416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0378870">
      <w:marLeft w:val="960"/>
      <w:marRight w:val="0"/>
      <w:marTop w:val="0"/>
      <w:marBottom w:val="0"/>
      <w:divBdr>
        <w:top w:val="none" w:sz="0" w:space="0" w:color="auto"/>
        <w:left w:val="none" w:sz="0" w:space="0" w:color="auto"/>
        <w:bottom w:val="none" w:sz="0" w:space="0" w:color="auto"/>
        <w:right w:val="none" w:sz="0" w:space="0" w:color="auto"/>
      </w:divBdr>
    </w:div>
    <w:div w:id="2073036918">
      <w:marLeft w:val="0"/>
      <w:marRight w:val="0"/>
      <w:marTop w:val="0"/>
      <w:marBottom w:val="0"/>
      <w:divBdr>
        <w:top w:val="none" w:sz="0" w:space="0" w:color="auto"/>
        <w:left w:val="none" w:sz="0" w:space="0" w:color="auto"/>
        <w:bottom w:val="none" w:sz="0" w:space="0" w:color="auto"/>
        <w:right w:val="none" w:sz="0" w:space="0" w:color="auto"/>
      </w:divBdr>
      <w:divsChild>
        <w:div w:id="3896886">
          <w:marLeft w:val="0"/>
          <w:marRight w:val="0"/>
          <w:marTop w:val="120"/>
          <w:marBottom w:val="0"/>
          <w:divBdr>
            <w:top w:val="none" w:sz="0" w:space="0" w:color="auto"/>
            <w:left w:val="none" w:sz="0" w:space="0" w:color="auto"/>
            <w:bottom w:val="none" w:sz="0" w:space="0" w:color="auto"/>
            <w:right w:val="none" w:sz="0" w:space="0" w:color="auto"/>
          </w:divBdr>
        </w:div>
        <w:div w:id="371812105">
          <w:marLeft w:val="0"/>
          <w:marRight w:val="0"/>
          <w:marTop w:val="0"/>
          <w:marBottom w:val="0"/>
          <w:divBdr>
            <w:top w:val="none" w:sz="0" w:space="0" w:color="auto"/>
            <w:left w:val="none" w:sz="0" w:space="0" w:color="auto"/>
            <w:bottom w:val="none" w:sz="0" w:space="0" w:color="auto"/>
            <w:right w:val="none" w:sz="0" w:space="0" w:color="auto"/>
          </w:divBdr>
          <w:divsChild>
            <w:div w:id="4344443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6272343">
      <w:marLeft w:val="0"/>
      <w:marRight w:val="0"/>
      <w:marTop w:val="120"/>
      <w:marBottom w:val="0"/>
      <w:divBdr>
        <w:top w:val="none" w:sz="0" w:space="0" w:color="auto"/>
        <w:left w:val="none" w:sz="0" w:space="0" w:color="auto"/>
        <w:bottom w:val="none" w:sz="0" w:space="0" w:color="auto"/>
        <w:right w:val="none" w:sz="0" w:space="0" w:color="auto"/>
      </w:divBdr>
    </w:div>
    <w:div w:id="2083797437">
      <w:marLeft w:val="0"/>
      <w:marRight w:val="0"/>
      <w:marTop w:val="0"/>
      <w:marBottom w:val="0"/>
      <w:divBdr>
        <w:top w:val="none" w:sz="0" w:space="0" w:color="auto"/>
        <w:left w:val="none" w:sz="0" w:space="0" w:color="auto"/>
        <w:bottom w:val="none" w:sz="0" w:space="0" w:color="auto"/>
        <w:right w:val="none" w:sz="0" w:space="0" w:color="auto"/>
      </w:divBdr>
      <w:divsChild>
        <w:div w:id="1328165971">
          <w:marLeft w:val="0"/>
          <w:marRight w:val="0"/>
          <w:marTop w:val="120"/>
          <w:marBottom w:val="0"/>
          <w:divBdr>
            <w:top w:val="none" w:sz="0" w:space="0" w:color="auto"/>
            <w:left w:val="none" w:sz="0" w:space="0" w:color="auto"/>
            <w:bottom w:val="none" w:sz="0" w:space="0" w:color="auto"/>
            <w:right w:val="none" w:sz="0" w:space="0" w:color="auto"/>
          </w:divBdr>
        </w:div>
        <w:div w:id="944460595">
          <w:marLeft w:val="0"/>
          <w:marRight w:val="0"/>
          <w:marTop w:val="0"/>
          <w:marBottom w:val="0"/>
          <w:divBdr>
            <w:top w:val="none" w:sz="0" w:space="0" w:color="auto"/>
            <w:left w:val="none" w:sz="0" w:space="0" w:color="auto"/>
            <w:bottom w:val="none" w:sz="0" w:space="0" w:color="auto"/>
            <w:right w:val="none" w:sz="0" w:space="0" w:color="auto"/>
          </w:divBdr>
          <w:divsChild>
            <w:div w:id="15413563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4792426">
      <w:marLeft w:val="0"/>
      <w:marRight w:val="0"/>
      <w:marTop w:val="0"/>
      <w:marBottom w:val="0"/>
      <w:divBdr>
        <w:top w:val="none" w:sz="0" w:space="0" w:color="auto"/>
        <w:left w:val="none" w:sz="0" w:space="0" w:color="auto"/>
        <w:bottom w:val="none" w:sz="0" w:space="0" w:color="auto"/>
        <w:right w:val="none" w:sz="0" w:space="0" w:color="auto"/>
      </w:divBdr>
      <w:divsChild>
        <w:div w:id="1576013964">
          <w:marLeft w:val="0"/>
          <w:marRight w:val="0"/>
          <w:marTop w:val="120"/>
          <w:marBottom w:val="0"/>
          <w:divBdr>
            <w:top w:val="none" w:sz="0" w:space="0" w:color="auto"/>
            <w:left w:val="none" w:sz="0" w:space="0" w:color="auto"/>
            <w:bottom w:val="none" w:sz="0" w:space="0" w:color="auto"/>
            <w:right w:val="none" w:sz="0" w:space="0" w:color="auto"/>
          </w:divBdr>
        </w:div>
        <w:div w:id="1986621141">
          <w:marLeft w:val="0"/>
          <w:marRight w:val="0"/>
          <w:marTop w:val="0"/>
          <w:marBottom w:val="0"/>
          <w:divBdr>
            <w:top w:val="none" w:sz="0" w:space="0" w:color="auto"/>
            <w:left w:val="none" w:sz="0" w:space="0" w:color="auto"/>
            <w:bottom w:val="none" w:sz="0" w:space="0" w:color="auto"/>
            <w:right w:val="none" w:sz="0" w:space="0" w:color="auto"/>
          </w:divBdr>
          <w:divsChild>
            <w:div w:id="12076393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1658728">
      <w:marLeft w:val="720"/>
      <w:marRight w:val="0"/>
      <w:marTop w:val="0"/>
      <w:marBottom w:val="0"/>
      <w:divBdr>
        <w:top w:val="none" w:sz="0" w:space="0" w:color="auto"/>
        <w:left w:val="none" w:sz="0" w:space="0" w:color="auto"/>
        <w:bottom w:val="none" w:sz="0" w:space="0" w:color="auto"/>
        <w:right w:val="none" w:sz="0" w:space="0" w:color="auto"/>
      </w:divBdr>
    </w:div>
    <w:div w:id="2092578320">
      <w:marLeft w:val="960"/>
      <w:marRight w:val="0"/>
      <w:marTop w:val="0"/>
      <w:marBottom w:val="0"/>
      <w:divBdr>
        <w:top w:val="none" w:sz="0" w:space="0" w:color="auto"/>
        <w:left w:val="none" w:sz="0" w:space="0" w:color="auto"/>
        <w:bottom w:val="none" w:sz="0" w:space="0" w:color="auto"/>
        <w:right w:val="none" w:sz="0" w:space="0" w:color="auto"/>
      </w:divBdr>
    </w:div>
    <w:div w:id="2100833594">
      <w:marLeft w:val="720"/>
      <w:marRight w:val="0"/>
      <w:marTop w:val="0"/>
      <w:marBottom w:val="0"/>
      <w:divBdr>
        <w:top w:val="none" w:sz="0" w:space="0" w:color="auto"/>
        <w:left w:val="none" w:sz="0" w:space="0" w:color="auto"/>
        <w:bottom w:val="none" w:sz="0" w:space="0" w:color="auto"/>
        <w:right w:val="none" w:sz="0" w:space="0" w:color="auto"/>
      </w:divBdr>
    </w:div>
    <w:div w:id="2101751046">
      <w:marLeft w:val="0"/>
      <w:marRight w:val="0"/>
      <w:marTop w:val="0"/>
      <w:marBottom w:val="0"/>
      <w:divBdr>
        <w:top w:val="none" w:sz="0" w:space="0" w:color="auto"/>
        <w:left w:val="none" w:sz="0" w:space="0" w:color="auto"/>
        <w:bottom w:val="none" w:sz="0" w:space="0" w:color="auto"/>
        <w:right w:val="none" w:sz="0" w:space="0" w:color="auto"/>
      </w:divBdr>
      <w:divsChild>
        <w:div w:id="1730496312">
          <w:marLeft w:val="0"/>
          <w:marRight w:val="0"/>
          <w:marTop w:val="120"/>
          <w:marBottom w:val="0"/>
          <w:divBdr>
            <w:top w:val="none" w:sz="0" w:space="0" w:color="auto"/>
            <w:left w:val="none" w:sz="0" w:space="0" w:color="auto"/>
            <w:bottom w:val="none" w:sz="0" w:space="0" w:color="auto"/>
            <w:right w:val="none" w:sz="0" w:space="0" w:color="auto"/>
          </w:divBdr>
        </w:div>
        <w:div w:id="2099331193">
          <w:marLeft w:val="0"/>
          <w:marRight w:val="0"/>
          <w:marTop w:val="0"/>
          <w:marBottom w:val="0"/>
          <w:divBdr>
            <w:top w:val="none" w:sz="0" w:space="0" w:color="auto"/>
            <w:left w:val="none" w:sz="0" w:space="0" w:color="auto"/>
            <w:bottom w:val="none" w:sz="0" w:space="0" w:color="auto"/>
            <w:right w:val="none" w:sz="0" w:space="0" w:color="auto"/>
          </w:divBdr>
          <w:divsChild>
            <w:div w:id="10149593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4301595">
      <w:marLeft w:val="0"/>
      <w:marRight w:val="0"/>
      <w:marTop w:val="0"/>
      <w:marBottom w:val="0"/>
      <w:divBdr>
        <w:top w:val="none" w:sz="0" w:space="0" w:color="auto"/>
        <w:left w:val="none" w:sz="0" w:space="0" w:color="auto"/>
        <w:bottom w:val="none" w:sz="0" w:space="0" w:color="auto"/>
        <w:right w:val="none" w:sz="0" w:space="0" w:color="auto"/>
      </w:divBdr>
      <w:divsChild>
        <w:div w:id="653532347">
          <w:marLeft w:val="0"/>
          <w:marRight w:val="0"/>
          <w:marTop w:val="120"/>
          <w:marBottom w:val="0"/>
          <w:divBdr>
            <w:top w:val="none" w:sz="0" w:space="0" w:color="auto"/>
            <w:left w:val="none" w:sz="0" w:space="0" w:color="auto"/>
            <w:bottom w:val="none" w:sz="0" w:space="0" w:color="auto"/>
            <w:right w:val="none" w:sz="0" w:space="0" w:color="auto"/>
          </w:divBdr>
        </w:div>
        <w:div w:id="61223155">
          <w:marLeft w:val="0"/>
          <w:marRight w:val="0"/>
          <w:marTop w:val="0"/>
          <w:marBottom w:val="0"/>
          <w:divBdr>
            <w:top w:val="none" w:sz="0" w:space="0" w:color="auto"/>
            <w:left w:val="none" w:sz="0" w:space="0" w:color="auto"/>
            <w:bottom w:val="none" w:sz="0" w:space="0" w:color="auto"/>
            <w:right w:val="none" w:sz="0" w:space="0" w:color="auto"/>
          </w:divBdr>
          <w:divsChild>
            <w:div w:id="8278623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9546006">
      <w:marLeft w:val="960"/>
      <w:marRight w:val="0"/>
      <w:marTop w:val="0"/>
      <w:marBottom w:val="0"/>
      <w:divBdr>
        <w:top w:val="none" w:sz="0" w:space="0" w:color="auto"/>
        <w:left w:val="none" w:sz="0" w:space="0" w:color="auto"/>
        <w:bottom w:val="none" w:sz="0" w:space="0" w:color="auto"/>
        <w:right w:val="none" w:sz="0" w:space="0" w:color="auto"/>
      </w:divBdr>
    </w:div>
    <w:div w:id="2110346683">
      <w:marLeft w:val="840"/>
      <w:marRight w:val="0"/>
      <w:marTop w:val="0"/>
      <w:marBottom w:val="0"/>
      <w:divBdr>
        <w:top w:val="none" w:sz="0" w:space="0" w:color="auto"/>
        <w:left w:val="none" w:sz="0" w:space="0" w:color="auto"/>
        <w:bottom w:val="none" w:sz="0" w:space="0" w:color="auto"/>
        <w:right w:val="none" w:sz="0" w:space="0" w:color="auto"/>
      </w:divBdr>
    </w:div>
    <w:div w:id="2112815834">
      <w:marLeft w:val="1080"/>
      <w:marRight w:val="0"/>
      <w:marTop w:val="0"/>
      <w:marBottom w:val="0"/>
      <w:divBdr>
        <w:top w:val="none" w:sz="0" w:space="0" w:color="auto"/>
        <w:left w:val="none" w:sz="0" w:space="0" w:color="auto"/>
        <w:bottom w:val="none" w:sz="0" w:space="0" w:color="auto"/>
        <w:right w:val="none" w:sz="0" w:space="0" w:color="auto"/>
      </w:divBdr>
    </w:div>
    <w:div w:id="2113276757">
      <w:marLeft w:val="720"/>
      <w:marRight w:val="0"/>
      <w:marTop w:val="0"/>
      <w:marBottom w:val="0"/>
      <w:divBdr>
        <w:top w:val="none" w:sz="0" w:space="0" w:color="auto"/>
        <w:left w:val="none" w:sz="0" w:space="0" w:color="auto"/>
        <w:bottom w:val="none" w:sz="0" w:space="0" w:color="auto"/>
        <w:right w:val="none" w:sz="0" w:space="0" w:color="auto"/>
      </w:divBdr>
    </w:div>
    <w:div w:id="2114326184">
      <w:marLeft w:val="0"/>
      <w:marRight w:val="0"/>
      <w:marTop w:val="0"/>
      <w:marBottom w:val="0"/>
      <w:divBdr>
        <w:top w:val="none" w:sz="0" w:space="0" w:color="auto"/>
        <w:left w:val="none" w:sz="0" w:space="0" w:color="auto"/>
        <w:bottom w:val="none" w:sz="0" w:space="0" w:color="auto"/>
        <w:right w:val="none" w:sz="0" w:space="0" w:color="auto"/>
      </w:divBdr>
    </w:div>
    <w:div w:id="2118401494">
      <w:marLeft w:val="0"/>
      <w:marRight w:val="0"/>
      <w:marTop w:val="0"/>
      <w:marBottom w:val="0"/>
      <w:divBdr>
        <w:top w:val="none" w:sz="0" w:space="0" w:color="auto"/>
        <w:left w:val="none" w:sz="0" w:space="0" w:color="auto"/>
        <w:bottom w:val="none" w:sz="0" w:space="0" w:color="auto"/>
        <w:right w:val="none" w:sz="0" w:space="0" w:color="auto"/>
      </w:divBdr>
      <w:divsChild>
        <w:div w:id="77479880">
          <w:marLeft w:val="0"/>
          <w:marRight w:val="0"/>
          <w:marTop w:val="120"/>
          <w:marBottom w:val="0"/>
          <w:divBdr>
            <w:top w:val="none" w:sz="0" w:space="0" w:color="auto"/>
            <w:left w:val="none" w:sz="0" w:space="0" w:color="auto"/>
            <w:bottom w:val="none" w:sz="0" w:space="0" w:color="auto"/>
            <w:right w:val="none" w:sz="0" w:space="0" w:color="auto"/>
          </w:divBdr>
        </w:div>
        <w:div w:id="1221089379">
          <w:marLeft w:val="0"/>
          <w:marRight w:val="0"/>
          <w:marTop w:val="0"/>
          <w:marBottom w:val="0"/>
          <w:divBdr>
            <w:top w:val="none" w:sz="0" w:space="0" w:color="auto"/>
            <w:left w:val="none" w:sz="0" w:space="0" w:color="auto"/>
            <w:bottom w:val="none" w:sz="0" w:space="0" w:color="auto"/>
            <w:right w:val="none" w:sz="0" w:space="0" w:color="auto"/>
          </w:divBdr>
          <w:divsChild>
            <w:div w:id="791343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19833037">
      <w:marLeft w:val="960"/>
      <w:marRight w:val="0"/>
      <w:marTop w:val="0"/>
      <w:marBottom w:val="0"/>
      <w:divBdr>
        <w:top w:val="none" w:sz="0" w:space="0" w:color="auto"/>
        <w:left w:val="none" w:sz="0" w:space="0" w:color="auto"/>
        <w:bottom w:val="none" w:sz="0" w:space="0" w:color="auto"/>
        <w:right w:val="none" w:sz="0" w:space="0" w:color="auto"/>
      </w:divBdr>
    </w:div>
    <w:div w:id="2120027997">
      <w:marLeft w:val="720"/>
      <w:marRight w:val="0"/>
      <w:marTop w:val="0"/>
      <w:marBottom w:val="0"/>
      <w:divBdr>
        <w:top w:val="none" w:sz="0" w:space="0" w:color="auto"/>
        <w:left w:val="none" w:sz="0" w:space="0" w:color="auto"/>
        <w:bottom w:val="none" w:sz="0" w:space="0" w:color="auto"/>
        <w:right w:val="none" w:sz="0" w:space="0" w:color="auto"/>
      </w:divBdr>
    </w:div>
    <w:div w:id="2123301386">
      <w:marLeft w:val="720"/>
      <w:marRight w:val="0"/>
      <w:marTop w:val="0"/>
      <w:marBottom w:val="0"/>
      <w:divBdr>
        <w:top w:val="none" w:sz="0" w:space="0" w:color="auto"/>
        <w:left w:val="none" w:sz="0" w:space="0" w:color="auto"/>
        <w:bottom w:val="none" w:sz="0" w:space="0" w:color="auto"/>
        <w:right w:val="none" w:sz="0" w:space="0" w:color="auto"/>
      </w:divBdr>
    </w:div>
    <w:div w:id="2124570396">
      <w:marLeft w:val="840"/>
      <w:marRight w:val="0"/>
      <w:marTop w:val="0"/>
      <w:marBottom w:val="0"/>
      <w:divBdr>
        <w:top w:val="none" w:sz="0" w:space="0" w:color="auto"/>
        <w:left w:val="none" w:sz="0" w:space="0" w:color="auto"/>
        <w:bottom w:val="none" w:sz="0" w:space="0" w:color="auto"/>
        <w:right w:val="none" w:sz="0" w:space="0" w:color="auto"/>
      </w:divBdr>
    </w:div>
    <w:div w:id="2128235652">
      <w:marLeft w:val="960"/>
      <w:marRight w:val="0"/>
      <w:marTop w:val="0"/>
      <w:marBottom w:val="0"/>
      <w:divBdr>
        <w:top w:val="none" w:sz="0" w:space="0" w:color="auto"/>
        <w:left w:val="none" w:sz="0" w:space="0" w:color="auto"/>
        <w:bottom w:val="none" w:sz="0" w:space="0" w:color="auto"/>
        <w:right w:val="none" w:sz="0" w:space="0" w:color="auto"/>
      </w:divBdr>
    </w:div>
    <w:div w:id="2130279396">
      <w:marLeft w:val="720"/>
      <w:marRight w:val="0"/>
      <w:marTop w:val="0"/>
      <w:marBottom w:val="0"/>
      <w:divBdr>
        <w:top w:val="none" w:sz="0" w:space="0" w:color="auto"/>
        <w:left w:val="none" w:sz="0" w:space="0" w:color="auto"/>
        <w:bottom w:val="none" w:sz="0" w:space="0" w:color="auto"/>
        <w:right w:val="none" w:sz="0" w:space="0" w:color="auto"/>
      </w:divBdr>
    </w:div>
    <w:div w:id="2136487931">
      <w:marLeft w:val="960"/>
      <w:marRight w:val="0"/>
      <w:marTop w:val="0"/>
      <w:marBottom w:val="0"/>
      <w:divBdr>
        <w:top w:val="none" w:sz="0" w:space="0" w:color="auto"/>
        <w:left w:val="none" w:sz="0" w:space="0" w:color="auto"/>
        <w:bottom w:val="none" w:sz="0" w:space="0" w:color="auto"/>
        <w:right w:val="none" w:sz="0" w:space="0" w:color="auto"/>
      </w:divBdr>
    </w:div>
    <w:div w:id="2143031796">
      <w:marLeft w:val="1080"/>
      <w:marRight w:val="0"/>
      <w:marTop w:val="0"/>
      <w:marBottom w:val="0"/>
      <w:divBdr>
        <w:top w:val="none" w:sz="0" w:space="0" w:color="auto"/>
        <w:left w:val="none" w:sz="0" w:space="0" w:color="auto"/>
        <w:bottom w:val="none" w:sz="0" w:space="0" w:color="auto"/>
        <w:right w:val="none" w:sz="0" w:space="0" w:color="auto"/>
      </w:divBdr>
    </w:div>
    <w:div w:id="2145074016">
      <w:marLeft w:val="96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eur-lex.europa.eu/legal-content/RO/TXT/?uri=CELEX:02009R0152-20250514"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hyperlink" Target="https://eur-lex.europa.eu/legal-content/RO/TXT/?uri=CELEX:02009R0152-20250514" TargetMode="External"/><Relationship Id="rId68" Type="http://schemas.openxmlformats.org/officeDocument/2006/relationships/image" Target="media/image35.jpeg"/><Relationship Id="rId84" Type="http://schemas.openxmlformats.org/officeDocument/2006/relationships/hyperlink" Target="https://eur-lex.europa.eu/legal-content/RO/TXT/?uri=CELEX:02009R0152-20250514" TargetMode="External"/><Relationship Id="rId89" Type="http://schemas.openxmlformats.org/officeDocument/2006/relationships/hyperlink" Target="https://eur-lex.europa.eu/legal-content/RO/TXT/?uri=CELEX:02009R0152-20250514" TargetMode="External"/><Relationship Id="rId16" Type="http://schemas.openxmlformats.org/officeDocument/2006/relationships/hyperlink" Target="https://eur-lex.europa.eu/legal-content/RO/TXT/?uri=CELEX:02009R0152-20250514" TargetMode="External"/><Relationship Id="rId11" Type="http://schemas.openxmlformats.org/officeDocument/2006/relationships/hyperlink" Target="https://eur-lex.europa.eu/legal-content/RO/TXT/?uri=CELEX:02009R0152-20250514" TargetMode="External"/><Relationship Id="rId32" Type="http://schemas.openxmlformats.org/officeDocument/2006/relationships/image" Target="media/image7.jpeg"/><Relationship Id="rId37" Type="http://schemas.openxmlformats.org/officeDocument/2006/relationships/image" Target="media/image10.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0.jpeg"/><Relationship Id="rId79" Type="http://schemas.openxmlformats.org/officeDocument/2006/relationships/hyperlink" Target="https://eur-lex.europa.eu/legal-content/RO/TXT/?uri=CELEX:02009R0152-20250514" TargetMode="External"/><Relationship Id="rId102"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hyperlink" Target="https://eur-lex.europa.eu/legal-content/RO/TXT/?uri=CELEX:02009R0152-20250514" TargetMode="External"/><Relationship Id="rId95" Type="http://schemas.openxmlformats.org/officeDocument/2006/relationships/image" Target="media/image46.jpeg"/><Relationship Id="rId22" Type="http://schemas.openxmlformats.org/officeDocument/2006/relationships/hyperlink" Target="https://eur-lex.europa.eu/legal-content/RO/TXT/?uri=CELEX:02009R0152-20250514" TargetMode="External"/><Relationship Id="rId27" Type="http://schemas.openxmlformats.org/officeDocument/2006/relationships/image" Target="media/image3.jpeg"/><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image" Target="media/image32.jpeg"/><Relationship Id="rId69" Type="http://schemas.openxmlformats.org/officeDocument/2006/relationships/image" Target="media/image36.jpeg"/><Relationship Id="rId80" Type="http://schemas.openxmlformats.org/officeDocument/2006/relationships/hyperlink" Target="https://eur-lex.europa.eu/legal-content/RO/TXT/?uri=CELEX:02009R0152-20250514" TargetMode="External"/><Relationship Id="rId85" Type="http://schemas.openxmlformats.org/officeDocument/2006/relationships/hyperlink" Target="https://eur-lex.europa.eu/legal-content/RO/TXT/?uri=CELEX:02009R0152-20250514" TargetMode="External"/><Relationship Id="rId12" Type="http://schemas.openxmlformats.org/officeDocument/2006/relationships/hyperlink" Target="https://eur-lex.europa.eu/legal-content/RO/TXT/?uri=CELEX:02009R0152-20250514" TargetMode="External"/><Relationship Id="rId17" Type="http://schemas.openxmlformats.org/officeDocument/2006/relationships/hyperlink" Target="https://eur-lex.europa.eu/legal-content/RO/TXT/?uri=CELEX:02009R0152-20250514" TargetMode="External"/><Relationship Id="rId25" Type="http://schemas.openxmlformats.org/officeDocument/2006/relationships/hyperlink" Target="https://eur-lex.europa.eu/legal-content/RO/TXT/?uri=CELEX:02009R0152-20250514"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image" Target="media/image18.jpeg"/><Relationship Id="rId59" Type="http://schemas.openxmlformats.org/officeDocument/2006/relationships/hyperlink" Target="https://eur-lex.europa.eu/legal-content/RO/TXT/?uri=CELEX:02009R0152-20250514" TargetMode="External"/><Relationship Id="rId67" Type="http://schemas.openxmlformats.org/officeDocument/2006/relationships/image" Target="media/image34.jpeg"/><Relationship Id="rId103" Type="http://schemas.openxmlformats.org/officeDocument/2006/relationships/theme" Target="theme/theme1.xml"/><Relationship Id="rId20" Type="http://schemas.openxmlformats.org/officeDocument/2006/relationships/hyperlink" Target="https://eur-lex.europa.eu/legal-content/RO/TXT/?uri=CELEX:02009R0152-20250514"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hyperlink" Target="https://eur-lex.europa.eu/legal-content/RO/TXT/?uri=CELEX:02009R0152-20250514" TargetMode="External"/><Relationship Id="rId70" Type="http://schemas.openxmlformats.org/officeDocument/2006/relationships/image" Target="media/image37.jpeg"/><Relationship Id="rId75" Type="http://schemas.openxmlformats.org/officeDocument/2006/relationships/hyperlink" Target="https://eur-lex.europa.eu/legal-content/RO/TXT/?uri=CELEX:02009R0152-20250514" TargetMode="External"/><Relationship Id="rId83" Type="http://schemas.openxmlformats.org/officeDocument/2006/relationships/hyperlink" Target="https://eur-lex.europa.eu/legal-content/RO/TXT/?uri=CELEX:02009R0152-20250514" TargetMode="External"/><Relationship Id="rId88" Type="http://schemas.openxmlformats.org/officeDocument/2006/relationships/hyperlink" Target="https://eur-lex.europa.eu/legal-content/RO/TXT/?uri=CELEX:02009R0152-20250514" TargetMode="External"/><Relationship Id="rId91" Type="http://schemas.openxmlformats.org/officeDocument/2006/relationships/image" Target="media/image42.jpeg"/><Relationship Id="rId96" Type="http://schemas.openxmlformats.org/officeDocument/2006/relationships/hyperlink" Target="https://eur-lex.europa.eu/legal-content/RO/TXT/?uri=CELEX:02009R0152-20250514" TargetMode="External"/><Relationship Id="rId1" Type="http://schemas.openxmlformats.org/officeDocument/2006/relationships/numbering" Target="numbering.xml"/><Relationship Id="rId6" Type="http://schemas.openxmlformats.org/officeDocument/2006/relationships/hyperlink" Target="https://eur-lex.europa.eu/legal-content/RO/TXT/?uri=CELEX:02009R0152-20250514" TargetMode="External"/><Relationship Id="rId15" Type="http://schemas.openxmlformats.org/officeDocument/2006/relationships/hyperlink" Target="https://eur-lex.europa.eu/legal-content/RO/TXT/?uri=CELEX:02009R0152-20250514" TargetMode="External"/><Relationship Id="rId23" Type="http://schemas.openxmlformats.org/officeDocument/2006/relationships/hyperlink" Target="https://eur-lex.europa.eu/legal-content/RO/TXT/?uri=CELEX:02009R0152-20250514" TargetMode="External"/><Relationship Id="rId28" Type="http://schemas.openxmlformats.org/officeDocument/2006/relationships/hyperlink" Target="https://eur-lex.europa.eu/legal-content/RO/TXT/?uri=CELEX:02009R0152-20250514" TargetMode="External"/><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yperlink" Target="https://eur-lex.europa.eu/legal-content/RO/TXT/?uri=CELEX:02009R0152-20250514" TargetMode="External"/><Relationship Id="rId31" Type="http://schemas.openxmlformats.org/officeDocument/2006/relationships/image" Target="media/image6.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hyperlink" Target="https://eur-lex.europa.eu/legal-content/RO/TXT/?uri=CELEX:02009R0152-20250514" TargetMode="External"/><Relationship Id="rId73" Type="http://schemas.openxmlformats.org/officeDocument/2006/relationships/image" Target="media/image39.jpeg"/><Relationship Id="rId78" Type="http://schemas.openxmlformats.org/officeDocument/2006/relationships/hyperlink" Target="https://eur-lex.europa.eu/legal-content/RO/TXT/?uri=CELEX:02009R0152-20250514" TargetMode="External"/><Relationship Id="rId81" Type="http://schemas.openxmlformats.org/officeDocument/2006/relationships/hyperlink" Target="https://eur-lex.europa.eu/legal-content/RO/TXT/?uri=CELEX:02009R0152-20250514" TargetMode="External"/><Relationship Id="rId86" Type="http://schemas.openxmlformats.org/officeDocument/2006/relationships/hyperlink" Target="https://eur-lex.europa.eu/legal-content/RO/TXT/?uri=CELEX:02009R0152-20250514" TargetMode="External"/><Relationship Id="rId94" Type="http://schemas.openxmlformats.org/officeDocument/2006/relationships/image" Target="media/image45.jpeg"/><Relationship Id="rId99" Type="http://schemas.openxmlformats.org/officeDocument/2006/relationships/image" Target="media/image48.jpeg"/><Relationship Id="rId101"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s://eur-lex.europa.eu/legal-content/RO/TXT/?uri=CELEX:02009R0152-20250514" TargetMode="External"/><Relationship Id="rId13" Type="http://schemas.openxmlformats.org/officeDocument/2006/relationships/hyperlink" Target="https://eur-lex.europa.eu/legal-content/RO/TXT/?uri=CELEX:02009R0152-20250514" TargetMode="External"/><Relationship Id="rId18" Type="http://schemas.openxmlformats.org/officeDocument/2006/relationships/hyperlink" Target="https://eur-lex.europa.eu/legal-content/RO/TXT/?uri=CELEX:02009R0152-20250514" TargetMode="External"/><Relationship Id="rId39" Type="http://schemas.openxmlformats.org/officeDocument/2006/relationships/image" Target="media/image12.jpeg"/><Relationship Id="rId34" Type="http://schemas.openxmlformats.org/officeDocument/2006/relationships/hyperlink" Target="https://eur-lex.europa.eu/legal-content/RO/TXT/?uri=CELEX:02009R0152-20250514" TargetMode="Externa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hyperlink" Target="https://eur-lex.europa.eu/legal-content/RO/TXT/?uri=CELEX:02009R0152-20250514" TargetMode="External"/><Relationship Id="rId97" Type="http://schemas.openxmlformats.org/officeDocument/2006/relationships/hyperlink" Target="https://eur-lex.europa.eu/legal-content/RO/TXT/?uri=CELEX:02009R0152-20250514" TargetMode="External"/><Relationship Id="rId7" Type="http://schemas.openxmlformats.org/officeDocument/2006/relationships/hyperlink" Target="https://eur-lex.europa.eu/legal-content/RO/TXT/?uri=CELEX:02009R0152-20250514" TargetMode="External"/><Relationship Id="rId71" Type="http://schemas.openxmlformats.org/officeDocument/2006/relationships/image" Target="media/image38.jpeg"/><Relationship Id="rId92" Type="http://schemas.openxmlformats.org/officeDocument/2006/relationships/image" Target="media/image43.jpeg"/><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eur-lex.europa.eu/legal-content/RO/TXT/?uri=CELEX:02009R0152-20250514" TargetMode="External"/><Relationship Id="rId40" Type="http://schemas.openxmlformats.org/officeDocument/2006/relationships/hyperlink" Target="https://eur-lex.europa.eu/legal-content/RO/TXT/?uri=CELEX:02009R0152-20250514" TargetMode="External"/><Relationship Id="rId45" Type="http://schemas.openxmlformats.org/officeDocument/2006/relationships/image" Target="media/image17.jpeg"/><Relationship Id="rId66" Type="http://schemas.openxmlformats.org/officeDocument/2006/relationships/image" Target="media/image33.jpeg"/><Relationship Id="rId87" Type="http://schemas.openxmlformats.org/officeDocument/2006/relationships/hyperlink" Target="https://eur-lex.europa.eu/legal-content/RO/TXT/?uri=CELEX:02009R0152-20250514" TargetMode="External"/><Relationship Id="rId61" Type="http://schemas.openxmlformats.org/officeDocument/2006/relationships/hyperlink" Target="https://eur-lex.europa.eu/legal-content/RO/TXT/?uri=CELEX:02009R0152-20250514" TargetMode="External"/><Relationship Id="rId82" Type="http://schemas.openxmlformats.org/officeDocument/2006/relationships/image" Target="media/image41.jpeg"/><Relationship Id="rId19" Type="http://schemas.openxmlformats.org/officeDocument/2006/relationships/hyperlink" Target="https://eur-lex.europa.eu/legal-content/RO/TXT/?uri=CELEX:02009R0152-20250514" TargetMode="External"/><Relationship Id="rId14" Type="http://schemas.openxmlformats.org/officeDocument/2006/relationships/hyperlink" Target="https://eur-lex.europa.eu/legal-content/RO/TXT/?uri=CELEX:02009R0152-20250514" TargetMode="External"/><Relationship Id="rId30" Type="http://schemas.openxmlformats.org/officeDocument/2006/relationships/image" Target="media/image5.jpeg"/><Relationship Id="rId35" Type="http://schemas.openxmlformats.org/officeDocument/2006/relationships/hyperlink" Target="https://eur-lex.europa.eu/legal-content/RO/TXT/?uri=CELEX:02009R0152-20250514" TargetMode="External"/><Relationship Id="rId56" Type="http://schemas.openxmlformats.org/officeDocument/2006/relationships/image" Target="media/image28.jpeg"/><Relationship Id="rId77" Type="http://schemas.openxmlformats.org/officeDocument/2006/relationships/hyperlink" Target="https://eur-lex.europa.eu/legal-content/RO/TXT/?uri=CELEX:02009R0152-20250514" TargetMode="External"/><Relationship Id="rId100" Type="http://schemas.openxmlformats.org/officeDocument/2006/relationships/image" Target="media/image49.jpeg"/><Relationship Id="rId8" Type="http://schemas.openxmlformats.org/officeDocument/2006/relationships/hyperlink" Target="https://eur-lex.europa.eu/legal-content/RO/TXT/?uri=CELEX:02009R0152-20250514" TargetMode="External"/><Relationship Id="rId51" Type="http://schemas.openxmlformats.org/officeDocument/2006/relationships/image" Target="media/image23.jpeg"/><Relationship Id="rId72" Type="http://schemas.openxmlformats.org/officeDocument/2006/relationships/hyperlink" Target="https://eur-lex.europa.eu/legal-content/RO/TXT/?uri=CELEX:02009R0152-20250514" TargetMode="External"/><Relationship Id="rId93" Type="http://schemas.openxmlformats.org/officeDocument/2006/relationships/image" Target="media/image44.jpeg"/><Relationship Id="rId98"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2704</TotalTime>
  <Pages>232</Pages>
  <Words>62924</Words>
  <Characters>364961</Characters>
  <Application>Microsoft Office Word</Application>
  <DocSecurity>0</DocSecurity>
  <Lines>3041</Lines>
  <Paragraphs>854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Rodica Fotescu</dc:creator>
  <cp:keywords/>
  <dc:description/>
  <cp:lastModifiedBy>Rodica Fotescu</cp:lastModifiedBy>
  <cp:revision>88</cp:revision>
  <cp:lastPrinted>2025-10-29T13:49:00Z</cp:lastPrinted>
  <dcterms:created xsi:type="dcterms:W3CDTF">2025-10-29T12:49:00Z</dcterms:created>
  <dcterms:modified xsi:type="dcterms:W3CDTF">2026-02-02T07:29:00Z</dcterms:modified>
</cp:coreProperties>
</file>