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0E62" w14:textId="77777777" w:rsidR="005C4F2E" w:rsidRPr="00E45195" w:rsidRDefault="005C4F2E" w:rsidP="006F58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8"/>
          <w:szCs w:val="28"/>
          <w:lang w:val="ro-MD"/>
        </w:rPr>
      </w:pPr>
      <w:r w:rsidRPr="00E45195">
        <w:rPr>
          <w:b/>
          <w:sz w:val="28"/>
          <w:szCs w:val="28"/>
          <w:lang w:val="ro-MD"/>
        </w:rPr>
        <w:t>NOTA DE FUNDAMENTARE</w:t>
      </w:r>
    </w:p>
    <w:p w14:paraId="6908959F" w14:textId="77777777" w:rsidR="005C4F2E" w:rsidRPr="00E45195" w:rsidRDefault="005C4F2E" w:rsidP="006F5845">
      <w:pPr>
        <w:tabs>
          <w:tab w:val="left" w:pos="884"/>
          <w:tab w:val="left" w:pos="1196"/>
        </w:tabs>
        <w:ind w:firstLine="0"/>
        <w:jc w:val="center"/>
        <w:rPr>
          <w:sz w:val="28"/>
          <w:szCs w:val="28"/>
          <w:lang w:val="ro-MD"/>
        </w:rPr>
      </w:pPr>
    </w:p>
    <w:p w14:paraId="0960F4AB" w14:textId="488CCD2F" w:rsidR="005C4F2E" w:rsidRPr="00E45195" w:rsidRDefault="005C4F2E" w:rsidP="006F5845">
      <w:pPr>
        <w:tabs>
          <w:tab w:val="left" w:pos="884"/>
          <w:tab w:val="left" w:pos="1196"/>
        </w:tabs>
        <w:ind w:firstLine="0"/>
        <w:jc w:val="center"/>
        <w:rPr>
          <w:b/>
          <w:bCs/>
          <w:sz w:val="28"/>
          <w:szCs w:val="28"/>
          <w:lang w:val="ro-MD"/>
        </w:rPr>
      </w:pPr>
      <w:r w:rsidRPr="00E45195">
        <w:rPr>
          <w:b/>
          <w:sz w:val="28"/>
          <w:szCs w:val="28"/>
          <w:lang w:val="ro-MD"/>
        </w:rPr>
        <w:t>la proiectul</w:t>
      </w:r>
      <w:r w:rsidR="006F5845">
        <w:rPr>
          <w:b/>
          <w:sz w:val="28"/>
          <w:szCs w:val="28"/>
          <w:lang w:val="ro-MD"/>
        </w:rPr>
        <w:t xml:space="preserve"> de</w:t>
      </w:r>
      <w:r w:rsidRPr="00E45195">
        <w:rPr>
          <w:rFonts w:eastAsia="Calibri"/>
          <w:b/>
          <w:color w:val="000000"/>
          <w:sz w:val="28"/>
          <w:szCs w:val="28"/>
          <w:lang w:val="ro-MD" w:eastAsia="ru-RU"/>
        </w:rPr>
        <w:t xml:space="preserve"> </w:t>
      </w:r>
      <w:r w:rsidR="006F5845">
        <w:rPr>
          <w:b/>
          <w:bCs/>
          <w:sz w:val="28"/>
          <w:szCs w:val="28"/>
          <w:lang w:val="ro-MD"/>
        </w:rPr>
        <w:t>h</w:t>
      </w:r>
      <w:r w:rsidRPr="00E45195">
        <w:rPr>
          <w:b/>
          <w:bCs/>
          <w:sz w:val="28"/>
          <w:szCs w:val="28"/>
          <w:lang w:val="ro-MD"/>
        </w:rPr>
        <w:t>otărâr</w:t>
      </w:r>
      <w:r w:rsidR="006F5845">
        <w:rPr>
          <w:b/>
          <w:bCs/>
          <w:sz w:val="28"/>
          <w:szCs w:val="28"/>
          <w:lang w:val="ro-MD"/>
        </w:rPr>
        <w:t>e privind modificarea</w:t>
      </w:r>
      <w:r w:rsidRPr="00E45195">
        <w:rPr>
          <w:b/>
          <w:bCs/>
          <w:sz w:val="28"/>
          <w:szCs w:val="28"/>
          <w:lang w:val="ro-MD"/>
        </w:rPr>
        <w:t xml:space="preserve"> </w:t>
      </w:r>
    </w:p>
    <w:p w14:paraId="6796F9EB" w14:textId="65C688BF" w:rsidR="00D00D98" w:rsidRPr="00E45195" w:rsidRDefault="00D00D98" w:rsidP="006F5845">
      <w:pPr>
        <w:tabs>
          <w:tab w:val="left" w:pos="709"/>
        </w:tabs>
        <w:spacing w:line="276" w:lineRule="auto"/>
        <w:ind w:firstLine="0"/>
        <w:jc w:val="center"/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</w:pPr>
      <w:r w:rsidRPr="00E45195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 xml:space="preserve">Hotărârii de Guvern nr. </w:t>
      </w:r>
      <w:r w:rsidR="00E6048F" w:rsidRPr="00E45195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>686</w:t>
      </w:r>
      <w:r w:rsidRPr="00E45195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>/20</w:t>
      </w:r>
      <w:r w:rsidR="00E6048F" w:rsidRPr="00E45195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>12</w:t>
      </w:r>
      <w:r w:rsidRPr="00E45195">
        <w:rPr>
          <w:sz w:val="28"/>
          <w:szCs w:val="28"/>
        </w:rPr>
        <w:t xml:space="preserve"> </w:t>
      </w:r>
      <w:r w:rsidR="006F5845" w:rsidRPr="006F5845">
        <w:rPr>
          <w:rFonts w:eastAsia="Calibri"/>
          <w:b/>
          <w:bCs/>
          <w:color w:val="000000"/>
          <w:sz w:val="28"/>
          <w:szCs w:val="28"/>
          <w:u w:val="single"/>
          <w:lang w:val="ro-MD" w:eastAsia="ru-RU"/>
        </w:rPr>
        <w:t>cu privire la aprobarea metodelor de analiză pentru controlul oficial al furajelor.</w:t>
      </w:r>
    </w:p>
    <w:p w14:paraId="32D6BB9D" w14:textId="77777777" w:rsidR="005C4F2E" w:rsidRPr="00E45195" w:rsidRDefault="005C4F2E" w:rsidP="00E45195">
      <w:pPr>
        <w:tabs>
          <w:tab w:val="left" w:pos="709"/>
        </w:tabs>
        <w:spacing w:line="276" w:lineRule="auto"/>
        <w:ind w:firstLine="0"/>
        <w:rPr>
          <w:rFonts w:eastAsia="Calibri"/>
          <w:b/>
          <w:color w:val="000000"/>
          <w:sz w:val="28"/>
          <w:szCs w:val="28"/>
          <w:u w:val="single"/>
          <w:lang w:val="ro-MD" w:eastAsia="ru-RU"/>
        </w:rPr>
      </w:pPr>
    </w:p>
    <w:tbl>
      <w:tblPr>
        <w:tblStyle w:val="Tabelgril"/>
        <w:tblW w:w="10348" w:type="dxa"/>
        <w:tblInd w:w="-114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5C4F2E" w:rsidRPr="00E45195" w14:paraId="554D160C" w14:textId="77777777" w:rsidTr="00D168E2"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4FDF" w14:textId="77777777" w:rsidR="005C4F2E" w:rsidRPr="00E45195" w:rsidRDefault="005C4F2E" w:rsidP="00E45195">
            <w:pPr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5C4F2E" w:rsidRPr="00E45195" w14:paraId="1093809D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A3E7" w14:textId="77777777" w:rsidR="005C4F2E" w:rsidRPr="00E45195" w:rsidRDefault="005C4F2E" w:rsidP="00E45195">
            <w:pPr>
              <w:ind w:firstLine="0"/>
              <w:rPr>
                <w:b/>
                <w:bCs/>
                <w:sz w:val="28"/>
                <w:szCs w:val="28"/>
                <w:u w:val="single"/>
                <w:lang w:val="ro-MD"/>
              </w:rPr>
            </w:pPr>
          </w:p>
          <w:p w14:paraId="68C38AB7" w14:textId="77777777" w:rsidR="005C4F2E" w:rsidRPr="00E45195" w:rsidRDefault="005C4F2E" w:rsidP="00E45195">
            <w:pPr>
              <w:ind w:firstLine="0"/>
              <w:rPr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u w:val="single"/>
                <w:lang w:val="ro-MD"/>
              </w:rPr>
              <w:t>Autoritatea administrației publice</w:t>
            </w:r>
            <w:r w:rsidRPr="00E45195">
              <w:rPr>
                <w:sz w:val="28"/>
                <w:szCs w:val="28"/>
                <w:u w:val="single"/>
                <w:lang w:val="ro-MD"/>
              </w:rPr>
              <w:t>:</w:t>
            </w:r>
            <w:r w:rsidRPr="00E45195">
              <w:rPr>
                <w:sz w:val="28"/>
                <w:szCs w:val="28"/>
                <w:lang w:val="ro-MD"/>
              </w:rPr>
              <w:t xml:space="preserve"> Ministerul Agriculturii și Industriei Alimentare</w:t>
            </w:r>
          </w:p>
          <w:p w14:paraId="30AD785B" w14:textId="77777777" w:rsidR="005C4F2E" w:rsidRPr="00E45195" w:rsidRDefault="005C4F2E" w:rsidP="00E45195">
            <w:pPr>
              <w:ind w:firstLine="0"/>
              <w:rPr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u w:val="single"/>
                <w:lang w:val="ro-MD"/>
              </w:rPr>
              <w:t>Subdiviziunea</w:t>
            </w:r>
            <w:r w:rsidRPr="00E45195">
              <w:rPr>
                <w:b/>
                <w:bCs/>
                <w:sz w:val="28"/>
                <w:szCs w:val="28"/>
                <w:lang w:val="ro-MD"/>
              </w:rPr>
              <w:t>:</w:t>
            </w:r>
            <w:r w:rsidRPr="00E45195">
              <w:rPr>
                <w:sz w:val="28"/>
                <w:szCs w:val="28"/>
                <w:lang w:val="ro-MD"/>
              </w:rPr>
              <w:t xml:space="preserve"> Direcția sănătatea și bunăstarea animalelor.</w:t>
            </w:r>
          </w:p>
          <w:p w14:paraId="09EF07CA" w14:textId="77777777" w:rsidR="005C4F2E" w:rsidRPr="00E45195" w:rsidRDefault="005C4F2E" w:rsidP="00E45195">
            <w:pPr>
              <w:ind w:firstLine="0"/>
              <w:rPr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u w:val="single"/>
                <w:lang w:val="ro-MD"/>
              </w:rPr>
              <w:t>Persoana responsabilă și datele de contact:</w:t>
            </w:r>
            <w:r w:rsidRPr="00E45195">
              <w:rPr>
                <w:sz w:val="28"/>
                <w:szCs w:val="28"/>
                <w:lang w:val="ro-MD"/>
              </w:rPr>
              <w:t xml:space="preserve"> Rodica Fotescu</w:t>
            </w:r>
          </w:p>
          <w:p w14:paraId="320A83DC" w14:textId="7F3391EA" w:rsidR="005C4F2E" w:rsidRPr="00E45195" w:rsidRDefault="005C4F2E" w:rsidP="00E45195">
            <w:pPr>
              <w:ind w:firstLine="0"/>
              <w:rPr>
                <w:sz w:val="28"/>
                <w:szCs w:val="28"/>
                <w:lang w:val="ro-MD"/>
              </w:rPr>
            </w:pPr>
            <w:r w:rsidRPr="00E45195">
              <w:rPr>
                <w:sz w:val="28"/>
                <w:szCs w:val="28"/>
                <w:lang w:val="ro-MD"/>
              </w:rPr>
              <w:t>Tel. 022 204 53</w:t>
            </w:r>
            <w:r w:rsidR="005D79F4" w:rsidRPr="00E45195">
              <w:rPr>
                <w:sz w:val="28"/>
                <w:szCs w:val="28"/>
                <w:lang w:val="ro-MD"/>
              </w:rPr>
              <w:t>1</w:t>
            </w:r>
            <w:r w:rsidRPr="00E45195">
              <w:rPr>
                <w:sz w:val="28"/>
                <w:szCs w:val="28"/>
                <w:lang w:val="ro-MD"/>
              </w:rPr>
              <w:t xml:space="preserve">, e-mail: </w:t>
            </w:r>
            <w:hyperlink r:id="rId8" w:history="1">
              <w:r w:rsidRPr="00E45195">
                <w:rPr>
                  <w:rStyle w:val="Hyperlink"/>
                  <w:rFonts w:eastAsiaTheme="majorEastAsia"/>
                  <w:sz w:val="28"/>
                  <w:szCs w:val="28"/>
                  <w:lang w:val="ro-MD"/>
                </w:rPr>
                <w:t>rodica.fotescu@maia.gov.md</w:t>
              </w:r>
            </w:hyperlink>
          </w:p>
          <w:p w14:paraId="58716098" w14:textId="77777777" w:rsidR="005C4F2E" w:rsidRPr="00E45195" w:rsidRDefault="005C4F2E" w:rsidP="00E45195">
            <w:pPr>
              <w:ind w:firstLine="0"/>
              <w:rPr>
                <w:sz w:val="28"/>
                <w:szCs w:val="28"/>
                <w:lang w:val="ro-MD"/>
              </w:rPr>
            </w:pPr>
          </w:p>
        </w:tc>
      </w:tr>
      <w:tr w:rsidR="005C4F2E" w:rsidRPr="00E45195" w14:paraId="3F77794F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AEE7" w14:textId="77777777" w:rsidR="005C4F2E" w:rsidRPr="00E45195" w:rsidRDefault="005C4F2E" w:rsidP="00E45195">
            <w:pPr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t>2. Condițiile ce au impus elaborarea proiectului actului normativ</w:t>
            </w:r>
          </w:p>
        </w:tc>
      </w:tr>
      <w:tr w:rsidR="005C4F2E" w:rsidRPr="00E45195" w14:paraId="650D581C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97AD" w14:textId="77777777" w:rsidR="005C4F2E" w:rsidRPr="00E45195" w:rsidRDefault="005C4F2E" w:rsidP="00E45195">
            <w:pPr>
              <w:rPr>
                <w:b/>
                <w:sz w:val="28"/>
                <w:szCs w:val="28"/>
                <w:lang w:val="ro-MD"/>
              </w:rPr>
            </w:pPr>
          </w:p>
          <w:p w14:paraId="6B48A8BA" w14:textId="77777777" w:rsidR="005C4F2E" w:rsidRPr="00E45195" w:rsidRDefault="005C4F2E" w:rsidP="00E45195">
            <w:pPr>
              <w:rPr>
                <w:b/>
                <w:sz w:val="28"/>
                <w:szCs w:val="28"/>
                <w:lang w:val="ro-MD"/>
              </w:rPr>
            </w:pPr>
            <w:r w:rsidRPr="00E45195">
              <w:rPr>
                <w:b/>
                <w:sz w:val="28"/>
                <w:szCs w:val="28"/>
                <w:lang w:val="ro-MD"/>
              </w:rPr>
              <w:t>2.1. Temeiul legal sau, după caz, sursa proiectului actului normativ</w:t>
            </w:r>
          </w:p>
          <w:p w14:paraId="004C8984" w14:textId="77777777" w:rsidR="00132641" w:rsidRDefault="00613A6B" w:rsidP="00E45195">
            <w:pPr>
              <w:spacing w:before="100" w:beforeAutospacing="1" w:after="100" w:afterAutospacing="1"/>
              <w:ind w:firstLine="0"/>
              <w:outlineLvl w:val="2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        Proiectul Hotărârii Guvernului vine întru executarea acțiunii </w:t>
            </w:r>
            <w:r w:rsidR="001D50D4" w:rsidRPr="00E45195">
              <w:rPr>
                <w:sz w:val="28"/>
                <w:szCs w:val="28"/>
                <w:lang w:val="ro-RO" w:eastAsia="ro-RO"/>
              </w:rPr>
              <w:t>91</w:t>
            </w:r>
            <w:r w:rsidRPr="00E45195">
              <w:rPr>
                <w:sz w:val="28"/>
                <w:szCs w:val="28"/>
                <w:lang w:val="ro-RO" w:eastAsia="ro-RO"/>
              </w:rPr>
              <w:t xml:space="preserve"> Capitolul 12 din Cluster 5 anexa A </w:t>
            </w:r>
            <w:proofErr w:type="spellStart"/>
            <w:r w:rsidRPr="00E45195">
              <w:rPr>
                <w:sz w:val="28"/>
                <w:szCs w:val="28"/>
                <w:lang w:val="ro-RO" w:eastAsia="ro-RO"/>
              </w:rPr>
              <w:t>a</w:t>
            </w:r>
            <w:proofErr w:type="spellEnd"/>
            <w:r w:rsidRPr="00E45195">
              <w:rPr>
                <w:sz w:val="28"/>
                <w:szCs w:val="28"/>
                <w:lang w:val="ro-RO" w:eastAsia="ro-RO"/>
              </w:rPr>
              <w:t xml:space="preserve"> Programului național de aderare a Republicii Moldova la Uniunea Europeană pentru anii 2025-2029, aprobat prin Hotărârea de Guvern nr.306/2025 și în temeiul prevederilor </w:t>
            </w:r>
            <w:r w:rsidR="000C55D4" w:rsidRPr="00E45195">
              <w:rPr>
                <w:sz w:val="28"/>
                <w:szCs w:val="28"/>
                <w:lang w:val="ro-RO" w:eastAsia="ro-RO"/>
              </w:rPr>
              <w:t>art. 36 din Legea 221-XVI din 19 octombrie 2007 privind activitatea sanitar-veterinară</w:t>
            </w:r>
            <w:r w:rsidR="00E45195">
              <w:rPr>
                <w:sz w:val="28"/>
                <w:szCs w:val="28"/>
                <w:lang w:val="ro-RO" w:eastAsia="ro-RO"/>
              </w:rPr>
              <w:t>.</w:t>
            </w:r>
            <w:r w:rsidR="000C55D4" w:rsidRPr="00E45195">
              <w:rPr>
                <w:sz w:val="28"/>
                <w:szCs w:val="28"/>
                <w:lang w:val="ro-RO" w:eastAsia="ro-RO"/>
              </w:rPr>
              <w:t xml:space="preserve"> </w:t>
            </w:r>
          </w:p>
          <w:p w14:paraId="1D3067DD" w14:textId="52A43330" w:rsidR="00E45195" w:rsidRPr="00E45195" w:rsidRDefault="00E45195" w:rsidP="00E45195">
            <w:pPr>
              <w:spacing w:before="100" w:beforeAutospacing="1" w:after="100" w:afterAutospacing="1"/>
              <w:ind w:firstLine="0"/>
              <w:outlineLvl w:val="2"/>
              <w:rPr>
                <w:sz w:val="8"/>
                <w:szCs w:val="8"/>
                <w:lang w:val="ro-RO" w:eastAsia="ro-RO"/>
              </w:rPr>
            </w:pPr>
          </w:p>
        </w:tc>
      </w:tr>
      <w:tr w:rsidR="005C4F2E" w:rsidRPr="00E45195" w14:paraId="51F73312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74F" w14:textId="77777777" w:rsidR="005C4F2E" w:rsidRPr="00E45195" w:rsidRDefault="005C4F2E" w:rsidP="00E45195">
            <w:pPr>
              <w:rPr>
                <w:b/>
                <w:sz w:val="28"/>
                <w:szCs w:val="28"/>
                <w:lang w:val="ro-MD"/>
              </w:rPr>
            </w:pPr>
            <w:r w:rsidRPr="00E45195">
              <w:rPr>
                <w:b/>
                <w:sz w:val="28"/>
                <w:szCs w:val="28"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5C4F2E" w:rsidRPr="00E45195" w14:paraId="39023207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AB53" w14:textId="77777777" w:rsidR="00C045C5" w:rsidRPr="00E4519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  <w:p w14:paraId="1548E504" w14:textId="4EF98ADD" w:rsidR="00C045C5" w:rsidRPr="00E45195" w:rsidRDefault="00E4519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   </w:t>
            </w:r>
            <w:r w:rsidR="00C045C5" w:rsidRPr="00E45195">
              <w:rPr>
                <w:sz w:val="28"/>
                <w:szCs w:val="28"/>
                <w:lang w:val="ro-RO" w:eastAsia="ro-RO"/>
              </w:rPr>
              <w:t>Hotărârea Guvernului nr. 686/2012</w:t>
            </w:r>
            <w:r w:rsidR="006F5845">
              <w:t xml:space="preserve"> </w:t>
            </w:r>
            <w:r w:rsidR="006F5845" w:rsidRPr="006F5845">
              <w:rPr>
                <w:sz w:val="28"/>
                <w:szCs w:val="28"/>
                <w:lang w:val="ro-RO" w:eastAsia="ro-RO"/>
              </w:rPr>
              <w:t>cu privire la aprobarea metodelor de analiză pentru controlul oficial al furajelor</w:t>
            </w:r>
            <w:r w:rsidR="00C045C5" w:rsidRPr="00E45195">
              <w:rPr>
                <w:sz w:val="28"/>
                <w:szCs w:val="28"/>
                <w:lang w:val="ro-RO" w:eastAsia="ro-RO"/>
              </w:rPr>
              <w:t xml:space="preserve"> transpune Regulamentul (CE) nr. 152/2009 privind metodele de prelevare de probe și metodele de analiză pentru controlul oficial al furajelor. De la aprobarea acesteia, Regulamentul european a fost </w:t>
            </w:r>
            <w:r w:rsidR="00C045C5" w:rsidRPr="00E45195">
              <w:rPr>
                <w:b/>
                <w:bCs/>
                <w:sz w:val="28"/>
                <w:szCs w:val="28"/>
                <w:lang w:val="ro-RO" w:eastAsia="ro-RO"/>
              </w:rPr>
              <w:t>modificat de mai multe ori</w:t>
            </w:r>
            <w:r w:rsidR="00C045C5" w:rsidRPr="00E45195">
              <w:rPr>
                <w:sz w:val="28"/>
                <w:szCs w:val="28"/>
                <w:lang w:val="ro-RO" w:eastAsia="ro-RO"/>
              </w:rPr>
              <w:t>, inclusiv în ceea ce privește:</w:t>
            </w:r>
          </w:p>
          <w:p w14:paraId="288691B6" w14:textId="77777777" w:rsidR="00C045C5" w:rsidRPr="00E45195" w:rsidRDefault="00C045C5" w:rsidP="00E45195">
            <w:pPr>
              <w:numPr>
                <w:ilvl w:val="0"/>
                <w:numId w:val="36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actualizarea metodelor </w:t>
            </w:r>
            <w:proofErr w:type="spellStart"/>
            <w:r w:rsidRPr="00E45195">
              <w:rPr>
                <w:sz w:val="28"/>
                <w:szCs w:val="28"/>
                <w:lang w:val="ro-RO" w:eastAsia="ro-RO"/>
              </w:rPr>
              <w:t>fizico</w:t>
            </w:r>
            <w:proofErr w:type="spellEnd"/>
            <w:r w:rsidRPr="00E45195">
              <w:rPr>
                <w:sz w:val="28"/>
                <w:szCs w:val="28"/>
                <w:lang w:val="ro-RO" w:eastAsia="ro-RO"/>
              </w:rPr>
              <w:t>-chimice și microbiologice utilizate în controlul oficial;</w:t>
            </w:r>
          </w:p>
          <w:p w14:paraId="4D90C2FE" w14:textId="77777777" w:rsidR="00C045C5" w:rsidRPr="00E45195" w:rsidRDefault="00C045C5" w:rsidP="00E45195">
            <w:pPr>
              <w:numPr>
                <w:ilvl w:val="0"/>
                <w:numId w:val="36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introducerea unor metode noi pentru determinarea componentelor specifice;</w:t>
            </w:r>
          </w:p>
          <w:p w14:paraId="459555E0" w14:textId="77777777" w:rsidR="00C045C5" w:rsidRPr="00E45195" w:rsidRDefault="00C045C5" w:rsidP="00E45195">
            <w:pPr>
              <w:numPr>
                <w:ilvl w:val="0"/>
                <w:numId w:val="36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modificarea procedurilor de prelevare a probelor;</w:t>
            </w:r>
          </w:p>
          <w:p w14:paraId="0D0C56C8" w14:textId="77777777" w:rsidR="00C045C5" w:rsidRPr="00E45195" w:rsidRDefault="00C045C5" w:rsidP="00E45195">
            <w:pPr>
              <w:numPr>
                <w:ilvl w:val="0"/>
                <w:numId w:val="36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revizuirea anexelor tehnice pentru a reflecta evoluțiile științifice și tehnologice.</w:t>
            </w:r>
          </w:p>
          <w:p w14:paraId="2D69F96B" w14:textId="4764B02A" w:rsidR="00C045C5" w:rsidRPr="00E45195" w:rsidRDefault="00E4519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 </w:t>
            </w:r>
            <w:r w:rsidR="00C045C5" w:rsidRPr="00E45195">
              <w:rPr>
                <w:sz w:val="28"/>
                <w:szCs w:val="28"/>
                <w:lang w:val="ro-RO" w:eastAsia="ro-RO"/>
              </w:rPr>
              <w:t>În prezent, anexele HG nr. 686/2012 nu mai corespund în totalitate metodelor europene actualizate, ceea ce poate duce la:</w:t>
            </w:r>
          </w:p>
          <w:p w14:paraId="559251A4" w14:textId="77777777" w:rsidR="00C045C5" w:rsidRPr="00E45195" w:rsidRDefault="00C045C5" w:rsidP="00E45195">
            <w:pPr>
              <w:numPr>
                <w:ilvl w:val="0"/>
                <w:numId w:val="37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aplicarea unor metode de analiză care nu mai sunt conforme cu standardele UE;</w:t>
            </w:r>
          </w:p>
          <w:p w14:paraId="6952DD43" w14:textId="77777777" w:rsidR="00C045C5" w:rsidRPr="00E45195" w:rsidRDefault="00C045C5" w:rsidP="00E45195">
            <w:pPr>
              <w:numPr>
                <w:ilvl w:val="0"/>
                <w:numId w:val="37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dificultăți în recunoașterea reciprocă a rezultatelor de laborator în relația cu statele membre;</w:t>
            </w:r>
          </w:p>
          <w:p w14:paraId="2AFF47A1" w14:textId="77777777" w:rsidR="00C045C5" w:rsidRPr="00E45195" w:rsidRDefault="00C045C5" w:rsidP="00E45195">
            <w:pPr>
              <w:numPr>
                <w:ilvl w:val="0"/>
                <w:numId w:val="37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utilizarea metodelor depășite în controlul oficial, cu potențial impact asupra calității evaluării furajelor;</w:t>
            </w:r>
          </w:p>
          <w:p w14:paraId="1E6BC1BC" w14:textId="77777777" w:rsidR="00C045C5" w:rsidRPr="00E45195" w:rsidRDefault="00C045C5" w:rsidP="00E45195">
            <w:pPr>
              <w:numPr>
                <w:ilvl w:val="0"/>
                <w:numId w:val="37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lipsa alinierii la cerințele europene în contextul procesului de preaderare.</w:t>
            </w:r>
          </w:p>
          <w:p w14:paraId="26F3FF66" w14:textId="77777777" w:rsidR="00C045C5" w:rsidRPr="00E4519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lastRenderedPageBreak/>
              <w:t xml:space="preserve">Pentru a menține </w:t>
            </w: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coerența, compatibilitatea și uniformitatea</w:t>
            </w:r>
            <w:r w:rsidRPr="00E45195">
              <w:rPr>
                <w:sz w:val="28"/>
                <w:szCs w:val="28"/>
                <w:lang w:val="ro-RO" w:eastAsia="ro-RO"/>
              </w:rPr>
              <w:t xml:space="preserve"> metodelor utilizate în controlul oficial, este necesară </w:t>
            </w: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actualizarea HG nr. 686/2012</w:t>
            </w:r>
            <w:r w:rsidRPr="00E45195">
              <w:rPr>
                <w:sz w:val="28"/>
                <w:szCs w:val="28"/>
                <w:lang w:val="ro-RO" w:eastAsia="ro-RO"/>
              </w:rPr>
              <w:t xml:space="preserve">, astfel încât aceasta să reflecte </w:t>
            </w: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versiunea consolidată a Regulamentului (CE) nr. 152/2009</w:t>
            </w:r>
            <w:r w:rsidRPr="00E45195">
              <w:rPr>
                <w:sz w:val="28"/>
                <w:szCs w:val="28"/>
                <w:lang w:val="ro-RO" w:eastAsia="ro-RO"/>
              </w:rPr>
              <w:t>, inclusiv ultimele modificări adoptate de Comisia Europeană.</w:t>
            </w:r>
          </w:p>
          <w:p w14:paraId="7999A512" w14:textId="357B91A7" w:rsidR="00C045C5" w:rsidRPr="00E45195" w:rsidRDefault="00E4519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 </w:t>
            </w:r>
            <w:r w:rsidR="00C045C5" w:rsidRPr="00E45195">
              <w:rPr>
                <w:sz w:val="28"/>
                <w:szCs w:val="28"/>
                <w:lang w:val="ro-RO" w:eastAsia="ro-RO"/>
              </w:rPr>
              <w:t xml:space="preserve">Intervenția normativă nu introduce reguli noi, ci </w:t>
            </w:r>
            <w:r w:rsidR="00C045C5" w:rsidRPr="00E45195">
              <w:rPr>
                <w:b/>
                <w:bCs/>
                <w:sz w:val="28"/>
                <w:szCs w:val="28"/>
                <w:lang w:val="ro-RO" w:eastAsia="ro-RO"/>
              </w:rPr>
              <w:t>actualizează conținutul tehnic al anexelor</w:t>
            </w:r>
            <w:r w:rsidR="00C045C5" w:rsidRPr="00E45195">
              <w:rPr>
                <w:sz w:val="28"/>
                <w:szCs w:val="28"/>
                <w:lang w:val="ro-RO" w:eastAsia="ro-RO"/>
              </w:rPr>
              <w:t>, pentru a asigura aplicarea în Republica Moldova a acelorași metode utilizate la nivelul Uniunii Europene.</w:t>
            </w:r>
          </w:p>
          <w:p w14:paraId="6995B83C" w14:textId="77777777" w:rsidR="00132641" w:rsidRPr="00E45195" w:rsidRDefault="00132641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  <w:p w14:paraId="44B39905" w14:textId="10BF0BFE" w:rsidR="00B404A6" w:rsidRPr="00E45195" w:rsidRDefault="00B404A6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E45195" w14:paraId="2EB5D3DC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0EE3" w14:textId="77777777" w:rsidR="005C4F2E" w:rsidRPr="00E45195" w:rsidRDefault="005C4F2E" w:rsidP="00E45195">
            <w:pPr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lastRenderedPageBreak/>
              <w:t>3. Obiectivele urmărite și soluțiile propuse</w:t>
            </w:r>
          </w:p>
        </w:tc>
      </w:tr>
      <w:tr w:rsidR="005C4F2E" w:rsidRPr="00E45195" w14:paraId="5260DF8F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7E02" w14:textId="77777777" w:rsidR="005C4F2E" w:rsidRPr="00E45195" w:rsidRDefault="005C4F2E" w:rsidP="00E45195">
            <w:pPr>
              <w:ind w:firstLine="0"/>
              <w:rPr>
                <w:b/>
                <w:sz w:val="28"/>
                <w:szCs w:val="28"/>
                <w:lang w:val="ro-MD"/>
              </w:rPr>
            </w:pPr>
            <w:r w:rsidRPr="00E45195">
              <w:rPr>
                <w:sz w:val="28"/>
                <w:szCs w:val="28"/>
                <w:lang w:val="ro-MD"/>
              </w:rPr>
              <w:t xml:space="preserve">          </w:t>
            </w:r>
            <w:r w:rsidRPr="00E45195">
              <w:rPr>
                <w:b/>
                <w:sz w:val="28"/>
                <w:szCs w:val="28"/>
                <w:lang w:val="ro-MD"/>
              </w:rPr>
              <w:t>3.1. Principalele prevederi ale proiectului și evidențierea elementelor noi</w:t>
            </w:r>
          </w:p>
          <w:p w14:paraId="198BB989" w14:textId="77777777" w:rsidR="005A3E93" w:rsidRPr="00E45195" w:rsidRDefault="005A3E93" w:rsidP="00E45195">
            <w:pPr>
              <w:ind w:firstLine="0"/>
              <w:rPr>
                <w:b/>
                <w:sz w:val="28"/>
                <w:szCs w:val="28"/>
                <w:lang w:val="ro-MD"/>
              </w:rPr>
            </w:pPr>
          </w:p>
          <w:p w14:paraId="172F65D6" w14:textId="77777777" w:rsidR="00C045C5" w:rsidRPr="00E45195" w:rsidRDefault="005A3E93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C045C5" w:rsidRPr="00E45195">
              <w:rPr>
                <w:sz w:val="28"/>
                <w:szCs w:val="28"/>
                <w:lang w:val="ro-RO" w:eastAsia="ro-RO"/>
              </w:rPr>
              <w:t xml:space="preserve">Proiectul de Hotărâre a Guvernului are ca scop </w:t>
            </w:r>
            <w:r w:rsidR="00C045C5" w:rsidRPr="00E45195">
              <w:rPr>
                <w:b/>
                <w:bCs/>
                <w:sz w:val="28"/>
                <w:szCs w:val="28"/>
                <w:lang w:val="ro-RO" w:eastAsia="ro-RO"/>
              </w:rPr>
              <w:t>actualizarea</w:t>
            </w:r>
            <w:r w:rsidR="00C045C5" w:rsidRPr="00E45195">
              <w:rPr>
                <w:sz w:val="28"/>
                <w:szCs w:val="28"/>
                <w:lang w:val="ro-RO" w:eastAsia="ro-RO"/>
              </w:rPr>
              <w:t xml:space="preserve"> Hotărârii Guvernului nr. 686/2012, astfel încât aceasta să reflecte ultimele modificări aduse Regulamentului (CE) nr. 152/2009. Principalele prevederi ale proiectului sunt:</w:t>
            </w:r>
          </w:p>
          <w:p w14:paraId="10627087" w14:textId="77777777" w:rsidR="00C045C5" w:rsidRPr="00E45195" w:rsidRDefault="00C045C5" w:rsidP="00E45195">
            <w:pPr>
              <w:ind w:firstLine="0"/>
              <w:rPr>
                <w:b/>
                <w:bCs/>
                <w:sz w:val="28"/>
                <w:szCs w:val="28"/>
                <w:lang w:val="ro-RO" w:eastAsia="ro-RO"/>
              </w:rPr>
            </w:pP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1. Actualizarea anexelor tehnice privind metodele de analiză și prelevare de probe</w:t>
            </w:r>
          </w:p>
          <w:p w14:paraId="2B839DD9" w14:textId="77777777" w:rsidR="00C045C5" w:rsidRPr="00E4519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Proiectul înlocuiește anexele existente cu </w:t>
            </w: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versiunea actualizată a metodelor europene</w:t>
            </w:r>
            <w:r w:rsidRPr="00E45195">
              <w:rPr>
                <w:sz w:val="28"/>
                <w:szCs w:val="28"/>
                <w:lang w:val="ro-RO" w:eastAsia="ro-RO"/>
              </w:rPr>
              <w:t>, incluzând:</w:t>
            </w:r>
          </w:p>
          <w:p w14:paraId="734B4726" w14:textId="77777777" w:rsidR="00C045C5" w:rsidRPr="00E45195" w:rsidRDefault="00C045C5" w:rsidP="00E45195">
            <w:pPr>
              <w:numPr>
                <w:ilvl w:val="0"/>
                <w:numId w:val="38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metode </w:t>
            </w:r>
            <w:proofErr w:type="spellStart"/>
            <w:r w:rsidRPr="00E45195">
              <w:rPr>
                <w:sz w:val="28"/>
                <w:szCs w:val="28"/>
                <w:lang w:val="ro-RO" w:eastAsia="ro-RO"/>
              </w:rPr>
              <w:t>fizico</w:t>
            </w:r>
            <w:proofErr w:type="spellEnd"/>
            <w:r w:rsidRPr="00E45195">
              <w:rPr>
                <w:sz w:val="28"/>
                <w:szCs w:val="28"/>
                <w:lang w:val="ro-RO" w:eastAsia="ro-RO"/>
              </w:rPr>
              <w:t>-chimice revizuite;</w:t>
            </w:r>
          </w:p>
          <w:p w14:paraId="29F57B49" w14:textId="77777777" w:rsidR="00C045C5" w:rsidRPr="00E45195" w:rsidRDefault="00C045C5" w:rsidP="00E45195">
            <w:pPr>
              <w:numPr>
                <w:ilvl w:val="0"/>
                <w:numId w:val="38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metode microbiologice actualizate;</w:t>
            </w:r>
          </w:p>
          <w:p w14:paraId="49876A5F" w14:textId="77777777" w:rsidR="00C045C5" w:rsidRPr="00E45195" w:rsidRDefault="00C045C5" w:rsidP="00E45195">
            <w:pPr>
              <w:numPr>
                <w:ilvl w:val="0"/>
                <w:numId w:val="38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proceduri noi sau modificate de prelevare a probelor;</w:t>
            </w:r>
          </w:p>
          <w:p w14:paraId="6B08A9F5" w14:textId="77777777" w:rsidR="00C045C5" w:rsidRPr="00E45195" w:rsidRDefault="00C045C5" w:rsidP="00E45195">
            <w:pPr>
              <w:numPr>
                <w:ilvl w:val="0"/>
                <w:numId w:val="38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metode suplimentare pentru determinarea componentelor specifice din furaje.</w:t>
            </w:r>
          </w:p>
          <w:p w14:paraId="466D07FA" w14:textId="77777777" w:rsidR="00C045C5" w:rsidRPr="00E45195" w:rsidRDefault="00C045C5" w:rsidP="00E45195">
            <w:pPr>
              <w:ind w:firstLine="0"/>
              <w:rPr>
                <w:b/>
                <w:bCs/>
                <w:sz w:val="28"/>
                <w:szCs w:val="28"/>
                <w:lang w:val="ro-RO" w:eastAsia="ro-RO"/>
              </w:rPr>
            </w:pP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2. Corelarea terminologiei și trimiterilor tehnice</w:t>
            </w:r>
          </w:p>
          <w:p w14:paraId="5FD7D1EB" w14:textId="77777777" w:rsidR="00C045C5" w:rsidRPr="00E4519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Se actualizează terminologia, trimiterile interne și trimiterile la legislația europeană, astfel încât HG 686/2012 să fie pe deplin aliniată cu </w:t>
            </w: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versiunea consolidată a Regulamentului (CE) nr. 152/2009</w:t>
            </w:r>
            <w:r w:rsidRPr="00E45195">
              <w:rPr>
                <w:sz w:val="28"/>
                <w:szCs w:val="28"/>
                <w:lang w:val="ro-RO" w:eastAsia="ro-RO"/>
              </w:rPr>
              <w:t>.</w:t>
            </w:r>
          </w:p>
          <w:p w14:paraId="759D04E0" w14:textId="77777777" w:rsidR="00C045C5" w:rsidRPr="00E45195" w:rsidRDefault="00C045C5" w:rsidP="00E45195">
            <w:pPr>
              <w:ind w:firstLine="0"/>
              <w:rPr>
                <w:b/>
                <w:bCs/>
                <w:sz w:val="28"/>
                <w:szCs w:val="28"/>
                <w:lang w:val="ro-RO" w:eastAsia="ro-RO"/>
              </w:rPr>
            </w:pP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3. Consolidarea uniformității metodelor utilizate în controlul oficial</w:t>
            </w:r>
          </w:p>
          <w:p w14:paraId="23D103C8" w14:textId="77777777" w:rsidR="00C045C5" w:rsidRPr="00E4519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Proiectul asigură ca toate metodele aplicate în Republica Moldova:</w:t>
            </w:r>
          </w:p>
          <w:p w14:paraId="248AD39E" w14:textId="77777777" w:rsidR="00C045C5" w:rsidRPr="00E45195" w:rsidRDefault="00C045C5" w:rsidP="00E45195">
            <w:pPr>
              <w:numPr>
                <w:ilvl w:val="0"/>
                <w:numId w:val="39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să fie identice cu cele utilizate în statele membre ale UE;</w:t>
            </w:r>
          </w:p>
          <w:p w14:paraId="7CE52491" w14:textId="77777777" w:rsidR="00C045C5" w:rsidRPr="00E45195" w:rsidRDefault="00C045C5" w:rsidP="00E45195">
            <w:pPr>
              <w:numPr>
                <w:ilvl w:val="0"/>
                <w:numId w:val="39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să corespundă celor mai noi standarde tehnice;</w:t>
            </w:r>
          </w:p>
          <w:p w14:paraId="7DB8DC83" w14:textId="77777777" w:rsidR="00C045C5" w:rsidRPr="00E45195" w:rsidRDefault="00C045C5" w:rsidP="00E45195">
            <w:pPr>
              <w:numPr>
                <w:ilvl w:val="0"/>
                <w:numId w:val="39"/>
              </w:numPr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să permită recunoașterea rezultatelor la nivel european.</w:t>
            </w:r>
          </w:p>
          <w:p w14:paraId="37F087F3" w14:textId="77777777" w:rsidR="00C045C5" w:rsidRPr="00E45195" w:rsidRDefault="00C045C5" w:rsidP="00E45195">
            <w:pPr>
              <w:ind w:firstLine="0"/>
              <w:rPr>
                <w:b/>
                <w:bCs/>
                <w:sz w:val="28"/>
                <w:szCs w:val="28"/>
                <w:lang w:val="ro-RO" w:eastAsia="ro-RO"/>
              </w:rPr>
            </w:pP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4. Menținerea structurii generale a actului normativ</w:t>
            </w:r>
          </w:p>
          <w:p w14:paraId="219C4095" w14:textId="7ADBEC6F" w:rsidR="00C045C5" w:rsidRPr="00E4519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Proiectul nu modifică arhitectura generală a HG nr. 686/2012 și nu introduce noi obligații pentru operatori.</w:t>
            </w:r>
            <w:r w:rsidR="00E45195">
              <w:rPr>
                <w:sz w:val="28"/>
                <w:szCs w:val="28"/>
                <w:lang w:val="ro-RO" w:eastAsia="ro-RO"/>
              </w:rPr>
              <w:t xml:space="preserve"> </w:t>
            </w:r>
            <w:r w:rsidRPr="00E45195">
              <w:rPr>
                <w:sz w:val="28"/>
                <w:szCs w:val="28"/>
                <w:lang w:val="ro-RO" w:eastAsia="ro-RO"/>
              </w:rPr>
              <w:t xml:space="preserve">Intervenția are caracter </w:t>
            </w: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strict tehnic</w:t>
            </w:r>
            <w:r w:rsidRPr="00E45195">
              <w:rPr>
                <w:sz w:val="28"/>
                <w:szCs w:val="28"/>
                <w:lang w:val="ro-RO" w:eastAsia="ro-RO"/>
              </w:rPr>
              <w:t>, limitat la actualizarea conținutului anexelor și a referințelor.</w:t>
            </w:r>
          </w:p>
          <w:p w14:paraId="499E20E5" w14:textId="0C904EE5" w:rsidR="00B02B31" w:rsidRPr="00E45195" w:rsidRDefault="00B02B31" w:rsidP="00E45195">
            <w:pPr>
              <w:ind w:left="720"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E45195" w14:paraId="240E3433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6024" w14:textId="77777777" w:rsidR="005C4F2E" w:rsidRPr="00E45195" w:rsidRDefault="005C4F2E" w:rsidP="00E45195">
            <w:pPr>
              <w:rPr>
                <w:b/>
                <w:sz w:val="28"/>
                <w:szCs w:val="28"/>
                <w:lang w:val="ro-MD"/>
              </w:rPr>
            </w:pPr>
            <w:r w:rsidRPr="00E45195">
              <w:rPr>
                <w:b/>
                <w:sz w:val="28"/>
                <w:szCs w:val="28"/>
                <w:lang w:val="ro-MD"/>
              </w:rPr>
              <w:t>3.2. Opțiunile alternative analizate și motivele pentru care acestea nu au fost luate în considerare</w:t>
            </w:r>
          </w:p>
        </w:tc>
      </w:tr>
      <w:tr w:rsidR="005C4F2E" w:rsidRPr="00976AF0" w14:paraId="48BDCBC8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FC2A" w14:textId="77777777" w:rsidR="00E4519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          </w:t>
            </w:r>
          </w:p>
          <w:p w14:paraId="5619C4D3" w14:textId="37A8994E" w:rsidR="00C045C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 În procesul de elaborare a proiectului au fost analizate două opțiuni alternative:</w:t>
            </w:r>
          </w:p>
          <w:p w14:paraId="5A0E04CD" w14:textId="77777777" w:rsidR="00E45195" w:rsidRPr="00E45195" w:rsidRDefault="00E4519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  <w:p w14:paraId="35A0B350" w14:textId="77777777" w:rsidR="00C045C5" w:rsidRPr="00E45195" w:rsidRDefault="00C045C5" w:rsidP="00E45195">
            <w:pPr>
              <w:ind w:firstLine="0"/>
              <w:outlineLvl w:val="2"/>
              <w:rPr>
                <w:b/>
                <w:bCs/>
                <w:sz w:val="28"/>
                <w:szCs w:val="28"/>
                <w:lang w:val="ro-RO" w:eastAsia="ro-RO"/>
              </w:rPr>
            </w:pP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Opțiunea 1 – Menținerea HG nr. 686/2012 în forma actuală</w:t>
            </w:r>
          </w:p>
          <w:p w14:paraId="710BC3AD" w14:textId="77777777" w:rsidR="00C045C5" w:rsidRPr="00E4519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Această opțiune a fost respinsă, deoarece metodele de analiză și procedurile de prelevare prevăzute în actul existent nu mai corespund versiunii consolidate a Regulamentului (CE) nr. 152/2009. Neactualizarea anexelor ar duce la utilizarea unor metode depășite în controlul oficial al furajelor și la lipsa alinierii la standardele europene.</w:t>
            </w:r>
          </w:p>
          <w:p w14:paraId="6B5EA5DA" w14:textId="77777777" w:rsidR="00C045C5" w:rsidRPr="00E45195" w:rsidRDefault="00C045C5" w:rsidP="00E45195">
            <w:pPr>
              <w:ind w:firstLine="0"/>
              <w:outlineLvl w:val="2"/>
              <w:rPr>
                <w:b/>
                <w:bCs/>
                <w:sz w:val="28"/>
                <w:szCs w:val="28"/>
                <w:lang w:val="ro-RO" w:eastAsia="ro-RO"/>
              </w:rPr>
            </w:pP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lastRenderedPageBreak/>
              <w:t>Opțiunea 2 – Elaborarea unui act normativ nou, separat</w:t>
            </w:r>
          </w:p>
          <w:p w14:paraId="07D46239" w14:textId="05FCF30B" w:rsidR="00C045C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Această opțiune a fost respinsă pentru că structura și funcția HG nr. 686/2012 rămân valabile. Este necesară doar </w:t>
            </w: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actualizarea conținutului tehnic</w:t>
            </w:r>
            <w:r w:rsidRPr="00E45195">
              <w:rPr>
                <w:sz w:val="28"/>
                <w:szCs w:val="28"/>
                <w:lang w:val="ro-RO" w:eastAsia="ro-RO"/>
              </w:rPr>
              <w:t>, nu adoptarea unui act nou. Modificarea hotărârii existente este soluția proporțională și eficientă.</w:t>
            </w:r>
          </w:p>
          <w:p w14:paraId="5404A81D" w14:textId="77777777" w:rsidR="007B47ED" w:rsidRPr="00E45195" w:rsidRDefault="007B47ED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  <w:p w14:paraId="79C8D602" w14:textId="77777777" w:rsidR="00C045C5" w:rsidRPr="00E45195" w:rsidRDefault="00C045C5" w:rsidP="00E45195">
            <w:pPr>
              <w:ind w:firstLine="0"/>
              <w:outlineLvl w:val="2"/>
              <w:rPr>
                <w:b/>
                <w:bCs/>
                <w:sz w:val="28"/>
                <w:szCs w:val="28"/>
                <w:lang w:val="ro-RO" w:eastAsia="ro-RO"/>
              </w:rPr>
            </w:pP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Opțiunea aleasă</w:t>
            </w:r>
          </w:p>
          <w:p w14:paraId="00BF6658" w14:textId="77777777" w:rsidR="005C4F2E" w:rsidRPr="00E4519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A fost selectată </w:t>
            </w:r>
            <w:r w:rsidRPr="00E45195">
              <w:rPr>
                <w:b/>
                <w:bCs/>
                <w:sz w:val="28"/>
                <w:szCs w:val="28"/>
                <w:lang w:val="ro-RO" w:eastAsia="ro-RO"/>
              </w:rPr>
              <w:t>actualizarea HG nr. 686/2012</w:t>
            </w:r>
            <w:r w:rsidRPr="00E45195">
              <w:rPr>
                <w:sz w:val="28"/>
                <w:szCs w:val="28"/>
                <w:lang w:val="ro-RO" w:eastAsia="ro-RO"/>
              </w:rPr>
              <w:t>, prin introducerea ultimelor modificări ale Regulamentului (CE) nr. 152/2009, ca soluție tehnică adecvată și suficientă pentru menținerea conformității cu legislația UE.</w:t>
            </w:r>
          </w:p>
          <w:p w14:paraId="565CFF5F" w14:textId="737C4065" w:rsidR="00C045C5" w:rsidRPr="00E4519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E45195" w14:paraId="087247A5" w14:textId="77777777" w:rsidTr="00D168E2">
        <w:trPr>
          <w:trHeight w:val="381"/>
        </w:trPr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A38E" w14:textId="77777777" w:rsidR="005C4F2E" w:rsidRPr="00E45195" w:rsidRDefault="005C4F2E" w:rsidP="00E45195">
            <w:pPr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lastRenderedPageBreak/>
              <w:t xml:space="preserve">4. Analiza impactului de reglementare </w:t>
            </w:r>
          </w:p>
        </w:tc>
      </w:tr>
      <w:tr w:rsidR="005C4F2E" w:rsidRPr="00E45195" w14:paraId="60FCE4F0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E21C" w14:textId="77777777" w:rsidR="00806AFD" w:rsidRPr="00E45195" w:rsidRDefault="00806AFD" w:rsidP="00E45195">
            <w:pPr>
              <w:rPr>
                <w:b/>
                <w:sz w:val="28"/>
                <w:szCs w:val="28"/>
                <w:lang w:val="ro-MD"/>
              </w:rPr>
            </w:pPr>
          </w:p>
          <w:p w14:paraId="23333C3E" w14:textId="56683A14" w:rsidR="005C4F2E" w:rsidRPr="00E45195" w:rsidRDefault="005C4F2E" w:rsidP="00E45195">
            <w:pPr>
              <w:rPr>
                <w:b/>
                <w:sz w:val="28"/>
                <w:szCs w:val="28"/>
                <w:lang w:val="ro-MD"/>
              </w:rPr>
            </w:pPr>
            <w:r w:rsidRPr="00E45195">
              <w:rPr>
                <w:b/>
                <w:sz w:val="28"/>
                <w:szCs w:val="28"/>
                <w:lang w:val="ro-MD"/>
              </w:rPr>
              <w:t>4.1. Impactul asupra sectorului public</w:t>
            </w:r>
          </w:p>
          <w:p w14:paraId="6F5522C0" w14:textId="77777777" w:rsidR="00C045C5" w:rsidRPr="00E45195" w:rsidRDefault="00AE6C88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C045C5" w:rsidRPr="00E45195">
              <w:rPr>
                <w:sz w:val="28"/>
                <w:szCs w:val="28"/>
                <w:lang w:val="ro-RO" w:eastAsia="ro-RO"/>
              </w:rPr>
              <w:t xml:space="preserve">Proiectul are un impact </w:t>
            </w:r>
            <w:r w:rsidR="00C045C5" w:rsidRPr="00E45195">
              <w:rPr>
                <w:b/>
                <w:bCs/>
                <w:sz w:val="28"/>
                <w:szCs w:val="28"/>
                <w:lang w:val="ro-RO" w:eastAsia="ro-RO"/>
              </w:rPr>
              <w:t>minim și pozitiv</w:t>
            </w:r>
            <w:r w:rsidR="00C045C5" w:rsidRPr="00E45195">
              <w:rPr>
                <w:sz w:val="28"/>
                <w:szCs w:val="28"/>
                <w:lang w:val="ro-RO" w:eastAsia="ro-RO"/>
              </w:rPr>
              <w:t xml:space="preserve"> asupra sectorului public.</w:t>
            </w:r>
            <w:r w:rsidR="00C045C5" w:rsidRPr="00E45195">
              <w:rPr>
                <w:sz w:val="28"/>
                <w:szCs w:val="28"/>
                <w:lang w:val="ro-RO" w:eastAsia="ro-RO"/>
              </w:rPr>
              <w:br/>
              <w:t xml:space="preserve">Actualizarea HG nr. 686/2012 va permite ANSA să aplice în controlul oficial al furajelor </w:t>
            </w:r>
            <w:r w:rsidR="00C045C5" w:rsidRPr="00E45195">
              <w:rPr>
                <w:b/>
                <w:bCs/>
                <w:sz w:val="28"/>
                <w:szCs w:val="28"/>
                <w:lang w:val="ro-RO" w:eastAsia="ro-RO"/>
              </w:rPr>
              <w:t>metodele europene actualizate</w:t>
            </w:r>
            <w:r w:rsidR="00C045C5" w:rsidRPr="00E45195">
              <w:rPr>
                <w:sz w:val="28"/>
                <w:szCs w:val="28"/>
                <w:lang w:val="ro-RO" w:eastAsia="ro-RO"/>
              </w:rPr>
              <w:t>, contribuind la uniformizarea procedurilor și la creșterea calității analizelor.</w:t>
            </w:r>
          </w:p>
          <w:p w14:paraId="302311CB" w14:textId="77777777" w:rsidR="00C045C5" w:rsidRPr="00E45195" w:rsidRDefault="00C045C5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>Implementarea se realizează în cadrul proceselor deja existente, fără necesitatea resurselor noi sau suplimentare.</w:t>
            </w:r>
          </w:p>
          <w:p w14:paraId="0AF7D6EC" w14:textId="06AE7F45" w:rsidR="005C4F2E" w:rsidRPr="00E45195" w:rsidRDefault="005C4F2E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E45195" w14:paraId="296ED150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B6C8" w14:textId="77777777" w:rsidR="005C4F2E" w:rsidRPr="00E45195" w:rsidRDefault="005C4F2E" w:rsidP="00E45195">
            <w:pPr>
              <w:spacing w:before="100" w:beforeAutospacing="1" w:after="100" w:afterAutospacing="1"/>
              <w:ind w:firstLine="0"/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t xml:space="preserve">          4.2. Impactul financiar și argumentarea costurilor estimative</w:t>
            </w:r>
          </w:p>
          <w:p w14:paraId="12388C9C" w14:textId="5BEACA27" w:rsidR="00D839A1" w:rsidRPr="00E45195" w:rsidRDefault="00AE6C88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D839A1" w:rsidRPr="00E45195">
              <w:rPr>
                <w:sz w:val="28"/>
                <w:szCs w:val="28"/>
                <w:lang w:val="ro-RO" w:eastAsia="ro-RO"/>
              </w:rPr>
              <w:t>Implementarea proiectului nu presupune cheltuieli suplimentare din bugetul public național. Activitățile de control și monitorizare vor fi efectuate de ANSA în cadrul bugetelor anuale aprobate.</w:t>
            </w:r>
          </w:p>
          <w:p w14:paraId="601F3CDD" w14:textId="6E7634BB" w:rsidR="00AE6C88" w:rsidRPr="00E45195" w:rsidRDefault="00AE6C88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E45195" w14:paraId="6702050E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A8A" w14:textId="77777777" w:rsidR="005C4F2E" w:rsidRPr="00E45195" w:rsidRDefault="005C4F2E" w:rsidP="00E45195">
            <w:pPr>
              <w:spacing w:before="100" w:beforeAutospacing="1" w:after="100" w:afterAutospacing="1"/>
              <w:ind w:firstLine="0"/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t xml:space="preserve">          4.3. Impactul asupra sectorului privat</w:t>
            </w:r>
          </w:p>
          <w:p w14:paraId="3FF7C8E1" w14:textId="0A41BA65" w:rsidR="007D0F31" w:rsidRPr="007D0F31" w:rsidRDefault="003F5974" w:rsidP="007D0F31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7D0F31" w:rsidRPr="007D0F31">
              <w:rPr>
                <w:sz w:val="28"/>
                <w:szCs w:val="28"/>
                <w:lang w:val="ro-RO" w:eastAsia="ro-RO"/>
              </w:rPr>
              <w:t xml:space="preserve">Proiectul </w:t>
            </w:r>
            <w:r>
              <w:rPr>
                <w:sz w:val="28"/>
                <w:szCs w:val="28"/>
                <w:lang w:val="ro-RO" w:eastAsia="ro-RO"/>
              </w:rPr>
              <w:t>de h</w:t>
            </w:r>
            <w:r w:rsidR="007D0F31" w:rsidRPr="007D0F31">
              <w:rPr>
                <w:sz w:val="28"/>
                <w:szCs w:val="28"/>
                <w:lang w:val="ro-RO" w:eastAsia="ro-RO"/>
              </w:rPr>
              <w:t>otărâr</w:t>
            </w:r>
            <w:r>
              <w:rPr>
                <w:sz w:val="28"/>
                <w:szCs w:val="28"/>
                <w:lang w:val="ro-RO" w:eastAsia="ro-RO"/>
              </w:rPr>
              <w:t xml:space="preserve">e </w:t>
            </w:r>
            <w:r w:rsidR="007D0F31" w:rsidRPr="007D0F31">
              <w:rPr>
                <w:sz w:val="28"/>
                <w:szCs w:val="28"/>
                <w:lang w:val="ro-RO" w:eastAsia="ro-RO"/>
              </w:rPr>
              <w:t>nu introduce obligații noi pentru operatorii economici din sectorul privat și nu modifică cerințele de fond aplicabile activităților de producere, import, comercializare sau utilizare a furajelor.</w:t>
            </w:r>
          </w:p>
          <w:p w14:paraId="1FE24186" w14:textId="77777777" w:rsidR="007D0F31" w:rsidRPr="007D0F31" w:rsidRDefault="007D0F31" w:rsidP="007D0F31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  <w:p w14:paraId="3654487A" w14:textId="65056820" w:rsidR="00AE6C88" w:rsidRDefault="003F5974" w:rsidP="007D0F31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="007D0F31" w:rsidRPr="007D0F31">
              <w:rPr>
                <w:sz w:val="28"/>
                <w:szCs w:val="28"/>
                <w:lang w:val="ro-RO" w:eastAsia="ro-RO"/>
              </w:rPr>
              <w:t>Impactul asupra sectorului privat este determinat de faptul că proiectul vizează actualizarea și clarificarea metodelor de control oficial utilizate de autoritatea competentă, prin alinierea acestora la versiunea consolidată a Regulamentului (CE) nr. 152/2009, fără a interveni asupra condițiilor de autorizare, funcționare sau conformare ale operatorilor economici.</w:t>
            </w:r>
          </w:p>
          <w:p w14:paraId="578D6900" w14:textId="79831F4A" w:rsidR="003F5974" w:rsidRPr="00E45195" w:rsidRDefault="003F5974" w:rsidP="007D0F31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E45195" w14:paraId="20248E31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E50B" w14:textId="77777777" w:rsidR="005C4F2E" w:rsidRPr="00E45195" w:rsidRDefault="005C4F2E" w:rsidP="00E45195">
            <w:pPr>
              <w:spacing w:before="100" w:beforeAutospacing="1" w:after="100" w:afterAutospacing="1"/>
              <w:ind w:firstLine="0"/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t xml:space="preserve">          4.4 Impactul Social </w:t>
            </w:r>
          </w:p>
          <w:p w14:paraId="380F34B9" w14:textId="2B69803D" w:rsidR="00AE6C88" w:rsidRDefault="003F5974" w:rsidP="003F5974">
            <w:pPr>
              <w:rPr>
                <w:sz w:val="28"/>
                <w:szCs w:val="28"/>
                <w:lang w:val="ro-MD" w:eastAsia="ro-RO"/>
              </w:rPr>
            </w:pPr>
            <w:r w:rsidRPr="003F5974">
              <w:rPr>
                <w:sz w:val="28"/>
                <w:szCs w:val="28"/>
                <w:lang w:val="ro-MD" w:eastAsia="ro-RO"/>
              </w:rPr>
              <w:t xml:space="preserve">Proiectul </w:t>
            </w:r>
            <w:r>
              <w:rPr>
                <w:sz w:val="28"/>
                <w:szCs w:val="28"/>
                <w:lang w:val="ro-MD" w:eastAsia="ro-RO"/>
              </w:rPr>
              <w:t>de hotă</w:t>
            </w:r>
            <w:r w:rsidRPr="003F5974">
              <w:rPr>
                <w:sz w:val="28"/>
                <w:szCs w:val="28"/>
                <w:lang w:val="ro-MD" w:eastAsia="ro-RO"/>
              </w:rPr>
              <w:t>râr</w:t>
            </w:r>
            <w:r>
              <w:rPr>
                <w:sz w:val="28"/>
                <w:szCs w:val="28"/>
                <w:lang w:val="ro-MD" w:eastAsia="ro-RO"/>
              </w:rPr>
              <w:t>e</w:t>
            </w:r>
            <w:r w:rsidRPr="003F5974">
              <w:rPr>
                <w:sz w:val="28"/>
                <w:szCs w:val="28"/>
                <w:lang w:val="ro-MD" w:eastAsia="ro-RO"/>
              </w:rPr>
              <w:t xml:space="preserve"> are un impact social indirect pozitiv, prin consolidarea cadrului normativ aplicabil controlului oficial al furajelor și contribuția la menținerea unui nivel înalt de siguranță în lanțul alimentar</w:t>
            </w:r>
            <w:r>
              <w:rPr>
                <w:sz w:val="28"/>
                <w:szCs w:val="28"/>
                <w:lang w:val="ro-MD" w:eastAsia="ro-RO"/>
              </w:rPr>
              <w:t>, p</w:t>
            </w:r>
            <w:r w:rsidRPr="003F5974">
              <w:rPr>
                <w:sz w:val="28"/>
                <w:szCs w:val="28"/>
                <w:lang w:val="ro-MD" w:eastAsia="ro-RO"/>
              </w:rPr>
              <w:t>rin actualizarea metodelor de eșantionare și analiză utilizate în controlul oficial al furajelor</w:t>
            </w:r>
            <w:r>
              <w:rPr>
                <w:sz w:val="28"/>
                <w:szCs w:val="28"/>
                <w:lang w:val="ro-MD" w:eastAsia="ro-RO"/>
              </w:rPr>
              <w:t>.</w:t>
            </w:r>
          </w:p>
          <w:p w14:paraId="09697443" w14:textId="77777777" w:rsidR="003F5974" w:rsidRPr="00E45195" w:rsidRDefault="003F5974" w:rsidP="003F5974">
            <w:pPr>
              <w:ind w:left="720" w:firstLine="0"/>
              <w:rPr>
                <w:sz w:val="28"/>
                <w:szCs w:val="28"/>
                <w:lang w:val="ro-MD" w:eastAsia="ro-RO"/>
              </w:rPr>
            </w:pPr>
          </w:p>
          <w:p w14:paraId="1B537EAA" w14:textId="77777777" w:rsidR="005C4F2E" w:rsidRPr="00E45195" w:rsidRDefault="005C4F2E" w:rsidP="00E45195">
            <w:pPr>
              <w:ind w:firstLine="0"/>
              <w:rPr>
                <w:b/>
                <w:bCs/>
                <w:sz w:val="28"/>
                <w:szCs w:val="28"/>
                <w:lang w:val="ro-MD" w:eastAsia="ro-RO"/>
              </w:rPr>
            </w:pPr>
            <w:r w:rsidRPr="00E45195">
              <w:rPr>
                <w:b/>
                <w:bCs/>
                <w:sz w:val="28"/>
                <w:szCs w:val="28"/>
                <w:lang w:val="ro-MD" w:eastAsia="ro-RO"/>
              </w:rPr>
              <w:t>4.4.1. Impactul asupra datelor cu caracter personal</w:t>
            </w:r>
          </w:p>
          <w:p w14:paraId="0BF5E059" w14:textId="77777777" w:rsidR="00D839A1" w:rsidRPr="00E45195" w:rsidRDefault="00D839A1" w:rsidP="00E45195">
            <w:pPr>
              <w:ind w:firstLine="0"/>
              <w:rPr>
                <w:sz w:val="28"/>
                <w:szCs w:val="28"/>
                <w:lang w:val="ro-MD"/>
              </w:rPr>
            </w:pPr>
          </w:p>
          <w:p w14:paraId="0967EAA0" w14:textId="2D9DE87C" w:rsidR="00D839A1" w:rsidRPr="00E45195" w:rsidRDefault="00806AFD" w:rsidP="00E45195">
            <w:pPr>
              <w:ind w:firstLine="0"/>
              <w:rPr>
                <w:sz w:val="28"/>
                <w:szCs w:val="28"/>
                <w:lang w:val="ro-MD" w:eastAsia="ro-RO"/>
              </w:rPr>
            </w:pPr>
            <w:r w:rsidRPr="00E45195">
              <w:rPr>
                <w:sz w:val="28"/>
                <w:szCs w:val="28"/>
                <w:lang w:val="ro-MD"/>
              </w:rPr>
              <w:t xml:space="preserve">          </w:t>
            </w:r>
            <w:r w:rsidR="00D839A1" w:rsidRPr="00E45195">
              <w:rPr>
                <w:sz w:val="28"/>
                <w:szCs w:val="28"/>
                <w:lang w:val="ro-MD"/>
              </w:rPr>
              <w:t xml:space="preserve">Proiectul </w:t>
            </w:r>
            <w:r w:rsidR="00D839A1" w:rsidRPr="00E45195">
              <w:rPr>
                <w:rStyle w:val="Robust"/>
                <w:rFonts w:eastAsiaTheme="majorEastAsia"/>
                <w:b w:val="0"/>
                <w:bCs w:val="0"/>
                <w:sz w:val="28"/>
                <w:szCs w:val="28"/>
                <w:lang w:val="ro-MD"/>
              </w:rPr>
              <w:t>nu implică prelucrarea datelor cu caracter personal</w:t>
            </w:r>
            <w:r w:rsidR="00D839A1" w:rsidRPr="00E45195">
              <w:rPr>
                <w:sz w:val="28"/>
                <w:szCs w:val="28"/>
                <w:lang w:val="ro-MD"/>
              </w:rPr>
              <w:t>. Măsurile propuse vizează aspecte tehnice, fără colectarea sau procesarea informațiilor privind persoane fizice.</w:t>
            </w:r>
          </w:p>
          <w:p w14:paraId="4A24373A" w14:textId="38F59503" w:rsidR="005C4F2E" w:rsidRPr="00E45195" w:rsidRDefault="005C4F2E" w:rsidP="00E45195">
            <w:pPr>
              <w:ind w:firstLine="0"/>
              <w:rPr>
                <w:sz w:val="28"/>
                <w:szCs w:val="28"/>
                <w:lang w:val="ro-MD" w:eastAsia="ro-RO"/>
              </w:rPr>
            </w:pPr>
            <w:r w:rsidRPr="00E45195">
              <w:rPr>
                <w:sz w:val="28"/>
                <w:szCs w:val="28"/>
                <w:lang w:val="ro-MD" w:eastAsia="ro-RO"/>
              </w:rPr>
              <w:t xml:space="preserve">   </w:t>
            </w:r>
          </w:p>
          <w:p w14:paraId="5B80BA94" w14:textId="234E9652" w:rsidR="00D839A1" w:rsidRPr="003F5974" w:rsidRDefault="005C4F2E" w:rsidP="00E45195">
            <w:pPr>
              <w:ind w:firstLine="0"/>
              <w:rPr>
                <w:b/>
                <w:bCs/>
                <w:sz w:val="28"/>
                <w:szCs w:val="28"/>
                <w:lang w:val="ro-MD" w:eastAsia="ro-RO"/>
              </w:rPr>
            </w:pPr>
            <w:r w:rsidRPr="00E45195">
              <w:rPr>
                <w:b/>
                <w:bCs/>
                <w:sz w:val="28"/>
                <w:szCs w:val="28"/>
                <w:lang w:val="ro-MD" w:eastAsia="ro-RO"/>
              </w:rPr>
              <w:t>4.4.2. Impactul asupra echității și egalității de gen</w:t>
            </w:r>
          </w:p>
          <w:p w14:paraId="7DCF98C4" w14:textId="2378CEBB" w:rsidR="005C4F2E" w:rsidRPr="00E45195" w:rsidRDefault="00806AFD" w:rsidP="003F5974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MD"/>
              </w:rPr>
              <w:t xml:space="preserve">         </w:t>
            </w:r>
            <w:r w:rsidR="00D839A1" w:rsidRPr="00E45195">
              <w:rPr>
                <w:sz w:val="28"/>
                <w:szCs w:val="28"/>
                <w:lang w:val="ro-MD"/>
              </w:rPr>
              <w:t xml:space="preserve">Proiectul </w:t>
            </w:r>
            <w:r w:rsidR="00D839A1" w:rsidRPr="00E45195">
              <w:rPr>
                <w:rStyle w:val="Robust"/>
                <w:rFonts w:eastAsiaTheme="majorEastAsia"/>
                <w:b w:val="0"/>
                <w:bCs w:val="0"/>
                <w:sz w:val="28"/>
                <w:szCs w:val="28"/>
                <w:lang w:val="ro-MD"/>
              </w:rPr>
              <w:t>nu are impact diferențiat</w:t>
            </w:r>
            <w:r w:rsidR="00D839A1" w:rsidRPr="00E45195">
              <w:rPr>
                <w:sz w:val="28"/>
                <w:szCs w:val="28"/>
                <w:lang w:val="ro-MD"/>
              </w:rPr>
              <w:t xml:space="preserve"> asupra femeilor, bărbaților sau altor grupuri sociale</w:t>
            </w:r>
            <w:r w:rsidR="003F5974">
              <w:rPr>
                <w:sz w:val="28"/>
                <w:szCs w:val="28"/>
                <w:lang w:val="ro-MD"/>
              </w:rPr>
              <w:t xml:space="preserve">. </w:t>
            </w:r>
          </w:p>
        </w:tc>
      </w:tr>
      <w:tr w:rsidR="005C4F2E" w:rsidRPr="00E45195" w14:paraId="2DB26B90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B25C" w14:textId="77777777" w:rsidR="005C4F2E" w:rsidRPr="00E45195" w:rsidRDefault="005C4F2E" w:rsidP="00E45195">
            <w:pPr>
              <w:rPr>
                <w:b/>
                <w:sz w:val="28"/>
                <w:szCs w:val="28"/>
                <w:lang w:val="ro-MD"/>
              </w:rPr>
            </w:pPr>
            <w:r w:rsidRPr="00E45195">
              <w:rPr>
                <w:b/>
                <w:sz w:val="28"/>
                <w:szCs w:val="28"/>
                <w:lang w:val="ro-MD"/>
              </w:rPr>
              <w:lastRenderedPageBreak/>
              <w:t>4.5. Impactul asupra mediului</w:t>
            </w:r>
          </w:p>
          <w:p w14:paraId="5F71E8EB" w14:textId="77777777" w:rsidR="00B51AA3" w:rsidRDefault="003F5974" w:rsidP="00B51AA3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</w:t>
            </w:r>
          </w:p>
          <w:p w14:paraId="1BFA526B" w14:textId="38D09FC2" w:rsidR="00B51AA3" w:rsidRPr="00B51AA3" w:rsidRDefault="00B51AA3" w:rsidP="00B51AA3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</w:t>
            </w:r>
            <w:r w:rsidR="003F5974">
              <w:rPr>
                <w:sz w:val="28"/>
                <w:szCs w:val="28"/>
                <w:lang w:val="ro-RO" w:eastAsia="ro-RO"/>
              </w:rPr>
              <w:t xml:space="preserve"> </w:t>
            </w:r>
            <w:r w:rsidR="003F5974" w:rsidRPr="003F5974">
              <w:rPr>
                <w:sz w:val="28"/>
                <w:szCs w:val="28"/>
                <w:lang w:val="ro-RO" w:eastAsia="ro-RO"/>
              </w:rPr>
              <w:t>Proiectul de hotărâre</w:t>
            </w:r>
            <w:r w:rsidR="00953AEC">
              <w:rPr>
                <w:sz w:val="28"/>
                <w:szCs w:val="28"/>
                <w:lang w:val="ro-RO" w:eastAsia="ro-RO"/>
              </w:rPr>
              <w:t xml:space="preserve">  </w:t>
            </w:r>
            <w:r>
              <w:rPr>
                <w:sz w:val="28"/>
                <w:szCs w:val="28"/>
                <w:lang w:val="ro-RO" w:eastAsia="ro-RO"/>
              </w:rPr>
              <w:t>n</w:t>
            </w:r>
            <w:r w:rsidRPr="00B51AA3">
              <w:rPr>
                <w:sz w:val="28"/>
                <w:szCs w:val="28"/>
                <w:lang w:val="ro-RO" w:eastAsia="ro-RO"/>
              </w:rPr>
              <w:t>u generează un impact direct semnificativ asupra mediului.</w:t>
            </w:r>
            <w:r>
              <w:rPr>
                <w:sz w:val="28"/>
                <w:szCs w:val="28"/>
                <w:lang w:val="ro-RO" w:eastAsia="ro-RO"/>
              </w:rPr>
              <w:t xml:space="preserve">           </w:t>
            </w:r>
            <w:r w:rsidRPr="00B51AA3">
              <w:rPr>
                <w:sz w:val="28"/>
                <w:szCs w:val="28"/>
                <w:lang w:val="ro-RO" w:eastAsia="ro-RO"/>
              </w:rPr>
              <w:t>Actul normativ are caracter tehnic și procedural, vizând actualizarea metodelor de eșantionare și analiză utilizate în cadrul controlului oficial al furajelor, fără a introduce activități noi sau modificări ale proceselor de producere, depozitare sau utilizare a furajelor care ar putea afecta mediul.</w:t>
            </w:r>
          </w:p>
          <w:p w14:paraId="1AA4A6CD" w14:textId="77777777" w:rsidR="00B51AA3" w:rsidRDefault="00B51AA3" w:rsidP="00B51AA3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B51AA3">
              <w:rPr>
                <w:sz w:val="28"/>
                <w:szCs w:val="28"/>
                <w:lang w:val="ro-RO" w:eastAsia="ro-RO"/>
              </w:rPr>
              <w:t>Implementarea proiectului nu implică:</w:t>
            </w:r>
            <w:r>
              <w:rPr>
                <w:sz w:val="28"/>
                <w:szCs w:val="28"/>
                <w:lang w:val="ro-RO" w:eastAsia="ro-RO"/>
              </w:rPr>
              <w:t xml:space="preserve"> </w:t>
            </w:r>
          </w:p>
          <w:p w14:paraId="7A88AFF3" w14:textId="77777777" w:rsidR="00B51AA3" w:rsidRDefault="00B51AA3" w:rsidP="00B51AA3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- </w:t>
            </w:r>
            <w:r w:rsidRPr="00B51AA3">
              <w:rPr>
                <w:sz w:val="28"/>
                <w:szCs w:val="28"/>
                <w:lang w:val="ro-RO" w:eastAsia="ro-RO"/>
              </w:rPr>
              <w:t>utilizarea suplimentară a resurselor naturale;</w:t>
            </w:r>
          </w:p>
          <w:p w14:paraId="42408853" w14:textId="77777777" w:rsidR="00B51AA3" w:rsidRDefault="00B51AA3" w:rsidP="00B51AA3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- </w:t>
            </w:r>
            <w:r w:rsidRPr="00B51AA3">
              <w:rPr>
                <w:sz w:val="28"/>
                <w:szCs w:val="28"/>
                <w:lang w:val="ro-RO" w:eastAsia="ro-RO"/>
              </w:rPr>
              <w:t>creșterea emisiilor de gaze cu efect de seră;</w:t>
            </w:r>
          </w:p>
          <w:p w14:paraId="4E8115DE" w14:textId="77777777" w:rsidR="00B51AA3" w:rsidRDefault="00B51AA3" w:rsidP="00B51AA3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- </w:t>
            </w:r>
            <w:r w:rsidRPr="00B51AA3">
              <w:rPr>
                <w:sz w:val="28"/>
                <w:szCs w:val="28"/>
                <w:lang w:val="ro-RO" w:eastAsia="ro-RO"/>
              </w:rPr>
              <w:t>generarea de deșeuri suplimentare;</w:t>
            </w:r>
          </w:p>
          <w:p w14:paraId="2E3251A1" w14:textId="21D533B4" w:rsidR="00B51AA3" w:rsidRPr="00B51AA3" w:rsidRDefault="00B51AA3" w:rsidP="00B51AA3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- </w:t>
            </w:r>
            <w:r w:rsidRPr="00B51AA3">
              <w:rPr>
                <w:sz w:val="28"/>
                <w:szCs w:val="28"/>
                <w:lang w:val="ro-RO" w:eastAsia="ro-RO"/>
              </w:rPr>
              <w:t>impact negativ asupra biodiversității sau a ecosistemelor.</w:t>
            </w:r>
          </w:p>
          <w:p w14:paraId="0BC05DBC" w14:textId="718B879C" w:rsidR="00953AEC" w:rsidRDefault="00B51AA3" w:rsidP="00B51AA3">
            <w:pPr>
              <w:ind w:firstLine="0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         </w:t>
            </w:r>
            <w:r w:rsidRPr="00B51AA3">
              <w:rPr>
                <w:sz w:val="28"/>
                <w:szCs w:val="28"/>
                <w:lang w:val="ro-RO" w:eastAsia="ro-RO"/>
              </w:rPr>
              <w:t>În mod indirect, prin îmbunătățirea controlului oficial al furajelor și prevenirea utilizării unor substanțe neconforme, proiectul contribuie la reducerea riscurilor potențiale de poluare și la protecția mediului înconjurător.</w:t>
            </w:r>
          </w:p>
          <w:p w14:paraId="1DB7C2A1" w14:textId="0CF41B1A" w:rsidR="00806AFD" w:rsidRPr="00E45195" w:rsidRDefault="00806AFD" w:rsidP="003F5974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         </w:t>
            </w:r>
          </w:p>
        </w:tc>
      </w:tr>
      <w:tr w:rsidR="005C4F2E" w:rsidRPr="00E45195" w14:paraId="7F51819E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3B52" w14:textId="77777777" w:rsidR="005C4F2E" w:rsidRPr="00E45195" w:rsidRDefault="005C4F2E" w:rsidP="00E45195">
            <w:pPr>
              <w:rPr>
                <w:b/>
                <w:sz w:val="28"/>
                <w:szCs w:val="28"/>
                <w:lang w:val="ro-MD"/>
              </w:rPr>
            </w:pPr>
            <w:r w:rsidRPr="00E45195">
              <w:rPr>
                <w:b/>
                <w:sz w:val="28"/>
                <w:szCs w:val="28"/>
                <w:lang w:val="ro-MD"/>
              </w:rPr>
              <w:t>4.6. Alte impacturi și informații relevante</w:t>
            </w:r>
          </w:p>
        </w:tc>
      </w:tr>
      <w:tr w:rsidR="005C4F2E" w:rsidRPr="00E45195" w14:paraId="5181A858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7639" w14:textId="77777777" w:rsidR="00953AEC" w:rsidRDefault="00806AFD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RO" w:eastAsia="ro-RO"/>
              </w:rPr>
              <w:t xml:space="preserve">  </w:t>
            </w:r>
            <w:r w:rsidR="00953AEC">
              <w:rPr>
                <w:sz w:val="28"/>
                <w:szCs w:val="28"/>
                <w:lang w:val="ro-RO" w:eastAsia="ro-RO"/>
              </w:rPr>
              <w:t xml:space="preserve">        </w:t>
            </w:r>
            <w:r w:rsidR="00953AEC" w:rsidRPr="00953AEC">
              <w:rPr>
                <w:sz w:val="28"/>
                <w:szCs w:val="28"/>
                <w:lang w:val="ro-RO" w:eastAsia="ro-RO"/>
              </w:rPr>
              <w:t xml:space="preserve"> Proiectul de hotărâre  nu generează alte impacturi economice sau sociale semnificative față de cele analizate anterior.  </w:t>
            </w:r>
          </w:p>
          <w:p w14:paraId="4218EE7A" w14:textId="035552BB" w:rsidR="005C4F2E" w:rsidRPr="00953AEC" w:rsidRDefault="00953AEC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  <w:r w:rsidRPr="00953AEC">
              <w:rPr>
                <w:sz w:val="28"/>
                <w:szCs w:val="28"/>
                <w:lang w:val="ro-RO" w:eastAsia="ro-RO"/>
              </w:rPr>
              <w:t xml:space="preserve">        </w:t>
            </w:r>
          </w:p>
        </w:tc>
      </w:tr>
      <w:tr w:rsidR="005C4F2E" w:rsidRPr="00E45195" w14:paraId="60EBA272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12A1" w14:textId="77777777" w:rsidR="005C4F2E" w:rsidRPr="00E45195" w:rsidRDefault="005C4F2E" w:rsidP="00E45195">
            <w:pPr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t xml:space="preserve">5. Compatibilitatea proiectului actului normativ cu legislația UE </w:t>
            </w:r>
          </w:p>
        </w:tc>
      </w:tr>
      <w:tr w:rsidR="005C4F2E" w:rsidRPr="00E45195" w14:paraId="3CF73573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BA89" w14:textId="77777777" w:rsidR="00D839A1" w:rsidRPr="00E45195" w:rsidRDefault="005C4F2E" w:rsidP="00E45195">
            <w:pPr>
              <w:ind w:firstLine="0"/>
              <w:rPr>
                <w:b/>
                <w:sz w:val="28"/>
                <w:szCs w:val="28"/>
                <w:lang w:val="ro-MD"/>
              </w:rPr>
            </w:pPr>
            <w:r w:rsidRPr="00E45195">
              <w:rPr>
                <w:b/>
                <w:sz w:val="28"/>
                <w:szCs w:val="28"/>
                <w:lang w:val="ro-MD"/>
              </w:rPr>
              <w:t xml:space="preserve">  </w:t>
            </w:r>
          </w:p>
          <w:p w14:paraId="289D053E" w14:textId="75F67D92" w:rsidR="00D839A1" w:rsidRPr="00A66063" w:rsidRDefault="005C4F2E" w:rsidP="00A66063">
            <w:pPr>
              <w:ind w:firstLine="0"/>
              <w:rPr>
                <w:sz w:val="28"/>
                <w:szCs w:val="28"/>
                <w:lang w:val="ro-MD"/>
              </w:rPr>
            </w:pPr>
            <w:r w:rsidRPr="00E45195">
              <w:rPr>
                <w:b/>
                <w:sz w:val="28"/>
                <w:szCs w:val="28"/>
                <w:lang w:val="ro-MD"/>
              </w:rPr>
              <w:t xml:space="preserve"> </w:t>
            </w:r>
            <w:r w:rsidR="00806AFD" w:rsidRPr="00E45195">
              <w:rPr>
                <w:b/>
                <w:sz w:val="28"/>
                <w:szCs w:val="28"/>
                <w:lang w:val="ro-MD"/>
              </w:rPr>
              <w:t xml:space="preserve">        </w:t>
            </w:r>
            <w:r w:rsidR="00D839A1" w:rsidRPr="00E45195">
              <w:rPr>
                <w:sz w:val="28"/>
                <w:szCs w:val="28"/>
                <w:lang w:val="ro-MD"/>
              </w:rPr>
              <w:t xml:space="preserve">Proiectul </w:t>
            </w:r>
            <w:r w:rsidR="00A66063">
              <w:rPr>
                <w:sz w:val="28"/>
                <w:szCs w:val="28"/>
                <w:lang w:val="ro-MD"/>
              </w:rPr>
              <w:t>de h</w:t>
            </w:r>
            <w:r w:rsidR="00D839A1" w:rsidRPr="00E45195">
              <w:rPr>
                <w:sz w:val="28"/>
                <w:szCs w:val="28"/>
                <w:lang w:val="ro-MD"/>
              </w:rPr>
              <w:t>otărâr</w:t>
            </w:r>
            <w:r w:rsidR="00A66063">
              <w:rPr>
                <w:sz w:val="28"/>
                <w:szCs w:val="28"/>
                <w:lang w:val="ro-MD"/>
              </w:rPr>
              <w:t>e</w:t>
            </w:r>
            <w:r w:rsidR="00D839A1" w:rsidRPr="00E45195">
              <w:rPr>
                <w:sz w:val="28"/>
                <w:szCs w:val="28"/>
                <w:lang w:val="ro-MD"/>
              </w:rPr>
              <w:t xml:space="preserve"> </w:t>
            </w:r>
            <w:r w:rsidR="00A66063" w:rsidRPr="00A66063">
              <w:rPr>
                <w:sz w:val="28"/>
                <w:szCs w:val="28"/>
                <w:lang w:val="ro-MD"/>
              </w:rPr>
              <w:t>are relevanță directă pentru legislația Uniunii Europene, fiind elaborat în vederea asigurării compatibilității cadrului normativ național cu actele juridice ale UE în domeniul controlului oficial al furajelor.</w:t>
            </w:r>
            <w:r w:rsidR="00A66063">
              <w:rPr>
                <w:sz w:val="28"/>
                <w:szCs w:val="28"/>
                <w:lang w:val="ro-MD"/>
              </w:rPr>
              <w:t xml:space="preserve"> </w:t>
            </w:r>
            <w:r w:rsidR="00A66063" w:rsidRPr="00A66063">
              <w:rPr>
                <w:sz w:val="28"/>
                <w:szCs w:val="28"/>
                <w:lang w:val="ro-MD"/>
              </w:rPr>
              <w:t>Prin proiect se realizează alinierea și actualizarea Hotărârii Guvernului nr. 686/2012, în scopul transpunerii corecte și complete a prevederilor aplicabile ale legislației UE.</w:t>
            </w:r>
          </w:p>
          <w:p w14:paraId="7CF6A0ED" w14:textId="77777777" w:rsidR="00A66063" w:rsidRDefault="005C4F2E" w:rsidP="00E45195">
            <w:pPr>
              <w:ind w:firstLine="0"/>
              <w:rPr>
                <w:b/>
                <w:sz w:val="28"/>
                <w:szCs w:val="28"/>
                <w:lang w:val="ro-MD"/>
              </w:rPr>
            </w:pPr>
            <w:r w:rsidRPr="00E45195">
              <w:rPr>
                <w:b/>
                <w:sz w:val="28"/>
                <w:szCs w:val="28"/>
                <w:lang w:val="ro-MD"/>
              </w:rPr>
              <w:t xml:space="preserve"> </w:t>
            </w:r>
            <w:r w:rsidR="00806AFD" w:rsidRPr="00E45195">
              <w:rPr>
                <w:b/>
                <w:sz w:val="28"/>
                <w:szCs w:val="28"/>
                <w:lang w:val="ro-MD"/>
              </w:rPr>
              <w:t xml:space="preserve">    </w:t>
            </w:r>
          </w:p>
          <w:p w14:paraId="0337A5D2" w14:textId="0C3C362A" w:rsidR="005C4F2E" w:rsidRPr="00E45195" w:rsidRDefault="005C4F2E" w:rsidP="00E45195">
            <w:pPr>
              <w:ind w:firstLine="0"/>
              <w:rPr>
                <w:b/>
                <w:sz w:val="28"/>
                <w:szCs w:val="28"/>
                <w:lang w:val="ro-MD"/>
              </w:rPr>
            </w:pPr>
            <w:r w:rsidRPr="00E45195">
              <w:rPr>
                <w:b/>
                <w:sz w:val="28"/>
                <w:szCs w:val="28"/>
                <w:lang w:val="ro-MD"/>
              </w:rPr>
              <w:t xml:space="preserve"> 5.1. Măsuri normative necesare pentru transpunerea actelor juridice ale UE în legislația națională</w:t>
            </w:r>
          </w:p>
          <w:p w14:paraId="5AC3542D" w14:textId="2549A57A" w:rsidR="00496C2A" w:rsidRPr="000574D8" w:rsidRDefault="00A66063" w:rsidP="000574D8">
            <w:pPr>
              <w:pStyle w:val="NormalWeb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b/>
                <w:sz w:val="28"/>
                <w:szCs w:val="28"/>
                <w:lang w:val="ro-MD"/>
              </w:rPr>
              <w:t xml:space="preserve">     </w:t>
            </w:r>
            <w:r w:rsidR="00496C2A" w:rsidRPr="000574D8">
              <w:rPr>
                <w:sz w:val="28"/>
                <w:szCs w:val="28"/>
                <w:lang w:val="ro-RO" w:eastAsia="ro-RO"/>
              </w:rPr>
              <w:t>Actul juridic al Uniunii Europene care se transpune prin proiectul de hotărâre este</w:t>
            </w:r>
            <w:r w:rsidR="000574D8">
              <w:rPr>
                <w:sz w:val="28"/>
                <w:szCs w:val="28"/>
                <w:lang w:val="ro-RO" w:eastAsia="ro-RO"/>
              </w:rPr>
              <w:t xml:space="preserve"> </w:t>
            </w:r>
            <w:r w:rsidR="00496C2A" w:rsidRPr="000574D8">
              <w:rPr>
                <w:bCs/>
                <w:sz w:val="28"/>
                <w:szCs w:val="28"/>
                <w:lang w:val="ro-RO" w:eastAsia="ro-RO"/>
              </w:rPr>
              <w:t>Regulamentul (CE) nr. 152/2009 al Comisiei din 27 ianuarie 2009</w:t>
            </w:r>
            <w:r w:rsidR="00496C2A" w:rsidRPr="000574D8">
              <w:rPr>
                <w:sz w:val="28"/>
                <w:szCs w:val="28"/>
                <w:lang w:val="ro-RO" w:eastAsia="ro-RO"/>
              </w:rPr>
              <w:t xml:space="preserve"> de stabilire a metodelor de eșantionare și analiză pentru controlul oficial al furajelor,</w:t>
            </w:r>
            <w:r w:rsidR="00496C2A" w:rsidRPr="000574D8">
              <w:rPr>
                <w:sz w:val="28"/>
                <w:szCs w:val="28"/>
                <w:lang w:val="ro-RO" w:eastAsia="ro-RO"/>
              </w:rPr>
              <w:br/>
            </w:r>
            <w:r w:rsidR="00496C2A" w:rsidRPr="000574D8">
              <w:rPr>
                <w:bCs/>
                <w:sz w:val="28"/>
                <w:szCs w:val="28"/>
                <w:lang w:val="ro-RO" w:eastAsia="ro-RO"/>
              </w:rPr>
              <w:t>CELEX: 32009R0152</w:t>
            </w:r>
            <w:r w:rsidR="00496C2A" w:rsidRPr="000574D8">
              <w:rPr>
                <w:sz w:val="28"/>
                <w:szCs w:val="28"/>
                <w:lang w:val="ro-RO" w:eastAsia="ro-RO"/>
              </w:rPr>
              <w:t xml:space="preserve">, publicat în </w:t>
            </w:r>
            <w:r w:rsidR="00496C2A" w:rsidRPr="000574D8">
              <w:rPr>
                <w:i/>
                <w:iCs/>
                <w:sz w:val="28"/>
                <w:szCs w:val="28"/>
                <w:lang w:val="ro-RO" w:eastAsia="ro-RO"/>
              </w:rPr>
              <w:t>Jurnalul Oficial al Uniunii Europene</w:t>
            </w:r>
            <w:r w:rsidR="00496C2A" w:rsidRPr="000574D8">
              <w:rPr>
                <w:sz w:val="28"/>
                <w:szCs w:val="28"/>
                <w:lang w:val="ro-RO" w:eastAsia="ro-RO"/>
              </w:rPr>
              <w:t>, seria L nr. 54 din 26 februarie 2009, cu modificările și completările ulterioare.</w:t>
            </w:r>
          </w:p>
          <w:p w14:paraId="12811BBD" w14:textId="77777777" w:rsidR="00496C2A" w:rsidRPr="00496C2A" w:rsidRDefault="00496C2A" w:rsidP="00496C2A">
            <w:pPr>
              <w:spacing w:before="100" w:beforeAutospacing="1" w:after="100" w:afterAutospacing="1"/>
              <w:ind w:firstLine="0"/>
              <w:jc w:val="left"/>
              <w:outlineLvl w:val="2"/>
              <w:rPr>
                <w:b/>
                <w:bCs/>
                <w:sz w:val="27"/>
                <w:szCs w:val="27"/>
                <w:lang w:val="ro-RO" w:eastAsia="ro-RO"/>
              </w:rPr>
            </w:pPr>
            <w:r w:rsidRPr="00496C2A">
              <w:rPr>
                <w:b/>
                <w:bCs/>
                <w:sz w:val="27"/>
                <w:szCs w:val="27"/>
                <w:lang w:val="ro-RO" w:eastAsia="ro-RO"/>
              </w:rPr>
              <w:t>a) Obiectivele actului juridic al UE</w:t>
            </w:r>
          </w:p>
          <w:p w14:paraId="7E11EFE2" w14:textId="77777777" w:rsidR="00496C2A" w:rsidRPr="000574D8" w:rsidRDefault="00496C2A" w:rsidP="000574D8">
            <w:pPr>
              <w:ind w:firstLine="0"/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lastRenderedPageBreak/>
              <w:t xml:space="preserve">Regulamentul (CE) nr. 152/2009 are ca obiectiv stabilirea unor </w:t>
            </w:r>
            <w:r w:rsidRPr="000574D8">
              <w:rPr>
                <w:b/>
                <w:bCs/>
                <w:sz w:val="28"/>
                <w:szCs w:val="28"/>
                <w:lang w:val="ro-RO" w:eastAsia="ro-RO"/>
              </w:rPr>
              <w:t>metode armonizate de eșantionare și analiză</w:t>
            </w:r>
            <w:r w:rsidRPr="000574D8">
              <w:rPr>
                <w:sz w:val="28"/>
                <w:szCs w:val="28"/>
                <w:lang w:val="ro-RO" w:eastAsia="ro-RO"/>
              </w:rPr>
              <w:t xml:space="preserve"> aplicabile controlului oficial al furajelor, în vederea:</w:t>
            </w:r>
          </w:p>
          <w:p w14:paraId="112CA338" w14:textId="77777777" w:rsidR="00496C2A" w:rsidRPr="000574D8" w:rsidRDefault="00496C2A" w:rsidP="000574D8">
            <w:pPr>
              <w:numPr>
                <w:ilvl w:val="0"/>
                <w:numId w:val="42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asigurării unui nivel ridicat de protecție a sănătății animalelor și a consumatorilor;</w:t>
            </w:r>
          </w:p>
          <w:p w14:paraId="787E6765" w14:textId="77777777" w:rsidR="00496C2A" w:rsidRPr="000574D8" w:rsidRDefault="00496C2A" w:rsidP="000574D8">
            <w:pPr>
              <w:numPr>
                <w:ilvl w:val="0"/>
                <w:numId w:val="42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garantării comparabilității și fiabilității rezultatelor analizelor;</w:t>
            </w:r>
          </w:p>
          <w:p w14:paraId="2451758B" w14:textId="77777777" w:rsidR="00496C2A" w:rsidRPr="000574D8" w:rsidRDefault="00496C2A" w:rsidP="000574D8">
            <w:pPr>
              <w:numPr>
                <w:ilvl w:val="0"/>
                <w:numId w:val="42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aplicării uniforme a legislației UE în domeniul furajelor.</w:t>
            </w:r>
          </w:p>
          <w:p w14:paraId="6417260B" w14:textId="77777777" w:rsidR="00496C2A" w:rsidRPr="000574D8" w:rsidRDefault="00496C2A" w:rsidP="00496C2A">
            <w:pPr>
              <w:spacing w:before="100" w:beforeAutospacing="1" w:after="100" w:afterAutospacing="1"/>
              <w:ind w:firstLine="0"/>
              <w:jc w:val="left"/>
              <w:outlineLvl w:val="2"/>
              <w:rPr>
                <w:b/>
                <w:bCs/>
                <w:sz w:val="28"/>
                <w:szCs w:val="28"/>
                <w:lang w:val="ro-RO" w:eastAsia="ro-RO"/>
              </w:rPr>
            </w:pPr>
            <w:r w:rsidRPr="000574D8">
              <w:rPr>
                <w:b/>
                <w:bCs/>
                <w:sz w:val="28"/>
                <w:szCs w:val="28"/>
                <w:lang w:val="ro-RO" w:eastAsia="ro-RO"/>
              </w:rPr>
              <w:t>b) Gradul de transpunere a actului juridic al UE</w:t>
            </w:r>
          </w:p>
          <w:p w14:paraId="671B57F3" w14:textId="42FE3F1D" w:rsidR="00496C2A" w:rsidRPr="000574D8" w:rsidRDefault="00496C2A" w:rsidP="000574D8">
            <w:pPr>
              <w:ind w:firstLine="0"/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 xml:space="preserve">Gradul de transpunere a Regulamentului (CE) nr. 152/2009 este </w:t>
            </w:r>
            <w:r w:rsidR="000574D8" w:rsidRPr="000574D8">
              <w:rPr>
                <w:sz w:val="28"/>
                <w:szCs w:val="28"/>
                <w:lang w:val="ro-RO" w:eastAsia="ro-RO"/>
              </w:rPr>
              <w:t>integr</w:t>
            </w:r>
            <w:r w:rsidRPr="000574D8">
              <w:rPr>
                <w:bCs/>
                <w:sz w:val="28"/>
                <w:szCs w:val="28"/>
                <w:lang w:val="ro-RO" w:eastAsia="ro-RO"/>
              </w:rPr>
              <w:t>al</w:t>
            </w:r>
            <w:r w:rsidRPr="000574D8">
              <w:rPr>
                <w:sz w:val="28"/>
                <w:szCs w:val="28"/>
                <w:lang w:val="ro-RO" w:eastAsia="ro-RO"/>
              </w:rPr>
              <w:t>.</w:t>
            </w:r>
          </w:p>
          <w:p w14:paraId="1F09EAF5" w14:textId="77777777" w:rsidR="00496C2A" w:rsidRPr="000574D8" w:rsidRDefault="00496C2A" w:rsidP="000574D8">
            <w:pPr>
              <w:ind w:firstLine="0"/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Regulamentul a fost anterior transpus prin Hotărârea Guvernului nr. 686/2012, însă proiectul de față vizează:</w:t>
            </w:r>
          </w:p>
          <w:p w14:paraId="5A877F23" w14:textId="77777777" w:rsidR="00496C2A" w:rsidRPr="000574D8" w:rsidRDefault="00496C2A" w:rsidP="000574D8">
            <w:pPr>
              <w:numPr>
                <w:ilvl w:val="0"/>
                <w:numId w:val="43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actualizarea cadrului normativ național;</w:t>
            </w:r>
          </w:p>
          <w:p w14:paraId="1B253C28" w14:textId="77777777" w:rsidR="00496C2A" w:rsidRPr="000574D8" w:rsidRDefault="00496C2A" w:rsidP="000574D8">
            <w:pPr>
              <w:numPr>
                <w:ilvl w:val="0"/>
                <w:numId w:val="43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preluarea versiunii consolidate a regulamentului;</w:t>
            </w:r>
          </w:p>
          <w:p w14:paraId="7E818738" w14:textId="77777777" w:rsidR="00496C2A" w:rsidRPr="000574D8" w:rsidRDefault="00496C2A" w:rsidP="000574D8">
            <w:pPr>
              <w:numPr>
                <w:ilvl w:val="0"/>
                <w:numId w:val="43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substituirea integrală a anexelor, structurate și numerotate identic cu anexele actului UE.</w:t>
            </w:r>
          </w:p>
          <w:p w14:paraId="4A2D747E" w14:textId="77777777" w:rsidR="00496C2A" w:rsidRPr="000574D8" w:rsidRDefault="00496C2A" w:rsidP="00496C2A">
            <w:pPr>
              <w:spacing w:before="100" w:beforeAutospacing="1" w:after="100" w:afterAutospacing="1"/>
              <w:ind w:firstLine="0"/>
              <w:jc w:val="left"/>
              <w:outlineLvl w:val="2"/>
              <w:rPr>
                <w:b/>
                <w:bCs/>
                <w:sz w:val="28"/>
                <w:szCs w:val="28"/>
                <w:lang w:val="ro-RO" w:eastAsia="ro-RO"/>
              </w:rPr>
            </w:pPr>
            <w:r w:rsidRPr="000574D8">
              <w:rPr>
                <w:b/>
                <w:bCs/>
                <w:sz w:val="28"/>
                <w:szCs w:val="28"/>
                <w:lang w:val="ro-RO" w:eastAsia="ro-RO"/>
              </w:rPr>
              <w:t>c) Argumentarea introducerii unor reglementări care nu sunt prevăzute expres în actul juridic al UE</w:t>
            </w:r>
          </w:p>
          <w:p w14:paraId="270F75C5" w14:textId="77777777" w:rsidR="00B07394" w:rsidRPr="000574D8" w:rsidRDefault="00496C2A" w:rsidP="00DE1815">
            <w:pPr>
              <w:spacing w:before="100" w:beforeAutospacing="1" w:after="100" w:afterAutospacing="1"/>
              <w:ind w:firstLine="0"/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Proiectul nu introduce reglementări care să depășească cerințele stabilite de Regulamentul (CE) nr. 152/2009.</w:t>
            </w:r>
            <w:r w:rsidRPr="000574D8">
              <w:rPr>
                <w:sz w:val="28"/>
                <w:szCs w:val="28"/>
                <w:lang w:val="ro-RO" w:eastAsia="ro-RO"/>
              </w:rPr>
              <w:br/>
              <w:t>Prevederile proiectului au caracter tehnic și procedural și se limitează la transpunerea fidelă a dispozițiilor actului juridic al UE, fără adăugiri sau adaptări nejustificate.</w:t>
            </w:r>
          </w:p>
          <w:p w14:paraId="08E10E88" w14:textId="068E95A4" w:rsidR="00DE1815" w:rsidRPr="00DE1815" w:rsidRDefault="00DE1815" w:rsidP="00DE1815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</w:p>
        </w:tc>
      </w:tr>
      <w:tr w:rsidR="005C4F2E" w:rsidRPr="00E45195" w14:paraId="270B2186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5687" w14:textId="77777777" w:rsidR="005C4F2E" w:rsidRPr="00E45195" w:rsidRDefault="005C4F2E" w:rsidP="00E45195">
            <w:pPr>
              <w:ind w:firstLine="0"/>
              <w:rPr>
                <w:b/>
                <w:sz w:val="28"/>
                <w:szCs w:val="28"/>
                <w:lang w:val="ro-MD"/>
              </w:rPr>
            </w:pPr>
            <w:r w:rsidRPr="00E45195">
              <w:rPr>
                <w:b/>
                <w:sz w:val="28"/>
                <w:szCs w:val="28"/>
                <w:lang w:val="ro-MD"/>
              </w:rPr>
              <w:lastRenderedPageBreak/>
              <w:t>5.2. Măsuri normative care urmăresc crearea cadrului juridic intern necesar pentru implementarea legislației UE</w:t>
            </w:r>
          </w:p>
          <w:p w14:paraId="10A1C524" w14:textId="77777777" w:rsidR="00495F0F" w:rsidRPr="00E45195" w:rsidRDefault="00495F0F" w:rsidP="00E45195">
            <w:pPr>
              <w:ind w:firstLine="0"/>
              <w:rPr>
                <w:b/>
                <w:sz w:val="28"/>
                <w:szCs w:val="28"/>
                <w:lang w:val="ro-MD"/>
              </w:rPr>
            </w:pPr>
          </w:p>
          <w:p w14:paraId="719D7992" w14:textId="77777777" w:rsidR="00DE1815" w:rsidRPr="000574D8" w:rsidRDefault="00DE1815" w:rsidP="000574D8">
            <w:pPr>
              <w:ind w:firstLine="0"/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 xml:space="preserve">Prin modificarea Hotărârii Guvernului nr. 686/2012 se creează și se consolidează cadrul juridic intern necesar pentru </w:t>
            </w:r>
            <w:r w:rsidRPr="000574D8">
              <w:rPr>
                <w:b/>
                <w:bCs/>
                <w:sz w:val="28"/>
                <w:szCs w:val="28"/>
                <w:lang w:val="ro-RO" w:eastAsia="ro-RO"/>
              </w:rPr>
              <w:t>implementarea efectivă</w:t>
            </w:r>
            <w:r w:rsidRPr="000574D8">
              <w:rPr>
                <w:sz w:val="28"/>
                <w:szCs w:val="28"/>
                <w:lang w:val="ro-RO" w:eastAsia="ro-RO"/>
              </w:rPr>
              <w:t xml:space="preserve"> a Regulamentului (CE) nr. 152/2009 în Republica Moldova.</w:t>
            </w:r>
          </w:p>
          <w:p w14:paraId="414DC8C1" w14:textId="77777777" w:rsidR="00DE1815" w:rsidRPr="000574D8" w:rsidRDefault="00DE1815" w:rsidP="000574D8">
            <w:pPr>
              <w:ind w:firstLine="0"/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Măsurile normative propuse asigură:</w:t>
            </w:r>
          </w:p>
          <w:p w14:paraId="601B718C" w14:textId="77777777" w:rsidR="00DE1815" w:rsidRPr="000574D8" w:rsidRDefault="00DE1815" w:rsidP="000574D8">
            <w:pPr>
              <w:numPr>
                <w:ilvl w:val="0"/>
                <w:numId w:val="44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aplicarea uniformă a metodelor de eșantionare și analiză în cadrul controlului oficial al furajelor;</w:t>
            </w:r>
          </w:p>
          <w:p w14:paraId="17DFF51C" w14:textId="77777777" w:rsidR="00DE1815" w:rsidRPr="000574D8" w:rsidRDefault="00DE1815" w:rsidP="000574D8">
            <w:pPr>
              <w:numPr>
                <w:ilvl w:val="0"/>
                <w:numId w:val="44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funcționarea eficientă a sistemului de control exercitat de autoritatea competentă;</w:t>
            </w:r>
          </w:p>
          <w:p w14:paraId="05CAE035" w14:textId="77777777" w:rsidR="00DE1815" w:rsidRPr="000574D8" w:rsidRDefault="00DE1815" w:rsidP="000574D8">
            <w:pPr>
              <w:numPr>
                <w:ilvl w:val="0"/>
                <w:numId w:val="44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continuitatea și coerența cadrului normativ existent, fără adoptarea unui act normativ nou.</w:t>
            </w:r>
          </w:p>
          <w:p w14:paraId="53080B19" w14:textId="77777777" w:rsidR="00DE1815" w:rsidRPr="000574D8" w:rsidRDefault="00DE1815" w:rsidP="000574D8">
            <w:pPr>
              <w:ind w:firstLine="0"/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Proiectul nu necesită adoptarea unor acte normative suplimentare pentru implementarea prevederilor UE, întrucât:</w:t>
            </w:r>
          </w:p>
          <w:p w14:paraId="769EA09C" w14:textId="77777777" w:rsidR="00DE1815" w:rsidRPr="000574D8" w:rsidRDefault="00DE1815" w:rsidP="000574D8">
            <w:pPr>
              <w:numPr>
                <w:ilvl w:val="0"/>
                <w:numId w:val="45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cadrul instituțional este deja stabilit;</w:t>
            </w:r>
          </w:p>
          <w:p w14:paraId="3E847B68" w14:textId="77777777" w:rsidR="00DE1815" w:rsidRPr="000574D8" w:rsidRDefault="00DE1815" w:rsidP="000574D8">
            <w:pPr>
              <w:numPr>
                <w:ilvl w:val="0"/>
                <w:numId w:val="45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competențele autorității competente sunt clar definite;</w:t>
            </w:r>
          </w:p>
          <w:p w14:paraId="7B7F0CA2" w14:textId="77777777" w:rsidR="00DE1815" w:rsidRPr="000574D8" w:rsidRDefault="00DE1815" w:rsidP="000574D8">
            <w:pPr>
              <w:numPr>
                <w:ilvl w:val="0"/>
                <w:numId w:val="45"/>
              </w:numPr>
              <w:jc w:val="left"/>
              <w:rPr>
                <w:sz w:val="28"/>
                <w:szCs w:val="28"/>
                <w:lang w:val="ro-RO" w:eastAsia="ro-RO"/>
              </w:rPr>
            </w:pPr>
            <w:r w:rsidRPr="000574D8">
              <w:rPr>
                <w:sz w:val="28"/>
                <w:szCs w:val="28"/>
                <w:lang w:val="ro-RO" w:eastAsia="ro-RO"/>
              </w:rPr>
              <w:t>metodele prevăzute sunt aplicabile imediat după intrarea în vigoare a hotărârii.</w:t>
            </w:r>
          </w:p>
          <w:p w14:paraId="48B37137" w14:textId="71B43F39" w:rsidR="007873EB" w:rsidRPr="00E45195" w:rsidRDefault="007873EB" w:rsidP="00E45195">
            <w:pPr>
              <w:ind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E45195" w14:paraId="56574C91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E3A6" w14:textId="77777777" w:rsidR="005C4F2E" w:rsidRPr="00E45195" w:rsidRDefault="005C4F2E" w:rsidP="00E45195">
            <w:pPr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t>6. Avizarea și consultarea publică a proiectului actului normativ</w:t>
            </w:r>
          </w:p>
        </w:tc>
      </w:tr>
      <w:tr w:rsidR="005C4F2E" w:rsidRPr="00E45195" w14:paraId="29261F63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3ADA" w14:textId="77777777" w:rsidR="005C4F2E" w:rsidRPr="000574D8" w:rsidRDefault="005C4F2E" w:rsidP="00E45195">
            <w:pPr>
              <w:rPr>
                <w:bCs/>
                <w:sz w:val="28"/>
                <w:szCs w:val="28"/>
                <w:lang w:val="ro-MD"/>
              </w:rPr>
            </w:pPr>
          </w:p>
          <w:p w14:paraId="0BDBB7C8" w14:textId="7927C5B3" w:rsidR="005C4F2E" w:rsidRPr="000574D8" w:rsidRDefault="005C4F2E" w:rsidP="00E45195">
            <w:pPr>
              <w:rPr>
                <w:sz w:val="28"/>
                <w:szCs w:val="28"/>
                <w:lang w:val="ro-MD"/>
              </w:rPr>
            </w:pPr>
            <w:r w:rsidRPr="000574D8">
              <w:rPr>
                <w:sz w:val="28"/>
                <w:szCs w:val="28"/>
                <w:lang w:val="ro-MD"/>
              </w:rPr>
              <w:t xml:space="preserve">Întru respectarea </w:t>
            </w:r>
            <w:r w:rsidRPr="000574D8">
              <w:rPr>
                <w:bCs/>
                <w:sz w:val="28"/>
                <w:szCs w:val="28"/>
                <w:lang w:val="ro-MD"/>
              </w:rPr>
              <w:t xml:space="preserve">prevederile art.9 </w:t>
            </w:r>
            <w:r w:rsidRPr="000574D8">
              <w:rPr>
                <w:sz w:val="28"/>
                <w:szCs w:val="28"/>
                <w:lang w:val="ro-MD"/>
              </w:rPr>
              <w:t xml:space="preserve"> al Legii nr.239/2008 privind transparența în procesul decizional Anunțul de inițiere a elaborării proiectului la data de</w:t>
            </w:r>
            <w:r w:rsidR="00DE1815" w:rsidRPr="000574D8">
              <w:rPr>
                <w:sz w:val="28"/>
                <w:szCs w:val="28"/>
                <w:lang w:val="ro-MD"/>
              </w:rPr>
              <w:t xml:space="preserve"> 21</w:t>
            </w:r>
            <w:r w:rsidRPr="000574D8">
              <w:rPr>
                <w:bCs/>
                <w:sz w:val="28"/>
                <w:szCs w:val="28"/>
                <w:lang w:val="ro-MD"/>
              </w:rPr>
              <w:t xml:space="preserve"> i</w:t>
            </w:r>
            <w:r w:rsidR="00DE1815" w:rsidRPr="000574D8">
              <w:rPr>
                <w:bCs/>
                <w:sz w:val="28"/>
                <w:szCs w:val="28"/>
                <w:lang w:val="ro-MD"/>
              </w:rPr>
              <w:t>anuar</w:t>
            </w:r>
            <w:r w:rsidRPr="000574D8">
              <w:rPr>
                <w:bCs/>
                <w:sz w:val="28"/>
                <w:szCs w:val="28"/>
                <w:lang w:val="ro-MD"/>
              </w:rPr>
              <w:t>ie 202</w:t>
            </w:r>
            <w:r w:rsidR="00DE1815" w:rsidRPr="000574D8">
              <w:rPr>
                <w:bCs/>
                <w:sz w:val="28"/>
                <w:szCs w:val="28"/>
                <w:lang w:val="ro-MD"/>
              </w:rPr>
              <w:t>6</w:t>
            </w:r>
            <w:r w:rsidRPr="000574D8">
              <w:rPr>
                <w:bCs/>
                <w:sz w:val="28"/>
                <w:szCs w:val="28"/>
                <w:lang w:val="ro-MD"/>
              </w:rPr>
              <w:t xml:space="preserve"> </w:t>
            </w:r>
            <w:r w:rsidRPr="000574D8">
              <w:rPr>
                <w:sz w:val="28"/>
                <w:szCs w:val="28"/>
                <w:lang w:val="ro-MD"/>
              </w:rPr>
              <w:lastRenderedPageBreak/>
              <w:t xml:space="preserve">a fost plasat pe pagina web a Ministerului Agriculturii și Industriei Alimentare web: </w:t>
            </w:r>
            <w:hyperlink r:id="rId9" w:history="1">
              <w:r w:rsidR="000574D8" w:rsidRPr="00230276">
                <w:rPr>
                  <w:rStyle w:val="Hyperlink"/>
                  <w:sz w:val="28"/>
                  <w:szCs w:val="28"/>
                </w:rPr>
                <w:t>https://particip.gov.md/ro/document/stages/anunt-privind-initierea-elaborarii-proiectului-de-hotarare-privind-modificarea-hotararii-de-guvern-n/15920</w:t>
              </w:r>
            </w:hyperlink>
            <w:r w:rsidR="000574D8">
              <w:rPr>
                <w:sz w:val="28"/>
                <w:szCs w:val="28"/>
              </w:rPr>
              <w:t xml:space="preserve"> </w:t>
            </w:r>
            <w:r w:rsidRPr="000574D8">
              <w:rPr>
                <w:sz w:val="28"/>
                <w:szCs w:val="28"/>
                <w:lang w:val="ro-MD"/>
              </w:rPr>
              <w:t xml:space="preserve">la compartimentul Transparență decizională, la rubrica Anunțuri de inițiere a elaborării deciziilor. </w:t>
            </w:r>
          </w:p>
          <w:p w14:paraId="07262D6E" w14:textId="08322B09" w:rsidR="005C4F2E" w:rsidRPr="000574D8" w:rsidRDefault="005C4F2E" w:rsidP="00E45195">
            <w:pPr>
              <w:rPr>
                <w:bCs/>
                <w:sz w:val="28"/>
                <w:szCs w:val="28"/>
                <w:lang w:val="ro-MD"/>
              </w:rPr>
            </w:pPr>
            <w:r w:rsidRPr="000574D8">
              <w:rPr>
                <w:bCs/>
                <w:sz w:val="28"/>
                <w:szCs w:val="28"/>
                <w:lang w:val="ro-MD"/>
              </w:rPr>
              <w:t xml:space="preserve">Proiectul va fi  transmis oficial către principalele asociații de business relevante, avize formale vor fi recepționate și </w:t>
            </w:r>
            <w:r w:rsidRPr="000574D8">
              <w:rPr>
                <w:sz w:val="28"/>
                <w:szCs w:val="28"/>
                <w:lang w:val="ro-MD"/>
              </w:rPr>
              <w:t xml:space="preserve">plasat anunțul de consultare, </w:t>
            </w:r>
            <w:r w:rsidRPr="000574D8">
              <w:rPr>
                <w:bCs/>
                <w:sz w:val="28"/>
                <w:szCs w:val="28"/>
                <w:lang w:val="ro-MD"/>
              </w:rPr>
              <w:t>situația va fi reflectată în sinteza consultărilor.</w:t>
            </w:r>
          </w:p>
          <w:p w14:paraId="5EA98A29" w14:textId="77777777" w:rsidR="005C4F2E" w:rsidRPr="000574D8" w:rsidRDefault="005C4F2E" w:rsidP="00E45195">
            <w:pPr>
              <w:rPr>
                <w:bCs/>
                <w:sz w:val="28"/>
                <w:szCs w:val="28"/>
                <w:lang w:val="ro-MD"/>
              </w:rPr>
            </w:pPr>
          </w:p>
        </w:tc>
      </w:tr>
      <w:tr w:rsidR="005C4F2E" w:rsidRPr="00E45195" w14:paraId="223F9A74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E04C" w14:textId="77777777" w:rsidR="005C4F2E" w:rsidRPr="00E45195" w:rsidRDefault="005C4F2E" w:rsidP="00E45195">
            <w:pPr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lastRenderedPageBreak/>
              <w:t>7. Concluziile expertizelor</w:t>
            </w:r>
          </w:p>
        </w:tc>
      </w:tr>
      <w:tr w:rsidR="005C4F2E" w:rsidRPr="00E45195" w14:paraId="6CC42280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1B9E" w14:textId="77777777" w:rsidR="005C4F2E" w:rsidRPr="00E45195" w:rsidRDefault="005C4F2E" w:rsidP="00E45195">
            <w:pPr>
              <w:ind w:firstLine="0"/>
              <w:rPr>
                <w:bCs/>
                <w:sz w:val="28"/>
                <w:szCs w:val="28"/>
                <w:lang w:val="ro-MD"/>
              </w:rPr>
            </w:pPr>
          </w:p>
          <w:p w14:paraId="2DD1878B" w14:textId="77777777" w:rsidR="005C4F2E" w:rsidRPr="00E45195" w:rsidRDefault="005C4F2E" w:rsidP="00E45195">
            <w:pPr>
              <w:rPr>
                <w:bCs/>
                <w:sz w:val="28"/>
                <w:szCs w:val="28"/>
                <w:lang w:val="ro-MD"/>
              </w:rPr>
            </w:pPr>
            <w:r w:rsidRPr="00E45195">
              <w:rPr>
                <w:bCs/>
                <w:sz w:val="28"/>
                <w:szCs w:val="28"/>
                <w:lang w:val="ro-MD"/>
              </w:rPr>
              <w:t>Proiectul urmează a fi supus expertizei anticorupție de către Centrul Național Anticorupție în conformitate cu art. 36 al Legii nr. 100/2017 cu privire la actele normative.</w:t>
            </w:r>
          </w:p>
          <w:p w14:paraId="5A499ECF" w14:textId="77777777" w:rsidR="005C4F2E" w:rsidRPr="00E45195" w:rsidRDefault="005C4F2E" w:rsidP="00E45195">
            <w:pPr>
              <w:rPr>
                <w:bCs/>
                <w:sz w:val="28"/>
                <w:szCs w:val="28"/>
                <w:lang w:val="ro-MD"/>
              </w:rPr>
            </w:pPr>
            <w:r w:rsidRPr="00E45195">
              <w:rPr>
                <w:bCs/>
                <w:sz w:val="28"/>
                <w:szCs w:val="28"/>
                <w:lang w:val="ro-MD"/>
              </w:rPr>
              <w:t xml:space="preserve"> Proiectul urmează a fi supus expertizei de compatibilitate de către Centrul de Armonizare a Legislației în conformitate cu art. 35 al Legii nr. 100/2017 cu privire la actele normative.</w:t>
            </w:r>
          </w:p>
          <w:p w14:paraId="555E57B2" w14:textId="77777777" w:rsidR="005C4F2E" w:rsidRPr="00E45195" w:rsidRDefault="005C4F2E" w:rsidP="00E45195">
            <w:pPr>
              <w:rPr>
                <w:bCs/>
                <w:sz w:val="28"/>
                <w:szCs w:val="28"/>
                <w:lang w:val="ro-MD"/>
              </w:rPr>
            </w:pPr>
            <w:r w:rsidRPr="00E45195">
              <w:rPr>
                <w:bCs/>
                <w:sz w:val="28"/>
                <w:szCs w:val="28"/>
                <w:lang w:val="ro-MD"/>
              </w:rPr>
              <w:t xml:space="preserve"> Proiectul urmează a fi supus expertizei juridice de către Ministerul Justiției în conformitate cu art. 37 al Legii nr. 100/2017 cu privire la actele normative.</w:t>
            </w:r>
          </w:p>
          <w:p w14:paraId="1F57221B" w14:textId="77777777" w:rsidR="005C4F2E" w:rsidRPr="00E45195" w:rsidRDefault="005C4F2E" w:rsidP="00E45195">
            <w:pPr>
              <w:rPr>
                <w:bCs/>
                <w:sz w:val="28"/>
                <w:szCs w:val="28"/>
                <w:lang w:val="ro-MD"/>
              </w:rPr>
            </w:pPr>
          </w:p>
        </w:tc>
      </w:tr>
      <w:tr w:rsidR="005C4F2E" w:rsidRPr="00E45195" w14:paraId="48C32CD1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6749" w14:textId="77777777" w:rsidR="005C4F2E" w:rsidRPr="00E45195" w:rsidRDefault="005C4F2E" w:rsidP="00E45195">
            <w:pPr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t>8. Modul de încorporare a actului în cadrul normativ existent</w:t>
            </w:r>
            <w:r w:rsidRPr="00E45195">
              <w:rPr>
                <w:sz w:val="28"/>
                <w:szCs w:val="28"/>
                <w:lang w:val="ro-MD"/>
              </w:rPr>
              <w:tab/>
            </w:r>
          </w:p>
        </w:tc>
      </w:tr>
      <w:tr w:rsidR="005C4F2E" w:rsidRPr="00E45195" w14:paraId="15C73693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EF80" w14:textId="77777777" w:rsidR="00DE1815" w:rsidRPr="00DE1815" w:rsidRDefault="005C4F2E" w:rsidP="00DE1815">
            <w:pPr>
              <w:pStyle w:val="NormalWeb"/>
              <w:rPr>
                <w:sz w:val="28"/>
                <w:szCs w:val="28"/>
                <w:lang w:val="ro-RO" w:eastAsia="ro-RO"/>
              </w:rPr>
            </w:pPr>
            <w:r w:rsidRPr="00E45195">
              <w:rPr>
                <w:sz w:val="28"/>
                <w:szCs w:val="28"/>
                <w:lang w:val="ro-MD"/>
              </w:rPr>
              <w:t xml:space="preserve">        </w:t>
            </w:r>
            <w:r w:rsidRPr="00E45195">
              <w:rPr>
                <w:sz w:val="28"/>
                <w:szCs w:val="28"/>
                <w:lang w:val="ro-MD" w:eastAsia="ro-RO"/>
              </w:rPr>
              <w:br/>
            </w:r>
            <w:r w:rsidR="00DE1815" w:rsidRPr="00DE1815">
              <w:rPr>
                <w:sz w:val="28"/>
                <w:szCs w:val="28"/>
                <w:lang w:val="ro-RO" w:eastAsia="ro-RO"/>
              </w:rPr>
              <w:t xml:space="preserve">Proiectul Hotărârii Guvernului se încorporează în cadrul normativ existent prin </w:t>
            </w:r>
            <w:r w:rsidR="00DE1815" w:rsidRPr="00DE1815">
              <w:rPr>
                <w:b/>
                <w:bCs/>
                <w:sz w:val="28"/>
                <w:szCs w:val="28"/>
                <w:lang w:val="ro-RO" w:eastAsia="ro-RO"/>
              </w:rPr>
              <w:t>modificarea și completarea</w:t>
            </w:r>
            <w:r w:rsidR="00DE1815" w:rsidRPr="00DE1815">
              <w:rPr>
                <w:sz w:val="28"/>
                <w:szCs w:val="28"/>
                <w:lang w:val="ro-RO" w:eastAsia="ro-RO"/>
              </w:rPr>
              <w:t xml:space="preserve"> Hotărârii Guvernului nr. 686 din 13 septembrie 2012 cu privire la aprobarea unor metode de analiză pentru controlul nutrețurilor.</w:t>
            </w:r>
          </w:p>
          <w:p w14:paraId="017CAF5C" w14:textId="77777777" w:rsidR="00DE1815" w:rsidRPr="00DE1815" w:rsidRDefault="00DE1815" w:rsidP="00DE1815">
            <w:pPr>
              <w:pStyle w:val="NormalWeb"/>
              <w:rPr>
                <w:sz w:val="28"/>
                <w:szCs w:val="28"/>
                <w:lang w:val="ro-RO" w:eastAsia="ro-RO"/>
              </w:rPr>
            </w:pPr>
            <w:r w:rsidRPr="00DE1815">
              <w:rPr>
                <w:sz w:val="28"/>
                <w:szCs w:val="28"/>
                <w:lang w:val="ro-RO" w:eastAsia="ro-RO"/>
              </w:rPr>
              <w:t>Prin proiect:</w:t>
            </w:r>
          </w:p>
          <w:p w14:paraId="27601632" w14:textId="77777777" w:rsidR="00DE1815" w:rsidRPr="00DE1815" w:rsidRDefault="00DE1815" w:rsidP="00DE1815">
            <w:pPr>
              <w:pStyle w:val="NormalWeb"/>
              <w:numPr>
                <w:ilvl w:val="0"/>
                <w:numId w:val="46"/>
              </w:numPr>
              <w:rPr>
                <w:sz w:val="28"/>
                <w:szCs w:val="28"/>
                <w:lang w:val="ro-RO" w:eastAsia="ro-RO"/>
              </w:rPr>
            </w:pPr>
            <w:r w:rsidRPr="00DE1815">
              <w:rPr>
                <w:sz w:val="28"/>
                <w:szCs w:val="28"/>
                <w:lang w:val="ro-RO" w:eastAsia="ro-RO"/>
              </w:rPr>
              <w:t>nu se abrogă Hotărârea Guvernului nr. 686/2012;</w:t>
            </w:r>
          </w:p>
          <w:p w14:paraId="2C40315E" w14:textId="77777777" w:rsidR="00DE1815" w:rsidRPr="00DE1815" w:rsidRDefault="00DE1815" w:rsidP="00DE1815">
            <w:pPr>
              <w:pStyle w:val="NormalWeb"/>
              <w:numPr>
                <w:ilvl w:val="0"/>
                <w:numId w:val="46"/>
              </w:numPr>
              <w:rPr>
                <w:sz w:val="28"/>
                <w:szCs w:val="28"/>
                <w:lang w:val="ro-RO" w:eastAsia="ro-RO"/>
              </w:rPr>
            </w:pPr>
            <w:r w:rsidRPr="00DE1815">
              <w:rPr>
                <w:sz w:val="28"/>
                <w:szCs w:val="28"/>
                <w:lang w:val="ro-RO" w:eastAsia="ro-RO"/>
              </w:rPr>
              <w:t xml:space="preserve">se </w:t>
            </w:r>
            <w:r w:rsidRPr="00DE1815">
              <w:rPr>
                <w:b/>
                <w:bCs/>
                <w:sz w:val="28"/>
                <w:szCs w:val="28"/>
                <w:lang w:val="ro-RO" w:eastAsia="ro-RO"/>
              </w:rPr>
              <w:t>actualizează conținutul normativ</w:t>
            </w:r>
            <w:r w:rsidRPr="00DE1815">
              <w:rPr>
                <w:sz w:val="28"/>
                <w:szCs w:val="28"/>
                <w:lang w:val="ro-RO" w:eastAsia="ro-RO"/>
              </w:rPr>
              <w:t xml:space="preserve"> al acesteia, în vederea alinierii la versiunea consolidată a Regulamentului (CE) nr. 152/2009;</w:t>
            </w:r>
          </w:p>
          <w:p w14:paraId="35B2A0C7" w14:textId="23CAF639" w:rsidR="00DE1815" w:rsidRPr="00DE1815" w:rsidRDefault="00DE1815" w:rsidP="00DE1815">
            <w:pPr>
              <w:pStyle w:val="NormalWeb"/>
              <w:numPr>
                <w:ilvl w:val="0"/>
                <w:numId w:val="46"/>
              </w:numPr>
              <w:rPr>
                <w:sz w:val="28"/>
                <w:szCs w:val="28"/>
                <w:lang w:val="ro-RO" w:eastAsia="ro-RO"/>
              </w:rPr>
            </w:pPr>
            <w:r w:rsidRPr="00DE1815">
              <w:rPr>
                <w:sz w:val="28"/>
                <w:szCs w:val="28"/>
                <w:lang w:val="ro-RO" w:eastAsia="ro-RO"/>
              </w:rPr>
              <w:t xml:space="preserve">se </w:t>
            </w:r>
            <w:r w:rsidRPr="00DE1815">
              <w:rPr>
                <w:b/>
                <w:bCs/>
                <w:sz w:val="28"/>
                <w:szCs w:val="28"/>
                <w:lang w:val="ro-RO" w:eastAsia="ro-RO"/>
              </w:rPr>
              <w:t>substituie integral anexele nr. 1–7</w:t>
            </w:r>
            <w:r w:rsidRPr="00DE1815">
              <w:rPr>
                <w:sz w:val="28"/>
                <w:szCs w:val="28"/>
                <w:lang w:val="ro-RO" w:eastAsia="ro-RO"/>
              </w:rPr>
              <w:t xml:space="preserve"> cu </w:t>
            </w:r>
            <w:r w:rsidRPr="00DE1815">
              <w:rPr>
                <w:b/>
                <w:bCs/>
                <w:sz w:val="28"/>
                <w:szCs w:val="28"/>
                <w:lang w:val="ro-RO" w:eastAsia="ro-RO"/>
              </w:rPr>
              <w:t>anexele nr. 1–</w:t>
            </w:r>
            <w:r w:rsidR="00976AF0">
              <w:rPr>
                <w:b/>
                <w:bCs/>
                <w:sz w:val="28"/>
                <w:szCs w:val="28"/>
                <w:lang w:val="ro-RO" w:eastAsia="ro-RO"/>
              </w:rPr>
              <w:t>7</w:t>
            </w:r>
            <w:bookmarkStart w:id="0" w:name="_GoBack"/>
            <w:bookmarkEnd w:id="0"/>
            <w:r w:rsidRPr="00DE1815">
              <w:rPr>
                <w:sz w:val="28"/>
                <w:szCs w:val="28"/>
                <w:lang w:val="ro-RO" w:eastAsia="ro-RO"/>
              </w:rPr>
              <w:t>, structurate și numerotate conform actului juridic al Uniunii Europene.</w:t>
            </w:r>
          </w:p>
          <w:p w14:paraId="20CEC847" w14:textId="77777777" w:rsidR="00DE1815" w:rsidRPr="00DE1815" w:rsidRDefault="00DE1815" w:rsidP="00DE1815">
            <w:pPr>
              <w:pStyle w:val="NormalWeb"/>
              <w:rPr>
                <w:sz w:val="28"/>
                <w:szCs w:val="28"/>
                <w:lang w:val="ro-RO" w:eastAsia="ro-RO"/>
              </w:rPr>
            </w:pPr>
            <w:r w:rsidRPr="00DE1815">
              <w:rPr>
                <w:sz w:val="28"/>
                <w:szCs w:val="28"/>
                <w:lang w:val="ro-RO" w:eastAsia="ro-RO"/>
              </w:rPr>
              <w:t>Adoptarea proiectului nu implică modificarea sau abrogarea altor acte normative în vigoare și nu generează necesitatea elaborării unor acte normative conexe.</w:t>
            </w:r>
          </w:p>
          <w:p w14:paraId="029B2AD7" w14:textId="04B0C186" w:rsidR="00D839A1" w:rsidRPr="00E45195" w:rsidRDefault="00D839A1" w:rsidP="00E45195">
            <w:pPr>
              <w:rPr>
                <w:sz w:val="28"/>
                <w:szCs w:val="28"/>
                <w:lang w:val="ro-RO"/>
              </w:rPr>
            </w:pPr>
          </w:p>
        </w:tc>
      </w:tr>
      <w:tr w:rsidR="005C4F2E" w:rsidRPr="00E45195" w14:paraId="180B11BF" w14:textId="77777777" w:rsidTr="00D50B6E">
        <w:trPr>
          <w:trHeight w:val="60"/>
        </w:trPr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6F49" w14:textId="77777777" w:rsidR="005C4F2E" w:rsidRPr="00E45195" w:rsidRDefault="005C4F2E" w:rsidP="00E45195">
            <w:pPr>
              <w:spacing w:before="100" w:beforeAutospacing="1" w:after="100" w:afterAutospacing="1"/>
              <w:ind w:firstLine="0"/>
              <w:rPr>
                <w:sz w:val="28"/>
                <w:szCs w:val="28"/>
                <w:lang w:val="ro-MD"/>
              </w:rPr>
            </w:pPr>
          </w:p>
        </w:tc>
      </w:tr>
      <w:tr w:rsidR="005C4F2E" w:rsidRPr="00E45195" w14:paraId="5A3D690E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9823" w14:textId="77777777" w:rsidR="005C4F2E" w:rsidRPr="00E45195" w:rsidRDefault="005C4F2E" w:rsidP="00E45195">
            <w:pPr>
              <w:rPr>
                <w:b/>
                <w:bCs/>
                <w:sz w:val="28"/>
                <w:szCs w:val="28"/>
                <w:lang w:val="ro-MD"/>
              </w:rPr>
            </w:pPr>
            <w:r w:rsidRPr="00E45195">
              <w:rPr>
                <w:b/>
                <w:bCs/>
                <w:sz w:val="28"/>
                <w:szCs w:val="28"/>
                <w:lang w:val="ro-MD"/>
              </w:rPr>
              <w:t>9. Măsurile necesare pentru implementarea prevederilor proiectului actului normativ</w:t>
            </w:r>
          </w:p>
        </w:tc>
      </w:tr>
      <w:tr w:rsidR="005C4F2E" w:rsidRPr="00E45195" w14:paraId="02A8A52D" w14:textId="77777777" w:rsidTr="00D168E2"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823C" w14:textId="77777777" w:rsidR="00DE1815" w:rsidRPr="00DE1815" w:rsidRDefault="00DE1815" w:rsidP="00DE1815">
            <w:pPr>
              <w:pStyle w:val="NormalWeb"/>
              <w:rPr>
                <w:sz w:val="28"/>
                <w:szCs w:val="28"/>
                <w:lang w:val="ro-RO"/>
              </w:rPr>
            </w:pPr>
            <w:r w:rsidRPr="00DE1815">
              <w:rPr>
                <w:sz w:val="28"/>
                <w:szCs w:val="28"/>
                <w:lang w:val="ro-RO"/>
              </w:rPr>
              <w:t xml:space="preserve">Implementarea prevederilor proiectului de Hotărâre a Guvernului va fi asigurată de </w:t>
            </w:r>
            <w:r w:rsidRPr="00DE1815">
              <w:rPr>
                <w:b/>
                <w:bCs/>
                <w:sz w:val="28"/>
                <w:szCs w:val="28"/>
                <w:lang w:val="ro-RO"/>
              </w:rPr>
              <w:t>Agenția Națională pentru Siguranța Alimentelor</w:t>
            </w:r>
            <w:r w:rsidRPr="00DE1815">
              <w:rPr>
                <w:sz w:val="28"/>
                <w:szCs w:val="28"/>
                <w:lang w:val="ro-RO"/>
              </w:rPr>
              <w:t>, în limitele competențelor sale legale.</w:t>
            </w:r>
          </w:p>
          <w:p w14:paraId="26B619A8" w14:textId="77777777" w:rsidR="00DE1815" w:rsidRPr="00DE1815" w:rsidRDefault="00DE1815" w:rsidP="00DE1815">
            <w:pPr>
              <w:pStyle w:val="NormalWeb"/>
              <w:rPr>
                <w:sz w:val="28"/>
                <w:szCs w:val="28"/>
                <w:lang w:val="ro-RO"/>
              </w:rPr>
            </w:pPr>
            <w:r w:rsidRPr="00DE1815">
              <w:rPr>
                <w:sz w:val="28"/>
                <w:szCs w:val="28"/>
                <w:lang w:val="ro-RO"/>
              </w:rPr>
              <w:t>Aplicarea proiectului nu necesită:</w:t>
            </w:r>
          </w:p>
          <w:p w14:paraId="3302FE33" w14:textId="77777777" w:rsidR="00DE1815" w:rsidRPr="00DE1815" w:rsidRDefault="00DE1815" w:rsidP="00DE1815">
            <w:pPr>
              <w:pStyle w:val="NormalWeb"/>
              <w:numPr>
                <w:ilvl w:val="0"/>
                <w:numId w:val="47"/>
              </w:numPr>
              <w:rPr>
                <w:sz w:val="28"/>
                <w:szCs w:val="28"/>
                <w:lang w:val="ro-RO"/>
              </w:rPr>
            </w:pPr>
            <w:r w:rsidRPr="00DE1815">
              <w:rPr>
                <w:sz w:val="28"/>
                <w:szCs w:val="28"/>
                <w:lang w:val="ro-RO"/>
              </w:rPr>
              <w:t>crearea unor structuri instituționale noi;</w:t>
            </w:r>
          </w:p>
          <w:p w14:paraId="14DEBEE6" w14:textId="77777777" w:rsidR="00DE1815" w:rsidRPr="00DE1815" w:rsidRDefault="00DE1815" w:rsidP="00DE1815">
            <w:pPr>
              <w:pStyle w:val="NormalWeb"/>
              <w:numPr>
                <w:ilvl w:val="0"/>
                <w:numId w:val="47"/>
              </w:numPr>
              <w:rPr>
                <w:sz w:val="28"/>
                <w:szCs w:val="28"/>
                <w:lang w:val="ro-RO"/>
              </w:rPr>
            </w:pPr>
            <w:r w:rsidRPr="00DE1815">
              <w:rPr>
                <w:sz w:val="28"/>
                <w:szCs w:val="28"/>
                <w:lang w:val="ro-RO"/>
              </w:rPr>
              <w:t>suplimentarea numărului de personal;</w:t>
            </w:r>
          </w:p>
          <w:p w14:paraId="404E4543" w14:textId="77777777" w:rsidR="00DE1815" w:rsidRPr="00DE1815" w:rsidRDefault="00DE1815" w:rsidP="00DE1815">
            <w:pPr>
              <w:pStyle w:val="NormalWeb"/>
              <w:numPr>
                <w:ilvl w:val="0"/>
                <w:numId w:val="47"/>
              </w:numPr>
              <w:rPr>
                <w:sz w:val="28"/>
                <w:szCs w:val="28"/>
                <w:lang w:val="ro-RO"/>
              </w:rPr>
            </w:pPr>
            <w:r w:rsidRPr="00DE1815">
              <w:rPr>
                <w:sz w:val="28"/>
                <w:szCs w:val="28"/>
                <w:lang w:val="ro-RO"/>
              </w:rPr>
              <w:t>alocarea unor resurse financiare suplimentare din bugetul public național.</w:t>
            </w:r>
          </w:p>
          <w:p w14:paraId="15C3EEAA" w14:textId="77777777" w:rsidR="00DE1815" w:rsidRPr="00DE1815" w:rsidRDefault="00DE1815" w:rsidP="00DE1815">
            <w:pPr>
              <w:pStyle w:val="NormalWeb"/>
              <w:rPr>
                <w:sz w:val="28"/>
                <w:szCs w:val="28"/>
                <w:lang w:val="ro-RO"/>
              </w:rPr>
            </w:pPr>
            <w:r w:rsidRPr="00DE1815">
              <w:rPr>
                <w:sz w:val="28"/>
                <w:szCs w:val="28"/>
                <w:lang w:val="ro-RO"/>
              </w:rPr>
              <w:t>Metodele de eșantionare și analiză prevăzute în anexele hotărârii sunt aplicate în cadrul activităților curente de control oficial și sunt utilizate de laboratoarele autorizate.</w:t>
            </w:r>
          </w:p>
          <w:p w14:paraId="18A7A2A3" w14:textId="77777777" w:rsidR="00DE1815" w:rsidRPr="00DE1815" w:rsidRDefault="00DE1815" w:rsidP="00DE1815">
            <w:pPr>
              <w:pStyle w:val="NormalWeb"/>
              <w:rPr>
                <w:sz w:val="28"/>
                <w:szCs w:val="28"/>
                <w:lang w:val="ro-RO"/>
              </w:rPr>
            </w:pPr>
            <w:r w:rsidRPr="00DE1815">
              <w:rPr>
                <w:sz w:val="28"/>
                <w:szCs w:val="28"/>
                <w:lang w:val="ro-RO"/>
              </w:rPr>
              <w:t>Monitorizarea implementării prevederilor proiectului se va realiza prin:</w:t>
            </w:r>
          </w:p>
          <w:p w14:paraId="72170780" w14:textId="77777777" w:rsidR="00DE1815" w:rsidRPr="00DE1815" w:rsidRDefault="00DE1815" w:rsidP="00DE1815">
            <w:pPr>
              <w:pStyle w:val="NormalWeb"/>
              <w:numPr>
                <w:ilvl w:val="0"/>
                <w:numId w:val="48"/>
              </w:numPr>
              <w:rPr>
                <w:sz w:val="28"/>
                <w:szCs w:val="28"/>
                <w:lang w:val="ro-RO"/>
              </w:rPr>
            </w:pPr>
            <w:r w:rsidRPr="00DE1815">
              <w:rPr>
                <w:sz w:val="28"/>
                <w:szCs w:val="28"/>
                <w:lang w:val="ro-RO"/>
              </w:rPr>
              <w:t>activitatea curentă de control oficial desfășurată de autoritatea competentă;</w:t>
            </w:r>
          </w:p>
          <w:p w14:paraId="7887B3DB" w14:textId="77777777" w:rsidR="00DE1815" w:rsidRPr="00DE1815" w:rsidRDefault="00DE1815" w:rsidP="00DE1815">
            <w:pPr>
              <w:pStyle w:val="NormalWeb"/>
              <w:numPr>
                <w:ilvl w:val="0"/>
                <w:numId w:val="48"/>
              </w:numPr>
              <w:rPr>
                <w:sz w:val="28"/>
                <w:szCs w:val="28"/>
                <w:lang w:val="ro-RO"/>
              </w:rPr>
            </w:pPr>
            <w:r w:rsidRPr="00DE1815">
              <w:rPr>
                <w:sz w:val="28"/>
                <w:szCs w:val="28"/>
                <w:lang w:val="ro-RO"/>
              </w:rPr>
              <w:lastRenderedPageBreak/>
              <w:t>evaluarea rezultatelor controalelor și a conformității furajelor cu cerințele legale aplicabile.</w:t>
            </w:r>
          </w:p>
          <w:p w14:paraId="18154299" w14:textId="4634A34C" w:rsidR="005C4F2E" w:rsidRPr="00E45195" w:rsidRDefault="005C4F2E" w:rsidP="00DE1815">
            <w:pPr>
              <w:ind w:left="1440" w:firstLine="0"/>
              <w:rPr>
                <w:sz w:val="28"/>
                <w:szCs w:val="28"/>
                <w:lang w:val="ro-RO" w:eastAsia="ro-RO"/>
              </w:rPr>
            </w:pPr>
          </w:p>
        </w:tc>
      </w:tr>
      <w:tr w:rsidR="005C4F2E" w:rsidRPr="00E45195" w14:paraId="090335E6" w14:textId="77777777" w:rsidTr="00D168E2">
        <w:trPr>
          <w:trHeight w:val="80"/>
        </w:trPr>
        <w:tc>
          <w:tcPr>
            <w:tcW w:w="103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6EAA" w14:textId="77777777" w:rsidR="005C4F2E" w:rsidRPr="00E45195" w:rsidRDefault="005C4F2E" w:rsidP="00E45195">
            <w:pPr>
              <w:spacing w:before="100" w:beforeAutospacing="1" w:after="100" w:afterAutospacing="1"/>
              <w:ind w:firstLine="0"/>
              <w:rPr>
                <w:sz w:val="28"/>
                <w:szCs w:val="28"/>
                <w:lang w:val="ro-MD"/>
              </w:rPr>
            </w:pPr>
          </w:p>
        </w:tc>
      </w:tr>
    </w:tbl>
    <w:p w14:paraId="5972BC25" w14:textId="77777777" w:rsidR="00B26CF1" w:rsidRDefault="00B26CF1" w:rsidP="00B26CF1">
      <w:pPr>
        <w:ind w:firstLine="0"/>
        <w:rPr>
          <w:b/>
          <w:sz w:val="28"/>
          <w:szCs w:val="28"/>
          <w:lang w:val="ro-MD"/>
        </w:rPr>
      </w:pPr>
    </w:p>
    <w:p w14:paraId="6088FE9C" w14:textId="77777777" w:rsidR="00B26CF1" w:rsidRDefault="00B26CF1" w:rsidP="00B26CF1">
      <w:pPr>
        <w:ind w:firstLine="0"/>
        <w:rPr>
          <w:b/>
          <w:sz w:val="28"/>
          <w:szCs w:val="28"/>
          <w:lang w:val="ro-MD"/>
        </w:rPr>
      </w:pPr>
    </w:p>
    <w:p w14:paraId="4BDDB206" w14:textId="77777777" w:rsidR="00B26CF1" w:rsidRDefault="00B26CF1" w:rsidP="00B26CF1">
      <w:pPr>
        <w:ind w:firstLine="0"/>
        <w:rPr>
          <w:b/>
          <w:sz w:val="28"/>
          <w:szCs w:val="28"/>
          <w:lang w:val="ro-MD"/>
        </w:rPr>
      </w:pPr>
    </w:p>
    <w:p w14:paraId="0737B147" w14:textId="77777777" w:rsidR="00B26CF1" w:rsidRDefault="00B26CF1" w:rsidP="00B26CF1">
      <w:pPr>
        <w:ind w:firstLine="0"/>
        <w:rPr>
          <w:b/>
          <w:sz w:val="28"/>
          <w:szCs w:val="28"/>
          <w:lang w:val="ro-MD"/>
        </w:rPr>
      </w:pPr>
    </w:p>
    <w:p w14:paraId="2FD4ABA3" w14:textId="130378A3" w:rsidR="00B26CF1" w:rsidRPr="00B26CF1" w:rsidRDefault="00B26CF1" w:rsidP="00B26CF1">
      <w:pPr>
        <w:ind w:firstLine="0"/>
        <w:rPr>
          <w:b/>
          <w:sz w:val="28"/>
          <w:szCs w:val="28"/>
          <w:lang w:val="ro-MD"/>
        </w:rPr>
      </w:pPr>
      <w:r w:rsidRPr="00B26CF1">
        <w:rPr>
          <w:b/>
          <w:sz w:val="28"/>
          <w:szCs w:val="28"/>
          <w:lang w:val="ro-MD"/>
        </w:rPr>
        <w:t xml:space="preserve">   Secretar de Stat                                                             Iurie SCRIPNIC                                        </w:t>
      </w:r>
    </w:p>
    <w:p w14:paraId="4FCD488E" w14:textId="23A064D6" w:rsidR="005C4F2E" w:rsidRPr="00E45195" w:rsidRDefault="005C4F2E" w:rsidP="00E45195">
      <w:pPr>
        <w:pBdr>
          <w:top w:val="none" w:sz="4" w:space="31" w:color="000000"/>
          <w:left w:val="none" w:sz="4" w:space="0" w:color="000000"/>
          <w:bottom w:val="none" w:sz="4" w:space="31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sz w:val="28"/>
          <w:szCs w:val="28"/>
          <w:lang w:val="ro-MD"/>
        </w:rPr>
      </w:pPr>
    </w:p>
    <w:sectPr w:rsidR="005C4F2E" w:rsidRPr="00E45195" w:rsidSect="005C4F2E">
      <w:headerReference w:type="default" r:id="rId10"/>
      <w:headerReference w:type="first" r:id="rId11"/>
      <w:pgSz w:w="11907" w:h="16840"/>
      <w:pgMar w:top="993" w:right="567" w:bottom="709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E1A64" w14:textId="77777777" w:rsidR="00DE7744" w:rsidRDefault="00DE7744">
      <w:r>
        <w:separator/>
      </w:r>
    </w:p>
  </w:endnote>
  <w:endnote w:type="continuationSeparator" w:id="0">
    <w:p w14:paraId="10111550" w14:textId="77777777" w:rsidR="00DE7744" w:rsidRDefault="00DE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9CAAD" w14:textId="77777777" w:rsidR="00DE7744" w:rsidRDefault="00DE7744">
      <w:r>
        <w:separator/>
      </w:r>
    </w:p>
  </w:footnote>
  <w:footnote w:type="continuationSeparator" w:id="0">
    <w:p w14:paraId="20642A7F" w14:textId="77777777" w:rsidR="00DE7744" w:rsidRDefault="00DE7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3E6A" w14:textId="77777777" w:rsidR="005C4F2E" w:rsidRPr="00F37ED4" w:rsidRDefault="005C4F2E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DE87" w14:textId="77777777" w:rsidR="005C4F2E" w:rsidRPr="00032B46" w:rsidRDefault="005C4F2E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250"/>
    <w:multiLevelType w:val="multilevel"/>
    <w:tmpl w:val="676C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A2F70"/>
    <w:multiLevelType w:val="multilevel"/>
    <w:tmpl w:val="10E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F345B"/>
    <w:multiLevelType w:val="multilevel"/>
    <w:tmpl w:val="7514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837A3"/>
    <w:multiLevelType w:val="multilevel"/>
    <w:tmpl w:val="608C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867CE"/>
    <w:multiLevelType w:val="multilevel"/>
    <w:tmpl w:val="50A6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E3CA9"/>
    <w:multiLevelType w:val="multilevel"/>
    <w:tmpl w:val="B40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16C41"/>
    <w:multiLevelType w:val="multilevel"/>
    <w:tmpl w:val="7876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136E0"/>
    <w:multiLevelType w:val="multilevel"/>
    <w:tmpl w:val="CE4C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02050"/>
    <w:multiLevelType w:val="multilevel"/>
    <w:tmpl w:val="A068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301E8"/>
    <w:multiLevelType w:val="multilevel"/>
    <w:tmpl w:val="A0BA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764B7"/>
    <w:multiLevelType w:val="multilevel"/>
    <w:tmpl w:val="24F6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16115"/>
    <w:multiLevelType w:val="multilevel"/>
    <w:tmpl w:val="4228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641F9D"/>
    <w:multiLevelType w:val="multilevel"/>
    <w:tmpl w:val="2800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E1B76"/>
    <w:multiLevelType w:val="multilevel"/>
    <w:tmpl w:val="790C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E6278"/>
    <w:multiLevelType w:val="multilevel"/>
    <w:tmpl w:val="DAE8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83D2F"/>
    <w:multiLevelType w:val="multilevel"/>
    <w:tmpl w:val="F3DC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6E49B2"/>
    <w:multiLevelType w:val="multilevel"/>
    <w:tmpl w:val="EC0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12D7F"/>
    <w:multiLevelType w:val="multilevel"/>
    <w:tmpl w:val="5DD6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B01CE"/>
    <w:multiLevelType w:val="multilevel"/>
    <w:tmpl w:val="B9D6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242120"/>
    <w:multiLevelType w:val="multilevel"/>
    <w:tmpl w:val="25DA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8447CC"/>
    <w:multiLevelType w:val="multilevel"/>
    <w:tmpl w:val="534A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FB0EFD"/>
    <w:multiLevelType w:val="multilevel"/>
    <w:tmpl w:val="4466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0E4F64"/>
    <w:multiLevelType w:val="multilevel"/>
    <w:tmpl w:val="5BB6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C6C22"/>
    <w:multiLevelType w:val="multilevel"/>
    <w:tmpl w:val="6940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8326F"/>
    <w:multiLevelType w:val="multilevel"/>
    <w:tmpl w:val="30A2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91519"/>
    <w:multiLevelType w:val="multilevel"/>
    <w:tmpl w:val="048E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6814D4"/>
    <w:multiLevelType w:val="multilevel"/>
    <w:tmpl w:val="76D6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54541"/>
    <w:multiLevelType w:val="multilevel"/>
    <w:tmpl w:val="40F4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B80EAF"/>
    <w:multiLevelType w:val="multilevel"/>
    <w:tmpl w:val="EAFE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BF0DB7"/>
    <w:multiLevelType w:val="multilevel"/>
    <w:tmpl w:val="A18E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365685"/>
    <w:multiLevelType w:val="multilevel"/>
    <w:tmpl w:val="EC3C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AA20E2"/>
    <w:multiLevelType w:val="multilevel"/>
    <w:tmpl w:val="6FB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BF66D3"/>
    <w:multiLevelType w:val="multilevel"/>
    <w:tmpl w:val="D6E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2B4459"/>
    <w:multiLevelType w:val="multilevel"/>
    <w:tmpl w:val="A7F4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9B6EED"/>
    <w:multiLevelType w:val="multilevel"/>
    <w:tmpl w:val="B650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D42D0"/>
    <w:multiLevelType w:val="multilevel"/>
    <w:tmpl w:val="BAE2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379BB"/>
    <w:multiLevelType w:val="multilevel"/>
    <w:tmpl w:val="A89E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DB4C7F"/>
    <w:multiLevelType w:val="multilevel"/>
    <w:tmpl w:val="BF4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4363BA"/>
    <w:multiLevelType w:val="multilevel"/>
    <w:tmpl w:val="3452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604EFA"/>
    <w:multiLevelType w:val="multilevel"/>
    <w:tmpl w:val="0C72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42B97"/>
    <w:multiLevelType w:val="multilevel"/>
    <w:tmpl w:val="E7BA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994823"/>
    <w:multiLevelType w:val="multilevel"/>
    <w:tmpl w:val="3D20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0F7835"/>
    <w:multiLevelType w:val="multilevel"/>
    <w:tmpl w:val="966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B14DF5"/>
    <w:multiLevelType w:val="multilevel"/>
    <w:tmpl w:val="E976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FD0600"/>
    <w:multiLevelType w:val="multilevel"/>
    <w:tmpl w:val="D066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CF4684"/>
    <w:multiLevelType w:val="multilevel"/>
    <w:tmpl w:val="DEF8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7209A1"/>
    <w:multiLevelType w:val="multilevel"/>
    <w:tmpl w:val="3876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DC4665"/>
    <w:multiLevelType w:val="multilevel"/>
    <w:tmpl w:val="F528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8"/>
  </w:num>
  <w:num w:numId="3">
    <w:abstractNumId w:val="2"/>
  </w:num>
  <w:num w:numId="4">
    <w:abstractNumId w:val="24"/>
  </w:num>
  <w:num w:numId="5">
    <w:abstractNumId w:val="25"/>
  </w:num>
  <w:num w:numId="6">
    <w:abstractNumId w:val="15"/>
  </w:num>
  <w:num w:numId="7">
    <w:abstractNumId w:val="3"/>
  </w:num>
  <w:num w:numId="8">
    <w:abstractNumId w:val="17"/>
  </w:num>
  <w:num w:numId="9">
    <w:abstractNumId w:val="32"/>
  </w:num>
  <w:num w:numId="10">
    <w:abstractNumId w:val="47"/>
  </w:num>
  <w:num w:numId="11">
    <w:abstractNumId w:val="11"/>
  </w:num>
  <w:num w:numId="12">
    <w:abstractNumId w:val="35"/>
  </w:num>
  <w:num w:numId="13">
    <w:abstractNumId w:val="12"/>
  </w:num>
  <w:num w:numId="14">
    <w:abstractNumId w:val="45"/>
  </w:num>
  <w:num w:numId="15">
    <w:abstractNumId w:val="36"/>
  </w:num>
  <w:num w:numId="16">
    <w:abstractNumId w:val="5"/>
  </w:num>
  <w:num w:numId="17">
    <w:abstractNumId w:val="42"/>
  </w:num>
  <w:num w:numId="18">
    <w:abstractNumId w:val="29"/>
  </w:num>
  <w:num w:numId="19">
    <w:abstractNumId w:val="6"/>
  </w:num>
  <w:num w:numId="20">
    <w:abstractNumId w:val="9"/>
  </w:num>
  <w:num w:numId="21">
    <w:abstractNumId w:val="14"/>
  </w:num>
  <w:num w:numId="22">
    <w:abstractNumId w:val="16"/>
  </w:num>
  <w:num w:numId="23">
    <w:abstractNumId w:val="23"/>
  </w:num>
  <w:num w:numId="24">
    <w:abstractNumId w:val="41"/>
  </w:num>
  <w:num w:numId="25">
    <w:abstractNumId w:val="26"/>
  </w:num>
  <w:num w:numId="26">
    <w:abstractNumId w:val="31"/>
  </w:num>
  <w:num w:numId="27">
    <w:abstractNumId w:val="46"/>
  </w:num>
  <w:num w:numId="28">
    <w:abstractNumId w:val="39"/>
  </w:num>
  <w:num w:numId="29">
    <w:abstractNumId w:val="13"/>
  </w:num>
  <w:num w:numId="30">
    <w:abstractNumId w:val="34"/>
  </w:num>
  <w:num w:numId="31">
    <w:abstractNumId w:val="18"/>
  </w:num>
  <w:num w:numId="32">
    <w:abstractNumId w:val="27"/>
  </w:num>
  <w:num w:numId="33">
    <w:abstractNumId w:val="44"/>
  </w:num>
  <w:num w:numId="34">
    <w:abstractNumId w:val="0"/>
  </w:num>
  <w:num w:numId="35">
    <w:abstractNumId w:val="1"/>
  </w:num>
  <w:num w:numId="36">
    <w:abstractNumId w:val="22"/>
  </w:num>
  <w:num w:numId="37">
    <w:abstractNumId w:val="43"/>
  </w:num>
  <w:num w:numId="38">
    <w:abstractNumId w:val="33"/>
  </w:num>
  <w:num w:numId="39">
    <w:abstractNumId w:val="28"/>
  </w:num>
  <w:num w:numId="40">
    <w:abstractNumId w:val="7"/>
  </w:num>
  <w:num w:numId="41">
    <w:abstractNumId w:val="4"/>
  </w:num>
  <w:num w:numId="42">
    <w:abstractNumId w:val="40"/>
  </w:num>
  <w:num w:numId="43">
    <w:abstractNumId w:val="30"/>
  </w:num>
  <w:num w:numId="44">
    <w:abstractNumId w:val="37"/>
  </w:num>
  <w:num w:numId="45">
    <w:abstractNumId w:val="20"/>
  </w:num>
  <w:num w:numId="46">
    <w:abstractNumId w:val="19"/>
  </w:num>
  <w:num w:numId="47">
    <w:abstractNumId w:val="21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2E"/>
    <w:rsid w:val="00033F44"/>
    <w:rsid w:val="00051886"/>
    <w:rsid w:val="000574D8"/>
    <w:rsid w:val="000B57E9"/>
    <w:rsid w:val="000C55D4"/>
    <w:rsid w:val="00132641"/>
    <w:rsid w:val="001751C6"/>
    <w:rsid w:val="001D50D4"/>
    <w:rsid w:val="001F27D1"/>
    <w:rsid w:val="002066AA"/>
    <w:rsid w:val="002709C1"/>
    <w:rsid w:val="002D1E4E"/>
    <w:rsid w:val="002E2C7A"/>
    <w:rsid w:val="00344F01"/>
    <w:rsid w:val="003A6B00"/>
    <w:rsid w:val="003B7B62"/>
    <w:rsid w:val="003F5974"/>
    <w:rsid w:val="004206B3"/>
    <w:rsid w:val="0044187A"/>
    <w:rsid w:val="00441EE0"/>
    <w:rsid w:val="00495F0F"/>
    <w:rsid w:val="00496C2A"/>
    <w:rsid w:val="004F4477"/>
    <w:rsid w:val="00520FC9"/>
    <w:rsid w:val="0057605E"/>
    <w:rsid w:val="005844A3"/>
    <w:rsid w:val="005A3E93"/>
    <w:rsid w:val="005C4F2E"/>
    <w:rsid w:val="005D79F4"/>
    <w:rsid w:val="00603955"/>
    <w:rsid w:val="00613A6B"/>
    <w:rsid w:val="00642265"/>
    <w:rsid w:val="006F5845"/>
    <w:rsid w:val="00711CAB"/>
    <w:rsid w:val="007873EB"/>
    <w:rsid w:val="007B47ED"/>
    <w:rsid w:val="007D0F31"/>
    <w:rsid w:val="00806AFD"/>
    <w:rsid w:val="00835CFC"/>
    <w:rsid w:val="008C748D"/>
    <w:rsid w:val="00940BBC"/>
    <w:rsid w:val="00946DEB"/>
    <w:rsid w:val="00953AEC"/>
    <w:rsid w:val="0096415E"/>
    <w:rsid w:val="00976AF0"/>
    <w:rsid w:val="00984345"/>
    <w:rsid w:val="009B753D"/>
    <w:rsid w:val="009F0B54"/>
    <w:rsid w:val="00A12652"/>
    <w:rsid w:val="00A66063"/>
    <w:rsid w:val="00AB115A"/>
    <w:rsid w:val="00AE6C88"/>
    <w:rsid w:val="00AF4922"/>
    <w:rsid w:val="00B02B31"/>
    <w:rsid w:val="00B07394"/>
    <w:rsid w:val="00B26CF1"/>
    <w:rsid w:val="00B36E1F"/>
    <w:rsid w:val="00B404A6"/>
    <w:rsid w:val="00B51AA3"/>
    <w:rsid w:val="00BB728A"/>
    <w:rsid w:val="00BF7013"/>
    <w:rsid w:val="00C045C5"/>
    <w:rsid w:val="00C04B95"/>
    <w:rsid w:val="00C42F95"/>
    <w:rsid w:val="00C45CA6"/>
    <w:rsid w:val="00C5312F"/>
    <w:rsid w:val="00C753FE"/>
    <w:rsid w:val="00C87AF6"/>
    <w:rsid w:val="00CB4B48"/>
    <w:rsid w:val="00D00D98"/>
    <w:rsid w:val="00D50B6E"/>
    <w:rsid w:val="00D839A1"/>
    <w:rsid w:val="00DE1815"/>
    <w:rsid w:val="00DE7744"/>
    <w:rsid w:val="00E0245F"/>
    <w:rsid w:val="00E0712E"/>
    <w:rsid w:val="00E213DB"/>
    <w:rsid w:val="00E30ADB"/>
    <w:rsid w:val="00E4213C"/>
    <w:rsid w:val="00E45195"/>
    <w:rsid w:val="00E467A3"/>
    <w:rsid w:val="00E6048F"/>
    <w:rsid w:val="00E62894"/>
    <w:rsid w:val="00E93A20"/>
    <w:rsid w:val="00EA7646"/>
    <w:rsid w:val="00F60529"/>
    <w:rsid w:val="00FC4E8C"/>
    <w:rsid w:val="00F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9004"/>
  <w15:chartTrackingRefBased/>
  <w15:docId w15:val="{1F246BAF-9E7E-4691-8CFA-FB466CB0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F2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C4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C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C4F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5C4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C4F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C4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C4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C4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C4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C4F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C4F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C4F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C4F2E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C4F2E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C4F2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C4F2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C4F2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C4F2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C4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C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C4F2E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C4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C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C4F2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C4F2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C4F2E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C4F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C4F2E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C4F2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4F2E"/>
    <w:pPr>
      <w:ind w:firstLine="567"/>
    </w:pPr>
    <w:rPr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5C4F2E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5C4F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gril">
    <w:name w:val="Table Grid"/>
    <w:basedOn w:val="TabelNormal"/>
    <w:uiPriority w:val="39"/>
    <w:rsid w:val="005C4F2E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obust">
    <w:name w:val="Strong"/>
    <w:uiPriority w:val="22"/>
    <w:qFormat/>
    <w:rsid w:val="005C4F2E"/>
    <w:rPr>
      <w:b/>
      <w:bCs/>
    </w:rPr>
  </w:style>
  <w:style w:type="character" w:styleId="Hyperlink">
    <w:name w:val="Hyperlink"/>
    <w:basedOn w:val="Fontdeparagrafimplicit"/>
    <w:uiPriority w:val="99"/>
    <w:rsid w:val="005C4F2E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13A6B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13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ica.fotescu@maia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rticip.gov.md/ro/document/stages/anunt-privind-initierea-elaborarii-proiectului-de-hotarare-privind-modificarea-hotararii-de-guvern-n/15920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F150-E143-4A92-9CAD-8C224B45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2263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Fotescu</dc:creator>
  <cp:keywords/>
  <dc:description/>
  <cp:lastModifiedBy>Rodica Fotescu</cp:lastModifiedBy>
  <cp:revision>15</cp:revision>
  <cp:lastPrinted>2025-11-05T06:29:00Z</cp:lastPrinted>
  <dcterms:created xsi:type="dcterms:W3CDTF">2025-11-05T06:28:00Z</dcterms:created>
  <dcterms:modified xsi:type="dcterms:W3CDTF">2026-02-02T07:31:00Z</dcterms:modified>
</cp:coreProperties>
</file>