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E227F" w14:textId="017E336A" w:rsidR="006933C3" w:rsidRPr="002E3513" w:rsidRDefault="0523D516" w:rsidP="001470D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rPr>
      </w:pPr>
      <w:r w:rsidRPr="002E3513">
        <w:rPr>
          <w:b/>
          <w:bCs/>
          <w:sz w:val="24"/>
          <w:szCs w:val="24"/>
        </w:rPr>
        <w:t>SINTEZA</w:t>
      </w:r>
      <w:r w:rsidR="4AD2EB9D" w:rsidRPr="002E3513">
        <w:rPr>
          <w:b/>
          <w:bCs/>
          <w:sz w:val="24"/>
          <w:szCs w:val="24"/>
        </w:rPr>
        <w:t xml:space="preserve"> </w:t>
      </w:r>
    </w:p>
    <w:p w14:paraId="20567C2E" w14:textId="5D1CC20C" w:rsidR="006933C3" w:rsidRPr="002E3513" w:rsidRDefault="4AD2EB9D" w:rsidP="001470D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rPr>
      </w:pPr>
      <w:r w:rsidRPr="002E3513">
        <w:rPr>
          <w:b/>
          <w:bCs/>
          <w:sz w:val="24"/>
          <w:szCs w:val="24"/>
        </w:rPr>
        <w:t xml:space="preserve">avizelor </w:t>
      </w:r>
      <w:r w:rsidR="005E6803">
        <w:rPr>
          <w:b/>
          <w:bCs/>
          <w:sz w:val="24"/>
          <w:szCs w:val="24"/>
        </w:rPr>
        <w:t xml:space="preserve">la </w:t>
      </w:r>
      <w:r w:rsidR="005E6803" w:rsidRPr="005E6803">
        <w:rPr>
          <w:b/>
          <w:bCs/>
          <w:sz w:val="24"/>
          <w:szCs w:val="24"/>
        </w:rPr>
        <w:t>proiectul hotărârii Guvernului cu privire la modificarea hotărârii Guvernului nr.959/2018 cu privire la aprobarea Nomenclatorului funcțiilor și coeficienților de ierarhizare pentru stabilirea indemnizațiilor de funcție pentru personalul instituțiilor serviciului diplomatic al Republicii Moldova peste hotare, a bazei de calcul pentru stabilirea indemnizațiilor de funcții, precum și a structurilor și efectivelor de personal ale acestora</w:t>
      </w:r>
    </w:p>
    <w:p w14:paraId="2265058B" w14:textId="7FDE63ED" w:rsidR="008B4BE6" w:rsidRPr="002E3513" w:rsidRDefault="00032B46" w:rsidP="001470D7">
      <w:pPr>
        <w:pBdr>
          <w:top w:val="none" w:sz="4" w:space="0" w:color="000000"/>
          <w:left w:val="none" w:sz="4" w:space="0" w:color="000000"/>
          <w:bottom w:val="none" w:sz="4" w:space="0" w:color="000000"/>
          <w:right w:val="none" w:sz="4" w:space="0" w:color="000000"/>
        </w:pBdr>
        <w:tabs>
          <w:tab w:val="left" w:pos="884"/>
          <w:tab w:val="left" w:pos="1196"/>
        </w:tabs>
        <w:rPr>
          <w:sz w:val="24"/>
          <w:szCs w:val="24"/>
        </w:rPr>
      </w:pPr>
      <w:r w:rsidRPr="002E3513">
        <w:rPr>
          <w:b/>
          <w:bCs/>
          <w:sz w:val="24"/>
          <w:szCs w:val="24"/>
        </w:rPr>
        <w:t xml:space="preserve"> </w:t>
      </w:r>
    </w:p>
    <w:tbl>
      <w:tblPr>
        <w:tblStyle w:val="GrilTabel2"/>
        <w:tblpPr w:leftFromText="180" w:rightFromText="180" w:vertAnchor="text" w:tblpY="1"/>
        <w:tblOverlap w:val="never"/>
        <w:tblW w:w="14675" w:type="dxa"/>
        <w:tblLook w:val="04A0" w:firstRow="1" w:lastRow="0" w:firstColumn="1" w:lastColumn="0" w:noHBand="0" w:noVBand="1"/>
      </w:tblPr>
      <w:tblGrid>
        <w:gridCol w:w="1978"/>
        <w:gridCol w:w="574"/>
        <w:gridCol w:w="6674"/>
        <w:gridCol w:w="5439"/>
        <w:gridCol w:w="10"/>
      </w:tblGrid>
      <w:tr w:rsidR="00574881" w:rsidRPr="002E3513" w14:paraId="165C98F0" w14:textId="77777777" w:rsidTr="00A837EB">
        <w:trPr>
          <w:gridAfter w:val="1"/>
          <w:wAfter w:w="10" w:type="dxa"/>
        </w:trPr>
        <w:tc>
          <w:tcPr>
            <w:tcW w:w="1978" w:type="dxa"/>
            <w:tcMar>
              <w:top w:w="0" w:type="dxa"/>
              <w:left w:w="108" w:type="dxa"/>
              <w:bottom w:w="0" w:type="dxa"/>
              <w:right w:w="108" w:type="dxa"/>
            </w:tcMar>
          </w:tcPr>
          <w:p w14:paraId="189260EB" w14:textId="24B02C4F" w:rsidR="008B4BE6" w:rsidRPr="00062017" w:rsidRDefault="006933C3" w:rsidP="00437976">
            <w:pPr>
              <w:pBdr>
                <w:top w:val="none" w:sz="4" w:space="0" w:color="000000"/>
                <w:left w:val="none" w:sz="4" w:space="0" w:color="000000"/>
                <w:bottom w:val="none" w:sz="4" w:space="0" w:color="000000"/>
                <w:right w:val="none" w:sz="4" w:space="0" w:color="000000"/>
              </w:pBdr>
              <w:ind w:firstLine="0"/>
              <w:jc w:val="center"/>
              <w:rPr>
                <w:sz w:val="24"/>
                <w:szCs w:val="24"/>
              </w:rPr>
            </w:pPr>
            <w:r w:rsidRPr="00062017">
              <w:rPr>
                <w:b/>
                <w:bCs/>
                <w:sz w:val="24"/>
                <w:szCs w:val="24"/>
              </w:rPr>
              <w:t>Participantul</w:t>
            </w:r>
            <w:r w:rsidR="00032B46" w:rsidRPr="00062017">
              <w:rPr>
                <w:b/>
                <w:bCs/>
                <w:sz w:val="24"/>
                <w:szCs w:val="24"/>
              </w:rPr>
              <w:t xml:space="preserve"> </w:t>
            </w:r>
            <w:r w:rsidRPr="00062017">
              <w:rPr>
                <w:b/>
                <w:bCs/>
                <w:sz w:val="24"/>
                <w:szCs w:val="24"/>
              </w:rPr>
              <w:t>la</w:t>
            </w:r>
            <w:r w:rsidR="00032B46" w:rsidRPr="00062017">
              <w:rPr>
                <w:b/>
                <w:bCs/>
                <w:sz w:val="24"/>
                <w:szCs w:val="24"/>
              </w:rPr>
              <w:t xml:space="preserve"> </w:t>
            </w:r>
            <w:r w:rsidRPr="00062017">
              <w:rPr>
                <w:b/>
                <w:bCs/>
                <w:sz w:val="24"/>
                <w:szCs w:val="24"/>
              </w:rPr>
              <w:t>avizare</w:t>
            </w:r>
          </w:p>
        </w:tc>
        <w:tc>
          <w:tcPr>
            <w:tcW w:w="574" w:type="dxa"/>
            <w:tcMar>
              <w:top w:w="0" w:type="dxa"/>
              <w:left w:w="108" w:type="dxa"/>
              <w:bottom w:w="0" w:type="dxa"/>
              <w:right w:w="108" w:type="dxa"/>
            </w:tcMar>
          </w:tcPr>
          <w:p w14:paraId="429CCC6C" w14:textId="0ADC1BF2" w:rsidR="008B4BE6" w:rsidRPr="00062017" w:rsidRDefault="006933C3" w:rsidP="00437976">
            <w:pPr>
              <w:pBdr>
                <w:top w:val="none" w:sz="4" w:space="0" w:color="000000"/>
                <w:left w:val="none" w:sz="4" w:space="0" w:color="000000"/>
                <w:bottom w:val="none" w:sz="4" w:space="0" w:color="000000"/>
                <w:right w:val="none" w:sz="4" w:space="0" w:color="000000"/>
              </w:pBdr>
              <w:ind w:right="5" w:firstLine="0"/>
              <w:jc w:val="center"/>
              <w:rPr>
                <w:sz w:val="24"/>
                <w:szCs w:val="24"/>
              </w:rPr>
            </w:pPr>
            <w:r w:rsidRPr="00062017">
              <w:rPr>
                <w:b/>
                <w:bCs/>
                <w:sz w:val="24"/>
                <w:szCs w:val="24"/>
              </w:rPr>
              <w:t>Nr.</w:t>
            </w:r>
            <w:r w:rsidR="00032B46" w:rsidRPr="00062017">
              <w:rPr>
                <w:b/>
                <w:bCs/>
                <w:sz w:val="24"/>
                <w:szCs w:val="24"/>
              </w:rPr>
              <w:t xml:space="preserve"> </w:t>
            </w:r>
            <w:r w:rsidR="00BA5B5B" w:rsidRPr="00062017">
              <w:rPr>
                <w:b/>
                <w:bCs/>
                <w:sz w:val="24"/>
                <w:szCs w:val="24"/>
              </w:rPr>
              <w:t>crt.</w:t>
            </w:r>
          </w:p>
        </w:tc>
        <w:tc>
          <w:tcPr>
            <w:tcW w:w="6674" w:type="dxa"/>
            <w:tcMar>
              <w:top w:w="0" w:type="dxa"/>
              <w:left w:w="108" w:type="dxa"/>
              <w:bottom w:w="0" w:type="dxa"/>
              <w:right w:w="108" w:type="dxa"/>
            </w:tcMar>
          </w:tcPr>
          <w:p w14:paraId="145B15CB" w14:textId="6F43B9FC" w:rsidR="008B4BE6" w:rsidRPr="00062017" w:rsidRDefault="006933C3" w:rsidP="00437976">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rPr>
            </w:pPr>
            <w:r w:rsidRPr="00062017">
              <w:rPr>
                <w:b/>
                <w:bCs/>
                <w:sz w:val="24"/>
                <w:szCs w:val="24"/>
              </w:rPr>
              <w:t>Con</w:t>
            </w:r>
            <w:r w:rsidR="00863417" w:rsidRPr="00062017">
              <w:rPr>
                <w:b/>
                <w:bCs/>
                <w:sz w:val="24"/>
                <w:szCs w:val="24"/>
              </w:rPr>
              <w:t>ț</w:t>
            </w:r>
            <w:r w:rsidRPr="00062017">
              <w:rPr>
                <w:b/>
                <w:bCs/>
                <w:sz w:val="24"/>
                <w:szCs w:val="24"/>
              </w:rPr>
              <w:t>inutul</w:t>
            </w:r>
            <w:r w:rsidR="00032B46" w:rsidRPr="00062017">
              <w:rPr>
                <w:b/>
                <w:bCs/>
                <w:sz w:val="24"/>
                <w:szCs w:val="24"/>
              </w:rPr>
              <w:t xml:space="preserve"> </w:t>
            </w:r>
            <w:r w:rsidRPr="00062017">
              <w:rPr>
                <w:b/>
                <w:bCs/>
                <w:sz w:val="24"/>
                <w:szCs w:val="24"/>
              </w:rPr>
              <w:t>obiec</w:t>
            </w:r>
            <w:r w:rsidR="00863417" w:rsidRPr="00062017">
              <w:rPr>
                <w:b/>
                <w:bCs/>
                <w:sz w:val="24"/>
                <w:szCs w:val="24"/>
              </w:rPr>
              <w:t>ț</w:t>
            </w:r>
            <w:r w:rsidRPr="00062017">
              <w:rPr>
                <w:b/>
                <w:bCs/>
                <w:sz w:val="24"/>
                <w:szCs w:val="24"/>
              </w:rPr>
              <w:t>iei,</w:t>
            </w:r>
          </w:p>
          <w:p w14:paraId="055FB5F6" w14:textId="2AA99A7F" w:rsidR="008B4BE6" w:rsidRPr="00062017" w:rsidRDefault="006933C3" w:rsidP="00437976">
            <w:pPr>
              <w:pBdr>
                <w:top w:val="none" w:sz="4" w:space="0" w:color="000000"/>
                <w:left w:val="none" w:sz="4" w:space="0" w:color="000000"/>
                <w:bottom w:val="none" w:sz="4" w:space="0" w:color="000000"/>
                <w:right w:val="none" w:sz="4" w:space="0" w:color="000000"/>
              </w:pBdr>
              <w:ind w:firstLine="0"/>
              <w:jc w:val="center"/>
              <w:rPr>
                <w:sz w:val="24"/>
                <w:szCs w:val="24"/>
              </w:rPr>
            </w:pPr>
            <w:r w:rsidRPr="00062017">
              <w:rPr>
                <w:b/>
                <w:bCs/>
                <w:sz w:val="24"/>
                <w:szCs w:val="24"/>
              </w:rPr>
              <w:t>propunerii,</w:t>
            </w:r>
            <w:r w:rsidR="00032B46" w:rsidRPr="00062017">
              <w:rPr>
                <w:b/>
                <w:bCs/>
                <w:sz w:val="24"/>
                <w:szCs w:val="24"/>
              </w:rPr>
              <w:t xml:space="preserve"> </w:t>
            </w:r>
            <w:r w:rsidRPr="00062017">
              <w:rPr>
                <w:b/>
                <w:bCs/>
                <w:sz w:val="24"/>
                <w:szCs w:val="24"/>
              </w:rPr>
              <w:t>recomandării,</w:t>
            </w:r>
            <w:r w:rsidR="00032B46" w:rsidRPr="00062017">
              <w:rPr>
                <w:b/>
                <w:bCs/>
                <w:sz w:val="24"/>
                <w:szCs w:val="24"/>
              </w:rPr>
              <w:t xml:space="preserve"> </w:t>
            </w:r>
            <w:r w:rsidRPr="00062017">
              <w:rPr>
                <w:b/>
                <w:bCs/>
                <w:sz w:val="24"/>
                <w:szCs w:val="24"/>
              </w:rPr>
              <w:t>concluzi</w:t>
            </w:r>
            <w:r w:rsidR="00887788" w:rsidRPr="00062017">
              <w:rPr>
                <w:b/>
                <w:bCs/>
                <w:sz w:val="24"/>
                <w:szCs w:val="24"/>
              </w:rPr>
              <w:t>i</w:t>
            </w:r>
          </w:p>
        </w:tc>
        <w:tc>
          <w:tcPr>
            <w:tcW w:w="5439" w:type="dxa"/>
            <w:tcMar>
              <w:top w:w="0" w:type="dxa"/>
              <w:left w:w="108" w:type="dxa"/>
              <w:bottom w:w="0" w:type="dxa"/>
              <w:right w:w="108" w:type="dxa"/>
            </w:tcMar>
          </w:tcPr>
          <w:p w14:paraId="43D44E19" w14:textId="04D0A080" w:rsidR="008B4BE6" w:rsidRPr="00062017" w:rsidRDefault="006933C3" w:rsidP="00437976">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rPr>
            </w:pPr>
            <w:r w:rsidRPr="00062017">
              <w:rPr>
                <w:b/>
                <w:bCs/>
                <w:sz w:val="24"/>
                <w:szCs w:val="24"/>
              </w:rPr>
              <w:t>Argumentarea</w:t>
            </w:r>
          </w:p>
          <w:p w14:paraId="42C4E39B" w14:textId="729BF662" w:rsidR="008B4BE6" w:rsidRPr="00062017" w:rsidRDefault="006933C3" w:rsidP="00437976">
            <w:pPr>
              <w:pBdr>
                <w:top w:val="none" w:sz="4" w:space="0" w:color="000000"/>
                <w:left w:val="none" w:sz="4" w:space="0" w:color="000000"/>
                <w:bottom w:val="none" w:sz="4" w:space="0" w:color="000000"/>
                <w:right w:val="none" w:sz="4" w:space="0" w:color="000000"/>
              </w:pBdr>
              <w:ind w:firstLine="0"/>
              <w:jc w:val="center"/>
              <w:rPr>
                <w:sz w:val="24"/>
                <w:szCs w:val="24"/>
              </w:rPr>
            </w:pPr>
            <w:r w:rsidRPr="00062017">
              <w:rPr>
                <w:b/>
                <w:bCs/>
                <w:sz w:val="24"/>
                <w:szCs w:val="24"/>
              </w:rPr>
              <w:t>autorului</w:t>
            </w:r>
            <w:r w:rsidR="00032B46" w:rsidRPr="00062017">
              <w:rPr>
                <w:b/>
                <w:bCs/>
                <w:sz w:val="24"/>
                <w:szCs w:val="24"/>
              </w:rPr>
              <w:t xml:space="preserve"> </w:t>
            </w:r>
            <w:r w:rsidRPr="00062017">
              <w:rPr>
                <w:b/>
                <w:bCs/>
                <w:sz w:val="24"/>
                <w:szCs w:val="24"/>
              </w:rPr>
              <w:t>proiectului</w:t>
            </w:r>
          </w:p>
        </w:tc>
      </w:tr>
      <w:tr w:rsidR="00574881" w:rsidRPr="002E3513" w14:paraId="092EF798" w14:textId="77777777" w:rsidTr="00437976">
        <w:tc>
          <w:tcPr>
            <w:tcW w:w="14675" w:type="dxa"/>
            <w:gridSpan w:val="5"/>
            <w:tcMar>
              <w:top w:w="0" w:type="dxa"/>
              <w:left w:w="108" w:type="dxa"/>
              <w:bottom w:w="0" w:type="dxa"/>
              <w:right w:w="108" w:type="dxa"/>
            </w:tcMar>
          </w:tcPr>
          <w:p w14:paraId="7963EAAD" w14:textId="3FFD1402" w:rsidR="008B4BE6" w:rsidRPr="00062017" w:rsidRDefault="006933C3" w:rsidP="00437976">
            <w:pPr>
              <w:pBdr>
                <w:top w:val="none" w:sz="4" w:space="0" w:color="000000"/>
                <w:left w:val="none" w:sz="4" w:space="0" w:color="000000"/>
                <w:bottom w:val="none" w:sz="4" w:space="0" w:color="000000"/>
                <w:right w:val="none" w:sz="4" w:space="0" w:color="000000"/>
              </w:pBdr>
              <w:ind w:right="5" w:firstLine="0"/>
              <w:jc w:val="center"/>
              <w:rPr>
                <w:sz w:val="24"/>
                <w:szCs w:val="24"/>
              </w:rPr>
            </w:pPr>
            <w:r w:rsidRPr="00062017">
              <w:rPr>
                <w:sz w:val="24"/>
                <w:szCs w:val="24"/>
              </w:rPr>
              <w:t>Avizare</w:t>
            </w:r>
            <w:r w:rsidR="00032B46" w:rsidRPr="00062017">
              <w:rPr>
                <w:sz w:val="24"/>
                <w:szCs w:val="24"/>
              </w:rPr>
              <w:t xml:space="preserve"> </w:t>
            </w:r>
            <w:r w:rsidR="00863417" w:rsidRPr="00062017">
              <w:rPr>
                <w:sz w:val="24"/>
                <w:szCs w:val="24"/>
              </w:rPr>
              <w:t>ș</w:t>
            </w:r>
            <w:r w:rsidRPr="00062017">
              <w:rPr>
                <w:sz w:val="24"/>
                <w:szCs w:val="24"/>
              </w:rPr>
              <w:t>i</w:t>
            </w:r>
            <w:r w:rsidR="00032B46" w:rsidRPr="00062017">
              <w:rPr>
                <w:sz w:val="24"/>
                <w:szCs w:val="24"/>
              </w:rPr>
              <w:t xml:space="preserve"> </w:t>
            </w:r>
            <w:r w:rsidRPr="00062017">
              <w:rPr>
                <w:sz w:val="24"/>
                <w:szCs w:val="24"/>
              </w:rPr>
              <w:t>consultare</w:t>
            </w:r>
            <w:r w:rsidR="00032B46" w:rsidRPr="00062017">
              <w:rPr>
                <w:sz w:val="24"/>
                <w:szCs w:val="24"/>
              </w:rPr>
              <w:t xml:space="preserve"> </w:t>
            </w:r>
            <w:r w:rsidRPr="00062017">
              <w:rPr>
                <w:sz w:val="24"/>
                <w:szCs w:val="24"/>
              </w:rPr>
              <w:t>publică</w:t>
            </w:r>
          </w:p>
        </w:tc>
      </w:tr>
      <w:tr w:rsidR="0083625F" w:rsidRPr="002E3513" w14:paraId="615D72BE" w14:textId="77777777" w:rsidTr="00A837EB">
        <w:trPr>
          <w:gridAfter w:val="1"/>
          <w:wAfter w:w="10" w:type="dxa"/>
          <w:trHeight w:val="615"/>
        </w:trPr>
        <w:tc>
          <w:tcPr>
            <w:tcW w:w="1978" w:type="dxa"/>
            <w:vMerge w:val="restart"/>
            <w:tcMar>
              <w:top w:w="0" w:type="dxa"/>
              <w:left w:w="108" w:type="dxa"/>
              <w:bottom w:w="0" w:type="dxa"/>
              <w:right w:w="108" w:type="dxa"/>
            </w:tcMar>
          </w:tcPr>
          <w:p w14:paraId="129C8DB8" w14:textId="05A60BB0" w:rsidR="0083625F" w:rsidRPr="00062017" w:rsidRDefault="0083625F" w:rsidP="00437976">
            <w:pPr>
              <w:ind w:firstLine="0"/>
              <w:rPr>
                <w:b/>
                <w:bCs/>
                <w:sz w:val="24"/>
                <w:szCs w:val="24"/>
              </w:rPr>
            </w:pPr>
            <w:r w:rsidRPr="00062017">
              <w:rPr>
                <w:b/>
                <w:bCs/>
                <w:sz w:val="24"/>
                <w:szCs w:val="24"/>
              </w:rPr>
              <w:t>Cancelaria de Stat</w:t>
            </w:r>
          </w:p>
          <w:p w14:paraId="59360689" w14:textId="77777777" w:rsidR="0083625F" w:rsidRPr="00062017" w:rsidRDefault="0083625F" w:rsidP="00437976">
            <w:pPr>
              <w:ind w:firstLine="0"/>
              <w:rPr>
                <w:sz w:val="24"/>
                <w:szCs w:val="24"/>
              </w:rPr>
            </w:pPr>
          </w:p>
          <w:p w14:paraId="69DD48B9" w14:textId="34D7C373" w:rsidR="0083625F" w:rsidRPr="00062017" w:rsidRDefault="0083625F" w:rsidP="00437976">
            <w:pPr>
              <w:ind w:firstLine="0"/>
              <w:rPr>
                <w:i/>
                <w:iCs/>
                <w:sz w:val="24"/>
                <w:szCs w:val="24"/>
              </w:rPr>
            </w:pPr>
            <w:r w:rsidRPr="00062017">
              <w:rPr>
                <w:i/>
                <w:iCs/>
                <w:sz w:val="24"/>
                <w:szCs w:val="24"/>
              </w:rPr>
              <w:t>Nr. 22-69-8138 din 29 iulie 2025</w:t>
            </w:r>
          </w:p>
        </w:tc>
        <w:tc>
          <w:tcPr>
            <w:tcW w:w="574" w:type="dxa"/>
            <w:tcMar>
              <w:top w:w="0" w:type="dxa"/>
              <w:left w:w="108" w:type="dxa"/>
              <w:bottom w:w="0" w:type="dxa"/>
              <w:right w:w="108" w:type="dxa"/>
            </w:tcMar>
          </w:tcPr>
          <w:p w14:paraId="693BDE7C" w14:textId="732A6C5A" w:rsidR="0083625F" w:rsidRPr="00062017" w:rsidRDefault="0083625F" w:rsidP="00437976">
            <w:pPr>
              <w:pStyle w:val="ListParagraph"/>
              <w:numPr>
                <w:ilvl w:val="0"/>
                <w:numId w:val="48"/>
              </w:numPr>
              <w:pBdr>
                <w:top w:val="none" w:sz="4" w:space="0" w:color="000000"/>
                <w:left w:val="none" w:sz="4" w:space="0" w:color="000000"/>
                <w:bottom w:val="none" w:sz="4" w:space="0" w:color="000000"/>
                <w:right w:val="none" w:sz="4" w:space="0" w:color="000000"/>
              </w:pBdr>
              <w:ind w:left="0" w:right="5" w:firstLine="0"/>
              <w:contextualSpacing w:val="0"/>
              <w:rPr>
                <w:sz w:val="24"/>
                <w:szCs w:val="24"/>
              </w:rPr>
            </w:pPr>
          </w:p>
        </w:tc>
        <w:tc>
          <w:tcPr>
            <w:tcW w:w="6674" w:type="dxa"/>
            <w:tcMar>
              <w:top w:w="0" w:type="dxa"/>
              <w:left w:w="108" w:type="dxa"/>
              <w:bottom w:w="0" w:type="dxa"/>
              <w:right w:w="108" w:type="dxa"/>
            </w:tcMar>
          </w:tcPr>
          <w:p w14:paraId="38D32FDC" w14:textId="42105CF0" w:rsidR="0083625F" w:rsidRPr="00062017" w:rsidRDefault="0083625F" w:rsidP="00437976">
            <w:pPr>
              <w:pBdr>
                <w:top w:val="none" w:sz="4" w:space="0" w:color="000000"/>
                <w:left w:val="none" w:sz="4" w:space="0" w:color="000000"/>
                <w:bottom w:val="none" w:sz="4" w:space="0" w:color="000000"/>
                <w:right w:val="none" w:sz="4" w:space="0" w:color="000000"/>
              </w:pBdr>
              <w:ind w:firstLine="0"/>
              <w:rPr>
                <w:sz w:val="24"/>
                <w:szCs w:val="24"/>
              </w:rPr>
            </w:pPr>
            <w:r>
              <w:rPr>
                <w:sz w:val="24"/>
                <w:szCs w:val="24"/>
              </w:rPr>
              <w:t xml:space="preserve">La pct. 1 subpct.1.1 din proiectul hotărârii Guvernului, în temeiul art. 46 alin. </w:t>
            </w:r>
            <w:r w:rsidRPr="00062017">
              <w:rPr>
                <w:sz w:val="24"/>
                <w:szCs w:val="24"/>
              </w:rPr>
              <w:t>(3) al Legii nr.100/2017 cu privire la actele normative (în continuare – Legea nr.100/2017), în vederea asigurării succesiunii corecte în expunerea denumirii funcțiilor/posturilor, în cadrul diferitor categorii de funcții/posturi, poziția nr.18 din Anexa nr.1 devine poziția nr.19, respectiv poziția nr.19 devine poziția nr.18.</w:t>
            </w:r>
          </w:p>
        </w:tc>
        <w:tc>
          <w:tcPr>
            <w:tcW w:w="5439" w:type="dxa"/>
            <w:tcMar>
              <w:top w:w="0" w:type="dxa"/>
              <w:left w:w="108" w:type="dxa"/>
              <w:bottom w:w="0" w:type="dxa"/>
              <w:right w:w="108" w:type="dxa"/>
            </w:tcMar>
          </w:tcPr>
          <w:p w14:paraId="61A11ECC" w14:textId="77777777" w:rsidR="0083625F" w:rsidRDefault="00471318" w:rsidP="00437976">
            <w:pPr>
              <w:pBdr>
                <w:top w:val="none" w:sz="4" w:space="0" w:color="000000"/>
                <w:left w:val="none" w:sz="4" w:space="0" w:color="000000"/>
                <w:bottom w:val="none" w:sz="4" w:space="0" w:color="000000"/>
                <w:right w:val="none" w:sz="4" w:space="0" w:color="000000"/>
              </w:pBdr>
              <w:ind w:firstLine="0"/>
              <w:rPr>
                <w:b/>
                <w:bCs/>
                <w:sz w:val="24"/>
                <w:szCs w:val="24"/>
              </w:rPr>
            </w:pPr>
            <w:r w:rsidRPr="00066077">
              <w:rPr>
                <w:b/>
                <w:bCs/>
                <w:sz w:val="24"/>
                <w:szCs w:val="24"/>
              </w:rPr>
              <w:t>Se</w:t>
            </w:r>
            <w:r w:rsidR="00066077" w:rsidRPr="00066077">
              <w:rPr>
                <w:b/>
                <w:bCs/>
                <w:sz w:val="24"/>
                <w:szCs w:val="24"/>
              </w:rPr>
              <w:t xml:space="preserve"> acceptă.</w:t>
            </w:r>
          </w:p>
          <w:p w14:paraId="18DFEB95" w14:textId="0E837354" w:rsidR="00066077" w:rsidRPr="00066077" w:rsidRDefault="00066077" w:rsidP="00437976">
            <w:pPr>
              <w:pBdr>
                <w:top w:val="none" w:sz="4" w:space="0" w:color="000000"/>
                <w:left w:val="none" w:sz="4" w:space="0" w:color="000000"/>
                <w:bottom w:val="none" w:sz="4" w:space="0" w:color="000000"/>
                <w:right w:val="none" w:sz="4" w:space="0" w:color="000000"/>
              </w:pBdr>
              <w:ind w:firstLine="0"/>
              <w:rPr>
                <w:i/>
                <w:iCs/>
                <w:sz w:val="24"/>
                <w:szCs w:val="24"/>
                <w:lang w:val="ro-MD"/>
              </w:rPr>
            </w:pPr>
            <w:r>
              <w:rPr>
                <w:i/>
                <w:iCs/>
                <w:sz w:val="24"/>
                <w:szCs w:val="24"/>
              </w:rPr>
              <w:t>(Proiectul a fost ajustat)</w:t>
            </w:r>
          </w:p>
        </w:tc>
      </w:tr>
      <w:tr w:rsidR="0083625F" w:rsidRPr="002E3513" w14:paraId="690C9236" w14:textId="77777777" w:rsidTr="00A837EB">
        <w:trPr>
          <w:gridAfter w:val="1"/>
          <w:wAfter w:w="10" w:type="dxa"/>
          <w:trHeight w:val="615"/>
        </w:trPr>
        <w:tc>
          <w:tcPr>
            <w:tcW w:w="1978" w:type="dxa"/>
            <w:vMerge/>
            <w:tcMar>
              <w:top w:w="0" w:type="dxa"/>
              <w:left w:w="108" w:type="dxa"/>
              <w:bottom w:w="0" w:type="dxa"/>
              <w:right w:w="108" w:type="dxa"/>
            </w:tcMar>
          </w:tcPr>
          <w:p w14:paraId="36759BC9" w14:textId="77777777" w:rsidR="0083625F" w:rsidRPr="00062017" w:rsidRDefault="0083625F" w:rsidP="00437976">
            <w:pPr>
              <w:ind w:firstLine="0"/>
              <w:rPr>
                <w:sz w:val="24"/>
                <w:szCs w:val="24"/>
              </w:rPr>
            </w:pPr>
          </w:p>
        </w:tc>
        <w:tc>
          <w:tcPr>
            <w:tcW w:w="574" w:type="dxa"/>
            <w:tcMar>
              <w:top w:w="0" w:type="dxa"/>
              <w:left w:w="108" w:type="dxa"/>
              <w:bottom w:w="0" w:type="dxa"/>
              <w:right w:w="108" w:type="dxa"/>
            </w:tcMar>
          </w:tcPr>
          <w:p w14:paraId="58E62FF5" w14:textId="77777777" w:rsidR="0083625F" w:rsidRPr="00062017" w:rsidRDefault="0083625F" w:rsidP="00437976">
            <w:pPr>
              <w:pStyle w:val="ListParagraph"/>
              <w:numPr>
                <w:ilvl w:val="0"/>
                <w:numId w:val="48"/>
              </w:numPr>
              <w:pBdr>
                <w:top w:val="none" w:sz="4" w:space="0" w:color="000000"/>
                <w:left w:val="none" w:sz="4" w:space="0" w:color="000000"/>
                <w:bottom w:val="none" w:sz="4" w:space="0" w:color="000000"/>
                <w:right w:val="none" w:sz="4" w:space="0" w:color="000000"/>
              </w:pBdr>
              <w:ind w:left="0" w:right="5" w:firstLine="0"/>
              <w:contextualSpacing w:val="0"/>
              <w:rPr>
                <w:sz w:val="24"/>
                <w:szCs w:val="24"/>
              </w:rPr>
            </w:pPr>
          </w:p>
        </w:tc>
        <w:tc>
          <w:tcPr>
            <w:tcW w:w="6674" w:type="dxa"/>
            <w:tcMar>
              <w:top w:w="0" w:type="dxa"/>
              <w:left w:w="108" w:type="dxa"/>
              <w:bottom w:w="0" w:type="dxa"/>
              <w:right w:w="108" w:type="dxa"/>
            </w:tcMar>
          </w:tcPr>
          <w:p w14:paraId="11CA9DDA" w14:textId="4102792A" w:rsidR="0083625F" w:rsidRPr="00062017" w:rsidRDefault="0083625F" w:rsidP="00437976">
            <w:pPr>
              <w:pBdr>
                <w:top w:val="none" w:sz="4" w:space="0" w:color="000000"/>
                <w:left w:val="none" w:sz="4" w:space="0" w:color="000000"/>
                <w:bottom w:val="none" w:sz="4" w:space="0" w:color="000000"/>
                <w:right w:val="none" w:sz="4" w:space="0" w:color="000000"/>
              </w:pBdr>
              <w:ind w:firstLine="0"/>
              <w:rPr>
                <w:sz w:val="24"/>
                <w:szCs w:val="24"/>
              </w:rPr>
            </w:pPr>
            <w:r>
              <w:rPr>
                <w:sz w:val="24"/>
                <w:szCs w:val="24"/>
              </w:rPr>
              <w:t>La pct. 1.14 pct. 1.16, pct.1.44 din proiect, în temeiul art. 3 alin. (4) lit. a) al Legii nr. 1</w:t>
            </w:r>
            <w:r w:rsidRPr="00062017">
              <w:rPr>
                <w:sz w:val="24"/>
                <w:szCs w:val="24"/>
              </w:rPr>
              <w:t xml:space="preserve">00/2017, la pozițiile marcate cu asterisc, se propune substituirea sintagmei „responsabil pentru probleme consulare”, cu sintagma „împuternicit cu funcții consulare”. De menționat că recomandarea respectă prevederile art.3 al Convenției de la Viena nr.7/1963 cu privire la relațiile consulare, ratificată de Republica Moldova în anul 1993, conform cărora funcțiile consulare sunt exercitate, de asemenea, de misiunile diplomatice, în conformitate cu prevederile prezentei Convenții, precum și pct.3 al Hotărârii Guvernului nr.368/2002 cu privire la aprobarea statutului consular, potrivit căruia agentul diplomatic din cadrul misiunii diplomatice a Republicii Moldova, împuternicit cu funcții consulare, exercită aceleași funcții stabilite funcționarilor consulari. </w:t>
            </w:r>
          </w:p>
        </w:tc>
        <w:tc>
          <w:tcPr>
            <w:tcW w:w="5439" w:type="dxa"/>
            <w:tcMar>
              <w:top w:w="0" w:type="dxa"/>
              <w:left w:w="108" w:type="dxa"/>
              <w:bottom w:w="0" w:type="dxa"/>
              <w:right w:w="108" w:type="dxa"/>
            </w:tcMar>
          </w:tcPr>
          <w:p w14:paraId="110BEE22" w14:textId="77777777" w:rsidR="00B22C57" w:rsidRDefault="00B22C57" w:rsidP="00B22C57">
            <w:pPr>
              <w:pBdr>
                <w:top w:val="none" w:sz="4" w:space="0" w:color="000000"/>
                <w:left w:val="none" w:sz="4" w:space="0" w:color="000000"/>
                <w:bottom w:val="none" w:sz="4" w:space="0" w:color="000000"/>
                <w:right w:val="none" w:sz="4" w:space="0" w:color="000000"/>
              </w:pBdr>
              <w:ind w:firstLine="0"/>
              <w:rPr>
                <w:b/>
                <w:bCs/>
                <w:sz w:val="24"/>
                <w:szCs w:val="24"/>
              </w:rPr>
            </w:pPr>
            <w:r w:rsidRPr="00066077">
              <w:rPr>
                <w:b/>
                <w:bCs/>
                <w:sz w:val="24"/>
                <w:szCs w:val="24"/>
              </w:rPr>
              <w:t>Se acceptă.</w:t>
            </w:r>
          </w:p>
          <w:p w14:paraId="2516717D" w14:textId="5564A49D" w:rsidR="0083625F" w:rsidRPr="00B22C57" w:rsidRDefault="00B22C57" w:rsidP="00B22C57">
            <w:pPr>
              <w:pBdr>
                <w:top w:val="none" w:sz="4" w:space="0" w:color="000000"/>
                <w:left w:val="none" w:sz="4" w:space="0" w:color="000000"/>
                <w:bottom w:val="none" w:sz="4" w:space="0" w:color="000000"/>
                <w:right w:val="none" w:sz="4" w:space="0" w:color="000000"/>
              </w:pBdr>
              <w:ind w:firstLine="0"/>
              <w:rPr>
                <w:b/>
                <w:bCs/>
                <w:sz w:val="24"/>
                <w:szCs w:val="24"/>
              </w:rPr>
            </w:pPr>
            <w:r>
              <w:rPr>
                <w:i/>
                <w:iCs/>
                <w:sz w:val="24"/>
                <w:szCs w:val="24"/>
              </w:rPr>
              <w:t>(Proiectul a fost ajustat)</w:t>
            </w:r>
          </w:p>
        </w:tc>
      </w:tr>
      <w:tr w:rsidR="00A837EB" w:rsidRPr="002E3513" w14:paraId="030450D2" w14:textId="77777777" w:rsidTr="00A837EB">
        <w:trPr>
          <w:gridAfter w:val="1"/>
          <w:wAfter w:w="10" w:type="dxa"/>
          <w:trHeight w:val="615"/>
        </w:trPr>
        <w:tc>
          <w:tcPr>
            <w:tcW w:w="1978" w:type="dxa"/>
            <w:vMerge/>
            <w:tcMar>
              <w:top w:w="0" w:type="dxa"/>
              <w:left w:w="108" w:type="dxa"/>
              <w:bottom w:w="0" w:type="dxa"/>
              <w:right w:w="108" w:type="dxa"/>
            </w:tcMar>
          </w:tcPr>
          <w:p w14:paraId="5313F69E" w14:textId="77777777" w:rsidR="00A837EB" w:rsidRPr="00062017" w:rsidRDefault="00A837EB" w:rsidP="00437976">
            <w:pPr>
              <w:ind w:firstLine="0"/>
              <w:rPr>
                <w:sz w:val="24"/>
                <w:szCs w:val="24"/>
              </w:rPr>
            </w:pPr>
          </w:p>
        </w:tc>
        <w:tc>
          <w:tcPr>
            <w:tcW w:w="574" w:type="dxa"/>
            <w:tcMar>
              <w:top w:w="0" w:type="dxa"/>
              <w:left w:w="108" w:type="dxa"/>
              <w:bottom w:w="0" w:type="dxa"/>
              <w:right w:w="108" w:type="dxa"/>
            </w:tcMar>
          </w:tcPr>
          <w:p w14:paraId="3FE8E071" w14:textId="77777777" w:rsidR="00A837EB" w:rsidRPr="00062017" w:rsidRDefault="00A837EB" w:rsidP="00437976">
            <w:pPr>
              <w:pStyle w:val="ListParagraph"/>
              <w:numPr>
                <w:ilvl w:val="0"/>
                <w:numId w:val="48"/>
              </w:numPr>
              <w:pBdr>
                <w:top w:val="none" w:sz="4" w:space="0" w:color="000000"/>
                <w:left w:val="none" w:sz="4" w:space="0" w:color="000000"/>
                <w:bottom w:val="none" w:sz="4" w:space="0" w:color="000000"/>
                <w:right w:val="none" w:sz="4" w:space="0" w:color="000000"/>
              </w:pBdr>
              <w:ind w:left="0" w:right="5" w:firstLine="0"/>
              <w:contextualSpacing w:val="0"/>
              <w:rPr>
                <w:sz w:val="24"/>
                <w:szCs w:val="24"/>
              </w:rPr>
            </w:pPr>
          </w:p>
        </w:tc>
        <w:tc>
          <w:tcPr>
            <w:tcW w:w="6674" w:type="dxa"/>
            <w:tcMar>
              <w:top w:w="0" w:type="dxa"/>
              <w:left w:w="108" w:type="dxa"/>
              <w:bottom w:w="0" w:type="dxa"/>
              <w:right w:w="108" w:type="dxa"/>
            </w:tcMar>
          </w:tcPr>
          <w:p w14:paraId="63F72F1B" w14:textId="19D00BA1" w:rsidR="00A837EB" w:rsidRDefault="00A837EB" w:rsidP="00437976">
            <w:pPr>
              <w:pBdr>
                <w:top w:val="none" w:sz="4" w:space="0" w:color="000000"/>
                <w:left w:val="none" w:sz="4" w:space="0" w:color="000000"/>
                <w:bottom w:val="none" w:sz="4" w:space="0" w:color="000000"/>
                <w:right w:val="none" w:sz="4" w:space="0" w:color="000000"/>
              </w:pBdr>
              <w:ind w:firstLine="0"/>
              <w:rPr>
                <w:sz w:val="24"/>
                <w:szCs w:val="24"/>
              </w:rPr>
            </w:pPr>
            <w:r w:rsidRPr="00062017">
              <w:rPr>
                <w:sz w:val="24"/>
                <w:szCs w:val="24"/>
              </w:rPr>
              <w:t>Similar, la pct.1.18 din proiectul hotărârii, sintagma „responsabil pentru cooperarea cu OMC” se propune a fi înlocuită cu sintagma „responsabil de cooperarea cu Organizația Mondială a Comerțului (OMC)”.</w:t>
            </w:r>
          </w:p>
        </w:tc>
        <w:tc>
          <w:tcPr>
            <w:tcW w:w="5439" w:type="dxa"/>
            <w:tcMar>
              <w:top w:w="0" w:type="dxa"/>
              <w:left w:w="108" w:type="dxa"/>
              <w:bottom w:w="0" w:type="dxa"/>
              <w:right w:w="108" w:type="dxa"/>
            </w:tcMar>
          </w:tcPr>
          <w:p w14:paraId="447B9424" w14:textId="77777777" w:rsidR="00A837EB" w:rsidRDefault="00A837EB" w:rsidP="00A837EB">
            <w:pPr>
              <w:pBdr>
                <w:top w:val="none" w:sz="4" w:space="0" w:color="000000"/>
                <w:left w:val="none" w:sz="4" w:space="0" w:color="000000"/>
                <w:bottom w:val="none" w:sz="4" w:space="0" w:color="000000"/>
                <w:right w:val="none" w:sz="4" w:space="0" w:color="000000"/>
              </w:pBdr>
              <w:ind w:firstLine="0"/>
              <w:rPr>
                <w:b/>
                <w:bCs/>
                <w:sz w:val="24"/>
                <w:szCs w:val="24"/>
              </w:rPr>
            </w:pPr>
            <w:r w:rsidRPr="00066077">
              <w:rPr>
                <w:b/>
                <w:bCs/>
                <w:sz w:val="24"/>
                <w:szCs w:val="24"/>
              </w:rPr>
              <w:t>Se acceptă.</w:t>
            </w:r>
          </w:p>
          <w:p w14:paraId="1CD719C5" w14:textId="53EEF50F" w:rsidR="00A837EB" w:rsidRPr="00066077" w:rsidRDefault="00A837EB" w:rsidP="00A837EB">
            <w:pPr>
              <w:pBdr>
                <w:top w:val="none" w:sz="4" w:space="0" w:color="000000"/>
                <w:left w:val="none" w:sz="4" w:space="0" w:color="000000"/>
                <w:bottom w:val="none" w:sz="4" w:space="0" w:color="000000"/>
                <w:right w:val="none" w:sz="4" w:space="0" w:color="000000"/>
              </w:pBdr>
              <w:ind w:firstLine="0"/>
              <w:rPr>
                <w:b/>
                <w:bCs/>
                <w:sz w:val="24"/>
                <w:szCs w:val="24"/>
              </w:rPr>
            </w:pPr>
            <w:r>
              <w:rPr>
                <w:i/>
                <w:iCs/>
                <w:sz w:val="24"/>
                <w:szCs w:val="24"/>
              </w:rPr>
              <w:t>(Proiectul a fost ajustat)</w:t>
            </w:r>
          </w:p>
        </w:tc>
      </w:tr>
      <w:tr w:rsidR="0083625F" w:rsidRPr="002E3513" w14:paraId="710E5F9E" w14:textId="77777777" w:rsidTr="00A837EB">
        <w:trPr>
          <w:gridAfter w:val="1"/>
          <w:wAfter w:w="10" w:type="dxa"/>
          <w:trHeight w:val="615"/>
        </w:trPr>
        <w:tc>
          <w:tcPr>
            <w:tcW w:w="1978" w:type="dxa"/>
            <w:vMerge/>
            <w:tcMar>
              <w:top w:w="0" w:type="dxa"/>
              <w:left w:w="108" w:type="dxa"/>
              <w:bottom w:w="0" w:type="dxa"/>
              <w:right w:w="108" w:type="dxa"/>
            </w:tcMar>
          </w:tcPr>
          <w:p w14:paraId="5F3210AF" w14:textId="77777777" w:rsidR="0083625F" w:rsidRPr="00062017" w:rsidRDefault="0083625F" w:rsidP="00437976">
            <w:pPr>
              <w:ind w:firstLine="0"/>
              <w:rPr>
                <w:sz w:val="24"/>
                <w:szCs w:val="24"/>
              </w:rPr>
            </w:pPr>
          </w:p>
        </w:tc>
        <w:tc>
          <w:tcPr>
            <w:tcW w:w="574" w:type="dxa"/>
            <w:tcMar>
              <w:top w:w="0" w:type="dxa"/>
              <w:left w:w="108" w:type="dxa"/>
              <w:bottom w:w="0" w:type="dxa"/>
              <w:right w:w="108" w:type="dxa"/>
            </w:tcMar>
          </w:tcPr>
          <w:p w14:paraId="1EB6F04E" w14:textId="77777777" w:rsidR="0083625F" w:rsidRPr="00062017" w:rsidRDefault="0083625F" w:rsidP="00437976">
            <w:pPr>
              <w:pStyle w:val="ListParagraph"/>
              <w:numPr>
                <w:ilvl w:val="0"/>
                <w:numId w:val="48"/>
              </w:numPr>
              <w:pBdr>
                <w:top w:val="none" w:sz="4" w:space="0" w:color="000000"/>
                <w:left w:val="none" w:sz="4" w:space="0" w:color="000000"/>
                <w:bottom w:val="none" w:sz="4" w:space="0" w:color="000000"/>
                <w:right w:val="none" w:sz="4" w:space="0" w:color="000000"/>
              </w:pBdr>
              <w:ind w:left="0" w:right="5" w:firstLine="0"/>
              <w:contextualSpacing w:val="0"/>
              <w:rPr>
                <w:sz w:val="24"/>
                <w:szCs w:val="24"/>
              </w:rPr>
            </w:pPr>
          </w:p>
        </w:tc>
        <w:tc>
          <w:tcPr>
            <w:tcW w:w="6674" w:type="dxa"/>
            <w:tcMar>
              <w:top w:w="0" w:type="dxa"/>
              <w:left w:w="108" w:type="dxa"/>
              <w:bottom w:w="0" w:type="dxa"/>
              <w:right w:w="108" w:type="dxa"/>
            </w:tcMar>
          </w:tcPr>
          <w:p w14:paraId="6B2D94EF" w14:textId="6816AA19" w:rsidR="0083625F" w:rsidRPr="00215616" w:rsidRDefault="0083625F" w:rsidP="00CF6764">
            <w:pPr>
              <w:ind w:firstLine="0"/>
              <w:rPr>
                <w:sz w:val="24"/>
                <w:szCs w:val="24"/>
              </w:rPr>
            </w:pPr>
            <w:r w:rsidRPr="00215616">
              <w:rPr>
                <w:sz w:val="24"/>
                <w:szCs w:val="24"/>
              </w:rPr>
              <w:t>Urmare a celor expuse la Componenta 2.2 din Nota de fundamentare, la pct.1.25 din proiectul hotărârii, se propune specificarea reprezentanților autorităților publice enumerate în cadrul Anexei nr.26 la subsol, cu marcarea pozițiilor în modul corespunzător cu prevederile art.49 alin.(5) al Legii nr.100/2017</w:t>
            </w:r>
          </w:p>
        </w:tc>
        <w:tc>
          <w:tcPr>
            <w:tcW w:w="5439" w:type="dxa"/>
            <w:tcMar>
              <w:top w:w="0" w:type="dxa"/>
              <w:left w:w="108" w:type="dxa"/>
              <w:bottom w:w="0" w:type="dxa"/>
              <w:right w:w="108" w:type="dxa"/>
            </w:tcMar>
          </w:tcPr>
          <w:p w14:paraId="40F7EAC5" w14:textId="77777777" w:rsidR="00215616" w:rsidRDefault="00215616" w:rsidP="00215616">
            <w:pPr>
              <w:pBdr>
                <w:top w:val="none" w:sz="4" w:space="0" w:color="000000"/>
                <w:left w:val="none" w:sz="4" w:space="0" w:color="000000"/>
                <w:bottom w:val="none" w:sz="4" w:space="0" w:color="000000"/>
                <w:right w:val="none" w:sz="4" w:space="0" w:color="000000"/>
              </w:pBdr>
              <w:ind w:firstLine="0"/>
              <w:rPr>
                <w:b/>
                <w:bCs/>
                <w:sz w:val="24"/>
                <w:szCs w:val="24"/>
              </w:rPr>
            </w:pPr>
            <w:r w:rsidRPr="00066077">
              <w:rPr>
                <w:b/>
                <w:bCs/>
                <w:sz w:val="24"/>
                <w:szCs w:val="24"/>
              </w:rPr>
              <w:t>Se acceptă.</w:t>
            </w:r>
          </w:p>
          <w:p w14:paraId="4EB7824B" w14:textId="01F659C4" w:rsidR="0083625F" w:rsidRPr="00062017" w:rsidRDefault="00215616" w:rsidP="00215616">
            <w:pPr>
              <w:pBdr>
                <w:top w:val="none" w:sz="4" w:space="0" w:color="000000"/>
                <w:left w:val="none" w:sz="4" w:space="0" w:color="000000"/>
                <w:bottom w:val="none" w:sz="4" w:space="0" w:color="000000"/>
                <w:right w:val="none" w:sz="4" w:space="0" w:color="000000"/>
              </w:pBdr>
              <w:ind w:firstLine="0"/>
              <w:rPr>
                <w:sz w:val="24"/>
                <w:szCs w:val="24"/>
              </w:rPr>
            </w:pPr>
            <w:r>
              <w:rPr>
                <w:i/>
                <w:iCs/>
                <w:sz w:val="24"/>
                <w:szCs w:val="24"/>
              </w:rPr>
              <w:t>(Proiectul a fost ajustat)</w:t>
            </w:r>
          </w:p>
        </w:tc>
      </w:tr>
      <w:tr w:rsidR="0083625F" w:rsidRPr="002E3513" w14:paraId="2961064C" w14:textId="77777777" w:rsidTr="00A837EB">
        <w:trPr>
          <w:gridAfter w:val="1"/>
          <w:wAfter w:w="10" w:type="dxa"/>
          <w:trHeight w:val="615"/>
        </w:trPr>
        <w:tc>
          <w:tcPr>
            <w:tcW w:w="1978" w:type="dxa"/>
            <w:vMerge/>
            <w:tcMar>
              <w:top w:w="0" w:type="dxa"/>
              <w:left w:w="108" w:type="dxa"/>
              <w:bottom w:w="0" w:type="dxa"/>
              <w:right w:w="108" w:type="dxa"/>
            </w:tcMar>
          </w:tcPr>
          <w:p w14:paraId="4400E241" w14:textId="77777777" w:rsidR="0083625F" w:rsidRPr="00062017" w:rsidRDefault="0083625F" w:rsidP="00437976">
            <w:pPr>
              <w:ind w:firstLine="0"/>
              <w:rPr>
                <w:sz w:val="24"/>
                <w:szCs w:val="24"/>
              </w:rPr>
            </w:pPr>
          </w:p>
        </w:tc>
        <w:tc>
          <w:tcPr>
            <w:tcW w:w="574" w:type="dxa"/>
            <w:tcMar>
              <w:top w:w="0" w:type="dxa"/>
              <w:left w:w="108" w:type="dxa"/>
              <w:bottom w:w="0" w:type="dxa"/>
              <w:right w:w="108" w:type="dxa"/>
            </w:tcMar>
          </w:tcPr>
          <w:p w14:paraId="70F4BE90" w14:textId="77777777" w:rsidR="0083625F" w:rsidRPr="00062017" w:rsidRDefault="0083625F" w:rsidP="00437976">
            <w:pPr>
              <w:pStyle w:val="ListParagraph"/>
              <w:numPr>
                <w:ilvl w:val="0"/>
                <w:numId w:val="48"/>
              </w:numPr>
              <w:pBdr>
                <w:top w:val="none" w:sz="4" w:space="0" w:color="000000"/>
                <w:left w:val="none" w:sz="4" w:space="0" w:color="000000"/>
                <w:bottom w:val="none" w:sz="4" w:space="0" w:color="000000"/>
                <w:right w:val="none" w:sz="4" w:space="0" w:color="000000"/>
              </w:pBdr>
              <w:ind w:left="0" w:right="5" w:firstLine="0"/>
              <w:contextualSpacing w:val="0"/>
              <w:rPr>
                <w:sz w:val="24"/>
                <w:szCs w:val="24"/>
              </w:rPr>
            </w:pPr>
          </w:p>
        </w:tc>
        <w:tc>
          <w:tcPr>
            <w:tcW w:w="6674" w:type="dxa"/>
            <w:tcMar>
              <w:top w:w="0" w:type="dxa"/>
              <w:left w:w="108" w:type="dxa"/>
              <w:bottom w:w="0" w:type="dxa"/>
              <w:right w:w="108" w:type="dxa"/>
            </w:tcMar>
          </w:tcPr>
          <w:p w14:paraId="783F8A2D" w14:textId="76EA1098" w:rsidR="0083625F" w:rsidRPr="00062017" w:rsidRDefault="0083625F" w:rsidP="00437976">
            <w:pPr>
              <w:pBdr>
                <w:top w:val="none" w:sz="4" w:space="0" w:color="000000"/>
                <w:left w:val="none" w:sz="4" w:space="0" w:color="000000"/>
                <w:bottom w:val="none" w:sz="4" w:space="0" w:color="000000"/>
                <w:right w:val="none" w:sz="4" w:space="0" w:color="000000"/>
              </w:pBdr>
              <w:ind w:firstLine="0"/>
              <w:rPr>
                <w:sz w:val="24"/>
                <w:szCs w:val="24"/>
              </w:rPr>
            </w:pPr>
            <w:r w:rsidRPr="00062017">
              <w:rPr>
                <w:sz w:val="24"/>
                <w:szCs w:val="24"/>
              </w:rPr>
              <w:t xml:space="preserve">În context, la pct.1.39 din proiect, în scopul evitării suprapunerii normelor și respectării principiului coerenței normelor juridice, prevăzut la art.3 alin.(1) lit.d) al Legii nr.100/2017, din textul „Consilier (ofițer de legătură la Europol și pentru afaceri interne) – reprezentant al Ministerului Afacerilor Interne”, se va exclude sintagma „reprezentant al Ministerului Afacerilor Interne”, întrucât această calitate rezultă deja din definiția legală a ofițerului de legătură, prevăzută la art.2 al Legii nr.288/2016 privind funcționarul public cu statut special din cadrul Ministerului Afacerilor Interne, potrivit căreia „ofițer de legătură al Ministerului Afacerilor Interne – reprezentant al Ministerului Afacerilor Interne detașat la o instituție din Republica Moldova, la o misiune diplomatică sau la o organizație internațională pentru reprezentarea intereselor statului.” </w:t>
            </w:r>
          </w:p>
        </w:tc>
        <w:tc>
          <w:tcPr>
            <w:tcW w:w="5439" w:type="dxa"/>
            <w:tcMar>
              <w:top w:w="0" w:type="dxa"/>
              <w:left w:w="108" w:type="dxa"/>
              <w:bottom w:w="0" w:type="dxa"/>
              <w:right w:w="108" w:type="dxa"/>
            </w:tcMar>
          </w:tcPr>
          <w:p w14:paraId="45698C3E" w14:textId="77777777" w:rsidR="002F40CA" w:rsidRDefault="002F40CA" w:rsidP="002F40CA">
            <w:pPr>
              <w:pBdr>
                <w:top w:val="none" w:sz="4" w:space="0" w:color="000000"/>
                <w:left w:val="none" w:sz="4" w:space="0" w:color="000000"/>
                <w:bottom w:val="none" w:sz="4" w:space="0" w:color="000000"/>
                <w:right w:val="none" w:sz="4" w:space="0" w:color="000000"/>
              </w:pBdr>
              <w:ind w:firstLine="0"/>
              <w:rPr>
                <w:b/>
                <w:bCs/>
                <w:sz w:val="24"/>
                <w:szCs w:val="24"/>
              </w:rPr>
            </w:pPr>
            <w:r w:rsidRPr="00066077">
              <w:rPr>
                <w:b/>
                <w:bCs/>
                <w:sz w:val="24"/>
                <w:szCs w:val="24"/>
              </w:rPr>
              <w:t>Se acceptă.</w:t>
            </w:r>
          </w:p>
          <w:p w14:paraId="38A4E7E5" w14:textId="7D360947" w:rsidR="0083625F" w:rsidRPr="00062017" w:rsidRDefault="002F40CA" w:rsidP="002F40CA">
            <w:pPr>
              <w:pBdr>
                <w:top w:val="none" w:sz="4" w:space="0" w:color="000000"/>
                <w:left w:val="none" w:sz="4" w:space="0" w:color="000000"/>
                <w:bottom w:val="none" w:sz="4" w:space="0" w:color="000000"/>
                <w:right w:val="none" w:sz="4" w:space="0" w:color="000000"/>
              </w:pBdr>
              <w:ind w:firstLine="0"/>
              <w:rPr>
                <w:sz w:val="24"/>
                <w:szCs w:val="24"/>
              </w:rPr>
            </w:pPr>
            <w:r>
              <w:rPr>
                <w:i/>
                <w:iCs/>
                <w:sz w:val="24"/>
                <w:szCs w:val="24"/>
              </w:rPr>
              <w:t>(Proiectul a fost ajustat)</w:t>
            </w:r>
          </w:p>
        </w:tc>
      </w:tr>
      <w:tr w:rsidR="0083625F" w:rsidRPr="002E3513" w14:paraId="12191355" w14:textId="77777777" w:rsidTr="00A837EB">
        <w:trPr>
          <w:gridAfter w:val="1"/>
          <w:wAfter w:w="10" w:type="dxa"/>
          <w:trHeight w:val="615"/>
        </w:trPr>
        <w:tc>
          <w:tcPr>
            <w:tcW w:w="1978" w:type="dxa"/>
            <w:vMerge/>
            <w:tcMar>
              <w:top w:w="0" w:type="dxa"/>
              <w:left w:w="108" w:type="dxa"/>
              <w:bottom w:w="0" w:type="dxa"/>
              <w:right w:w="108" w:type="dxa"/>
            </w:tcMar>
          </w:tcPr>
          <w:p w14:paraId="23352AF5" w14:textId="77777777" w:rsidR="0083625F" w:rsidRPr="00062017" w:rsidRDefault="0083625F" w:rsidP="00437976">
            <w:pPr>
              <w:ind w:firstLine="0"/>
              <w:rPr>
                <w:sz w:val="24"/>
                <w:szCs w:val="24"/>
              </w:rPr>
            </w:pPr>
          </w:p>
        </w:tc>
        <w:tc>
          <w:tcPr>
            <w:tcW w:w="574" w:type="dxa"/>
            <w:tcMar>
              <w:top w:w="0" w:type="dxa"/>
              <w:left w:w="108" w:type="dxa"/>
              <w:bottom w:w="0" w:type="dxa"/>
              <w:right w:w="108" w:type="dxa"/>
            </w:tcMar>
          </w:tcPr>
          <w:p w14:paraId="49BDD072" w14:textId="77777777" w:rsidR="0083625F" w:rsidRPr="00062017" w:rsidRDefault="0083625F" w:rsidP="00437976">
            <w:pPr>
              <w:pStyle w:val="ListParagraph"/>
              <w:numPr>
                <w:ilvl w:val="0"/>
                <w:numId w:val="48"/>
              </w:numPr>
              <w:pBdr>
                <w:top w:val="none" w:sz="4" w:space="0" w:color="000000"/>
                <w:left w:val="none" w:sz="4" w:space="0" w:color="000000"/>
                <w:bottom w:val="none" w:sz="4" w:space="0" w:color="000000"/>
                <w:right w:val="none" w:sz="4" w:space="0" w:color="000000"/>
              </w:pBdr>
              <w:ind w:left="0" w:right="5" w:firstLine="0"/>
              <w:contextualSpacing w:val="0"/>
              <w:rPr>
                <w:sz w:val="24"/>
                <w:szCs w:val="24"/>
              </w:rPr>
            </w:pPr>
          </w:p>
        </w:tc>
        <w:tc>
          <w:tcPr>
            <w:tcW w:w="6674" w:type="dxa"/>
            <w:tcMar>
              <w:top w:w="0" w:type="dxa"/>
              <w:left w:w="108" w:type="dxa"/>
              <w:bottom w:w="0" w:type="dxa"/>
              <w:right w:w="108" w:type="dxa"/>
            </w:tcMar>
          </w:tcPr>
          <w:p w14:paraId="11F27E48" w14:textId="2A891A44" w:rsidR="0083625F" w:rsidRPr="00062017" w:rsidRDefault="0083625F" w:rsidP="00437976">
            <w:pPr>
              <w:pBdr>
                <w:top w:val="none" w:sz="4" w:space="0" w:color="000000"/>
                <w:left w:val="none" w:sz="4" w:space="0" w:color="000000"/>
                <w:bottom w:val="none" w:sz="4" w:space="0" w:color="000000"/>
                <w:right w:val="none" w:sz="4" w:space="0" w:color="000000"/>
              </w:pBdr>
              <w:ind w:firstLine="0"/>
              <w:rPr>
                <w:sz w:val="24"/>
                <w:szCs w:val="24"/>
              </w:rPr>
            </w:pPr>
            <w:r w:rsidRPr="00062017">
              <w:rPr>
                <w:sz w:val="24"/>
                <w:szCs w:val="24"/>
              </w:rPr>
              <w:t>Potrivit pct.</w:t>
            </w:r>
            <w:r w:rsidR="0076479E">
              <w:rPr>
                <w:sz w:val="24"/>
                <w:szCs w:val="24"/>
              </w:rPr>
              <w:t xml:space="preserve"> </w:t>
            </w:r>
            <w:r w:rsidRPr="00062017">
              <w:rPr>
                <w:sz w:val="24"/>
                <w:szCs w:val="24"/>
              </w:rPr>
              <w:t xml:space="preserve">2 din proiectul hotărârii Guvernului, actul normativ va intra în vigoare la data publicării în Monitorul Oficial. În acest sens, urmare a reorganizării structurii interne a instituțiilor serviciului diplomatic, informăm că în conformitate cu pct.28 din Metodologia cu privire la completarea și avizarea statelor de personal, aprobată prin Anexa nr.5 la Hotărârea Guvernului nr.201/2009, în termen de o lună de la aprobarea actelor corespunzătoare, se vor completa </w:t>
            </w:r>
            <w:r w:rsidR="0091461D" w:rsidRPr="00062017">
              <w:rPr>
                <w:sz w:val="24"/>
                <w:szCs w:val="24"/>
              </w:rPr>
              <w:t>și</w:t>
            </w:r>
            <w:r w:rsidRPr="00062017">
              <w:rPr>
                <w:sz w:val="24"/>
                <w:szCs w:val="24"/>
              </w:rPr>
              <w:t xml:space="preserve"> se vor transmite spre avizare Cancelariei de Stat, statele de personal ale misiunilor diplomatice și oficiilor consulare care au fost reorganizate. </w:t>
            </w:r>
          </w:p>
        </w:tc>
        <w:tc>
          <w:tcPr>
            <w:tcW w:w="5439" w:type="dxa"/>
            <w:tcMar>
              <w:top w:w="0" w:type="dxa"/>
              <w:left w:w="108" w:type="dxa"/>
              <w:bottom w:w="0" w:type="dxa"/>
              <w:right w:w="108" w:type="dxa"/>
            </w:tcMar>
          </w:tcPr>
          <w:p w14:paraId="092B8367" w14:textId="77777777" w:rsidR="001B5DD7" w:rsidRDefault="001B5DD7" w:rsidP="001B5DD7">
            <w:pPr>
              <w:pBdr>
                <w:top w:val="none" w:sz="4" w:space="0" w:color="000000"/>
                <w:left w:val="none" w:sz="4" w:space="0" w:color="000000"/>
                <w:bottom w:val="none" w:sz="4" w:space="0" w:color="000000"/>
                <w:right w:val="none" w:sz="4" w:space="0" w:color="000000"/>
              </w:pBdr>
              <w:ind w:firstLine="0"/>
              <w:rPr>
                <w:b/>
                <w:bCs/>
                <w:sz w:val="24"/>
                <w:szCs w:val="24"/>
              </w:rPr>
            </w:pPr>
            <w:r w:rsidRPr="00066077">
              <w:rPr>
                <w:b/>
                <w:bCs/>
                <w:sz w:val="24"/>
                <w:szCs w:val="24"/>
              </w:rPr>
              <w:t>Se acceptă.</w:t>
            </w:r>
          </w:p>
          <w:p w14:paraId="1EE353F8" w14:textId="5261C884" w:rsidR="0083625F" w:rsidRPr="00062017" w:rsidRDefault="0083625F" w:rsidP="00437976">
            <w:pPr>
              <w:ind w:firstLine="0"/>
              <w:rPr>
                <w:sz w:val="24"/>
                <w:szCs w:val="24"/>
              </w:rPr>
            </w:pPr>
          </w:p>
        </w:tc>
      </w:tr>
      <w:tr w:rsidR="0083625F" w:rsidRPr="002E3513" w14:paraId="6C2E0F80" w14:textId="77777777" w:rsidTr="00A837EB">
        <w:trPr>
          <w:gridAfter w:val="1"/>
          <w:wAfter w:w="10" w:type="dxa"/>
          <w:trHeight w:val="300"/>
        </w:trPr>
        <w:tc>
          <w:tcPr>
            <w:tcW w:w="1978" w:type="dxa"/>
            <w:vMerge/>
            <w:tcMar>
              <w:top w:w="0" w:type="dxa"/>
              <w:left w:w="108" w:type="dxa"/>
              <w:bottom w:w="0" w:type="dxa"/>
              <w:right w:w="108" w:type="dxa"/>
            </w:tcMar>
          </w:tcPr>
          <w:p w14:paraId="702443EF" w14:textId="4D26D7A2" w:rsidR="0083625F" w:rsidRPr="00062017" w:rsidRDefault="0083625F" w:rsidP="00437976">
            <w:pPr>
              <w:ind w:firstLine="0"/>
              <w:rPr>
                <w:sz w:val="24"/>
                <w:szCs w:val="24"/>
              </w:rPr>
            </w:pPr>
          </w:p>
        </w:tc>
        <w:tc>
          <w:tcPr>
            <w:tcW w:w="574" w:type="dxa"/>
            <w:tcMar>
              <w:top w:w="0" w:type="dxa"/>
              <w:left w:w="108" w:type="dxa"/>
              <w:bottom w:w="0" w:type="dxa"/>
              <w:right w:w="108" w:type="dxa"/>
            </w:tcMar>
          </w:tcPr>
          <w:p w14:paraId="33F70B64" w14:textId="33FE849A" w:rsidR="0083625F" w:rsidRPr="00062017" w:rsidRDefault="0083625F" w:rsidP="00437976">
            <w:pPr>
              <w:pStyle w:val="ListParagraph"/>
              <w:numPr>
                <w:ilvl w:val="0"/>
                <w:numId w:val="48"/>
              </w:numPr>
              <w:ind w:left="0" w:right="5" w:firstLine="0"/>
              <w:contextualSpacing w:val="0"/>
              <w:rPr>
                <w:sz w:val="24"/>
                <w:szCs w:val="24"/>
              </w:rPr>
            </w:pPr>
          </w:p>
        </w:tc>
        <w:tc>
          <w:tcPr>
            <w:tcW w:w="6674" w:type="dxa"/>
            <w:tcMar>
              <w:top w:w="0" w:type="dxa"/>
              <w:left w:w="108" w:type="dxa"/>
              <w:bottom w:w="0" w:type="dxa"/>
              <w:right w:w="108" w:type="dxa"/>
            </w:tcMar>
          </w:tcPr>
          <w:p w14:paraId="560305C3" w14:textId="77777777" w:rsidR="0083625F" w:rsidRPr="00062017" w:rsidRDefault="0083625F" w:rsidP="00437976">
            <w:pPr>
              <w:ind w:firstLine="0"/>
              <w:rPr>
                <w:sz w:val="24"/>
                <w:szCs w:val="24"/>
              </w:rPr>
            </w:pPr>
            <w:r w:rsidRPr="00062017">
              <w:rPr>
                <w:sz w:val="24"/>
                <w:szCs w:val="24"/>
              </w:rPr>
              <w:t xml:space="preserve">Totodată, cu referire la birourile comercial-economice (cu statut de serviciu) subdiviziuni interne în cadrul misiunilor diplomatice și oficiilor consulare, se recomandă modificarea Hotărârii Guvernului nr.413/2017 pentru aprobarea Regulamentului privind birourile (secțiile) comercial-economice în cadrul misiunilor diplomatice și oficiilor consulare ale Republicii Moldova peste hotare (în </w:t>
            </w:r>
            <w:r w:rsidRPr="00062017">
              <w:rPr>
                <w:sz w:val="24"/>
                <w:szCs w:val="24"/>
              </w:rPr>
              <w:lastRenderedPageBreak/>
              <w:t>continuare - Hotărârea Guvernului nr.413/2017), prin excluderea denumirii alternative „secție” și păstrarea termenului „birou comercial-economic” în toate referințele din Regulament.</w:t>
            </w:r>
          </w:p>
          <w:p w14:paraId="6EA1BEAE" w14:textId="77777777" w:rsidR="0083625F" w:rsidRDefault="0083625F" w:rsidP="00437976">
            <w:pPr>
              <w:ind w:firstLine="0"/>
              <w:rPr>
                <w:sz w:val="24"/>
                <w:szCs w:val="24"/>
              </w:rPr>
            </w:pPr>
            <w:r w:rsidRPr="00062017">
              <w:rPr>
                <w:sz w:val="24"/>
                <w:szCs w:val="24"/>
              </w:rPr>
              <w:t xml:space="preserve">Această revizuire este justificată în primul rând, de alinierea terminologiei la prevederile art.12 din Convenția de la Viena din 1961 privind relațiile diplomatice, ratificată de Republica Moldova în anul 1993, potrivit căruia statul acreditant nu trebuie să înființeze, fără a obține în prealabil consimțământul expres al statului acreditar, birouri făcând parte din misiune în alte localități decât cele în care este stabilită misiunea însăși. </w:t>
            </w:r>
          </w:p>
          <w:p w14:paraId="6ED5A4F2" w14:textId="134DD914" w:rsidR="007B5D4F" w:rsidRPr="00062017" w:rsidRDefault="0076479E" w:rsidP="00437976">
            <w:pPr>
              <w:ind w:firstLine="0"/>
              <w:rPr>
                <w:sz w:val="24"/>
                <w:szCs w:val="24"/>
              </w:rPr>
            </w:pPr>
            <w:r w:rsidRPr="00062017">
              <w:rPr>
                <w:sz w:val="24"/>
                <w:szCs w:val="24"/>
              </w:rPr>
              <w:t>În același sens, art.6 alin.(6) al Legii nr.761/2001 privind serviciul diplomatic, stabilește expres că în cadrul misiunilor diplomatice și al oficiilor consulare pot fi instituite birouri sau servicii, inclusiv în alte localități decât cele în care este stabilită misiunea diplomatică sau oficiul consular. Structura organizatorică a birourilor și a serviciilor se stabilește în conformitate cu prevederile cadrului normativ conex.</w:t>
            </w:r>
          </w:p>
        </w:tc>
        <w:tc>
          <w:tcPr>
            <w:tcW w:w="5439" w:type="dxa"/>
            <w:tcMar>
              <w:top w:w="0" w:type="dxa"/>
              <w:left w:w="108" w:type="dxa"/>
              <w:bottom w:w="0" w:type="dxa"/>
              <w:right w:w="108" w:type="dxa"/>
            </w:tcMar>
          </w:tcPr>
          <w:p w14:paraId="221ABA87" w14:textId="36202556" w:rsidR="0083625F" w:rsidRPr="00062017" w:rsidRDefault="00517967" w:rsidP="00437976">
            <w:pPr>
              <w:ind w:firstLine="0"/>
              <w:rPr>
                <w:sz w:val="24"/>
                <w:szCs w:val="24"/>
              </w:rPr>
            </w:pPr>
            <w:r>
              <w:rPr>
                <w:sz w:val="24"/>
                <w:szCs w:val="24"/>
              </w:rPr>
              <w:lastRenderedPageBreak/>
              <w:t xml:space="preserve">Obiectul </w:t>
            </w:r>
            <w:r w:rsidR="000C2DB8">
              <w:rPr>
                <w:sz w:val="24"/>
                <w:szCs w:val="24"/>
              </w:rPr>
              <w:t>de reglementare a</w:t>
            </w:r>
            <w:r w:rsidR="00A77362">
              <w:rPr>
                <w:sz w:val="24"/>
                <w:szCs w:val="24"/>
              </w:rPr>
              <w:t>l</w:t>
            </w:r>
            <w:r w:rsidR="000C2DB8">
              <w:rPr>
                <w:sz w:val="24"/>
                <w:szCs w:val="24"/>
              </w:rPr>
              <w:t xml:space="preserve"> proiectului de hotărâre îl constituie modificarea H</w:t>
            </w:r>
            <w:r w:rsidR="00A77362">
              <w:rPr>
                <w:sz w:val="24"/>
                <w:szCs w:val="24"/>
              </w:rPr>
              <w:t xml:space="preserve">otărârii </w:t>
            </w:r>
            <w:r w:rsidR="000C2DB8">
              <w:rPr>
                <w:sz w:val="24"/>
                <w:szCs w:val="24"/>
              </w:rPr>
              <w:t>G</w:t>
            </w:r>
            <w:r w:rsidR="00A77362">
              <w:rPr>
                <w:sz w:val="24"/>
                <w:szCs w:val="24"/>
              </w:rPr>
              <w:t>uvernului</w:t>
            </w:r>
            <w:r w:rsidR="000C2DB8">
              <w:rPr>
                <w:sz w:val="24"/>
                <w:szCs w:val="24"/>
              </w:rPr>
              <w:t xml:space="preserve"> nr. 959/2018. Modificările </w:t>
            </w:r>
            <w:r w:rsidR="004635ED">
              <w:rPr>
                <w:sz w:val="24"/>
                <w:szCs w:val="24"/>
              </w:rPr>
              <w:t>p</w:t>
            </w:r>
            <w:r w:rsidR="000C2DB8">
              <w:rPr>
                <w:sz w:val="24"/>
                <w:szCs w:val="24"/>
              </w:rPr>
              <w:t>r</w:t>
            </w:r>
            <w:r w:rsidR="004635ED">
              <w:rPr>
                <w:sz w:val="24"/>
                <w:szCs w:val="24"/>
              </w:rPr>
              <w:t>opuse</w:t>
            </w:r>
            <w:r w:rsidR="000C2DB8">
              <w:rPr>
                <w:sz w:val="24"/>
                <w:szCs w:val="24"/>
              </w:rPr>
              <w:t xml:space="preserve"> urme</w:t>
            </w:r>
            <w:r w:rsidR="00D4786F">
              <w:rPr>
                <w:sz w:val="24"/>
                <w:szCs w:val="24"/>
              </w:rPr>
              <w:t xml:space="preserve">ază </w:t>
            </w:r>
            <w:r w:rsidR="004635ED">
              <w:rPr>
                <w:sz w:val="24"/>
                <w:szCs w:val="24"/>
              </w:rPr>
              <w:t>să</w:t>
            </w:r>
            <w:r w:rsidR="00D4786F">
              <w:rPr>
                <w:sz w:val="24"/>
                <w:szCs w:val="24"/>
              </w:rPr>
              <w:t xml:space="preserve"> fi</w:t>
            </w:r>
            <w:r w:rsidR="004635ED">
              <w:rPr>
                <w:sz w:val="24"/>
                <w:szCs w:val="24"/>
              </w:rPr>
              <w:t>e</w:t>
            </w:r>
            <w:r w:rsidR="00D4786F">
              <w:rPr>
                <w:sz w:val="24"/>
                <w:szCs w:val="24"/>
              </w:rPr>
              <w:t xml:space="preserve"> efectuate printr-o procedură separată.</w:t>
            </w:r>
          </w:p>
        </w:tc>
      </w:tr>
      <w:tr w:rsidR="0083625F" w:rsidRPr="002E3513" w14:paraId="7387FAB7" w14:textId="77777777" w:rsidTr="00A837EB">
        <w:trPr>
          <w:gridAfter w:val="1"/>
          <w:wAfter w:w="10" w:type="dxa"/>
          <w:trHeight w:val="300"/>
        </w:trPr>
        <w:tc>
          <w:tcPr>
            <w:tcW w:w="1978" w:type="dxa"/>
            <w:vMerge/>
            <w:tcMar>
              <w:top w:w="0" w:type="dxa"/>
              <w:left w:w="108" w:type="dxa"/>
              <w:bottom w:w="0" w:type="dxa"/>
              <w:right w:w="108" w:type="dxa"/>
            </w:tcMar>
          </w:tcPr>
          <w:p w14:paraId="05870003" w14:textId="77777777" w:rsidR="0083625F" w:rsidRPr="00062017" w:rsidRDefault="0083625F" w:rsidP="00437976">
            <w:pPr>
              <w:ind w:firstLine="0"/>
              <w:rPr>
                <w:sz w:val="24"/>
                <w:szCs w:val="24"/>
              </w:rPr>
            </w:pPr>
          </w:p>
        </w:tc>
        <w:tc>
          <w:tcPr>
            <w:tcW w:w="574" w:type="dxa"/>
            <w:tcMar>
              <w:top w:w="0" w:type="dxa"/>
              <w:left w:w="108" w:type="dxa"/>
              <w:bottom w:w="0" w:type="dxa"/>
              <w:right w:w="108" w:type="dxa"/>
            </w:tcMar>
          </w:tcPr>
          <w:p w14:paraId="271828E4" w14:textId="77777777" w:rsidR="0083625F" w:rsidRPr="00062017" w:rsidRDefault="0083625F" w:rsidP="00437976">
            <w:pPr>
              <w:pStyle w:val="ListParagraph"/>
              <w:numPr>
                <w:ilvl w:val="0"/>
                <w:numId w:val="48"/>
              </w:numPr>
              <w:ind w:left="0" w:right="5" w:firstLine="0"/>
              <w:contextualSpacing w:val="0"/>
              <w:rPr>
                <w:sz w:val="24"/>
                <w:szCs w:val="24"/>
              </w:rPr>
            </w:pPr>
          </w:p>
        </w:tc>
        <w:tc>
          <w:tcPr>
            <w:tcW w:w="6674" w:type="dxa"/>
            <w:tcMar>
              <w:top w:w="0" w:type="dxa"/>
              <w:left w:w="108" w:type="dxa"/>
              <w:bottom w:w="0" w:type="dxa"/>
              <w:right w:w="108" w:type="dxa"/>
            </w:tcMar>
          </w:tcPr>
          <w:p w14:paraId="64E57656" w14:textId="49132E9C" w:rsidR="0083625F" w:rsidRPr="00062017" w:rsidRDefault="0083625F" w:rsidP="00437976">
            <w:pPr>
              <w:ind w:firstLine="0"/>
              <w:rPr>
                <w:sz w:val="24"/>
                <w:szCs w:val="24"/>
              </w:rPr>
            </w:pPr>
            <w:r w:rsidRPr="00062017">
              <w:rPr>
                <w:sz w:val="24"/>
                <w:szCs w:val="24"/>
              </w:rPr>
              <w:t>De asemenea, în contextul modificării Hotărârii Guvernului nr.959/2018, urmează a fi analizată oportunitatea modificării și ajustării prevederilor, inclusiv a terminologiei utilizate în Regulamentul privind activitatea administrativ-financiară a instituțiilor serviciului diplomatic al Republicii Moldova peste hotare, aprobat prin Hotărârea Guvernului nr.987/2003, cu cadrul normativ actualizat vizând funcțiile din cadrul serviciului diplomatic.</w:t>
            </w:r>
          </w:p>
        </w:tc>
        <w:tc>
          <w:tcPr>
            <w:tcW w:w="5439" w:type="dxa"/>
            <w:tcMar>
              <w:top w:w="0" w:type="dxa"/>
              <w:left w:w="108" w:type="dxa"/>
              <w:bottom w:w="0" w:type="dxa"/>
              <w:right w:w="108" w:type="dxa"/>
            </w:tcMar>
          </w:tcPr>
          <w:p w14:paraId="51F9B455" w14:textId="61376511" w:rsidR="0083625F" w:rsidRPr="00062017" w:rsidRDefault="004635ED" w:rsidP="00437976">
            <w:pPr>
              <w:ind w:firstLine="0"/>
              <w:rPr>
                <w:sz w:val="24"/>
                <w:szCs w:val="24"/>
              </w:rPr>
            </w:pPr>
            <w:r>
              <w:rPr>
                <w:sz w:val="24"/>
                <w:szCs w:val="24"/>
              </w:rPr>
              <w:t>Obiectul de reglementare al proiectului de hotărâre îl constituie modificarea Hotărârii Guvernului nr. 959/2018. Modificările propuse urmează să fie efectuate printr-o procedură separată.</w:t>
            </w:r>
          </w:p>
        </w:tc>
      </w:tr>
      <w:tr w:rsidR="0083625F" w:rsidRPr="002E3513" w14:paraId="61D302CC" w14:textId="77777777" w:rsidTr="00A837EB">
        <w:trPr>
          <w:gridAfter w:val="1"/>
          <w:wAfter w:w="10" w:type="dxa"/>
          <w:trHeight w:val="300"/>
        </w:trPr>
        <w:tc>
          <w:tcPr>
            <w:tcW w:w="1978" w:type="dxa"/>
            <w:vMerge/>
            <w:tcMar>
              <w:top w:w="0" w:type="dxa"/>
              <w:left w:w="108" w:type="dxa"/>
              <w:bottom w:w="0" w:type="dxa"/>
              <w:right w:w="108" w:type="dxa"/>
            </w:tcMar>
          </w:tcPr>
          <w:p w14:paraId="0550F5E7" w14:textId="77777777" w:rsidR="0083625F" w:rsidRPr="00062017" w:rsidRDefault="0083625F" w:rsidP="00437976">
            <w:pPr>
              <w:ind w:firstLine="0"/>
              <w:rPr>
                <w:sz w:val="24"/>
                <w:szCs w:val="24"/>
              </w:rPr>
            </w:pPr>
          </w:p>
        </w:tc>
        <w:tc>
          <w:tcPr>
            <w:tcW w:w="574" w:type="dxa"/>
            <w:tcMar>
              <w:top w:w="0" w:type="dxa"/>
              <w:left w:w="108" w:type="dxa"/>
              <w:bottom w:w="0" w:type="dxa"/>
              <w:right w:w="108" w:type="dxa"/>
            </w:tcMar>
          </w:tcPr>
          <w:p w14:paraId="0DF64DAD" w14:textId="77777777" w:rsidR="0083625F" w:rsidRPr="00062017" w:rsidRDefault="0083625F" w:rsidP="00437976">
            <w:pPr>
              <w:pStyle w:val="ListParagraph"/>
              <w:numPr>
                <w:ilvl w:val="0"/>
                <w:numId w:val="48"/>
              </w:numPr>
              <w:ind w:left="0" w:right="5" w:firstLine="0"/>
              <w:contextualSpacing w:val="0"/>
              <w:rPr>
                <w:sz w:val="24"/>
                <w:szCs w:val="24"/>
              </w:rPr>
            </w:pPr>
          </w:p>
        </w:tc>
        <w:tc>
          <w:tcPr>
            <w:tcW w:w="6674" w:type="dxa"/>
            <w:tcMar>
              <w:top w:w="0" w:type="dxa"/>
              <w:left w:w="108" w:type="dxa"/>
              <w:bottom w:w="0" w:type="dxa"/>
              <w:right w:w="108" w:type="dxa"/>
            </w:tcMar>
          </w:tcPr>
          <w:p w14:paraId="3D0EA683" w14:textId="541B8520" w:rsidR="0083625F" w:rsidRPr="00062017" w:rsidRDefault="0083625F" w:rsidP="00437976">
            <w:pPr>
              <w:ind w:firstLine="0"/>
              <w:rPr>
                <w:sz w:val="24"/>
                <w:szCs w:val="24"/>
              </w:rPr>
            </w:pPr>
            <w:r>
              <w:rPr>
                <w:sz w:val="24"/>
                <w:szCs w:val="24"/>
              </w:rPr>
              <w:t>Suplimentar, în perspectiva unei eventuale majorări a efectivului-limită al Consul</w:t>
            </w:r>
            <w:r w:rsidRPr="00062017">
              <w:rPr>
                <w:sz w:val="24"/>
                <w:szCs w:val="24"/>
              </w:rPr>
              <w:t xml:space="preserve">atului General al Republicii Moldova în orașul Iași (România) (Anexa nr. 37), la instituirea sau, după caz, revizuirea funcțiilor, recomandăm a se ține cont de prevederile pct.2 din Norme, or la crearea subdiviziunilor interne cu cel puțin 2 unități de personal, funcțiile publice de conducere, se vor institui în cadrul subdiviziunilor structurale pentru organizarea și coordonarea activităților desfășurate de funcționarii publici de execuție, care implică exercitarea prerogativelor de putere publică, prevăzute la </w:t>
            </w:r>
            <w:r w:rsidRPr="00062017">
              <w:rPr>
                <w:sz w:val="24"/>
                <w:szCs w:val="24"/>
              </w:rPr>
              <w:lastRenderedPageBreak/>
              <w:t>art.3 al Legii nr.158/2008 cu privire la funcția publică și statutul funcționarului public</w:t>
            </w:r>
            <w:r>
              <w:rPr>
                <w:sz w:val="24"/>
                <w:szCs w:val="24"/>
              </w:rPr>
              <w:t>.</w:t>
            </w:r>
          </w:p>
        </w:tc>
        <w:tc>
          <w:tcPr>
            <w:tcW w:w="5439" w:type="dxa"/>
            <w:tcMar>
              <w:top w:w="0" w:type="dxa"/>
              <w:left w:w="108" w:type="dxa"/>
              <w:bottom w:w="0" w:type="dxa"/>
              <w:right w:w="108" w:type="dxa"/>
            </w:tcMar>
          </w:tcPr>
          <w:p w14:paraId="6403F4EA" w14:textId="77777777" w:rsidR="0083625F" w:rsidRDefault="00624202" w:rsidP="00437976">
            <w:pPr>
              <w:ind w:firstLine="0"/>
              <w:rPr>
                <w:b/>
                <w:bCs/>
                <w:sz w:val="24"/>
                <w:szCs w:val="24"/>
              </w:rPr>
            </w:pPr>
            <w:r w:rsidRPr="00624202">
              <w:rPr>
                <w:b/>
                <w:bCs/>
                <w:sz w:val="24"/>
                <w:szCs w:val="24"/>
              </w:rPr>
              <w:lastRenderedPageBreak/>
              <w:t>S-a luat act.</w:t>
            </w:r>
          </w:p>
          <w:p w14:paraId="7616C00F" w14:textId="06D7AAF3" w:rsidR="004A7863" w:rsidRPr="00624202" w:rsidRDefault="004A7863" w:rsidP="00437976">
            <w:pPr>
              <w:ind w:firstLine="0"/>
              <w:rPr>
                <w:b/>
                <w:bCs/>
                <w:sz w:val="24"/>
                <w:szCs w:val="24"/>
              </w:rPr>
            </w:pPr>
            <w:r>
              <w:rPr>
                <w:i/>
                <w:iCs/>
                <w:sz w:val="24"/>
                <w:szCs w:val="24"/>
              </w:rPr>
              <w:t>(</w:t>
            </w:r>
            <w:r w:rsidRPr="00283767">
              <w:rPr>
                <w:i/>
                <w:iCs/>
                <w:sz w:val="24"/>
                <w:szCs w:val="24"/>
              </w:rPr>
              <w:t>Nu necesită intervenție</w:t>
            </w:r>
            <w:r>
              <w:rPr>
                <w:i/>
                <w:iCs/>
                <w:sz w:val="24"/>
                <w:szCs w:val="24"/>
              </w:rPr>
              <w:t>)</w:t>
            </w:r>
          </w:p>
        </w:tc>
      </w:tr>
      <w:tr w:rsidR="0083625F" w:rsidRPr="002E3513" w14:paraId="0E5C7D15" w14:textId="77777777" w:rsidTr="00A837EB">
        <w:trPr>
          <w:gridAfter w:val="1"/>
          <w:wAfter w:w="10" w:type="dxa"/>
          <w:trHeight w:val="300"/>
        </w:trPr>
        <w:tc>
          <w:tcPr>
            <w:tcW w:w="1978" w:type="dxa"/>
            <w:vMerge/>
            <w:tcMar>
              <w:top w:w="0" w:type="dxa"/>
              <w:left w:w="108" w:type="dxa"/>
              <w:bottom w:w="0" w:type="dxa"/>
              <w:right w:w="108" w:type="dxa"/>
            </w:tcMar>
          </w:tcPr>
          <w:p w14:paraId="735B180C" w14:textId="77777777" w:rsidR="0083625F" w:rsidRPr="00062017" w:rsidRDefault="0083625F" w:rsidP="00437976">
            <w:pPr>
              <w:ind w:firstLine="0"/>
              <w:rPr>
                <w:sz w:val="24"/>
                <w:szCs w:val="24"/>
              </w:rPr>
            </w:pPr>
          </w:p>
        </w:tc>
        <w:tc>
          <w:tcPr>
            <w:tcW w:w="574" w:type="dxa"/>
            <w:tcMar>
              <w:top w:w="0" w:type="dxa"/>
              <w:left w:w="108" w:type="dxa"/>
              <w:bottom w:w="0" w:type="dxa"/>
              <w:right w:w="108" w:type="dxa"/>
            </w:tcMar>
          </w:tcPr>
          <w:p w14:paraId="08B67907" w14:textId="77777777" w:rsidR="0083625F" w:rsidRPr="00062017" w:rsidRDefault="0083625F" w:rsidP="00437976">
            <w:pPr>
              <w:pStyle w:val="ListParagraph"/>
              <w:numPr>
                <w:ilvl w:val="0"/>
                <w:numId w:val="48"/>
              </w:numPr>
              <w:ind w:left="0" w:right="5" w:firstLine="0"/>
              <w:contextualSpacing w:val="0"/>
              <w:rPr>
                <w:sz w:val="24"/>
                <w:szCs w:val="24"/>
              </w:rPr>
            </w:pPr>
          </w:p>
        </w:tc>
        <w:tc>
          <w:tcPr>
            <w:tcW w:w="6674" w:type="dxa"/>
            <w:tcMar>
              <w:top w:w="0" w:type="dxa"/>
              <w:left w:w="108" w:type="dxa"/>
              <w:bottom w:w="0" w:type="dxa"/>
              <w:right w:w="108" w:type="dxa"/>
            </w:tcMar>
          </w:tcPr>
          <w:p w14:paraId="5B4DADF9" w14:textId="38511624" w:rsidR="0083625F" w:rsidRPr="00062017" w:rsidRDefault="0083625F" w:rsidP="00437976">
            <w:pPr>
              <w:ind w:firstLine="0"/>
              <w:rPr>
                <w:sz w:val="24"/>
                <w:szCs w:val="24"/>
              </w:rPr>
            </w:pPr>
            <w:r w:rsidRPr="00062017">
              <w:rPr>
                <w:sz w:val="24"/>
                <w:szCs w:val="24"/>
              </w:rPr>
              <w:t>Subsecvent, potrivit pct.17 și pct.171 din Metodologia cu privire la aprobarea și avizarea statului de personal, aprobată prin Anexa nr.5 la Hotărârea Guvernului nr.201/2009, funcțiile de conducere (posturi), se vor institui în cadrul subdiviziunilor structurale, pentru asigurarea desfășurării activității titularilor angajați în funcții de execuție (posturi), care nu prevăd exercitarea prerogativelor de putere publică.</w:t>
            </w:r>
          </w:p>
        </w:tc>
        <w:tc>
          <w:tcPr>
            <w:tcW w:w="5439" w:type="dxa"/>
            <w:tcMar>
              <w:top w:w="0" w:type="dxa"/>
              <w:left w:w="108" w:type="dxa"/>
              <w:bottom w:w="0" w:type="dxa"/>
              <w:right w:w="108" w:type="dxa"/>
            </w:tcMar>
          </w:tcPr>
          <w:p w14:paraId="0A0EDC0C" w14:textId="77777777" w:rsidR="0083625F" w:rsidRDefault="00624202" w:rsidP="00437976">
            <w:pPr>
              <w:ind w:firstLine="0"/>
              <w:rPr>
                <w:b/>
                <w:bCs/>
                <w:sz w:val="24"/>
                <w:szCs w:val="24"/>
              </w:rPr>
            </w:pPr>
            <w:r w:rsidRPr="00624202">
              <w:rPr>
                <w:b/>
                <w:bCs/>
                <w:sz w:val="24"/>
                <w:szCs w:val="24"/>
              </w:rPr>
              <w:t>S-a luat act.</w:t>
            </w:r>
          </w:p>
          <w:p w14:paraId="4E181EA5" w14:textId="771C61A4" w:rsidR="004A7863" w:rsidRPr="00062017" w:rsidRDefault="004A7863" w:rsidP="00437976">
            <w:pPr>
              <w:ind w:firstLine="0"/>
              <w:rPr>
                <w:sz w:val="24"/>
                <w:szCs w:val="24"/>
              </w:rPr>
            </w:pPr>
            <w:r>
              <w:rPr>
                <w:i/>
                <w:iCs/>
                <w:sz w:val="24"/>
                <w:szCs w:val="24"/>
              </w:rPr>
              <w:t>(</w:t>
            </w:r>
            <w:r w:rsidRPr="00283767">
              <w:rPr>
                <w:i/>
                <w:iCs/>
                <w:sz w:val="24"/>
                <w:szCs w:val="24"/>
              </w:rPr>
              <w:t>Nu necesită intervenție</w:t>
            </w:r>
            <w:r>
              <w:rPr>
                <w:i/>
                <w:iCs/>
                <w:sz w:val="24"/>
                <w:szCs w:val="24"/>
              </w:rPr>
              <w:t>)</w:t>
            </w:r>
          </w:p>
        </w:tc>
      </w:tr>
      <w:tr w:rsidR="0091461D" w:rsidRPr="002E3513" w14:paraId="5DDCAFAD" w14:textId="77777777" w:rsidTr="00A837EB">
        <w:trPr>
          <w:gridAfter w:val="1"/>
          <w:wAfter w:w="10" w:type="dxa"/>
          <w:trHeight w:val="300"/>
        </w:trPr>
        <w:tc>
          <w:tcPr>
            <w:tcW w:w="1978" w:type="dxa"/>
            <w:vMerge w:val="restart"/>
            <w:tcMar>
              <w:top w:w="0" w:type="dxa"/>
              <w:left w:w="108" w:type="dxa"/>
              <w:bottom w:w="0" w:type="dxa"/>
              <w:right w:w="108" w:type="dxa"/>
            </w:tcMar>
          </w:tcPr>
          <w:p w14:paraId="764C78DB" w14:textId="77777777" w:rsidR="0091461D" w:rsidRPr="00062017" w:rsidRDefault="0091461D" w:rsidP="0091461D">
            <w:pPr>
              <w:ind w:firstLine="0"/>
              <w:rPr>
                <w:b/>
                <w:bCs/>
                <w:sz w:val="24"/>
                <w:szCs w:val="24"/>
              </w:rPr>
            </w:pPr>
            <w:r w:rsidRPr="00062017">
              <w:rPr>
                <w:b/>
                <w:bCs/>
                <w:sz w:val="24"/>
                <w:szCs w:val="24"/>
              </w:rPr>
              <w:t>Ministerul Finanțelor</w:t>
            </w:r>
          </w:p>
          <w:p w14:paraId="6EC550CF" w14:textId="77777777" w:rsidR="0091461D" w:rsidRPr="00062017" w:rsidRDefault="0091461D" w:rsidP="0091461D">
            <w:pPr>
              <w:ind w:firstLine="0"/>
              <w:rPr>
                <w:sz w:val="24"/>
                <w:szCs w:val="24"/>
              </w:rPr>
            </w:pPr>
          </w:p>
          <w:p w14:paraId="44680EA8" w14:textId="02BB39F8" w:rsidR="0091461D" w:rsidRPr="00062017" w:rsidRDefault="0091461D" w:rsidP="0091461D">
            <w:pPr>
              <w:ind w:firstLine="0"/>
              <w:rPr>
                <w:i/>
                <w:iCs/>
                <w:sz w:val="24"/>
                <w:szCs w:val="24"/>
              </w:rPr>
            </w:pPr>
            <w:r w:rsidRPr="00062017">
              <w:rPr>
                <w:i/>
                <w:iCs/>
                <w:sz w:val="24"/>
                <w:szCs w:val="24"/>
              </w:rPr>
              <w:t>Nr. 08-03-431/1143 din 30 iulie 2025</w:t>
            </w:r>
          </w:p>
        </w:tc>
        <w:tc>
          <w:tcPr>
            <w:tcW w:w="574" w:type="dxa"/>
            <w:tcMar>
              <w:top w:w="0" w:type="dxa"/>
              <w:left w:w="108" w:type="dxa"/>
              <w:bottom w:w="0" w:type="dxa"/>
              <w:right w:w="108" w:type="dxa"/>
            </w:tcMar>
          </w:tcPr>
          <w:p w14:paraId="67071560" w14:textId="77777777" w:rsidR="0091461D" w:rsidRPr="00062017" w:rsidRDefault="0091461D" w:rsidP="0091461D">
            <w:pPr>
              <w:pStyle w:val="ListParagraph"/>
              <w:numPr>
                <w:ilvl w:val="0"/>
                <w:numId w:val="48"/>
              </w:numPr>
              <w:ind w:left="0" w:right="5" w:firstLine="0"/>
              <w:contextualSpacing w:val="0"/>
              <w:rPr>
                <w:sz w:val="24"/>
                <w:szCs w:val="24"/>
              </w:rPr>
            </w:pPr>
          </w:p>
        </w:tc>
        <w:tc>
          <w:tcPr>
            <w:tcW w:w="6674" w:type="dxa"/>
            <w:tcMar>
              <w:top w:w="0" w:type="dxa"/>
              <w:left w:w="108" w:type="dxa"/>
              <w:bottom w:w="0" w:type="dxa"/>
              <w:right w:w="108" w:type="dxa"/>
            </w:tcMar>
          </w:tcPr>
          <w:p w14:paraId="65841E3C" w14:textId="77777777" w:rsidR="0091461D" w:rsidRDefault="0091461D" w:rsidP="0091461D">
            <w:pPr>
              <w:ind w:firstLine="0"/>
              <w:rPr>
                <w:sz w:val="24"/>
                <w:szCs w:val="24"/>
              </w:rPr>
            </w:pPr>
            <w:r w:rsidRPr="00062017">
              <w:rPr>
                <w:sz w:val="24"/>
                <w:szCs w:val="24"/>
              </w:rPr>
              <w:t xml:space="preserve">Principalele prevederi a proiectului se referă la revizuirea anexei nr. 1 la HG nr. 959/2018 aferent funcțiilor de „Șef al misiunii diplomatice”; „Șef Serviciu” și „Șef serviciu administrativ, „Administrator principal”, „Șofer (conducător auto)” și „Secretar administrativ superior”, excluderea funcțiilor de „Șef serviciu, contabilșef”, „Specialist principal, contabil-șef” și „Contabil-casier”. Adițional se propune excluderea subdiviziunilor structurale de ,,Serviciu financiar-administrativ”, contabili-șefi, administratori principali și șoferi din cadrul acestora fiind subordonați direct ambasadorului, șefului misiunii diplomatice, ajustarea denumirii de „Serviciul comercial-economic”, reoganizarea „Serviciul cancelarie” în „Serviciul administrativ”. </w:t>
            </w:r>
          </w:p>
          <w:p w14:paraId="559FD12E" w14:textId="77777777" w:rsidR="0091461D" w:rsidRDefault="0091461D" w:rsidP="0091461D">
            <w:pPr>
              <w:ind w:firstLine="0"/>
              <w:rPr>
                <w:sz w:val="24"/>
                <w:szCs w:val="24"/>
              </w:rPr>
            </w:pPr>
            <w:r w:rsidRPr="00062017">
              <w:rPr>
                <w:sz w:val="24"/>
                <w:szCs w:val="24"/>
              </w:rPr>
              <w:t xml:space="preserve">În contextul propunerilor menționate supra, autorul la definitivarea proiectului, urmează să țină cont de prevederile Legii nr. 270/2018 privind sistemul unitar de salarizare în sectorul bugetar, funcțiile urmând a face obiectul Legii menționate. </w:t>
            </w:r>
          </w:p>
          <w:p w14:paraId="15CBF59E" w14:textId="0F53CAD3" w:rsidR="0091461D" w:rsidRPr="00062017" w:rsidRDefault="0091461D" w:rsidP="0091461D">
            <w:pPr>
              <w:ind w:firstLine="0"/>
              <w:rPr>
                <w:sz w:val="24"/>
                <w:szCs w:val="24"/>
              </w:rPr>
            </w:pPr>
            <w:r w:rsidRPr="00062017">
              <w:rPr>
                <w:sz w:val="24"/>
                <w:szCs w:val="24"/>
              </w:rPr>
              <w:t xml:space="preserve">O altă prevedere a proiectului se referă la substituirea funcției de „Secretar II” din cadrul Ambasadei la Budapesta cu cea de „Secretar I”, măsura propusă va genera un impact financiar adițional de aproximativ 14,6 mii lei anual, resurse ce urmează a fi acoperite din limita bugetului aprobat Ministerului Afacerilor Externe. </w:t>
            </w:r>
          </w:p>
        </w:tc>
        <w:tc>
          <w:tcPr>
            <w:tcW w:w="5439" w:type="dxa"/>
            <w:tcMar>
              <w:top w:w="0" w:type="dxa"/>
              <w:left w:w="108" w:type="dxa"/>
              <w:bottom w:w="0" w:type="dxa"/>
              <w:right w:w="108" w:type="dxa"/>
            </w:tcMar>
          </w:tcPr>
          <w:p w14:paraId="13B50599" w14:textId="77777777" w:rsidR="0091461D" w:rsidRDefault="0091461D" w:rsidP="0091461D">
            <w:pPr>
              <w:ind w:firstLine="0"/>
              <w:rPr>
                <w:b/>
                <w:bCs/>
                <w:sz w:val="24"/>
                <w:szCs w:val="24"/>
              </w:rPr>
            </w:pPr>
            <w:r>
              <w:rPr>
                <w:b/>
                <w:bCs/>
                <w:sz w:val="24"/>
                <w:szCs w:val="24"/>
              </w:rPr>
              <w:t xml:space="preserve">Se acceptă </w:t>
            </w:r>
          </w:p>
          <w:p w14:paraId="4C9A7DE6" w14:textId="22A47342" w:rsidR="0091461D" w:rsidRPr="00062017" w:rsidRDefault="0091461D" w:rsidP="0091461D">
            <w:pPr>
              <w:ind w:firstLine="0"/>
              <w:rPr>
                <w:sz w:val="24"/>
                <w:szCs w:val="24"/>
              </w:rPr>
            </w:pPr>
            <w:r>
              <w:rPr>
                <w:i/>
                <w:iCs/>
                <w:sz w:val="24"/>
                <w:szCs w:val="24"/>
              </w:rPr>
              <w:t>(</w:t>
            </w:r>
            <w:r w:rsidRPr="00283767">
              <w:rPr>
                <w:i/>
                <w:iCs/>
                <w:sz w:val="24"/>
                <w:szCs w:val="24"/>
              </w:rPr>
              <w:t>Nu necesită intervenție</w:t>
            </w:r>
            <w:r>
              <w:rPr>
                <w:i/>
                <w:iCs/>
                <w:sz w:val="24"/>
                <w:szCs w:val="24"/>
              </w:rPr>
              <w:t>)</w:t>
            </w:r>
          </w:p>
        </w:tc>
      </w:tr>
      <w:tr w:rsidR="0091461D" w:rsidRPr="002E3513" w14:paraId="5422CCFA" w14:textId="77777777" w:rsidTr="00A837EB">
        <w:trPr>
          <w:gridAfter w:val="1"/>
          <w:wAfter w:w="10" w:type="dxa"/>
          <w:trHeight w:val="300"/>
        </w:trPr>
        <w:tc>
          <w:tcPr>
            <w:tcW w:w="1978" w:type="dxa"/>
            <w:vMerge/>
            <w:tcMar>
              <w:top w:w="0" w:type="dxa"/>
              <w:left w:w="108" w:type="dxa"/>
              <w:bottom w:w="0" w:type="dxa"/>
              <w:right w:w="108" w:type="dxa"/>
            </w:tcMar>
          </w:tcPr>
          <w:p w14:paraId="22700CBD" w14:textId="77777777" w:rsidR="0091461D" w:rsidRPr="00062017" w:rsidRDefault="0091461D" w:rsidP="0091461D">
            <w:pPr>
              <w:ind w:firstLine="0"/>
              <w:rPr>
                <w:b/>
                <w:bCs/>
                <w:sz w:val="24"/>
                <w:szCs w:val="24"/>
              </w:rPr>
            </w:pPr>
          </w:p>
        </w:tc>
        <w:tc>
          <w:tcPr>
            <w:tcW w:w="574" w:type="dxa"/>
            <w:tcMar>
              <w:top w:w="0" w:type="dxa"/>
              <w:left w:w="108" w:type="dxa"/>
              <w:bottom w:w="0" w:type="dxa"/>
              <w:right w:w="108" w:type="dxa"/>
            </w:tcMar>
          </w:tcPr>
          <w:p w14:paraId="3FA58521" w14:textId="77777777" w:rsidR="0091461D" w:rsidRPr="00062017" w:rsidRDefault="0091461D" w:rsidP="0091461D">
            <w:pPr>
              <w:pStyle w:val="ListParagraph"/>
              <w:numPr>
                <w:ilvl w:val="0"/>
                <w:numId w:val="48"/>
              </w:numPr>
              <w:ind w:left="0" w:right="5" w:firstLine="0"/>
              <w:contextualSpacing w:val="0"/>
              <w:rPr>
                <w:sz w:val="24"/>
                <w:szCs w:val="24"/>
              </w:rPr>
            </w:pPr>
          </w:p>
        </w:tc>
        <w:tc>
          <w:tcPr>
            <w:tcW w:w="6674" w:type="dxa"/>
            <w:tcMar>
              <w:top w:w="0" w:type="dxa"/>
              <w:left w:w="108" w:type="dxa"/>
              <w:bottom w:w="0" w:type="dxa"/>
              <w:right w:w="108" w:type="dxa"/>
            </w:tcMar>
          </w:tcPr>
          <w:p w14:paraId="2E3F5A9E" w14:textId="77777777" w:rsidR="0091461D" w:rsidRDefault="0091461D" w:rsidP="0091461D">
            <w:pPr>
              <w:ind w:firstLine="0"/>
              <w:rPr>
                <w:sz w:val="24"/>
                <w:szCs w:val="24"/>
              </w:rPr>
            </w:pPr>
            <w:r w:rsidRPr="00062017">
              <w:rPr>
                <w:sz w:val="24"/>
                <w:szCs w:val="24"/>
              </w:rPr>
              <w:t xml:space="preserve">Totodată cu referire la pct. 4.2 Impactul financiar și argumentarea costurilor estimative din Nota de Fundamentare la proiectului, va fi completat cu informații detaliate și argumentate referitor la majorările ce se propun în proiect, separat pe articole de cheltuieli, </w:t>
            </w:r>
            <w:r w:rsidRPr="00062017">
              <w:rPr>
                <w:sz w:val="24"/>
                <w:szCs w:val="24"/>
              </w:rPr>
              <w:lastRenderedPageBreak/>
              <w:t xml:space="preserve">titluri de funcții și misiuni diplomatice, și anume cheltuieli de personal, indemnizații personalului misiunii, indemnizații pentru membrii familiei. </w:t>
            </w:r>
          </w:p>
          <w:p w14:paraId="4634739D" w14:textId="77777777" w:rsidR="0091461D" w:rsidRDefault="0091461D" w:rsidP="0091461D">
            <w:pPr>
              <w:ind w:firstLine="0"/>
              <w:rPr>
                <w:sz w:val="24"/>
                <w:szCs w:val="24"/>
              </w:rPr>
            </w:pPr>
          </w:p>
          <w:p w14:paraId="4BF10DFE" w14:textId="6AA9E800" w:rsidR="0091461D" w:rsidRPr="00062017" w:rsidRDefault="0091461D" w:rsidP="0091461D">
            <w:pPr>
              <w:ind w:firstLine="0"/>
              <w:rPr>
                <w:sz w:val="24"/>
                <w:szCs w:val="24"/>
              </w:rPr>
            </w:pPr>
            <w:r w:rsidRPr="00062017">
              <w:rPr>
                <w:sz w:val="24"/>
                <w:szCs w:val="24"/>
              </w:rPr>
              <w:t>În acest sens se accentuează că, la această etapă nu este claritate pe marginea impactului financiar total al proiectului de 1 343,5 mii lei, inclusiv divizat pe articole de cheltuieli și anume care modificări implică costul respectiv, implicit și la componenta cheltuieli de personal. Totodată, se va indica sursa de acoperire a acestora - subprogramul bugetar și eventuale economii înregistrate ținând cont de executarea bugetului pentru 6 luni ale anului 2025, iar impactul financiar total al proiectului urmează a se încadra în limita bugetului Ministerului Afacerilor Externe</w:t>
            </w:r>
            <w:r>
              <w:rPr>
                <w:sz w:val="24"/>
                <w:szCs w:val="24"/>
              </w:rPr>
              <w:t>.</w:t>
            </w:r>
          </w:p>
        </w:tc>
        <w:tc>
          <w:tcPr>
            <w:tcW w:w="5439" w:type="dxa"/>
            <w:tcMar>
              <w:top w:w="0" w:type="dxa"/>
              <w:left w:w="108" w:type="dxa"/>
              <w:bottom w:w="0" w:type="dxa"/>
              <w:right w:w="108" w:type="dxa"/>
            </w:tcMar>
          </w:tcPr>
          <w:p w14:paraId="6DE00CEE" w14:textId="77777777" w:rsidR="0003138A" w:rsidRDefault="0003138A" w:rsidP="0003138A">
            <w:pPr>
              <w:ind w:firstLine="0"/>
              <w:rPr>
                <w:b/>
                <w:bCs/>
                <w:sz w:val="24"/>
                <w:szCs w:val="24"/>
              </w:rPr>
            </w:pPr>
            <w:r>
              <w:rPr>
                <w:b/>
                <w:bCs/>
                <w:sz w:val="24"/>
                <w:szCs w:val="24"/>
              </w:rPr>
              <w:lastRenderedPageBreak/>
              <w:t xml:space="preserve">Se acceptă </w:t>
            </w:r>
          </w:p>
          <w:p w14:paraId="79B29C4A" w14:textId="130DE75A" w:rsidR="0091461D" w:rsidRPr="00062017" w:rsidRDefault="0003138A" w:rsidP="0003138A">
            <w:pPr>
              <w:ind w:firstLine="0"/>
              <w:rPr>
                <w:b/>
                <w:bCs/>
                <w:sz w:val="24"/>
                <w:szCs w:val="24"/>
              </w:rPr>
            </w:pPr>
            <w:r>
              <w:rPr>
                <w:i/>
                <w:iCs/>
                <w:sz w:val="24"/>
                <w:szCs w:val="24"/>
              </w:rPr>
              <w:t>(Nota de fundamentare a fost ajustată)</w:t>
            </w:r>
          </w:p>
        </w:tc>
      </w:tr>
      <w:tr w:rsidR="0091461D" w:rsidRPr="002E3513" w14:paraId="5883E7B4" w14:textId="77777777" w:rsidTr="00A837EB">
        <w:trPr>
          <w:gridAfter w:val="1"/>
          <w:wAfter w:w="10" w:type="dxa"/>
          <w:trHeight w:val="300"/>
        </w:trPr>
        <w:tc>
          <w:tcPr>
            <w:tcW w:w="1978" w:type="dxa"/>
            <w:tcMar>
              <w:top w:w="0" w:type="dxa"/>
              <w:left w:w="108" w:type="dxa"/>
              <w:bottom w:w="0" w:type="dxa"/>
              <w:right w:w="108" w:type="dxa"/>
            </w:tcMar>
          </w:tcPr>
          <w:p w14:paraId="7CA95179" w14:textId="77777777" w:rsidR="0091461D" w:rsidRDefault="0091461D" w:rsidP="0091461D">
            <w:pPr>
              <w:ind w:firstLine="0"/>
              <w:rPr>
                <w:b/>
                <w:bCs/>
                <w:sz w:val="24"/>
                <w:szCs w:val="24"/>
              </w:rPr>
            </w:pPr>
            <w:r>
              <w:rPr>
                <w:b/>
                <w:bCs/>
                <w:sz w:val="24"/>
                <w:szCs w:val="24"/>
              </w:rPr>
              <w:t xml:space="preserve">Ministerul Dezvoltării Economice și Digitalizării </w:t>
            </w:r>
          </w:p>
          <w:p w14:paraId="7E8671DD" w14:textId="7915D70A" w:rsidR="0091461D" w:rsidRPr="00A57B4E" w:rsidRDefault="0091461D" w:rsidP="0091461D">
            <w:pPr>
              <w:ind w:firstLine="0"/>
              <w:rPr>
                <w:sz w:val="24"/>
                <w:szCs w:val="24"/>
                <w:lang w:val="ro-MD"/>
              </w:rPr>
            </w:pPr>
            <w:r>
              <w:rPr>
                <w:sz w:val="24"/>
                <w:szCs w:val="24"/>
              </w:rPr>
              <w:t>Nr. 5-2106 din 17 iulie 2025</w:t>
            </w:r>
          </w:p>
        </w:tc>
        <w:tc>
          <w:tcPr>
            <w:tcW w:w="574" w:type="dxa"/>
            <w:tcMar>
              <w:top w:w="0" w:type="dxa"/>
              <w:left w:w="108" w:type="dxa"/>
              <w:bottom w:w="0" w:type="dxa"/>
              <w:right w:w="108" w:type="dxa"/>
            </w:tcMar>
          </w:tcPr>
          <w:p w14:paraId="06CB1FF4" w14:textId="77777777" w:rsidR="0091461D" w:rsidRPr="00062017" w:rsidRDefault="0091461D" w:rsidP="0091461D">
            <w:pPr>
              <w:pStyle w:val="ListParagraph"/>
              <w:numPr>
                <w:ilvl w:val="0"/>
                <w:numId w:val="48"/>
              </w:numPr>
              <w:ind w:left="0" w:right="5" w:firstLine="0"/>
              <w:contextualSpacing w:val="0"/>
              <w:rPr>
                <w:sz w:val="24"/>
                <w:szCs w:val="24"/>
              </w:rPr>
            </w:pPr>
          </w:p>
        </w:tc>
        <w:tc>
          <w:tcPr>
            <w:tcW w:w="6674" w:type="dxa"/>
            <w:tcMar>
              <w:top w:w="0" w:type="dxa"/>
              <w:left w:w="108" w:type="dxa"/>
              <w:bottom w:w="0" w:type="dxa"/>
              <w:right w:w="108" w:type="dxa"/>
            </w:tcMar>
          </w:tcPr>
          <w:p w14:paraId="39958013" w14:textId="0BFB5D00" w:rsidR="0091461D" w:rsidRPr="00062017" w:rsidRDefault="0091461D" w:rsidP="0091461D">
            <w:pPr>
              <w:ind w:firstLine="0"/>
              <w:rPr>
                <w:sz w:val="24"/>
                <w:szCs w:val="24"/>
              </w:rPr>
            </w:pPr>
            <w:r w:rsidRPr="00283767">
              <w:rPr>
                <w:sz w:val="24"/>
                <w:szCs w:val="24"/>
              </w:rPr>
              <w:t>Prin prezentul aviz susținem promovarea proiectului prezentat privind înlăturarea neconcordanțelor între HG nr.959/2018 cu prevederile Legii nr. 155/2011, Anexei nr.10 la Legea nr.270/2018 privind sistemul unitar de salarizare în sectorul bugetar, precum și Anexele nr. 5 și 12 la HG nr.201/2009 privind punerea în aplicare a prevederilor Legii nr. 158/2008 cu privire la funcția publică și statutul funcționarului public.</w:t>
            </w:r>
          </w:p>
        </w:tc>
        <w:tc>
          <w:tcPr>
            <w:tcW w:w="5439" w:type="dxa"/>
            <w:tcMar>
              <w:top w:w="0" w:type="dxa"/>
              <w:left w:w="108" w:type="dxa"/>
              <w:bottom w:w="0" w:type="dxa"/>
              <w:right w:w="108" w:type="dxa"/>
            </w:tcMar>
          </w:tcPr>
          <w:p w14:paraId="7CD1D879" w14:textId="77777777" w:rsidR="0091461D" w:rsidRDefault="0091461D" w:rsidP="0091461D">
            <w:pPr>
              <w:ind w:firstLine="0"/>
              <w:rPr>
                <w:b/>
                <w:bCs/>
                <w:sz w:val="24"/>
                <w:szCs w:val="24"/>
              </w:rPr>
            </w:pPr>
            <w:r>
              <w:rPr>
                <w:b/>
                <w:bCs/>
                <w:sz w:val="24"/>
                <w:szCs w:val="24"/>
              </w:rPr>
              <w:t xml:space="preserve">Se acceptă </w:t>
            </w:r>
          </w:p>
          <w:p w14:paraId="375F27BA" w14:textId="0C358D1D" w:rsidR="0091461D" w:rsidRPr="00283767" w:rsidRDefault="0091461D" w:rsidP="0091461D">
            <w:pPr>
              <w:ind w:firstLine="0"/>
              <w:rPr>
                <w:i/>
                <w:iCs/>
                <w:sz w:val="24"/>
                <w:szCs w:val="24"/>
              </w:rPr>
            </w:pPr>
            <w:r>
              <w:rPr>
                <w:i/>
                <w:iCs/>
                <w:sz w:val="24"/>
                <w:szCs w:val="24"/>
              </w:rPr>
              <w:t>(</w:t>
            </w:r>
            <w:r w:rsidRPr="00283767">
              <w:rPr>
                <w:i/>
                <w:iCs/>
                <w:sz w:val="24"/>
                <w:szCs w:val="24"/>
              </w:rPr>
              <w:t>Nu necesită intervenție</w:t>
            </w:r>
            <w:r>
              <w:rPr>
                <w:i/>
                <w:iCs/>
                <w:sz w:val="24"/>
                <w:szCs w:val="24"/>
              </w:rPr>
              <w:t>)</w:t>
            </w:r>
          </w:p>
        </w:tc>
      </w:tr>
    </w:tbl>
    <w:p w14:paraId="654D042F" w14:textId="77777777" w:rsidR="004F7AC7" w:rsidRDefault="004F7AC7">
      <w:r>
        <w:br w:type="page"/>
      </w:r>
    </w:p>
    <w:tbl>
      <w:tblPr>
        <w:tblStyle w:val="GrilTabel2"/>
        <w:tblpPr w:leftFromText="180" w:rightFromText="180" w:vertAnchor="text" w:tblpY="1"/>
        <w:tblOverlap w:val="never"/>
        <w:tblW w:w="14665" w:type="dxa"/>
        <w:tblLook w:val="04A0" w:firstRow="1" w:lastRow="0" w:firstColumn="1" w:lastColumn="0" w:noHBand="0" w:noVBand="1"/>
      </w:tblPr>
      <w:tblGrid>
        <w:gridCol w:w="1885"/>
        <w:gridCol w:w="630"/>
        <w:gridCol w:w="6005"/>
        <w:gridCol w:w="6145"/>
      </w:tblGrid>
      <w:tr w:rsidR="00B45BEC" w:rsidRPr="002E3513" w14:paraId="2C483895" w14:textId="77777777" w:rsidTr="004F7AC7">
        <w:trPr>
          <w:trHeight w:val="300"/>
        </w:trPr>
        <w:tc>
          <w:tcPr>
            <w:tcW w:w="1885" w:type="dxa"/>
            <w:vMerge w:val="restart"/>
            <w:tcMar>
              <w:top w:w="0" w:type="dxa"/>
              <w:left w:w="108" w:type="dxa"/>
              <w:bottom w:w="0" w:type="dxa"/>
              <w:right w:w="108" w:type="dxa"/>
            </w:tcMar>
          </w:tcPr>
          <w:p w14:paraId="04412438" w14:textId="78014F52" w:rsidR="00B45BEC" w:rsidRDefault="00B45BEC" w:rsidP="00437976">
            <w:pPr>
              <w:ind w:firstLine="0"/>
              <w:rPr>
                <w:b/>
                <w:bCs/>
                <w:sz w:val="24"/>
                <w:szCs w:val="24"/>
              </w:rPr>
            </w:pPr>
          </w:p>
        </w:tc>
        <w:tc>
          <w:tcPr>
            <w:tcW w:w="630" w:type="dxa"/>
            <w:tcMar>
              <w:top w:w="0" w:type="dxa"/>
              <w:left w:w="108" w:type="dxa"/>
              <w:bottom w:w="0" w:type="dxa"/>
              <w:right w:w="108" w:type="dxa"/>
            </w:tcMar>
          </w:tcPr>
          <w:p w14:paraId="52173E40" w14:textId="77777777" w:rsidR="00B45BEC" w:rsidRPr="00062017" w:rsidRDefault="00B45BEC" w:rsidP="00437976">
            <w:pPr>
              <w:pStyle w:val="ListParagraph"/>
              <w:numPr>
                <w:ilvl w:val="0"/>
                <w:numId w:val="48"/>
              </w:numPr>
              <w:ind w:left="0" w:right="5" w:firstLine="0"/>
              <w:contextualSpacing w:val="0"/>
              <w:rPr>
                <w:sz w:val="24"/>
                <w:szCs w:val="24"/>
              </w:rPr>
            </w:pPr>
          </w:p>
        </w:tc>
        <w:tc>
          <w:tcPr>
            <w:tcW w:w="6005" w:type="dxa"/>
            <w:tcMar>
              <w:top w:w="0" w:type="dxa"/>
              <w:left w:w="108" w:type="dxa"/>
              <w:bottom w:w="0" w:type="dxa"/>
              <w:right w:w="108" w:type="dxa"/>
            </w:tcMar>
          </w:tcPr>
          <w:p w14:paraId="5BB35B5F" w14:textId="77777777" w:rsidR="00B45BEC" w:rsidRDefault="00B45BEC" w:rsidP="00437976">
            <w:pPr>
              <w:ind w:firstLine="0"/>
              <w:rPr>
                <w:sz w:val="24"/>
                <w:szCs w:val="24"/>
              </w:rPr>
            </w:pPr>
            <w:r w:rsidRPr="0083379F">
              <w:rPr>
                <w:sz w:val="24"/>
                <w:szCs w:val="24"/>
              </w:rPr>
              <w:t xml:space="preserve">II. În contextul amendamentelor propuse, venim cu completarea documentului în cauză cu norme adiționale care ar viza optimizarea activității funcționale a instituțiilor din cadrul serviciului diplomatic al Republicii Moldova în străinătate, prin ajustarea structurii și efectivului de personal al birourilor (secțiilor) comercial-economice din cadrul următoarelor Ambasade ale Republicii Moldova: Statele Unite ale Americii, Suedia, Belgia, Turcia, Federația Rusă și Confederația Elvețiană. </w:t>
            </w:r>
          </w:p>
          <w:p w14:paraId="4A674626" w14:textId="77777777" w:rsidR="00B45BEC" w:rsidRDefault="00B45BEC" w:rsidP="00437976">
            <w:pPr>
              <w:ind w:firstLine="0"/>
              <w:rPr>
                <w:sz w:val="24"/>
                <w:szCs w:val="24"/>
              </w:rPr>
            </w:pPr>
          </w:p>
          <w:p w14:paraId="705A33CF" w14:textId="0AC533F7" w:rsidR="00B45BEC" w:rsidRDefault="00B45BEC" w:rsidP="00437976">
            <w:pPr>
              <w:ind w:firstLine="0"/>
              <w:rPr>
                <w:sz w:val="24"/>
                <w:szCs w:val="24"/>
              </w:rPr>
            </w:pPr>
            <w:r w:rsidRPr="0083379F">
              <w:rPr>
                <w:sz w:val="24"/>
                <w:szCs w:val="24"/>
              </w:rPr>
              <w:t xml:space="preserve">Astfel, cu referire la prevederile art.7 lit.b) și f) din Legea nr.136/2017 cu privire la Guvern, Programul National de Atragere a Investițiilor și de Promovare a Exporturilor pentru anii 2024- 2028 (PNAIPE), pct.13 al Regulamentului privind birourile (secțiile) comercial-economice în cadrul misiunilor diplomatice și oficiilor consulare ale Republicii Moldova peste hotare, aprobat prin HG nr.413/2017, pct. 6 subpct.13 din Regulamentul cu privire la organizarea și funcționarea Ministerului Dezvoltării Economice și Digitalizării, aprobat prin HG nr.143/2021, precum și pct. 10.3 din Planul anual de acțiuni al Ministerului Dezvoltării Economice și Digitalizării pentru anul 2025, aprobat prin Ordinul Viceprim-ministrului, ministrul dezvoltării economice și digitalizării nr.22 din 21 februarie 2025, intervenim cu următoarele. </w:t>
            </w:r>
          </w:p>
          <w:p w14:paraId="15845DE6" w14:textId="77777777" w:rsidR="00B45BEC" w:rsidRDefault="00B45BEC" w:rsidP="00437976">
            <w:pPr>
              <w:ind w:firstLine="0"/>
              <w:rPr>
                <w:sz w:val="24"/>
                <w:szCs w:val="24"/>
              </w:rPr>
            </w:pPr>
          </w:p>
          <w:p w14:paraId="7DA3F074" w14:textId="5B7B3544" w:rsidR="00B45BEC" w:rsidRPr="004F7AC7" w:rsidRDefault="00B45BEC" w:rsidP="004F7AC7">
            <w:pPr>
              <w:ind w:firstLine="0"/>
              <w:rPr>
                <w:sz w:val="24"/>
                <w:szCs w:val="24"/>
              </w:rPr>
            </w:pPr>
            <w:r>
              <w:rPr>
                <w:sz w:val="24"/>
                <w:szCs w:val="24"/>
              </w:rPr>
              <w:t xml:space="preserve">1) </w:t>
            </w:r>
            <w:r w:rsidRPr="004F7AC7">
              <w:rPr>
                <w:sz w:val="24"/>
                <w:szCs w:val="24"/>
              </w:rPr>
              <w:t>Propunem crearea Serviciului comercial-economic în cadrul Ambasadei Republicii Moldova în Statele Unite ale Americii (Washington DC) prin transferul funcției de Consilier din cadrul Serviciului comercial-economic al Ambasadei Republicii Moldova în Federația Rusă, care este vacantă la momentul de față (nota: în Moscova rămâne Ministrul-consilier pe dosar economic din cadrul BCE).</w:t>
            </w:r>
          </w:p>
          <w:p w14:paraId="62F3EA9E" w14:textId="77777777" w:rsidR="00B45BEC" w:rsidRDefault="00B45BEC" w:rsidP="004F7AC7">
            <w:pPr>
              <w:ind w:firstLine="0"/>
              <w:rPr>
                <w:sz w:val="24"/>
                <w:szCs w:val="24"/>
              </w:rPr>
            </w:pPr>
          </w:p>
          <w:p w14:paraId="60BC0925" w14:textId="7AB73EDF" w:rsidR="00B45BEC" w:rsidRPr="004F7AC7" w:rsidRDefault="00B45BEC" w:rsidP="004F7AC7">
            <w:pPr>
              <w:ind w:firstLine="0"/>
              <w:rPr>
                <w:sz w:val="24"/>
                <w:szCs w:val="24"/>
              </w:rPr>
            </w:pPr>
            <w:r w:rsidRPr="004F7AC7">
              <w:rPr>
                <w:sz w:val="24"/>
                <w:szCs w:val="24"/>
              </w:rPr>
              <w:lastRenderedPageBreak/>
              <w:t>Această propunere vine în contextul complexității relațiilor actuale între Republica Moldova și SUA, fiind susținută de argumente și considerente concludente, care se raportează atât la obiectivele documentelor de planificare strategică, cerințele, volumul și complexitatea de activități desfășurate, dar și la evoluția schimburilor comerciale și potențialul de atragere a investițiilor și asistenței tehnice în Republica Moldova. Impactul bugetar, conform calculelor estimative, va constitui adițional 257 euro la achitarea îndemnizațiilor și, respectiv, plafonul de cazare va fi de două ori mai mare la Washington (categoria IV) decât ar fi la Moscova (categoria II).</w:t>
            </w:r>
          </w:p>
        </w:tc>
        <w:tc>
          <w:tcPr>
            <w:tcW w:w="6145" w:type="dxa"/>
            <w:tcMar>
              <w:top w:w="0" w:type="dxa"/>
              <w:left w:w="108" w:type="dxa"/>
              <w:bottom w:w="0" w:type="dxa"/>
              <w:right w:w="108" w:type="dxa"/>
            </w:tcMar>
          </w:tcPr>
          <w:p w14:paraId="48EA55AC" w14:textId="77777777" w:rsidR="00EA0E64" w:rsidRDefault="00EA0E64" w:rsidP="00EA0E64">
            <w:pPr>
              <w:pBdr>
                <w:top w:val="none" w:sz="4" w:space="0" w:color="000000"/>
                <w:left w:val="none" w:sz="4" w:space="0" w:color="000000"/>
                <w:bottom w:val="none" w:sz="4" w:space="0" w:color="000000"/>
                <w:right w:val="none" w:sz="4" w:space="0" w:color="000000"/>
              </w:pBdr>
              <w:ind w:firstLine="0"/>
              <w:rPr>
                <w:b/>
                <w:bCs/>
                <w:sz w:val="24"/>
                <w:szCs w:val="24"/>
              </w:rPr>
            </w:pPr>
            <w:r w:rsidRPr="00066077">
              <w:rPr>
                <w:b/>
                <w:bCs/>
                <w:sz w:val="24"/>
                <w:szCs w:val="24"/>
              </w:rPr>
              <w:lastRenderedPageBreak/>
              <w:t>Se acceptă.</w:t>
            </w:r>
          </w:p>
          <w:p w14:paraId="28B7BFDD" w14:textId="60E5813F" w:rsidR="00B45BEC" w:rsidRDefault="00EA0E64" w:rsidP="00EA0E64">
            <w:pPr>
              <w:ind w:firstLine="0"/>
              <w:rPr>
                <w:b/>
                <w:bCs/>
                <w:sz w:val="24"/>
                <w:szCs w:val="24"/>
              </w:rPr>
            </w:pPr>
            <w:r>
              <w:rPr>
                <w:i/>
                <w:iCs/>
                <w:sz w:val="24"/>
                <w:szCs w:val="24"/>
              </w:rPr>
              <w:t>(Proiectul a fost ajustat)</w:t>
            </w:r>
          </w:p>
        </w:tc>
      </w:tr>
      <w:tr w:rsidR="00B45BEC" w:rsidRPr="002E3513" w14:paraId="13217C03" w14:textId="77777777" w:rsidTr="004F7AC7">
        <w:trPr>
          <w:trHeight w:val="300"/>
        </w:trPr>
        <w:tc>
          <w:tcPr>
            <w:tcW w:w="1885" w:type="dxa"/>
            <w:vMerge/>
            <w:tcMar>
              <w:top w:w="0" w:type="dxa"/>
              <w:left w:w="108" w:type="dxa"/>
              <w:bottom w:w="0" w:type="dxa"/>
              <w:right w:w="108" w:type="dxa"/>
            </w:tcMar>
          </w:tcPr>
          <w:p w14:paraId="2EDD55C3" w14:textId="77777777" w:rsidR="00B45BEC" w:rsidRDefault="00B45BEC" w:rsidP="00437976">
            <w:pPr>
              <w:ind w:firstLine="0"/>
              <w:rPr>
                <w:b/>
                <w:bCs/>
                <w:sz w:val="24"/>
                <w:szCs w:val="24"/>
              </w:rPr>
            </w:pPr>
          </w:p>
        </w:tc>
        <w:tc>
          <w:tcPr>
            <w:tcW w:w="630" w:type="dxa"/>
            <w:tcMar>
              <w:top w:w="0" w:type="dxa"/>
              <w:left w:w="108" w:type="dxa"/>
              <w:bottom w:w="0" w:type="dxa"/>
              <w:right w:w="108" w:type="dxa"/>
            </w:tcMar>
          </w:tcPr>
          <w:p w14:paraId="7C2FE72A" w14:textId="77777777" w:rsidR="00B45BEC" w:rsidRPr="00062017" w:rsidRDefault="00B45BEC" w:rsidP="00437976">
            <w:pPr>
              <w:pStyle w:val="ListParagraph"/>
              <w:numPr>
                <w:ilvl w:val="0"/>
                <w:numId w:val="48"/>
              </w:numPr>
              <w:ind w:left="0" w:right="5" w:firstLine="0"/>
              <w:contextualSpacing w:val="0"/>
              <w:rPr>
                <w:sz w:val="24"/>
                <w:szCs w:val="24"/>
              </w:rPr>
            </w:pPr>
          </w:p>
        </w:tc>
        <w:tc>
          <w:tcPr>
            <w:tcW w:w="6005" w:type="dxa"/>
            <w:tcMar>
              <w:top w:w="0" w:type="dxa"/>
              <w:left w:w="108" w:type="dxa"/>
              <w:bottom w:w="0" w:type="dxa"/>
              <w:right w:w="108" w:type="dxa"/>
            </w:tcMar>
          </w:tcPr>
          <w:p w14:paraId="5A04231B" w14:textId="77777777" w:rsidR="00B45BEC" w:rsidRDefault="00B45BEC" w:rsidP="00437976">
            <w:pPr>
              <w:ind w:firstLine="0"/>
              <w:rPr>
                <w:sz w:val="24"/>
                <w:szCs w:val="24"/>
              </w:rPr>
            </w:pPr>
            <w:r w:rsidRPr="00A54EFC">
              <w:rPr>
                <w:sz w:val="24"/>
                <w:szCs w:val="24"/>
              </w:rPr>
              <w:t xml:space="preserve">2) Funcția de Secretar II din cadrul Serviciului comercial-economic al Ambasadei Republicii Moldova în Republica Turcia (nota: în Ankara rămâne consilier pe dosar economic din cadrul BCE, care urmează a fi suplinit în curînd), care este vacantă la moment, se propune a fi transferată în Consulatul General al Republicii Moldova în Chicago (USA), în componența Serviciului comercial-economic nou creat. </w:t>
            </w:r>
          </w:p>
          <w:p w14:paraId="4BECEC00" w14:textId="77777777" w:rsidR="00B45BEC" w:rsidRDefault="00B45BEC" w:rsidP="00437976">
            <w:pPr>
              <w:ind w:firstLine="0"/>
              <w:rPr>
                <w:sz w:val="24"/>
                <w:szCs w:val="24"/>
              </w:rPr>
            </w:pPr>
          </w:p>
          <w:p w14:paraId="54C4217B" w14:textId="6BC3A70F" w:rsidR="00B45BEC" w:rsidRPr="00283767" w:rsidRDefault="00B45BEC" w:rsidP="00437976">
            <w:pPr>
              <w:ind w:firstLine="0"/>
              <w:rPr>
                <w:sz w:val="24"/>
                <w:szCs w:val="24"/>
              </w:rPr>
            </w:pPr>
            <w:r w:rsidRPr="00A54EFC">
              <w:rPr>
                <w:sz w:val="24"/>
                <w:szCs w:val="24"/>
              </w:rPr>
              <w:t xml:space="preserve">Inițiativa vine în contextul fortificării prezenței economice a Republicii Moldova în Statele Unite ale Americii, în special în regiunea Midwest, una dintre cele mai dezvoltate și industrializate zone din SUA. Mai mult ca atât, Chicago este un hub economic major pentru industriile de producție, tehnologie, agricultură, transport și logistică. Prezența aici a unui BCE ar facilita atragerea investițiilor americane și promovarea exporturilor moldovenești către un public țintă cu putere economică ridicată. Regiunea găzduiește mii de companii internaționale și camere de comerț, iar Chicago este sediul unor importante târguri și expoziții comerciale. Prin intermediul BCE, Republica Moldova ar putea stabili parteneriate directe B2B, promova participarea la </w:t>
            </w:r>
            <w:r w:rsidRPr="00A54EFC">
              <w:rPr>
                <w:sz w:val="24"/>
                <w:szCs w:val="24"/>
              </w:rPr>
              <w:lastRenderedPageBreak/>
              <w:t>evenimente economice relevante și crea contacte durabile. SUA reprezintă una dintre cele mai importante piețe din lume, iar o prezență economică activă la Chicago poate contribui la reziliența economică a țării noastre. Conform calculelor estimative, impactul asupra bugetului prevăzut va fi următorul: adițional 772 euro pentru achitarea îndemnizației lunare și, respect, plafonul de cazare va constitui de două ori mai mult decât ar fi la Ankara (categoria I).</w:t>
            </w:r>
          </w:p>
        </w:tc>
        <w:tc>
          <w:tcPr>
            <w:tcW w:w="6145" w:type="dxa"/>
            <w:tcMar>
              <w:top w:w="0" w:type="dxa"/>
              <w:left w:w="108" w:type="dxa"/>
              <w:bottom w:w="0" w:type="dxa"/>
              <w:right w:w="108" w:type="dxa"/>
            </w:tcMar>
          </w:tcPr>
          <w:p w14:paraId="1D432CA8" w14:textId="77777777" w:rsidR="0083287E" w:rsidRDefault="0083287E" w:rsidP="0083287E">
            <w:pPr>
              <w:pBdr>
                <w:top w:val="none" w:sz="4" w:space="0" w:color="000000"/>
                <w:left w:val="none" w:sz="4" w:space="0" w:color="000000"/>
                <w:bottom w:val="none" w:sz="4" w:space="0" w:color="000000"/>
                <w:right w:val="none" w:sz="4" w:space="0" w:color="000000"/>
              </w:pBdr>
              <w:ind w:firstLine="0"/>
              <w:rPr>
                <w:b/>
                <w:bCs/>
                <w:sz w:val="24"/>
                <w:szCs w:val="24"/>
              </w:rPr>
            </w:pPr>
            <w:r w:rsidRPr="00066077">
              <w:rPr>
                <w:b/>
                <w:bCs/>
                <w:sz w:val="24"/>
                <w:szCs w:val="24"/>
              </w:rPr>
              <w:lastRenderedPageBreak/>
              <w:t>Se acceptă.</w:t>
            </w:r>
          </w:p>
          <w:p w14:paraId="034542D4" w14:textId="3514DC35" w:rsidR="00B45BEC" w:rsidRDefault="0083287E" w:rsidP="0083287E">
            <w:pPr>
              <w:ind w:firstLine="0"/>
              <w:rPr>
                <w:b/>
                <w:bCs/>
                <w:sz w:val="24"/>
                <w:szCs w:val="24"/>
              </w:rPr>
            </w:pPr>
            <w:r>
              <w:rPr>
                <w:i/>
                <w:iCs/>
                <w:sz w:val="24"/>
                <w:szCs w:val="24"/>
              </w:rPr>
              <w:t>(Proiectul a fost ajustat)</w:t>
            </w:r>
          </w:p>
        </w:tc>
      </w:tr>
      <w:tr w:rsidR="00B45BEC" w:rsidRPr="002E3513" w14:paraId="072EDBF9" w14:textId="77777777" w:rsidTr="004F7AC7">
        <w:trPr>
          <w:trHeight w:val="300"/>
        </w:trPr>
        <w:tc>
          <w:tcPr>
            <w:tcW w:w="1885" w:type="dxa"/>
            <w:vMerge/>
            <w:tcMar>
              <w:top w:w="0" w:type="dxa"/>
              <w:left w:w="108" w:type="dxa"/>
              <w:bottom w:w="0" w:type="dxa"/>
              <w:right w:w="108" w:type="dxa"/>
            </w:tcMar>
          </w:tcPr>
          <w:p w14:paraId="524ADB05" w14:textId="77777777" w:rsidR="00B45BEC" w:rsidRDefault="00B45BEC" w:rsidP="00437976">
            <w:pPr>
              <w:ind w:firstLine="0"/>
              <w:rPr>
                <w:b/>
                <w:bCs/>
                <w:sz w:val="24"/>
                <w:szCs w:val="24"/>
              </w:rPr>
            </w:pPr>
          </w:p>
        </w:tc>
        <w:tc>
          <w:tcPr>
            <w:tcW w:w="630" w:type="dxa"/>
            <w:tcMar>
              <w:top w:w="0" w:type="dxa"/>
              <w:left w:w="108" w:type="dxa"/>
              <w:bottom w:w="0" w:type="dxa"/>
              <w:right w:w="108" w:type="dxa"/>
            </w:tcMar>
          </w:tcPr>
          <w:p w14:paraId="1CC13073" w14:textId="77777777" w:rsidR="00B45BEC" w:rsidRPr="00062017" w:rsidRDefault="00B45BEC" w:rsidP="00437976">
            <w:pPr>
              <w:pStyle w:val="ListParagraph"/>
              <w:numPr>
                <w:ilvl w:val="0"/>
                <w:numId w:val="48"/>
              </w:numPr>
              <w:ind w:left="0" w:right="5" w:firstLine="0"/>
              <w:contextualSpacing w:val="0"/>
              <w:rPr>
                <w:sz w:val="24"/>
                <w:szCs w:val="24"/>
              </w:rPr>
            </w:pPr>
          </w:p>
        </w:tc>
        <w:tc>
          <w:tcPr>
            <w:tcW w:w="6005" w:type="dxa"/>
            <w:tcMar>
              <w:top w:w="0" w:type="dxa"/>
              <w:left w:w="108" w:type="dxa"/>
              <w:bottom w:w="0" w:type="dxa"/>
              <w:right w:w="108" w:type="dxa"/>
            </w:tcMar>
          </w:tcPr>
          <w:p w14:paraId="3A369114" w14:textId="77777777" w:rsidR="00B45BEC" w:rsidRDefault="00B45BEC" w:rsidP="00437976">
            <w:pPr>
              <w:ind w:firstLine="0"/>
              <w:rPr>
                <w:sz w:val="24"/>
                <w:szCs w:val="24"/>
              </w:rPr>
            </w:pPr>
            <w:r>
              <w:rPr>
                <w:sz w:val="24"/>
                <w:szCs w:val="24"/>
              </w:rPr>
              <w:t>3</w:t>
            </w:r>
            <w:r w:rsidRPr="00A54EFC">
              <w:rPr>
                <w:sz w:val="24"/>
                <w:szCs w:val="24"/>
              </w:rPr>
              <w:t xml:space="preserve">) În același context, venim cu propunerea de a transfera poziția de Secretar II al BCE din cadrul Misiunii Republicii Moldova pe lângă UE, care la momentul actual este liberă, la Ambasada Republicii Moldova în Regatul Suediei prin crearea Serviciului comercial-economic. </w:t>
            </w:r>
          </w:p>
          <w:p w14:paraId="7812BE49" w14:textId="77777777" w:rsidR="00B45BEC" w:rsidRDefault="00B45BEC" w:rsidP="00437976">
            <w:pPr>
              <w:ind w:firstLine="0"/>
              <w:rPr>
                <w:sz w:val="24"/>
                <w:szCs w:val="24"/>
              </w:rPr>
            </w:pPr>
          </w:p>
          <w:p w14:paraId="5FA5E6E2" w14:textId="77777777" w:rsidR="00B45BEC" w:rsidRDefault="00B45BEC" w:rsidP="00437976">
            <w:pPr>
              <w:ind w:firstLine="0"/>
              <w:rPr>
                <w:sz w:val="24"/>
                <w:szCs w:val="24"/>
              </w:rPr>
            </w:pPr>
            <w:r w:rsidRPr="00A54EFC">
              <w:rPr>
                <w:sz w:val="24"/>
                <w:szCs w:val="24"/>
              </w:rPr>
              <w:t xml:space="preserve">Propunerea respectivă este argumentată prin necesitatea promovării active a relațiilor economice cu statele nordice. Suedia pentru Republica Moldova este un partener economic și de dezvoltare cu valoare adăugată ridicată, fiind unul dintre cei mai importanți susținători ai reformelor și dezvoltării, contribuind la acest proces prin asistență tehnică și sprijin financiar. În pofida faptului că relațiile noastre cu Suedia sunt stabile și cooperarea în domeniul dezvoltării este avansată, volumul comerțului bilateral rămâne modest. Astfel, crearea unui BCE la Stockholm ar contribui la identificarea și facilitarea oportunităților comerciale concrete pentru produsele moldovenești (vinuri, produse agroalimentare, textile, servicii IT etc.) și ar impulsiona dialogul economic între antreprenorii celor două state. </w:t>
            </w:r>
          </w:p>
          <w:p w14:paraId="1AFB195B" w14:textId="77777777" w:rsidR="00B45BEC" w:rsidRDefault="00B45BEC" w:rsidP="00437976">
            <w:pPr>
              <w:ind w:firstLine="0"/>
              <w:rPr>
                <w:sz w:val="24"/>
                <w:szCs w:val="24"/>
              </w:rPr>
            </w:pPr>
          </w:p>
          <w:p w14:paraId="3A6C7941" w14:textId="7A975740" w:rsidR="00B45BEC" w:rsidRPr="00283767" w:rsidRDefault="00B45BEC" w:rsidP="00437976">
            <w:pPr>
              <w:ind w:firstLine="0"/>
              <w:rPr>
                <w:sz w:val="24"/>
                <w:szCs w:val="24"/>
              </w:rPr>
            </w:pPr>
            <w:r w:rsidRPr="00A54EFC">
              <w:rPr>
                <w:sz w:val="24"/>
                <w:szCs w:val="24"/>
              </w:rPr>
              <w:t xml:space="preserve">Mai mult ca atât, Suedia este un punct strategic de acces a exporturilor moldovenești spre celelalte state nordice (Norvegia, Danemarca, Finlanda) și un BCE în cadrul Ambasadei va promova și în aceste state climatul </w:t>
            </w:r>
            <w:r w:rsidRPr="00A54EFC">
              <w:rPr>
                <w:sz w:val="24"/>
                <w:szCs w:val="24"/>
              </w:rPr>
              <w:lastRenderedPageBreak/>
              <w:t>investițional în rândurile investitorilor ”nordici”, în sectoarele precum energia regenerabilă, eficiența energetică, IT&amp;C, industria ușoară și agricultura ecologică. Conform calculelor aproximative, impactul asupra bugetului nu va fi înregistrat.</w:t>
            </w:r>
          </w:p>
        </w:tc>
        <w:tc>
          <w:tcPr>
            <w:tcW w:w="6145" w:type="dxa"/>
            <w:tcMar>
              <w:top w:w="0" w:type="dxa"/>
              <w:left w:w="108" w:type="dxa"/>
              <w:bottom w:w="0" w:type="dxa"/>
              <w:right w:w="108" w:type="dxa"/>
            </w:tcMar>
          </w:tcPr>
          <w:p w14:paraId="75CFD966" w14:textId="77777777" w:rsidR="0083287E" w:rsidRDefault="0083287E" w:rsidP="0083287E">
            <w:pPr>
              <w:pBdr>
                <w:top w:val="none" w:sz="4" w:space="0" w:color="000000"/>
                <w:left w:val="none" w:sz="4" w:space="0" w:color="000000"/>
                <w:bottom w:val="none" w:sz="4" w:space="0" w:color="000000"/>
                <w:right w:val="none" w:sz="4" w:space="0" w:color="000000"/>
              </w:pBdr>
              <w:ind w:firstLine="0"/>
              <w:rPr>
                <w:b/>
                <w:bCs/>
                <w:sz w:val="24"/>
                <w:szCs w:val="24"/>
              </w:rPr>
            </w:pPr>
            <w:r w:rsidRPr="00066077">
              <w:rPr>
                <w:b/>
                <w:bCs/>
                <w:sz w:val="24"/>
                <w:szCs w:val="24"/>
              </w:rPr>
              <w:lastRenderedPageBreak/>
              <w:t>Se acceptă.</w:t>
            </w:r>
          </w:p>
          <w:p w14:paraId="6E748568" w14:textId="41D4253A" w:rsidR="00B45BEC" w:rsidRDefault="0083287E" w:rsidP="0083287E">
            <w:pPr>
              <w:ind w:firstLine="0"/>
              <w:rPr>
                <w:b/>
                <w:bCs/>
                <w:sz w:val="24"/>
                <w:szCs w:val="24"/>
              </w:rPr>
            </w:pPr>
            <w:r>
              <w:rPr>
                <w:i/>
                <w:iCs/>
                <w:sz w:val="24"/>
                <w:szCs w:val="24"/>
              </w:rPr>
              <w:t>(Proiectul a fost ajustat)</w:t>
            </w:r>
          </w:p>
        </w:tc>
      </w:tr>
      <w:tr w:rsidR="00B45BEC" w:rsidRPr="002E3513" w14:paraId="37C853D7" w14:textId="77777777" w:rsidTr="004F7AC7">
        <w:trPr>
          <w:trHeight w:val="300"/>
        </w:trPr>
        <w:tc>
          <w:tcPr>
            <w:tcW w:w="1885" w:type="dxa"/>
            <w:vMerge/>
            <w:tcMar>
              <w:top w:w="0" w:type="dxa"/>
              <w:left w:w="108" w:type="dxa"/>
              <w:bottom w:w="0" w:type="dxa"/>
              <w:right w:w="108" w:type="dxa"/>
            </w:tcMar>
          </w:tcPr>
          <w:p w14:paraId="5DF8710E" w14:textId="77777777" w:rsidR="00B45BEC" w:rsidRDefault="00B45BEC" w:rsidP="00437976">
            <w:pPr>
              <w:ind w:firstLine="0"/>
              <w:rPr>
                <w:b/>
                <w:bCs/>
                <w:sz w:val="24"/>
                <w:szCs w:val="24"/>
              </w:rPr>
            </w:pPr>
          </w:p>
        </w:tc>
        <w:tc>
          <w:tcPr>
            <w:tcW w:w="630" w:type="dxa"/>
            <w:tcMar>
              <w:top w:w="0" w:type="dxa"/>
              <w:left w:w="108" w:type="dxa"/>
              <w:bottom w:w="0" w:type="dxa"/>
              <w:right w:w="108" w:type="dxa"/>
            </w:tcMar>
          </w:tcPr>
          <w:p w14:paraId="1F160027" w14:textId="77777777" w:rsidR="00B45BEC" w:rsidRPr="00062017" w:rsidRDefault="00B45BEC" w:rsidP="00437976">
            <w:pPr>
              <w:pStyle w:val="ListParagraph"/>
              <w:numPr>
                <w:ilvl w:val="0"/>
                <w:numId w:val="48"/>
              </w:numPr>
              <w:ind w:left="0" w:right="5" w:firstLine="0"/>
              <w:contextualSpacing w:val="0"/>
              <w:rPr>
                <w:sz w:val="24"/>
                <w:szCs w:val="24"/>
              </w:rPr>
            </w:pPr>
          </w:p>
        </w:tc>
        <w:tc>
          <w:tcPr>
            <w:tcW w:w="6005" w:type="dxa"/>
            <w:tcMar>
              <w:top w:w="0" w:type="dxa"/>
              <w:left w:w="108" w:type="dxa"/>
              <w:bottom w:w="0" w:type="dxa"/>
              <w:right w:w="108" w:type="dxa"/>
            </w:tcMar>
          </w:tcPr>
          <w:p w14:paraId="635F4B8D" w14:textId="77777777" w:rsidR="00B45BEC" w:rsidRDefault="00B45BEC" w:rsidP="00437976">
            <w:pPr>
              <w:ind w:firstLine="0"/>
              <w:rPr>
                <w:sz w:val="24"/>
                <w:szCs w:val="24"/>
              </w:rPr>
            </w:pPr>
            <w:r w:rsidRPr="00884CE6">
              <w:rPr>
                <w:sz w:val="24"/>
                <w:szCs w:val="24"/>
              </w:rPr>
              <w:t xml:space="preserve">4) Totodată, venim cu unele propuneri de ridicare a nivelului funcțiilor BCE existente în cadrul unor Misiuni. Astfel, în cadrul Reprezentanței Permanente a Republicii Moldova pe lângă oficiul ONU la Geneva (Confederația Elvețiană) poziția de Secretar I (reprezentant al Organizației Mondiale a Comerțului, probleme economice) propunem să fie ridicată la nivel de Consilier (reprezentant al Organizației Mondiale a Comerțului, probleme economice). </w:t>
            </w:r>
          </w:p>
          <w:p w14:paraId="59F0C5EB" w14:textId="77777777" w:rsidR="00B45BEC" w:rsidRDefault="00B45BEC" w:rsidP="00437976">
            <w:pPr>
              <w:ind w:firstLine="0"/>
              <w:rPr>
                <w:sz w:val="24"/>
                <w:szCs w:val="24"/>
              </w:rPr>
            </w:pPr>
          </w:p>
          <w:p w14:paraId="2A109862" w14:textId="77392A65" w:rsidR="00B45BEC" w:rsidRPr="00283767" w:rsidRDefault="00B45BEC" w:rsidP="00437976">
            <w:pPr>
              <w:ind w:firstLine="0"/>
              <w:rPr>
                <w:sz w:val="24"/>
                <w:szCs w:val="24"/>
              </w:rPr>
            </w:pPr>
            <w:r w:rsidRPr="00884CE6">
              <w:rPr>
                <w:sz w:val="24"/>
                <w:szCs w:val="24"/>
              </w:rPr>
              <w:t>Solicitarea respectivă se bazează pe argumente care reflectă atât natura complexă a activității desfășurate, cât și volumul și nivelul ridicat de responsabilitate. În cadrul portofoliului actual, diplomatul, responsabil de dosarul economic, gestionează componenta comercial-economică atât pe</w:t>
            </w:r>
            <w:r>
              <w:rPr>
                <w:sz w:val="24"/>
                <w:szCs w:val="24"/>
              </w:rPr>
              <w:t xml:space="preserve"> </w:t>
            </w:r>
            <w:r w:rsidRPr="006B35FF">
              <w:rPr>
                <w:sz w:val="24"/>
                <w:szCs w:val="24"/>
              </w:rPr>
              <w:t>dimensiunea multilaterală, reprezentând interesele Republicii Moldova în cadrul Secretariatului OMC (coordonarea Conferințelor Ministeriale OMC și pozițiilor expuse în cadrul Subcomitetelor), și altor organizații internaționale precum, UNECE și UNCTAD, cât și pe cea bilaterală, în raport cu autoritățile elvețiene. Mai mult ca atât, conlucrarea cu Secretariatul EFTA (cu sediul la Geneva) presupune gestionarea și consultarea continuă a activităților necesare în contextul implementării Acordului de Comerț Liber dintre Republica Moldova. Conform calculelor estimative, impactul asupra bugetului prevăzut nu va fi unul semnificativ și va consta în creșterea îndemnizației aproximativ cu 6% sau 220 euro.</w:t>
            </w:r>
          </w:p>
        </w:tc>
        <w:tc>
          <w:tcPr>
            <w:tcW w:w="6145" w:type="dxa"/>
            <w:tcMar>
              <w:top w:w="0" w:type="dxa"/>
              <w:left w:w="108" w:type="dxa"/>
              <w:bottom w:w="0" w:type="dxa"/>
              <w:right w:w="108" w:type="dxa"/>
            </w:tcMar>
          </w:tcPr>
          <w:p w14:paraId="4E7AC4DB" w14:textId="77777777" w:rsidR="00980D19" w:rsidRDefault="00980D19" w:rsidP="00980D19">
            <w:pPr>
              <w:pBdr>
                <w:top w:val="none" w:sz="4" w:space="0" w:color="000000"/>
                <w:left w:val="none" w:sz="4" w:space="0" w:color="000000"/>
                <w:bottom w:val="none" w:sz="4" w:space="0" w:color="000000"/>
                <w:right w:val="none" w:sz="4" w:space="0" w:color="000000"/>
              </w:pBdr>
              <w:ind w:firstLine="0"/>
              <w:rPr>
                <w:b/>
                <w:bCs/>
                <w:sz w:val="24"/>
                <w:szCs w:val="24"/>
              </w:rPr>
            </w:pPr>
            <w:r w:rsidRPr="00066077">
              <w:rPr>
                <w:b/>
                <w:bCs/>
                <w:sz w:val="24"/>
                <w:szCs w:val="24"/>
              </w:rPr>
              <w:t>Se acceptă.</w:t>
            </w:r>
          </w:p>
          <w:p w14:paraId="59B2B4A0" w14:textId="56DEE47E" w:rsidR="00B45BEC" w:rsidRDefault="00980D19" w:rsidP="00980D19">
            <w:pPr>
              <w:ind w:firstLine="0"/>
              <w:rPr>
                <w:b/>
                <w:bCs/>
                <w:sz w:val="24"/>
                <w:szCs w:val="24"/>
              </w:rPr>
            </w:pPr>
            <w:r>
              <w:rPr>
                <w:i/>
                <w:iCs/>
                <w:sz w:val="24"/>
                <w:szCs w:val="24"/>
              </w:rPr>
              <w:t>(Proiectul a fost ajustat)</w:t>
            </w:r>
          </w:p>
        </w:tc>
      </w:tr>
      <w:tr w:rsidR="00B45BEC" w:rsidRPr="002E3513" w14:paraId="501E9CB2" w14:textId="77777777" w:rsidTr="004F7AC7">
        <w:trPr>
          <w:trHeight w:val="300"/>
        </w:trPr>
        <w:tc>
          <w:tcPr>
            <w:tcW w:w="1885" w:type="dxa"/>
            <w:vMerge/>
            <w:tcMar>
              <w:top w:w="0" w:type="dxa"/>
              <w:left w:w="108" w:type="dxa"/>
              <w:bottom w:w="0" w:type="dxa"/>
              <w:right w:w="108" w:type="dxa"/>
            </w:tcMar>
          </w:tcPr>
          <w:p w14:paraId="004C61DF" w14:textId="77777777" w:rsidR="00B45BEC" w:rsidRDefault="00B45BEC" w:rsidP="00437976">
            <w:pPr>
              <w:ind w:firstLine="0"/>
              <w:rPr>
                <w:b/>
                <w:bCs/>
                <w:sz w:val="24"/>
                <w:szCs w:val="24"/>
              </w:rPr>
            </w:pPr>
          </w:p>
        </w:tc>
        <w:tc>
          <w:tcPr>
            <w:tcW w:w="630" w:type="dxa"/>
            <w:tcMar>
              <w:top w:w="0" w:type="dxa"/>
              <w:left w:w="108" w:type="dxa"/>
              <w:bottom w:w="0" w:type="dxa"/>
              <w:right w:w="108" w:type="dxa"/>
            </w:tcMar>
          </w:tcPr>
          <w:p w14:paraId="0D5368FA" w14:textId="77777777" w:rsidR="00B45BEC" w:rsidRPr="00062017" w:rsidRDefault="00B45BEC" w:rsidP="00437976">
            <w:pPr>
              <w:pStyle w:val="ListParagraph"/>
              <w:numPr>
                <w:ilvl w:val="0"/>
                <w:numId w:val="48"/>
              </w:numPr>
              <w:ind w:left="0" w:right="5" w:firstLine="0"/>
              <w:contextualSpacing w:val="0"/>
              <w:rPr>
                <w:sz w:val="24"/>
                <w:szCs w:val="24"/>
              </w:rPr>
            </w:pPr>
          </w:p>
        </w:tc>
        <w:tc>
          <w:tcPr>
            <w:tcW w:w="6005" w:type="dxa"/>
            <w:tcMar>
              <w:top w:w="0" w:type="dxa"/>
              <w:left w:w="108" w:type="dxa"/>
              <w:bottom w:w="0" w:type="dxa"/>
              <w:right w:w="108" w:type="dxa"/>
            </w:tcMar>
          </w:tcPr>
          <w:p w14:paraId="53EF04CE" w14:textId="7CF1A013" w:rsidR="00B45BEC" w:rsidRPr="00283767" w:rsidRDefault="00B45BEC" w:rsidP="006B35FF">
            <w:pPr>
              <w:tabs>
                <w:tab w:val="left" w:pos="1695"/>
              </w:tabs>
              <w:ind w:firstLine="0"/>
              <w:rPr>
                <w:sz w:val="24"/>
                <w:szCs w:val="24"/>
              </w:rPr>
            </w:pPr>
            <w:r w:rsidRPr="006B35FF">
              <w:rPr>
                <w:sz w:val="24"/>
                <w:szCs w:val="24"/>
              </w:rPr>
              <w:t xml:space="preserve">5) Adițional, reieșind din importanța procesului de integrare a Republici Moldov în UE, complexitatea funcțională și </w:t>
            </w:r>
            <w:r w:rsidRPr="006B35FF">
              <w:rPr>
                <w:sz w:val="24"/>
                <w:szCs w:val="24"/>
              </w:rPr>
              <w:lastRenderedPageBreak/>
              <w:t>volumul de lucru executat de actualul Secretar I al BCE în cadrul Misiunii Republicii Moldova pe lângă UE (Bruxelles), propunem ridicarea funcției respective la nivel de Consilier. Impactul asupra bugetului prevăzut nu va fi unul semnificativ și va consta în creșterea îndemnizației aproximativ cu 185 euro</w:t>
            </w:r>
            <w:r>
              <w:rPr>
                <w:sz w:val="24"/>
                <w:szCs w:val="24"/>
              </w:rPr>
              <w:t>.</w:t>
            </w:r>
          </w:p>
        </w:tc>
        <w:tc>
          <w:tcPr>
            <w:tcW w:w="6145" w:type="dxa"/>
            <w:tcMar>
              <w:top w:w="0" w:type="dxa"/>
              <w:left w:w="108" w:type="dxa"/>
              <w:bottom w:w="0" w:type="dxa"/>
              <w:right w:w="108" w:type="dxa"/>
            </w:tcMar>
          </w:tcPr>
          <w:p w14:paraId="490A0600" w14:textId="77777777" w:rsidR="004C208E" w:rsidRDefault="004C208E" w:rsidP="004C208E">
            <w:pPr>
              <w:pBdr>
                <w:top w:val="none" w:sz="4" w:space="0" w:color="000000"/>
                <w:left w:val="none" w:sz="4" w:space="0" w:color="000000"/>
                <w:bottom w:val="none" w:sz="4" w:space="0" w:color="000000"/>
                <w:right w:val="none" w:sz="4" w:space="0" w:color="000000"/>
              </w:pBdr>
              <w:ind w:firstLine="0"/>
              <w:rPr>
                <w:b/>
                <w:bCs/>
                <w:sz w:val="24"/>
                <w:szCs w:val="24"/>
              </w:rPr>
            </w:pPr>
            <w:r w:rsidRPr="00066077">
              <w:rPr>
                <w:b/>
                <w:bCs/>
                <w:sz w:val="24"/>
                <w:szCs w:val="24"/>
              </w:rPr>
              <w:lastRenderedPageBreak/>
              <w:t>Se acceptă.</w:t>
            </w:r>
          </w:p>
          <w:p w14:paraId="13982DB8" w14:textId="20951BC6" w:rsidR="00B45BEC" w:rsidRPr="00517308" w:rsidRDefault="004C208E" w:rsidP="004C208E">
            <w:pPr>
              <w:ind w:firstLine="0"/>
              <w:rPr>
                <w:sz w:val="24"/>
                <w:szCs w:val="24"/>
              </w:rPr>
            </w:pPr>
            <w:r>
              <w:rPr>
                <w:i/>
                <w:iCs/>
                <w:sz w:val="24"/>
                <w:szCs w:val="24"/>
              </w:rPr>
              <w:t>(Proiectul a fost ajustat)</w:t>
            </w:r>
          </w:p>
        </w:tc>
      </w:tr>
      <w:tr w:rsidR="00B45BEC" w:rsidRPr="002E3513" w14:paraId="57B2C381" w14:textId="77777777" w:rsidTr="004F7AC7">
        <w:trPr>
          <w:trHeight w:val="300"/>
        </w:trPr>
        <w:tc>
          <w:tcPr>
            <w:tcW w:w="1885" w:type="dxa"/>
            <w:vMerge/>
            <w:tcMar>
              <w:top w:w="0" w:type="dxa"/>
              <w:left w:w="108" w:type="dxa"/>
              <w:bottom w:w="0" w:type="dxa"/>
              <w:right w:w="108" w:type="dxa"/>
            </w:tcMar>
          </w:tcPr>
          <w:p w14:paraId="44AFF3DD" w14:textId="77777777" w:rsidR="00B45BEC" w:rsidRDefault="00B45BEC" w:rsidP="00437976">
            <w:pPr>
              <w:ind w:firstLine="0"/>
              <w:rPr>
                <w:b/>
                <w:bCs/>
                <w:sz w:val="24"/>
                <w:szCs w:val="24"/>
              </w:rPr>
            </w:pPr>
          </w:p>
        </w:tc>
        <w:tc>
          <w:tcPr>
            <w:tcW w:w="630" w:type="dxa"/>
            <w:tcMar>
              <w:top w:w="0" w:type="dxa"/>
              <w:left w:w="108" w:type="dxa"/>
              <w:bottom w:w="0" w:type="dxa"/>
              <w:right w:w="108" w:type="dxa"/>
            </w:tcMar>
          </w:tcPr>
          <w:p w14:paraId="2D2B4F76" w14:textId="77777777" w:rsidR="00B45BEC" w:rsidRPr="00062017" w:rsidRDefault="00B45BEC" w:rsidP="00437976">
            <w:pPr>
              <w:pStyle w:val="ListParagraph"/>
              <w:numPr>
                <w:ilvl w:val="0"/>
                <w:numId w:val="48"/>
              </w:numPr>
              <w:ind w:left="0" w:right="5" w:firstLine="0"/>
              <w:contextualSpacing w:val="0"/>
              <w:rPr>
                <w:sz w:val="24"/>
                <w:szCs w:val="24"/>
              </w:rPr>
            </w:pPr>
          </w:p>
        </w:tc>
        <w:tc>
          <w:tcPr>
            <w:tcW w:w="6005" w:type="dxa"/>
            <w:tcMar>
              <w:top w:w="0" w:type="dxa"/>
              <w:left w:w="108" w:type="dxa"/>
              <w:bottom w:w="0" w:type="dxa"/>
              <w:right w:w="108" w:type="dxa"/>
            </w:tcMar>
          </w:tcPr>
          <w:p w14:paraId="1B9E6DB0" w14:textId="6FC86FE1" w:rsidR="00B45BEC" w:rsidRDefault="00B45BEC" w:rsidP="006B35FF">
            <w:pPr>
              <w:tabs>
                <w:tab w:val="left" w:pos="1695"/>
              </w:tabs>
              <w:ind w:firstLine="0"/>
              <w:rPr>
                <w:sz w:val="24"/>
                <w:szCs w:val="24"/>
              </w:rPr>
            </w:pPr>
            <w:r w:rsidRPr="008E7BD2">
              <w:rPr>
                <w:sz w:val="24"/>
                <w:szCs w:val="24"/>
              </w:rPr>
              <w:t>III. Astfel, concluzionând cele relatate supra, redistribuirea funcțiilor birourilor comercial</w:t>
            </w:r>
            <w:r w:rsidR="0083287E">
              <w:rPr>
                <w:sz w:val="24"/>
                <w:szCs w:val="24"/>
              </w:rPr>
              <w:t>-</w:t>
            </w:r>
            <w:r w:rsidRPr="008E7BD2">
              <w:rPr>
                <w:sz w:val="24"/>
                <w:szCs w:val="24"/>
              </w:rPr>
              <w:t xml:space="preserve">economice (în continuare – BCE) din cadrul misiunilor diplomatice ale Republicii Moldova vizate reprezintă o oportunitate strategică majoră pentru fortificarea BCE în țările partenere cu care avem un interes economic din perspectiva realizării obiectivelor diplomației economice. Este evident că reorganizarea internă a BCE din cadrul ambasadelor vizate va avea un impact pozitiv asupra eficienței și funcționalității sistemului diplomatic al Republicii Moldova. </w:t>
            </w:r>
          </w:p>
          <w:p w14:paraId="4269BD3A" w14:textId="77777777" w:rsidR="00B45BEC" w:rsidRDefault="00B45BEC" w:rsidP="006B35FF">
            <w:pPr>
              <w:tabs>
                <w:tab w:val="left" w:pos="1695"/>
              </w:tabs>
              <w:ind w:firstLine="0"/>
              <w:rPr>
                <w:sz w:val="24"/>
                <w:szCs w:val="24"/>
              </w:rPr>
            </w:pPr>
          </w:p>
          <w:p w14:paraId="5B1ED98F" w14:textId="77777777" w:rsidR="00B45BEC" w:rsidRDefault="00B45BEC" w:rsidP="006B35FF">
            <w:pPr>
              <w:tabs>
                <w:tab w:val="left" w:pos="1695"/>
              </w:tabs>
              <w:ind w:firstLine="0"/>
              <w:rPr>
                <w:sz w:val="24"/>
                <w:szCs w:val="24"/>
              </w:rPr>
            </w:pPr>
            <w:r w:rsidRPr="008E7BD2">
              <w:rPr>
                <w:sz w:val="24"/>
                <w:szCs w:val="24"/>
              </w:rPr>
              <w:t xml:space="preserve">Relocarea propusă are potențialul de a fluidiza procesele interne și de a optimiza utilizarea resurselor umane și financiare deja existente. În mod concret, prin redistribuirea funcțiilor și concentrarea acestora în locații strategice, se va asigura o coordonare mai eficientă și o reacție rapidă la nevoile economice, adaptându-se mult mai ușor la dinamica piețelor internaționale. </w:t>
            </w:r>
          </w:p>
          <w:p w14:paraId="48482404" w14:textId="77777777" w:rsidR="00B45BEC" w:rsidRDefault="00B45BEC" w:rsidP="006B35FF">
            <w:pPr>
              <w:tabs>
                <w:tab w:val="left" w:pos="1695"/>
              </w:tabs>
              <w:ind w:firstLine="0"/>
              <w:rPr>
                <w:sz w:val="24"/>
                <w:szCs w:val="24"/>
              </w:rPr>
            </w:pPr>
          </w:p>
          <w:p w14:paraId="7194241A" w14:textId="498D2EC5" w:rsidR="00B45BEC" w:rsidRPr="006B35FF" w:rsidRDefault="00B45BEC" w:rsidP="006B35FF">
            <w:pPr>
              <w:tabs>
                <w:tab w:val="left" w:pos="1695"/>
              </w:tabs>
              <w:ind w:firstLine="0"/>
              <w:rPr>
                <w:sz w:val="24"/>
                <w:szCs w:val="24"/>
              </w:rPr>
            </w:pPr>
            <w:r w:rsidRPr="008E7BD2">
              <w:rPr>
                <w:sz w:val="24"/>
                <w:szCs w:val="24"/>
              </w:rPr>
              <w:t xml:space="preserve">În plus, prin întărirea poziției diplomației economice în aceste state, sectorul privat va beneficia de o promovare mai eficientă a produselor și serviciilor moldovenești, consolidându-se astfel legăturile economice bilaterale. Creșterea vizibilității economiei moldovenești și facilitarea accesului la informații esențiale despre piețele externe vor stimula investițiile și vor sprijini dezvoltarea de noi parteneriate economice, contribuind astfel la creșterea </w:t>
            </w:r>
            <w:r w:rsidRPr="008E7BD2">
              <w:rPr>
                <w:sz w:val="24"/>
                <w:szCs w:val="24"/>
              </w:rPr>
              <w:lastRenderedPageBreak/>
              <w:t>competitivității și sustenabilității sectorului privat din Republica Moldova.</w:t>
            </w:r>
          </w:p>
        </w:tc>
        <w:tc>
          <w:tcPr>
            <w:tcW w:w="6145" w:type="dxa"/>
            <w:tcMar>
              <w:top w:w="0" w:type="dxa"/>
              <w:left w:w="108" w:type="dxa"/>
              <w:bottom w:w="0" w:type="dxa"/>
              <w:right w:w="108" w:type="dxa"/>
            </w:tcMar>
          </w:tcPr>
          <w:p w14:paraId="375FB201" w14:textId="77777777" w:rsidR="00B87614" w:rsidRDefault="00B87614" w:rsidP="00B87614">
            <w:pPr>
              <w:pBdr>
                <w:top w:val="none" w:sz="4" w:space="0" w:color="000000"/>
                <w:left w:val="none" w:sz="4" w:space="0" w:color="000000"/>
                <w:bottom w:val="none" w:sz="4" w:space="0" w:color="000000"/>
                <w:right w:val="none" w:sz="4" w:space="0" w:color="000000"/>
              </w:pBdr>
              <w:ind w:firstLine="0"/>
              <w:rPr>
                <w:b/>
                <w:bCs/>
                <w:sz w:val="24"/>
                <w:szCs w:val="24"/>
              </w:rPr>
            </w:pPr>
            <w:r w:rsidRPr="00066077">
              <w:rPr>
                <w:b/>
                <w:bCs/>
                <w:sz w:val="24"/>
                <w:szCs w:val="24"/>
              </w:rPr>
              <w:lastRenderedPageBreak/>
              <w:t>Se acceptă.</w:t>
            </w:r>
          </w:p>
          <w:p w14:paraId="5B39E929" w14:textId="6D3CA747" w:rsidR="00B45BEC" w:rsidRDefault="00B87614" w:rsidP="00B87614">
            <w:pPr>
              <w:ind w:firstLine="0"/>
              <w:rPr>
                <w:b/>
                <w:bCs/>
                <w:sz w:val="24"/>
                <w:szCs w:val="24"/>
              </w:rPr>
            </w:pPr>
            <w:r>
              <w:rPr>
                <w:i/>
                <w:iCs/>
                <w:sz w:val="24"/>
                <w:szCs w:val="24"/>
              </w:rPr>
              <w:t>(Nu necesită intervenție)</w:t>
            </w:r>
          </w:p>
        </w:tc>
      </w:tr>
      <w:tr w:rsidR="00B45BEC" w:rsidRPr="002E3513" w14:paraId="52115D9A" w14:textId="77777777" w:rsidTr="004F7AC7">
        <w:trPr>
          <w:trHeight w:val="300"/>
        </w:trPr>
        <w:tc>
          <w:tcPr>
            <w:tcW w:w="1885" w:type="dxa"/>
            <w:vMerge/>
            <w:tcMar>
              <w:top w:w="0" w:type="dxa"/>
              <w:left w:w="108" w:type="dxa"/>
              <w:bottom w:w="0" w:type="dxa"/>
              <w:right w:w="108" w:type="dxa"/>
            </w:tcMar>
          </w:tcPr>
          <w:p w14:paraId="2F34C27C" w14:textId="77777777" w:rsidR="00B45BEC" w:rsidRDefault="00B45BEC" w:rsidP="00437976">
            <w:pPr>
              <w:ind w:firstLine="0"/>
              <w:rPr>
                <w:b/>
                <w:bCs/>
                <w:sz w:val="24"/>
                <w:szCs w:val="24"/>
              </w:rPr>
            </w:pPr>
          </w:p>
        </w:tc>
        <w:tc>
          <w:tcPr>
            <w:tcW w:w="630" w:type="dxa"/>
            <w:tcMar>
              <w:top w:w="0" w:type="dxa"/>
              <w:left w:w="108" w:type="dxa"/>
              <w:bottom w:w="0" w:type="dxa"/>
              <w:right w:w="108" w:type="dxa"/>
            </w:tcMar>
          </w:tcPr>
          <w:p w14:paraId="1615E7FD" w14:textId="77777777" w:rsidR="00B45BEC" w:rsidRPr="00062017" w:rsidRDefault="00B45BEC" w:rsidP="00437976">
            <w:pPr>
              <w:pStyle w:val="ListParagraph"/>
              <w:numPr>
                <w:ilvl w:val="0"/>
                <w:numId w:val="48"/>
              </w:numPr>
              <w:ind w:left="0" w:right="5" w:firstLine="0"/>
              <w:contextualSpacing w:val="0"/>
              <w:rPr>
                <w:sz w:val="24"/>
                <w:szCs w:val="24"/>
              </w:rPr>
            </w:pPr>
          </w:p>
        </w:tc>
        <w:tc>
          <w:tcPr>
            <w:tcW w:w="6005" w:type="dxa"/>
            <w:tcMar>
              <w:top w:w="0" w:type="dxa"/>
              <w:left w:w="108" w:type="dxa"/>
              <w:bottom w:w="0" w:type="dxa"/>
              <w:right w:w="108" w:type="dxa"/>
            </w:tcMar>
          </w:tcPr>
          <w:p w14:paraId="61719FB0" w14:textId="6D512D74" w:rsidR="00B45BEC" w:rsidRPr="006B35FF" w:rsidRDefault="00B45BEC" w:rsidP="006B35FF">
            <w:pPr>
              <w:tabs>
                <w:tab w:val="left" w:pos="1695"/>
              </w:tabs>
              <w:ind w:firstLine="0"/>
              <w:rPr>
                <w:sz w:val="24"/>
                <w:szCs w:val="24"/>
              </w:rPr>
            </w:pPr>
            <w:r w:rsidRPr="008E7BD2">
              <w:rPr>
                <w:sz w:val="24"/>
                <w:szCs w:val="24"/>
              </w:rPr>
              <w:t>IV. Birourile comercial-economice, reglementate de Hotărârea Guvernului nr.413/2017, reprezintă structuri esențiale în cadrul misiunilor diplomatice ale Republicii Moldova peste hotare, având un rol fundamental în promovarea intereselor economice externe ale țării. Aceste birouri sunt mandatate să sprijine dezvoltarea comerțului, atragerea de investiții și crearea de parteneriate economice strategice cu state de reședință. În cele din urmă, conform discuțiilor interinstituționale, MDED își exprima deschiderea de a contribui la definitivarea proiectului de hotărâre cu privire la modificarea HG nr.959/2018 prin acordarea suportului în elaborarea redacției finale a proiectului reieșind din propunerile expuse supra</w:t>
            </w:r>
            <w:r>
              <w:rPr>
                <w:sz w:val="24"/>
                <w:szCs w:val="24"/>
              </w:rPr>
              <w:t>.</w:t>
            </w:r>
          </w:p>
        </w:tc>
        <w:tc>
          <w:tcPr>
            <w:tcW w:w="6145" w:type="dxa"/>
            <w:tcMar>
              <w:top w:w="0" w:type="dxa"/>
              <w:left w:w="108" w:type="dxa"/>
              <w:bottom w:w="0" w:type="dxa"/>
              <w:right w:w="108" w:type="dxa"/>
            </w:tcMar>
          </w:tcPr>
          <w:p w14:paraId="57C6639A" w14:textId="77777777" w:rsidR="00160A0A" w:rsidRDefault="00160A0A" w:rsidP="00160A0A">
            <w:pPr>
              <w:pBdr>
                <w:top w:val="none" w:sz="4" w:space="0" w:color="000000"/>
                <w:left w:val="none" w:sz="4" w:space="0" w:color="000000"/>
                <w:bottom w:val="none" w:sz="4" w:space="0" w:color="000000"/>
                <w:right w:val="none" w:sz="4" w:space="0" w:color="000000"/>
              </w:pBdr>
              <w:ind w:firstLine="0"/>
              <w:rPr>
                <w:b/>
                <w:bCs/>
                <w:sz w:val="24"/>
                <w:szCs w:val="24"/>
              </w:rPr>
            </w:pPr>
            <w:r w:rsidRPr="00066077">
              <w:rPr>
                <w:b/>
                <w:bCs/>
                <w:sz w:val="24"/>
                <w:szCs w:val="24"/>
              </w:rPr>
              <w:t>Se acceptă.</w:t>
            </w:r>
          </w:p>
          <w:p w14:paraId="5F08076A" w14:textId="0F5BB94A" w:rsidR="00B45BEC" w:rsidRDefault="00160A0A" w:rsidP="00160A0A">
            <w:pPr>
              <w:ind w:firstLine="0"/>
              <w:rPr>
                <w:b/>
                <w:bCs/>
                <w:sz w:val="24"/>
                <w:szCs w:val="24"/>
              </w:rPr>
            </w:pPr>
            <w:r>
              <w:rPr>
                <w:i/>
                <w:iCs/>
                <w:sz w:val="24"/>
                <w:szCs w:val="24"/>
              </w:rPr>
              <w:t>(Nu necesită intervenție)</w:t>
            </w:r>
          </w:p>
        </w:tc>
      </w:tr>
      <w:tr w:rsidR="0074751E" w:rsidRPr="002E3513" w14:paraId="29BEF2B0" w14:textId="77777777" w:rsidTr="004F7AC7">
        <w:trPr>
          <w:trHeight w:val="300"/>
        </w:trPr>
        <w:tc>
          <w:tcPr>
            <w:tcW w:w="1885" w:type="dxa"/>
            <w:tcMar>
              <w:top w:w="0" w:type="dxa"/>
              <w:left w:w="108" w:type="dxa"/>
              <w:bottom w:w="0" w:type="dxa"/>
              <w:right w:w="108" w:type="dxa"/>
            </w:tcMar>
          </w:tcPr>
          <w:p w14:paraId="31719D04" w14:textId="393685D3" w:rsidR="0074751E" w:rsidRPr="00062017" w:rsidRDefault="0074751E" w:rsidP="00437976">
            <w:pPr>
              <w:ind w:firstLine="0"/>
              <w:jc w:val="left"/>
              <w:rPr>
                <w:b/>
                <w:bCs/>
                <w:sz w:val="24"/>
                <w:szCs w:val="24"/>
              </w:rPr>
            </w:pPr>
            <w:r w:rsidRPr="00062017">
              <w:rPr>
                <w:b/>
                <w:bCs/>
                <w:sz w:val="24"/>
                <w:szCs w:val="24"/>
              </w:rPr>
              <w:t>Consultare publică</w:t>
            </w:r>
            <w:r w:rsidRPr="00062017">
              <w:rPr>
                <w:rStyle w:val="FootnoteReference"/>
                <w:b/>
                <w:bCs/>
                <w:sz w:val="24"/>
                <w:szCs w:val="24"/>
              </w:rPr>
              <w:footnoteReference w:id="2"/>
            </w:r>
          </w:p>
        </w:tc>
        <w:tc>
          <w:tcPr>
            <w:tcW w:w="630" w:type="dxa"/>
            <w:tcMar>
              <w:top w:w="0" w:type="dxa"/>
              <w:left w:w="108" w:type="dxa"/>
              <w:bottom w:w="0" w:type="dxa"/>
              <w:right w:w="108" w:type="dxa"/>
            </w:tcMar>
          </w:tcPr>
          <w:p w14:paraId="6EA16549" w14:textId="33B968FA" w:rsidR="0074751E" w:rsidRPr="00062017" w:rsidRDefault="00125747" w:rsidP="00437976">
            <w:pPr>
              <w:ind w:right="76" w:firstLine="0"/>
              <w:rPr>
                <w:sz w:val="24"/>
                <w:szCs w:val="24"/>
              </w:rPr>
            </w:pPr>
            <w:r>
              <w:rPr>
                <w:sz w:val="24"/>
                <w:szCs w:val="24"/>
              </w:rPr>
              <w:t>2</w:t>
            </w:r>
            <w:r w:rsidR="00406EBE">
              <w:rPr>
                <w:sz w:val="24"/>
                <w:szCs w:val="24"/>
              </w:rPr>
              <w:t>1</w:t>
            </w:r>
            <w:r w:rsidR="0074751E" w:rsidRPr="00062017">
              <w:rPr>
                <w:sz w:val="24"/>
                <w:szCs w:val="24"/>
              </w:rPr>
              <w:t>.</w:t>
            </w:r>
          </w:p>
        </w:tc>
        <w:tc>
          <w:tcPr>
            <w:tcW w:w="6005" w:type="dxa"/>
            <w:tcMar>
              <w:top w:w="0" w:type="dxa"/>
              <w:left w:w="108" w:type="dxa"/>
              <w:bottom w:w="0" w:type="dxa"/>
              <w:right w:w="108" w:type="dxa"/>
            </w:tcMar>
          </w:tcPr>
          <w:p w14:paraId="40B7A29F" w14:textId="5DFE1B67" w:rsidR="0074751E" w:rsidRPr="00062017" w:rsidRDefault="0043405E" w:rsidP="00437976">
            <w:pPr>
              <w:ind w:firstLine="0"/>
              <w:rPr>
                <w:sz w:val="24"/>
                <w:szCs w:val="24"/>
              </w:rPr>
            </w:pPr>
            <w:r w:rsidRPr="00062017">
              <w:rPr>
                <w:sz w:val="24"/>
                <w:szCs w:val="24"/>
              </w:rPr>
              <w:t>Comentarii și propuneri nu au parvenit</w:t>
            </w:r>
          </w:p>
        </w:tc>
        <w:tc>
          <w:tcPr>
            <w:tcW w:w="6145" w:type="dxa"/>
            <w:tcMar>
              <w:top w:w="0" w:type="dxa"/>
              <w:left w:w="108" w:type="dxa"/>
              <w:bottom w:w="0" w:type="dxa"/>
              <w:right w:w="108" w:type="dxa"/>
            </w:tcMar>
          </w:tcPr>
          <w:p w14:paraId="5FE68666" w14:textId="5F304D16" w:rsidR="0074751E" w:rsidRPr="00062017" w:rsidRDefault="00160A0A" w:rsidP="00437976">
            <w:pPr>
              <w:ind w:firstLine="0"/>
              <w:rPr>
                <w:sz w:val="24"/>
                <w:szCs w:val="24"/>
              </w:rPr>
            </w:pPr>
            <w:r>
              <w:rPr>
                <w:sz w:val="24"/>
                <w:szCs w:val="24"/>
              </w:rPr>
              <w:t>-</w:t>
            </w:r>
          </w:p>
        </w:tc>
      </w:tr>
    </w:tbl>
    <w:p w14:paraId="24D8FE0E" w14:textId="2FB1C53D" w:rsidR="00582470" w:rsidRPr="002E3513" w:rsidRDefault="00437976" w:rsidP="001470D7">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sz w:val="24"/>
          <w:szCs w:val="24"/>
        </w:rPr>
      </w:pPr>
      <w:r>
        <w:rPr>
          <w:sz w:val="24"/>
          <w:szCs w:val="24"/>
        </w:rPr>
        <w:br w:type="textWrapping" w:clear="all"/>
      </w:r>
    </w:p>
    <w:sectPr w:rsidR="00582470" w:rsidRPr="002E3513" w:rsidSect="00207E57">
      <w:headerReference w:type="default" r:id="rId11"/>
      <w:footerReference w:type="default" r:id="rId12"/>
      <w:headerReference w:type="first" r:id="rId13"/>
      <w:footerReference w:type="first" r:id="rId14"/>
      <w:pgSz w:w="16840" w:h="11907" w:orient="landscape"/>
      <w:pgMar w:top="810" w:right="1360" w:bottom="567"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088E1" w14:textId="77777777" w:rsidR="00033AB4" w:rsidRDefault="00033AB4">
      <w:r>
        <w:separator/>
      </w:r>
    </w:p>
  </w:endnote>
  <w:endnote w:type="continuationSeparator" w:id="0">
    <w:p w14:paraId="0E87FE75" w14:textId="77777777" w:rsidR="00033AB4" w:rsidRDefault="00033AB4">
      <w:r>
        <w:continuationSeparator/>
      </w:r>
    </w:p>
  </w:endnote>
  <w:endnote w:type="continuationNotice" w:id="1">
    <w:p w14:paraId="44C61A23" w14:textId="77777777" w:rsidR="00033AB4" w:rsidRDefault="00033A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 Benguiat_Bold">
    <w:altName w:val="Calibri"/>
    <w:charset w:val="00"/>
    <w:family w:val="swiss"/>
    <w:pitch w:val="variable"/>
    <w:sig w:usb0="00000003" w:usb1="00000000" w:usb2="00000000" w:usb3="00000000" w:csb0="00000001" w:csb1="00000000"/>
  </w:font>
  <w:font w:name="$Caslon">
    <w:altName w:val="Calibri"/>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4CC30ECF" w14:paraId="6779E8EF" w14:textId="77777777" w:rsidTr="3DD2A7CB">
      <w:trPr>
        <w:trHeight w:val="300"/>
      </w:trPr>
      <w:tc>
        <w:tcPr>
          <w:tcW w:w="3115" w:type="dxa"/>
        </w:tcPr>
        <w:p w14:paraId="6C282475" w14:textId="4BF0F781" w:rsidR="4CC30ECF" w:rsidRDefault="4CC30ECF" w:rsidP="4CC30ECF">
          <w:pPr>
            <w:pStyle w:val="Header"/>
            <w:ind w:left="-115"/>
            <w:jc w:val="left"/>
          </w:pPr>
        </w:p>
      </w:tc>
      <w:tc>
        <w:tcPr>
          <w:tcW w:w="3115" w:type="dxa"/>
        </w:tcPr>
        <w:p w14:paraId="16A5A57A" w14:textId="0E1BE6F3" w:rsidR="4CC30ECF" w:rsidRDefault="4CC30ECF" w:rsidP="4CC30ECF">
          <w:pPr>
            <w:pStyle w:val="Header"/>
            <w:jc w:val="center"/>
          </w:pPr>
        </w:p>
      </w:tc>
      <w:tc>
        <w:tcPr>
          <w:tcW w:w="3115" w:type="dxa"/>
        </w:tcPr>
        <w:p w14:paraId="07D85533" w14:textId="470B30A0" w:rsidR="4CC30ECF" w:rsidRDefault="4CC30ECF" w:rsidP="4CC30ECF">
          <w:pPr>
            <w:pStyle w:val="Header"/>
            <w:ind w:right="-115"/>
            <w:jc w:val="right"/>
          </w:pPr>
        </w:p>
      </w:tc>
    </w:tr>
  </w:tbl>
  <w:p w14:paraId="791EEA25" w14:textId="08ABBEBB" w:rsidR="4CC30ECF" w:rsidRDefault="4CC30ECF" w:rsidP="4CC30E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4CC30ECF" w14:paraId="112EF3B3" w14:textId="77777777" w:rsidTr="3DD2A7CB">
      <w:trPr>
        <w:trHeight w:val="300"/>
      </w:trPr>
      <w:tc>
        <w:tcPr>
          <w:tcW w:w="3115" w:type="dxa"/>
        </w:tcPr>
        <w:p w14:paraId="413B3322" w14:textId="33724DC7" w:rsidR="4CC30ECF" w:rsidRDefault="4CC30ECF" w:rsidP="4CC30ECF">
          <w:pPr>
            <w:pStyle w:val="Header"/>
            <w:ind w:left="-115"/>
            <w:jc w:val="left"/>
          </w:pPr>
        </w:p>
      </w:tc>
      <w:tc>
        <w:tcPr>
          <w:tcW w:w="3115" w:type="dxa"/>
        </w:tcPr>
        <w:p w14:paraId="608810C0" w14:textId="148E4CF0" w:rsidR="4CC30ECF" w:rsidRDefault="4CC30ECF" w:rsidP="4CC30ECF">
          <w:pPr>
            <w:pStyle w:val="Header"/>
            <w:jc w:val="center"/>
          </w:pPr>
        </w:p>
      </w:tc>
      <w:tc>
        <w:tcPr>
          <w:tcW w:w="3115" w:type="dxa"/>
        </w:tcPr>
        <w:p w14:paraId="157E1D97" w14:textId="090159AE" w:rsidR="4CC30ECF" w:rsidRDefault="4CC30ECF" w:rsidP="4CC30ECF">
          <w:pPr>
            <w:pStyle w:val="Header"/>
            <w:ind w:right="-115"/>
            <w:jc w:val="right"/>
          </w:pPr>
        </w:p>
      </w:tc>
    </w:tr>
  </w:tbl>
  <w:p w14:paraId="035A0A14" w14:textId="777A96EF" w:rsidR="4CC30ECF" w:rsidRDefault="4CC30ECF" w:rsidP="4CC30E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5B9CF" w14:textId="77777777" w:rsidR="00033AB4" w:rsidRDefault="00033AB4">
      <w:r>
        <w:separator/>
      </w:r>
    </w:p>
  </w:footnote>
  <w:footnote w:type="continuationSeparator" w:id="0">
    <w:p w14:paraId="178B18EE" w14:textId="77777777" w:rsidR="00033AB4" w:rsidRDefault="00033AB4">
      <w:r>
        <w:continuationSeparator/>
      </w:r>
    </w:p>
  </w:footnote>
  <w:footnote w:type="continuationNotice" w:id="1">
    <w:p w14:paraId="3E78AA1E" w14:textId="77777777" w:rsidR="00033AB4" w:rsidRDefault="00033AB4"/>
  </w:footnote>
  <w:footnote w:id="2">
    <w:p w14:paraId="7BB8B8A1" w14:textId="66727939" w:rsidR="0074751E" w:rsidRPr="0074751E" w:rsidRDefault="0074751E">
      <w:pPr>
        <w:pStyle w:val="FootnoteText"/>
        <w:rPr>
          <w:lang w:val="ro-MD"/>
        </w:rPr>
      </w:pPr>
      <w:r>
        <w:rPr>
          <w:rStyle w:val="FootnoteReference"/>
        </w:rPr>
        <w:footnoteRef/>
      </w:r>
      <w:r>
        <w:t xml:space="preserve"> </w:t>
      </w:r>
      <w:hyperlink r:id="rId1" w:history="1">
        <w:r w:rsidR="00993706" w:rsidRPr="00993706">
          <w:rPr>
            <w:rStyle w:val="Hyperlink"/>
          </w:rPr>
          <w:t>Anunț privind inițierea elaborării proiectului Hotărârii Guvernului cu privire la modificarea Hotărârii Guvernului nr. 959/2018 cu privire la aprobarea Nomenclatorului funcțiilor și coeficienților de ierarhizare pentru stabilirea indemnizațiilor de funcție pentru personalul instituțiilor serviciului diplomatic al Republicii Moldova peste hotare, a bazei de calcul pentru stabilirea indemnizațiilor de funcție, precum și a structurilor și efectivelor de personal ale acestora | Particip.gov.md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77777777" w:rsidR="00D07A16" w:rsidRPr="00F37ED4" w:rsidRDefault="00D07A16" w:rsidP="009D4C0F">
    <w:pPr>
      <w:pStyle w:val="Header"/>
      <w:ind w:firstLine="0"/>
      <w:jc w:val="center"/>
      <w:rPr>
        <w:sz w:val="28"/>
        <w:szCs w:val="28"/>
      </w:rPr>
    </w:pPr>
    <w:r w:rsidRPr="3DD2A7CB">
      <w:rPr>
        <w:sz w:val="28"/>
        <w:szCs w:val="28"/>
      </w:rPr>
      <w:fldChar w:fldCharType="begin"/>
    </w:r>
    <w:r w:rsidRPr="3DD2A7CB">
      <w:rPr>
        <w:sz w:val="28"/>
        <w:szCs w:val="28"/>
      </w:rPr>
      <w:instrText>PAGE   \* MERGEFORMAT</w:instrText>
    </w:r>
    <w:r w:rsidRPr="3DD2A7CB">
      <w:rPr>
        <w:sz w:val="28"/>
        <w:szCs w:val="28"/>
      </w:rPr>
      <w:fldChar w:fldCharType="separate"/>
    </w:r>
    <w:r w:rsidR="3DD2A7CB" w:rsidRPr="3DD2A7CB">
      <w:rPr>
        <w:sz w:val="28"/>
        <w:szCs w:val="28"/>
      </w:rPr>
      <w:t>8</w:t>
    </w:r>
    <w:r w:rsidRPr="3DD2A7CB">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032B46" w:rsidRDefault="00D07A16">
    <w:pPr>
      <w:pStyle w:val="Header"/>
      <w:ind w:firstLine="0"/>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D427"/>
    <w:multiLevelType w:val="hybridMultilevel"/>
    <w:tmpl w:val="00B0C0F2"/>
    <w:lvl w:ilvl="0" w:tplc="88C2DAC8">
      <w:start w:val="1"/>
      <w:numFmt w:val="decimal"/>
      <w:lvlText w:val="%1."/>
      <w:lvlJc w:val="left"/>
      <w:pPr>
        <w:ind w:left="1069" w:hanging="360"/>
      </w:pPr>
    </w:lvl>
    <w:lvl w:ilvl="1" w:tplc="CD245ED2">
      <w:start w:val="1"/>
      <w:numFmt w:val="lowerLetter"/>
      <w:lvlText w:val="%2."/>
      <w:lvlJc w:val="left"/>
      <w:pPr>
        <w:ind w:left="1789" w:hanging="360"/>
      </w:pPr>
    </w:lvl>
    <w:lvl w:ilvl="2" w:tplc="1D584094">
      <w:start w:val="1"/>
      <w:numFmt w:val="lowerRoman"/>
      <w:lvlText w:val="%3."/>
      <w:lvlJc w:val="right"/>
      <w:pPr>
        <w:ind w:left="2509" w:hanging="180"/>
      </w:pPr>
    </w:lvl>
    <w:lvl w:ilvl="3" w:tplc="BBA64060">
      <w:start w:val="1"/>
      <w:numFmt w:val="decimal"/>
      <w:lvlText w:val="%4."/>
      <w:lvlJc w:val="left"/>
      <w:pPr>
        <w:ind w:left="3229" w:hanging="360"/>
      </w:pPr>
    </w:lvl>
    <w:lvl w:ilvl="4" w:tplc="2446093A">
      <w:start w:val="1"/>
      <w:numFmt w:val="lowerLetter"/>
      <w:lvlText w:val="%5."/>
      <w:lvlJc w:val="left"/>
      <w:pPr>
        <w:ind w:left="3949" w:hanging="360"/>
      </w:pPr>
    </w:lvl>
    <w:lvl w:ilvl="5" w:tplc="48566E32">
      <w:start w:val="1"/>
      <w:numFmt w:val="lowerRoman"/>
      <w:lvlText w:val="%6."/>
      <w:lvlJc w:val="right"/>
      <w:pPr>
        <w:ind w:left="4669" w:hanging="180"/>
      </w:pPr>
    </w:lvl>
    <w:lvl w:ilvl="6" w:tplc="D1D4376C">
      <w:start w:val="1"/>
      <w:numFmt w:val="decimal"/>
      <w:lvlText w:val="%7."/>
      <w:lvlJc w:val="left"/>
      <w:pPr>
        <w:ind w:left="5389" w:hanging="360"/>
      </w:pPr>
    </w:lvl>
    <w:lvl w:ilvl="7" w:tplc="748ECE24">
      <w:start w:val="1"/>
      <w:numFmt w:val="lowerLetter"/>
      <w:lvlText w:val="%8."/>
      <w:lvlJc w:val="left"/>
      <w:pPr>
        <w:ind w:left="6109" w:hanging="360"/>
      </w:pPr>
    </w:lvl>
    <w:lvl w:ilvl="8" w:tplc="D9A88C74">
      <w:start w:val="1"/>
      <w:numFmt w:val="lowerRoman"/>
      <w:lvlText w:val="%9."/>
      <w:lvlJc w:val="right"/>
      <w:pPr>
        <w:ind w:left="6829" w:hanging="180"/>
      </w:pPr>
    </w:lvl>
  </w:abstractNum>
  <w:abstractNum w:abstractNumId="1"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4"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5"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4809BA"/>
    <w:multiLevelType w:val="hybridMultilevel"/>
    <w:tmpl w:val="8E549CC2"/>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8"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9"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10"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1"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2"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4"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7"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8" w15:restartNumberingAfterBreak="0">
    <w:nsid w:val="3E63BD4C"/>
    <w:multiLevelType w:val="hybridMultilevel"/>
    <w:tmpl w:val="047E9078"/>
    <w:lvl w:ilvl="0" w:tplc="D0C0DE40">
      <w:start w:val="1"/>
      <w:numFmt w:val="decimal"/>
      <w:lvlText w:val="%1."/>
      <w:lvlJc w:val="left"/>
      <w:pPr>
        <w:ind w:left="1778" w:hanging="360"/>
      </w:pPr>
    </w:lvl>
    <w:lvl w:ilvl="1" w:tplc="F9CA3E6C">
      <w:start w:val="1"/>
      <w:numFmt w:val="lowerLetter"/>
      <w:lvlText w:val="%2."/>
      <w:lvlJc w:val="left"/>
      <w:pPr>
        <w:ind w:left="2498" w:hanging="360"/>
      </w:pPr>
    </w:lvl>
    <w:lvl w:ilvl="2" w:tplc="3C7CAAF8">
      <w:start w:val="1"/>
      <w:numFmt w:val="lowerRoman"/>
      <w:lvlText w:val="%3."/>
      <w:lvlJc w:val="right"/>
      <w:pPr>
        <w:ind w:left="3218" w:hanging="180"/>
      </w:pPr>
    </w:lvl>
    <w:lvl w:ilvl="3" w:tplc="5C021BE0">
      <w:start w:val="1"/>
      <w:numFmt w:val="decimal"/>
      <w:lvlText w:val="%4."/>
      <w:lvlJc w:val="left"/>
      <w:pPr>
        <w:ind w:left="3938" w:hanging="360"/>
      </w:pPr>
    </w:lvl>
    <w:lvl w:ilvl="4" w:tplc="BB9CFDB6">
      <w:start w:val="1"/>
      <w:numFmt w:val="lowerLetter"/>
      <w:lvlText w:val="%5."/>
      <w:lvlJc w:val="left"/>
      <w:pPr>
        <w:ind w:left="4658" w:hanging="360"/>
      </w:pPr>
    </w:lvl>
    <w:lvl w:ilvl="5" w:tplc="C5CCD2D0">
      <w:start w:val="1"/>
      <w:numFmt w:val="lowerRoman"/>
      <w:lvlText w:val="%6."/>
      <w:lvlJc w:val="right"/>
      <w:pPr>
        <w:ind w:left="5378" w:hanging="180"/>
      </w:pPr>
    </w:lvl>
    <w:lvl w:ilvl="6" w:tplc="EEACD194">
      <w:start w:val="1"/>
      <w:numFmt w:val="decimal"/>
      <w:lvlText w:val="%7."/>
      <w:lvlJc w:val="left"/>
      <w:pPr>
        <w:ind w:left="6098" w:hanging="360"/>
      </w:pPr>
    </w:lvl>
    <w:lvl w:ilvl="7" w:tplc="C31825AA">
      <w:start w:val="1"/>
      <w:numFmt w:val="lowerLetter"/>
      <w:lvlText w:val="%8."/>
      <w:lvlJc w:val="left"/>
      <w:pPr>
        <w:ind w:left="6818" w:hanging="360"/>
      </w:pPr>
    </w:lvl>
    <w:lvl w:ilvl="8" w:tplc="441A09AC">
      <w:start w:val="1"/>
      <w:numFmt w:val="lowerRoman"/>
      <w:lvlText w:val="%9."/>
      <w:lvlJc w:val="right"/>
      <w:pPr>
        <w:ind w:left="7538" w:hanging="180"/>
      </w:pPr>
    </w:lvl>
  </w:abstractNum>
  <w:abstractNum w:abstractNumId="19"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20"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21"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2" w15:restartNumberingAfterBreak="0">
    <w:nsid w:val="3FDD6037"/>
    <w:multiLevelType w:val="hybridMultilevel"/>
    <w:tmpl w:val="8870A3B4"/>
    <w:lvl w:ilvl="0" w:tplc="A1B8A19E">
      <w:start w:val="1"/>
      <w:numFmt w:val="decimal"/>
      <w:lvlText w:val="(%1)"/>
      <w:lvlJc w:val="left"/>
      <w:pPr>
        <w:ind w:left="720" w:hanging="360"/>
      </w:pPr>
      <w:rPr>
        <w:rFonts w:ascii="Times New Roman" w:hAnsi="Times New Roman" w:hint="default"/>
      </w:rPr>
    </w:lvl>
    <w:lvl w:ilvl="1" w:tplc="A5EE427A">
      <w:start w:val="1"/>
      <w:numFmt w:val="lowerLetter"/>
      <w:lvlText w:val="%2."/>
      <w:lvlJc w:val="left"/>
      <w:pPr>
        <w:ind w:left="2498" w:hanging="360"/>
      </w:pPr>
    </w:lvl>
    <w:lvl w:ilvl="2" w:tplc="C73CCDE0">
      <w:start w:val="1"/>
      <w:numFmt w:val="lowerRoman"/>
      <w:lvlText w:val="%3."/>
      <w:lvlJc w:val="right"/>
      <w:pPr>
        <w:ind w:left="3218" w:hanging="180"/>
      </w:pPr>
    </w:lvl>
    <w:lvl w:ilvl="3" w:tplc="BCC8EC48">
      <w:start w:val="1"/>
      <w:numFmt w:val="decimal"/>
      <w:lvlText w:val="%4."/>
      <w:lvlJc w:val="left"/>
      <w:pPr>
        <w:ind w:left="3938" w:hanging="360"/>
      </w:pPr>
    </w:lvl>
    <w:lvl w:ilvl="4" w:tplc="12605B90">
      <w:start w:val="1"/>
      <w:numFmt w:val="lowerLetter"/>
      <w:lvlText w:val="%5."/>
      <w:lvlJc w:val="left"/>
      <w:pPr>
        <w:ind w:left="4658" w:hanging="360"/>
      </w:pPr>
    </w:lvl>
    <w:lvl w:ilvl="5" w:tplc="1840C3E2">
      <w:start w:val="1"/>
      <w:numFmt w:val="lowerRoman"/>
      <w:lvlText w:val="%6."/>
      <w:lvlJc w:val="right"/>
      <w:pPr>
        <w:ind w:left="5378" w:hanging="180"/>
      </w:pPr>
    </w:lvl>
    <w:lvl w:ilvl="6" w:tplc="69D8EB3C">
      <w:start w:val="1"/>
      <w:numFmt w:val="decimal"/>
      <w:lvlText w:val="%7."/>
      <w:lvlJc w:val="left"/>
      <w:pPr>
        <w:ind w:left="6098" w:hanging="360"/>
      </w:pPr>
    </w:lvl>
    <w:lvl w:ilvl="7" w:tplc="04F0BF9A">
      <w:start w:val="1"/>
      <w:numFmt w:val="lowerLetter"/>
      <w:lvlText w:val="%8."/>
      <w:lvlJc w:val="left"/>
      <w:pPr>
        <w:ind w:left="6818" w:hanging="360"/>
      </w:pPr>
    </w:lvl>
    <w:lvl w:ilvl="8" w:tplc="2FAE9AA0">
      <w:start w:val="1"/>
      <w:numFmt w:val="lowerRoman"/>
      <w:lvlText w:val="%9."/>
      <w:lvlJc w:val="right"/>
      <w:pPr>
        <w:ind w:left="7538" w:hanging="180"/>
      </w:pPr>
    </w:lvl>
  </w:abstractNum>
  <w:abstractNum w:abstractNumId="23"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4"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6"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7"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8"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9"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30"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31"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2"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3"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4"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5"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6"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7"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CFE570"/>
    <w:multiLevelType w:val="hybridMultilevel"/>
    <w:tmpl w:val="4FC80456"/>
    <w:lvl w:ilvl="0" w:tplc="9F16AB62">
      <w:start w:val="1"/>
      <w:numFmt w:val="lowerLetter"/>
      <w:lvlText w:val="%1."/>
      <w:lvlJc w:val="left"/>
      <w:pPr>
        <w:ind w:left="720" w:hanging="360"/>
      </w:pPr>
      <w:rPr>
        <w:rFonts w:ascii="Times New Roman" w:hAnsi="Times New Roman" w:hint="default"/>
      </w:rPr>
    </w:lvl>
    <w:lvl w:ilvl="1" w:tplc="5748C2A4">
      <w:start w:val="1"/>
      <w:numFmt w:val="lowerLetter"/>
      <w:lvlText w:val="%2."/>
      <w:lvlJc w:val="left"/>
      <w:pPr>
        <w:ind w:left="2498" w:hanging="360"/>
      </w:pPr>
    </w:lvl>
    <w:lvl w:ilvl="2" w:tplc="83749D62">
      <w:start w:val="1"/>
      <w:numFmt w:val="lowerRoman"/>
      <w:lvlText w:val="%3."/>
      <w:lvlJc w:val="right"/>
      <w:pPr>
        <w:ind w:left="3218" w:hanging="180"/>
      </w:pPr>
    </w:lvl>
    <w:lvl w:ilvl="3" w:tplc="5EBCC2C0">
      <w:start w:val="1"/>
      <w:numFmt w:val="decimal"/>
      <w:lvlText w:val="%4."/>
      <w:lvlJc w:val="left"/>
      <w:pPr>
        <w:ind w:left="3938" w:hanging="360"/>
      </w:pPr>
    </w:lvl>
    <w:lvl w:ilvl="4" w:tplc="BB122BC6">
      <w:start w:val="1"/>
      <w:numFmt w:val="lowerLetter"/>
      <w:lvlText w:val="%5."/>
      <w:lvlJc w:val="left"/>
      <w:pPr>
        <w:ind w:left="4658" w:hanging="360"/>
      </w:pPr>
    </w:lvl>
    <w:lvl w:ilvl="5" w:tplc="A9709A46">
      <w:start w:val="1"/>
      <w:numFmt w:val="lowerRoman"/>
      <w:lvlText w:val="%6."/>
      <w:lvlJc w:val="right"/>
      <w:pPr>
        <w:ind w:left="5378" w:hanging="180"/>
      </w:pPr>
    </w:lvl>
    <w:lvl w:ilvl="6" w:tplc="120A45EA">
      <w:start w:val="1"/>
      <w:numFmt w:val="decimal"/>
      <w:lvlText w:val="%7."/>
      <w:lvlJc w:val="left"/>
      <w:pPr>
        <w:ind w:left="6098" w:hanging="360"/>
      </w:pPr>
    </w:lvl>
    <w:lvl w:ilvl="7" w:tplc="91A267D2">
      <w:start w:val="1"/>
      <w:numFmt w:val="lowerLetter"/>
      <w:lvlText w:val="%8."/>
      <w:lvlJc w:val="left"/>
      <w:pPr>
        <w:ind w:left="6818" w:hanging="360"/>
      </w:pPr>
    </w:lvl>
    <w:lvl w:ilvl="8" w:tplc="6D34EC1C">
      <w:start w:val="1"/>
      <w:numFmt w:val="lowerRoman"/>
      <w:lvlText w:val="%9."/>
      <w:lvlJc w:val="right"/>
      <w:pPr>
        <w:ind w:left="7538" w:hanging="180"/>
      </w:pPr>
    </w:lvl>
  </w:abstractNum>
  <w:abstractNum w:abstractNumId="39"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40"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41" w15:restartNumberingAfterBreak="0">
    <w:nsid w:val="63933CD9"/>
    <w:multiLevelType w:val="hybridMultilevel"/>
    <w:tmpl w:val="064AB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43"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4"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5"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1176118730">
    <w:abstractNumId w:val="0"/>
  </w:num>
  <w:num w:numId="2" w16cid:durableId="24598354">
    <w:abstractNumId w:val="18"/>
  </w:num>
  <w:num w:numId="3" w16cid:durableId="1934124529">
    <w:abstractNumId w:val="38"/>
  </w:num>
  <w:num w:numId="4" w16cid:durableId="2120489698">
    <w:abstractNumId w:val="22"/>
  </w:num>
  <w:num w:numId="5" w16cid:durableId="1134174317">
    <w:abstractNumId w:val="36"/>
  </w:num>
  <w:num w:numId="6" w16cid:durableId="1732539799">
    <w:abstractNumId w:val="39"/>
  </w:num>
  <w:num w:numId="7" w16cid:durableId="1513033290">
    <w:abstractNumId w:val="16"/>
  </w:num>
  <w:num w:numId="8" w16cid:durableId="1345133189">
    <w:abstractNumId w:val="31"/>
  </w:num>
  <w:num w:numId="9" w16cid:durableId="569273637">
    <w:abstractNumId w:val="19"/>
  </w:num>
  <w:num w:numId="10" w16cid:durableId="667826974">
    <w:abstractNumId w:val="13"/>
  </w:num>
  <w:num w:numId="11" w16cid:durableId="121772672">
    <w:abstractNumId w:val="7"/>
  </w:num>
  <w:num w:numId="12" w16cid:durableId="1796944669">
    <w:abstractNumId w:val="8"/>
  </w:num>
  <w:num w:numId="13" w16cid:durableId="1130976463">
    <w:abstractNumId w:val="28"/>
  </w:num>
  <w:num w:numId="14" w16cid:durableId="1520776320">
    <w:abstractNumId w:val="4"/>
  </w:num>
  <w:num w:numId="15" w16cid:durableId="1941142213">
    <w:abstractNumId w:val="27"/>
  </w:num>
  <w:num w:numId="16" w16cid:durableId="1110247989">
    <w:abstractNumId w:val="3"/>
  </w:num>
  <w:num w:numId="17" w16cid:durableId="1000541525">
    <w:abstractNumId w:val="42"/>
  </w:num>
  <w:num w:numId="18" w16cid:durableId="1453475340">
    <w:abstractNumId w:val="20"/>
  </w:num>
  <w:num w:numId="19" w16cid:durableId="178083763">
    <w:abstractNumId w:val="21"/>
  </w:num>
  <w:num w:numId="20" w16cid:durableId="1971861296">
    <w:abstractNumId w:val="35"/>
  </w:num>
  <w:num w:numId="21" w16cid:durableId="1718163806">
    <w:abstractNumId w:val="32"/>
  </w:num>
  <w:num w:numId="22" w16cid:durableId="108279463">
    <w:abstractNumId w:val="26"/>
  </w:num>
  <w:num w:numId="23" w16cid:durableId="1436708972">
    <w:abstractNumId w:val="23"/>
  </w:num>
  <w:num w:numId="24" w16cid:durableId="934636014">
    <w:abstractNumId w:val="10"/>
  </w:num>
  <w:num w:numId="25" w16cid:durableId="1469587083">
    <w:abstractNumId w:val="34"/>
  </w:num>
  <w:num w:numId="26" w16cid:durableId="291062431">
    <w:abstractNumId w:val="5"/>
  </w:num>
  <w:num w:numId="27" w16cid:durableId="845902382">
    <w:abstractNumId w:val="15"/>
  </w:num>
  <w:num w:numId="28" w16cid:durableId="1458376249">
    <w:abstractNumId w:val="12"/>
  </w:num>
  <w:num w:numId="29" w16cid:durableId="1569146970">
    <w:abstractNumId w:val="24"/>
  </w:num>
  <w:num w:numId="30" w16cid:durableId="2087921197">
    <w:abstractNumId w:val="37"/>
  </w:num>
  <w:num w:numId="31" w16cid:durableId="262111176">
    <w:abstractNumId w:val="29"/>
  </w:num>
  <w:num w:numId="32" w16cid:durableId="373386549">
    <w:abstractNumId w:val="44"/>
    <w:lvlOverride w:ilvl="0">
      <w:startOverride w:val="1"/>
    </w:lvlOverride>
  </w:num>
  <w:num w:numId="33" w16cid:durableId="1361469376">
    <w:abstractNumId w:val="25"/>
  </w:num>
  <w:num w:numId="34" w16cid:durableId="2013020055">
    <w:abstractNumId w:val="9"/>
  </w:num>
  <w:num w:numId="35" w16cid:durableId="680860804">
    <w:abstractNumId w:val="43"/>
  </w:num>
  <w:num w:numId="36" w16cid:durableId="2007904481">
    <w:abstractNumId w:val="44"/>
  </w:num>
  <w:num w:numId="37" w16cid:durableId="1354840367">
    <w:abstractNumId w:val="14"/>
  </w:num>
  <w:num w:numId="38" w16cid:durableId="12726488">
    <w:abstractNumId w:val="46"/>
  </w:num>
  <w:num w:numId="39" w16cid:durableId="933245092">
    <w:abstractNumId w:val="45"/>
  </w:num>
  <w:num w:numId="40" w16cid:durableId="1799494202">
    <w:abstractNumId w:val="1"/>
  </w:num>
  <w:num w:numId="41" w16cid:durableId="1650287813">
    <w:abstractNumId w:val="11"/>
  </w:num>
  <w:num w:numId="42" w16cid:durableId="447555402">
    <w:abstractNumId w:val="33"/>
  </w:num>
  <w:num w:numId="43" w16cid:durableId="83310918">
    <w:abstractNumId w:val="17"/>
  </w:num>
  <w:num w:numId="44" w16cid:durableId="287862591">
    <w:abstractNumId w:val="40"/>
  </w:num>
  <w:num w:numId="45" w16cid:durableId="933706732">
    <w:abstractNumId w:val="30"/>
  </w:num>
  <w:num w:numId="46" w16cid:durableId="1765689170">
    <w:abstractNumId w:val="2"/>
  </w:num>
  <w:num w:numId="47" w16cid:durableId="1528564346">
    <w:abstractNumId w:val="47"/>
  </w:num>
  <w:num w:numId="48" w16cid:durableId="1856966315">
    <w:abstractNumId w:val="41"/>
  </w:num>
  <w:num w:numId="49" w16cid:durableId="18152914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12509"/>
    <w:rsid w:val="00013460"/>
    <w:rsid w:val="00013804"/>
    <w:rsid w:val="00013AC9"/>
    <w:rsid w:val="0001747F"/>
    <w:rsid w:val="00021FF6"/>
    <w:rsid w:val="0002435C"/>
    <w:rsid w:val="0003138A"/>
    <w:rsid w:val="00032B46"/>
    <w:rsid w:val="00033AB4"/>
    <w:rsid w:val="00033E4B"/>
    <w:rsid w:val="00036346"/>
    <w:rsid w:val="0004289C"/>
    <w:rsid w:val="000430B6"/>
    <w:rsid w:val="00043AC7"/>
    <w:rsid w:val="00044D19"/>
    <w:rsid w:val="00044E51"/>
    <w:rsid w:val="00052045"/>
    <w:rsid w:val="00054810"/>
    <w:rsid w:val="0006038E"/>
    <w:rsid w:val="00062017"/>
    <w:rsid w:val="00064726"/>
    <w:rsid w:val="000653A8"/>
    <w:rsid w:val="00066077"/>
    <w:rsid w:val="00070791"/>
    <w:rsid w:val="000713DA"/>
    <w:rsid w:val="00071EAA"/>
    <w:rsid w:val="0007236F"/>
    <w:rsid w:val="00075A5F"/>
    <w:rsid w:val="00081267"/>
    <w:rsid w:val="000826E6"/>
    <w:rsid w:val="00085029"/>
    <w:rsid w:val="000952AD"/>
    <w:rsid w:val="000A6BA5"/>
    <w:rsid w:val="000B3D87"/>
    <w:rsid w:val="000B4610"/>
    <w:rsid w:val="000B50EE"/>
    <w:rsid w:val="000C041B"/>
    <w:rsid w:val="000C2AB4"/>
    <w:rsid w:val="000C2DB8"/>
    <w:rsid w:val="000C34B3"/>
    <w:rsid w:val="000D4AD4"/>
    <w:rsid w:val="000D5C74"/>
    <w:rsid w:val="000E178D"/>
    <w:rsid w:val="000E1D40"/>
    <w:rsid w:val="000E2800"/>
    <w:rsid w:val="000E543A"/>
    <w:rsid w:val="000F497A"/>
    <w:rsid w:val="000F57CF"/>
    <w:rsid w:val="00102AD8"/>
    <w:rsid w:val="0010683F"/>
    <w:rsid w:val="00107361"/>
    <w:rsid w:val="0011131E"/>
    <w:rsid w:val="00111B3C"/>
    <w:rsid w:val="00113956"/>
    <w:rsid w:val="00116035"/>
    <w:rsid w:val="0012009E"/>
    <w:rsid w:val="001211EA"/>
    <w:rsid w:val="00125747"/>
    <w:rsid w:val="00140FF8"/>
    <w:rsid w:val="00143389"/>
    <w:rsid w:val="00143CC4"/>
    <w:rsid w:val="001470D7"/>
    <w:rsid w:val="0015146D"/>
    <w:rsid w:val="00157D40"/>
    <w:rsid w:val="00160A0A"/>
    <w:rsid w:val="001619AA"/>
    <w:rsid w:val="00162BE7"/>
    <w:rsid w:val="0016752C"/>
    <w:rsid w:val="0017006C"/>
    <w:rsid w:val="00174E20"/>
    <w:rsid w:val="0018129B"/>
    <w:rsid w:val="00184334"/>
    <w:rsid w:val="00184391"/>
    <w:rsid w:val="00185AC8"/>
    <w:rsid w:val="00191428"/>
    <w:rsid w:val="001A21A6"/>
    <w:rsid w:val="001A25C3"/>
    <w:rsid w:val="001A37C7"/>
    <w:rsid w:val="001B3BE4"/>
    <w:rsid w:val="001B5818"/>
    <w:rsid w:val="001B5DD7"/>
    <w:rsid w:val="001B66A4"/>
    <w:rsid w:val="001B6E6E"/>
    <w:rsid w:val="001C3F21"/>
    <w:rsid w:val="001C4EEE"/>
    <w:rsid w:val="001D2FA2"/>
    <w:rsid w:val="001E4497"/>
    <w:rsid w:val="001E789A"/>
    <w:rsid w:val="001F0570"/>
    <w:rsid w:val="001F2097"/>
    <w:rsid w:val="002000EB"/>
    <w:rsid w:val="00200223"/>
    <w:rsid w:val="00200516"/>
    <w:rsid w:val="0020257F"/>
    <w:rsid w:val="00205100"/>
    <w:rsid w:val="00206C11"/>
    <w:rsid w:val="0020794F"/>
    <w:rsid w:val="00207E57"/>
    <w:rsid w:val="00215616"/>
    <w:rsid w:val="002164C9"/>
    <w:rsid w:val="002170A5"/>
    <w:rsid w:val="00227D9A"/>
    <w:rsid w:val="00230761"/>
    <w:rsid w:val="00236E65"/>
    <w:rsid w:val="0023702E"/>
    <w:rsid w:val="002372B8"/>
    <w:rsid w:val="00240AC0"/>
    <w:rsid w:val="002453BD"/>
    <w:rsid w:val="00257353"/>
    <w:rsid w:val="0025782A"/>
    <w:rsid w:val="002721D2"/>
    <w:rsid w:val="0027425A"/>
    <w:rsid w:val="0028093A"/>
    <w:rsid w:val="00281C80"/>
    <w:rsid w:val="00283767"/>
    <w:rsid w:val="002950E0"/>
    <w:rsid w:val="002954C4"/>
    <w:rsid w:val="002A6A76"/>
    <w:rsid w:val="002B07BD"/>
    <w:rsid w:val="002B5444"/>
    <w:rsid w:val="002B547F"/>
    <w:rsid w:val="002B6494"/>
    <w:rsid w:val="002B6E81"/>
    <w:rsid w:val="002C21E9"/>
    <w:rsid w:val="002D38C5"/>
    <w:rsid w:val="002E3513"/>
    <w:rsid w:val="002E4217"/>
    <w:rsid w:val="002E505B"/>
    <w:rsid w:val="002E78EF"/>
    <w:rsid w:val="002F30F7"/>
    <w:rsid w:val="002F3DAA"/>
    <w:rsid w:val="002F40CA"/>
    <w:rsid w:val="002F5F1E"/>
    <w:rsid w:val="002F7FB5"/>
    <w:rsid w:val="00300642"/>
    <w:rsid w:val="00301D7D"/>
    <w:rsid w:val="0030435F"/>
    <w:rsid w:val="0030753B"/>
    <w:rsid w:val="0031555D"/>
    <w:rsid w:val="00315655"/>
    <w:rsid w:val="00315B32"/>
    <w:rsid w:val="00315BDC"/>
    <w:rsid w:val="0032027F"/>
    <w:rsid w:val="00324559"/>
    <w:rsid w:val="00327C88"/>
    <w:rsid w:val="0033093B"/>
    <w:rsid w:val="00334C0F"/>
    <w:rsid w:val="00335075"/>
    <w:rsid w:val="003358FF"/>
    <w:rsid w:val="00347B79"/>
    <w:rsid w:val="003509A8"/>
    <w:rsid w:val="00352430"/>
    <w:rsid w:val="00354545"/>
    <w:rsid w:val="0036135C"/>
    <w:rsid w:val="00362D0C"/>
    <w:rsid w:val="00364216"/>
    <w:rsid w:val="0036518F"/>
    <w:rsid w:val="0036768D"/>
    <w:rsid w:val="003727F7"/>
    <w:rsid w:val="00374362"/>
    <w:rsid w:val="00377B12"/>
    <w:rsid w:val="00380147"/>
    <w:rsid w:val="00381C7D"/>
    <w:rsid w:val="00383105"/>
    <w:rsid w:val="00385C9B"/>
    <w:rsid w:val="003872BA"/>
    <w:rsid w:val="00387D77"/>
    <w:rsid w:val="003922EF"/>
    <w:rsid w:val="00394A57"/>
    <w:rsid w:val="00397415"/>
    <w:rsid w:val="003A2CB2"/>
    <w:rsid w:val="003A4D1C"/>
    <w:rsid w:val="003B257A"/>
    <w:rsid w:val="003B7521"/>
    <w:rsid w:val="003C0C4D"/>
    <w:rsid w:val="003C11CC"/>
    <w:rsid w:val="003C314E"/>
    <w:rsid w:val="003C3DB4"/>
    <w:rsid w:val="003C3EB9"/>
    <w:rsid w:val="003D5E8B"/>
    <w:rsid w:val="003E3748"/>
    <w:rsid w:val="003E4DA7"/>
    <w:rsid w:val="003E559A"/>
    <w:rsid w:val="003F0CD8"/>
    <w:rsid w:val="003F1602"/>
    <w:rsid w:val="003F4327"/>
    <w:rsid w:val="00404371"/>
    <w:rsid w:val="00405019"/>
    <w:rsid w:val="00406BA9"/>
    <w:rsid w:val="00406EBE"/>
    <w:rsid w:val="00410C9A"/>
    <w:rsid w:val="00411D73"/>
    <w:rsid w:val="00421AB5"/>
    <w:rsid w:val="00424212"/>
    <w:rsid w:val="00424CF9"/>
    <w:rsid w:val="0043208D"/>
    <w:rsid w:val="004333B4"/>
    <w:rsid w:val="0043405E"/>
    <w:rsid w:val="00434203"/>
    <w:rsid w:val="00437976"/>
    <w:rsid w:val="00452C3E"/>
    <w:rsid w:val="00452C6C"/>
    <w:rsid w:val="0045451B"/>
    <w:rsid w:val="004635ED"/>
    <w:rsid w:val="00464294"/>
    <w:rsid w:val="00471318"/>
    <w:rsid w:val="00471831"/>
    <w:rsid w:val="004735CE"/>
    <w:rsid w:val="00474658"/>
    <w:rsid w:val="0047797E"/>
    <w:rsid w:val="00497F06"/>
    <w:rsid w:val="004A3757"/>
    <w:rsid w:val="004A7863"/>
    <w:rsid w:val="004B1283"/>
    <w:rsid w:val="004B4114"/>
    <w:rsid w:val="004C120C"/>
    <w:rsid w:val="004C208E"/>
    <w:rsid w:val="004C6034"/>
    <w:rsid w:val="004D3941"/>
    <w:rsid w:val="004E2421"/>
    <w:rsid w:val="004E6489"/>
    <w:rsid w:val="004E6662"/>
    <w:rsid w:val="004F568A"/>
    <w:rsid w:val="004F7AC7"/>
    <w:rsid w:val="005020EC"/>
    <w:rsid w:val="00512463"/>
    <w:rsid w:val="00516555"/>
    <w:rsid w:val="00517308"/>
    <w:rsid w:val="00517967"/>
    <w:rsid w:val="00522323"/>
    <w:rsid w:val="005256CF"/>
    <w:rsid w:val="00533E62"/>
    <w:rsid w:val="005361E4"/>
    <w:rsid w:val="00542C43"/>
    <w:rsid w:val="00551299"/>
    <w:rsid w:val="00552150"/>
    <w:rsid w:val="00555DF5"/>
    <w:rsid w:val="00572006"/>
    <w:rsid w:val="00573E74"/>
    <w:rsid w:val="00574881"/>
    <w:rsid w:val="0057790F"/>
    <w:rsid w:val="00582470"/>
    <w:rsid w:val="0058380C"/>
    <w:rsid w:val="00594DE5"/>
    <w:rsid w:val="00594E27"/>
    <w:rsid w:val="00597701"/>
    <w:rsid w:val="005A12D7"/>
    <w:rsid w:val="005A213A"/>
    <w:rsid w:val="005A29D6"/>
    <w:rsid w:val="005B0C92"/>
    <w:rsid w:val="005B7E20"/>
    <w:rsid w:val="005C1D42"/>
    <w:rsid w:val="005C412B"/>
    <w:rsid w:val="005C4835"/>
    <w:rsid w:val="005C5A53"/>
    <w:rsid w:val="005C7769"/>
    <w:rsid w:val="005C7D61"/>
    <w:rsid w:val="005D5F1D"/>
    <w:rsid w:val="005E37E8"/>
    <w:rsid w:val="005E48AB"/>
    <w:rsid w:val="005E4A66"/>
    <w:rsid w:val="005E4A78"/>
    <w:rsid w:val="005E6803"/>
    <w:rsid w:val="005F0F53"/>
    <w:rsid w:val="005F584A"/>
    <w:rsid w:val="0060625D"/>
    <w:rsid w:val="00607526"/>
    <w:rsid w:val="00611BAA"/>
    <w:rsid w:val="00612D18"/>
    <w:rsid w:val="00615BB7"/>
    <w:rsid w:val="00616A16"/>
    <w:rsid w:val="00621954"/>
    <w:rsid w:val="00623361"/>
    <w:rsid w:val="00624202"/>
    <w:rsid w:val="00624BA9"/>
    <w:rsid w:val="0062575C"/>
    <w:rsid w:val="00630362"/>
    <w:rsid w:val="006339EB"/>
    <w:rsid w:val="0063522F"/>
    <w:rsid w:val="00635DEA"/>
    <w:rsid w:val="0064248D"/>
    <w:rsid w:val="006452F7"/>
    <w:rsid w:val="00652352"/>
    <w:rsid w:val="006523B2"/>
    <w:rsid w:val="006559E3"/>
    <w:rsid w:val="00657577"/>
    <w:rsid w:val="006660B2"/>
    <w:rsid w:val="0067056E"/>
    <w:rsid w:val="006739CA"/>
    <w:rsid w:val="006771C6"/>
    <w:rsid w:val="0068258E"/>
    <w:rsid w:val="006855AC"/>
    <w:rsid w:val="00691790"/>
    <w:rsid w:val="006933C3"/>
    <w:rsid w:val="0069452B"/>
    <w:rsid w:val="006956E6"/>
    <w:rsid w:val="00697045"/>
    <w:rsid w:val="006A27BD"/>
    <w:rsid w:val="006A337B"/>
    <w:rsid w:val="006A4E08"/>
    <w:rsid w:val="006A57D6"/>
    <w:rsid w:val="006A58BC"/>
    <w:rsid w:val="006B35FF"/>
    <w:rsid w:val="006C40C7"/>
    <w:rsid w:val="006D3EB7"/>
    <w:rsid w:val="006D4CDC"/>
    <w:rsid w:val="006D7B49"/>
    <w:rsid w:val="006E0A2E"/>
    <w:rsid w:val="006E1269"/>
    <w:rsid w:val="006E7D38"/>
    <w:rsid w:val="006F0870"/>
    <w:rsid w:val="006F43CA"/>
    <w:rsid w:val="006F7EF4"/>
    <w:rsid w:val="007026DD"/>
    <w:rsid w:val="00702770"/>
    <w:rsid w:val="00703FCE"/>
    <w:rsid w:val="00707B68"/>
    <w:rsid w:val="007126C4"/>
    <w:rsid w:val="00716728"/>
    <w:rsid w:val="007258CF"/>
    <w:rsid w:val="00726759"/>
    <w:rsid w:val="00735AA1"/>
    <w:rsid w:val="00737731"/>
    <w:rsid w:val="00740210"/>
    <w:rsid w:val="007411D5"/>
    <w:rsid w:val="0074751E"/>
    <w:rsid w:val="0075391A"/>
    <w:rsid w:val="00756648"/>
    <w:rsid w:val="0076479E"/>
    <w:rsid w:val="007724CE"/>
    <w:rsid w:val="00780C21"/>
    <w:rsid w:val="0079167D"/>
    <w:rsid w:val="00793751"/>
    <w:rsid w:val="007A0931"/>
    <w:rsid w:val="007A4309"/>
    <w:rsid w:val="007B5D4F"/>
    <w:rsid w:val="007B627D"/>
    <w:rsid w:val="007B6E7F"/>
    <w:rsid w:val="007C53A1"/>
    <w:rsid w:val="007C58BD"/>
    <w:rsid w:val="007C5D4B"/>
    <w:rsid w:val="007D00B1"/>
    <w:rsid w:val="007D0E36"/>
    <w:rsid w:val="007E3F69"/>
    <w:rsid w:val="007E7735"/>
    <w:rsid w:val="007F1254"/>
    <w:rsid w:val="007F1374"/>
    <w:rsid w:val="007F2784"/>
    <w:rsid w:val="007F788F"/>
    <w:rsid w:val="00800EE1"/>
    <w:rsid w:val="00802D53"/>
    <w:rsid w:val="00811CAE"/>
    <w:rsid w:val="00825DC9"/>
    <w:rsid w:val="00831DF3"/>
    <w:rsid w:val="008326E7"/>
    <w:rsid w:val="0083287E"/>
    <w:rsid w:val="0083379F"/>
    <w:rsid w:val="0083625F"/>
    <w:rsid w:val="0084241F"/>
    <w:rsid w:val="0084434E"/>
    <w:rsid w:val="008506B1"/>
    <w:rsid w:val="008510CC"/>
    <w:rsid w:val="00860C47"/>
    <w:rsid w:val="00860CC3"/>
    <w:rsid w:val="00863417"/>
    <w:rsid w:val="0086343C"/>
    <w:rsid w:val="00863D76"/>
    <w:rsid w:val="0086509B"/>
    <w:rsid w:val="0087296A"/>
    <w:rsid w:val="00876262"/>
    <w:rsid w:val="00880A77"/>
    <w:rsid w:val="008832E5"/>
    <w:rsid w:val="00884CE6"/>
    <w:rsid w:val="00887788"/>
    <w:rsid w:val="00891049"/>
    <w:rsid w:val="00893A87"/>
    <w:rsid w:val="00897403"/>
    <w:rsid w:val="008A40C0"/>
    <w:rsid w:val="008A5923"/>
    <w:rsid w:val="008B1120"/>
    <w:rsid w:val="008B1A16"/>
    <w:rsid w:val="008B1AA1"/>
    <w:rsid w:val="008B1BFF"/>
    <w:rsid w:val="008B4BE6"/>
    <w:rsid w:val="008C0FE2"/>
    <w:rsid w:val="008C2DD5"/>
    <w:rsid w:val="008C465B"/>
    <w:rsid w:val="008D2DF5"/>
    <w:rsid w:val="008D2EB0"/>
    <w:rsid w:val="008D3AE8"/>
    <w:rsid w:val="008D3BF0"/>
    <w:rsid w:val="008E4C74"/>
    <w:rsid w:val="008E51B1"/>
    <w:rsid w:val="008E7BD2"/>
    <w:rsid w:val="008F129B"/>
    <w:rsid w:val="008F12A1"/>
    <w:rsid w:val="008F2DFF"/>
    <w:rsid w:val="008F3624"/>
    <w:rsid w:val="008F53F3"/>
    <w:rsid w:val="008F73D1"/>
    <w:rsid w:val="009002CA"/>
    <w:rsid w:val="00903AF9"/>
    <w:rsid w:val="0090579F"/>
    <w:rsid w:val="009143C9"/>
    <w:rsid w:val="0091461D"/>
    <w:rsid w:val="00915A40"/>
    <w:rsid w:val="009201C9"/>
    <w:rsid w:val="00930424"/>
    <w:rsid w:val="009309B1"/>
    <w:rsid w:val="00942BCB"/>
    <w:rsid w:val="00942F03"/>
    <w:rsid w:val="00946CDC"/>
    <w:rsid w:val="009475FD"/>
    <w:rsid w:val="00953155"/>
    <w:rsid w:val="00953450"/>
    <w:rsid w:val="00957DFE"/>
    <w:rsid w:val="00961B81"/>
    <w:rsid w:val="00962ED5"/>
    <w:rsid w:val="00971561"/>
    <w:rsid w:val="009761DA"/>
    <w:rsid w:val="00980D19"/>
    <w:rsid w:val="009815FB"/>
    <w:rsid w:val="0098296B"/>
    <w:rsid w:val="009858FE"/>
    <w:rsid w:val="009860EA"/>
    <w:rsid w:val="00990719"/>
    <w:rsid w:val="00991A3F"/>
    <w:rsid w:val="0099315C"/>
    <w:rsid w:val="00993706"/>
    <w:rsid w:val="009A3CE1"/>
    <w:rsid w:val="009A605A"/>
    <w:rsid w:val="009C02E5"/>
    <w:rsid w:val="009C0E0E"/>
    <w:rsid w:val="009C26E3"/>
    <w:rsid w:val="009C6DD1"/>
    <w:rsid w:val="009C7CD6"/>
    <w:rsid w:val="009D2648"/>
    <w:rsid w:val="009D2789"/>
    <w:rsid w:val="009D4C0F"/>
    <w:rsid w:val="009D7C44"/>
    <w:rsid w:val="009E7B86"/>
    <w:rsid w:val="009F366D"/>
    <w:rsid w:val="009F45EC"/>
    <w:rsid w:val="00A04641"/>
    <w:rsid w:val="00A06362"/>
    <w:rsid w:val="00A06927"/>
    <w:rsid w:val="00A11A15"/>
    <w:rsid w:val="00A13D8B"/>
    <w:rsid w:val="00A1486F"/>
    <w:rsid w:val="00A15B65"/>
    <w:rsid w:val="00A2390C"/>
    <w:rsid w:val="00A244A2"/>
    <w:rsid w:val="00A24A81"/>
    <w:rsid w:val="00A27B4D"/>
    <w:rsid w:val="00A34443"/>
    <w:rsid w:val="00A345F7"/>
    <w:rsid w:val="00A36F8F"/>
    <w:rsid w:val="00A404F7"/>
    <w:rsid w:val="00A42581"/>
    <w:rsid w:val="00A42FD5"/>
    <w:rsid w:val="00A51447"/>
    <w:rsid w:val="00A53F34"/>
    <w:rsid w:val="00A540EB"/>
    <w:rsid w:val="00A54EFC"/>
    <w:rsid w:val="00A5539A"/>
    <w:rsid w:val="00A57B4E"/>
    <w:rsid w:val="00A60B97"/>
    <w:rsid w:val="00A71E51"/>
    <w:rsid w:val="00A764E4"/>
    <w:rsid w:val="00A77362"/>
    <w:rsid w:val="00A77F56"/>
    <w:rsid w:val="00A8338E"/>
    <w:rsid w:val="00A837EB"/>
    <w:rsid w:val="00A8390E"/>
    <w:rsid w:val="00A954D1"/>
    <w:rsid w:val="00A95A2D"/>
    <w:rsid w:val="00AA1039"/>
    <w:rsid w:val="00AA34B1"/>
    <w:rsid w:val="00AA34D5"/>
    <w:rsid w:val="00AA719D"/>
    <w:rsid w:val="00AB06B2"/>
    <w:rsid w:val="00AB1C3D"/>
    <w:rsid w:val="00AB29A8"/>
    <w:rsid w:val="00AB572A"/>
    <w:rsid w:val="00AB5C96"/>
    <w:rsid w:val="00AB7D22"/>
    <w:rsid w:val="00AC22A5"/>
    <w:rsid w:val="00AC2670"/>
    <w:rsid w:val="00AC51E3"/>
    <w:rsid w:val="00AD0A47"/>
    <w:rsid w:val="00AD57FA"/>
    <w:rsid w:val="00AE1C50"/>
    <w:rsid w:val="00AE1F78"/>
    <w:rsid w:val="00AE7B65"/>
    <w:rsid w:val="00AF23AF"/>
    <w:rsid w:val="00AF4E3A"/>
    <w:rsid w:val="00AF6A53"/>
    <w:rsid w:val="00B00257"/>
    <w:rsid w:val="00B018E4"/>
    <w:rsid w:val="00B035BC"/>
    <w:rsid w:val="00B039D7"/>
    <w:rsid w:val="00B07F61"/>
    <w:rsid w:val="00B114C6"/>
    <w:rsid w:val="00B11EFC"/>
    <w:rsid w:val="00B137C8"/>
    <w:rsid w:val="00B15210"/>
    <w:rsid w:val="00B1623B"/>
    <w:rsid w:val="00B22C57"/>
    <w:rsid w:val="00B243C2"/>
    <w:rsid w:val="00B24403"/>
    <w:rsid w:val="00B25206"/>
    <w:rsid w:val="00B32239"/>
    <w:rsid w:val="00B36EE6"/>
    <w:rsid w:val="00B42DDB"/>
    <w:rsid w:val="00B45BEC"/>
    <w:rsid w:val="00B472D0"/>
    <w:rsid w:val="00B6145A"/>
    <w:rsid w:val="00B61570"/>
    <w:rsid w:val="00B61B77"/>
    <w:rsid w:val="00B6585E"/>
    <w:rsid w:val="00B72578"/>
    <w:rsid w:val="00B73845"/>
    <w:rsid w:val="00B744FB"/>
    <w:rsid w:val="00B75D68"/>
    <w:rsid w:val="00B8207D"/>
    <w:rsid w:val="00B84A8E"/>
    <w:rsid w:val="00B84D04"/>
    <w:rsid w:val="00B85252"/>
    <w:rsid w:val="00B87614"/>
    <w:rsid w:val="00B92D67"/>
    <w:rsid w:val="00B952D8"/>
    <w:rsid w:val="00B9615A"/>
    <w:rsid w:val="00BA1CBE"/>
    <w:rsid w:val="00BA3831"/>
    <w:rsid w:val="00BA500B"/>
    <w:rsid w:val="00BA5B5B"/>
    <w:rsid w:val="00BB008B"/>
    <w:rsid w:val="00BB0093"/>
    <w:rsid w:val="00BB2181"/>
    <w:rsid w:val="00BB3C82"/>
    <w:rsid w:val="00BB57F6"/>
    <w:rsid w:val="00BC2684"/>
    <w:rsid w:val="00BC35AA"/>
    <w:rsid w:val="00BC5BB3"/>
    <w:rsid w:val="00BD2F0F"/>
    <w:rsid w:val="00BD53BD"/>
    <w:rsid w:val="00BD5DEF"/>
    <w:rsid w:val="00BD7A10"/>
    <w:rsid w:val="00BE4802"/>
    <w:rsid w:val="00BF170E"/>
    <w:rsid w:val="00BF44A9"/>
    <w:rsid w:val="00BF509C"/>
    <w:rsid w:val="00BF7CF6"/>
    <w:rsid w:val="00C069DB"/>
    <w:rsid w:val="00C06F6D"/>
    <w:rsid w:val="00C119D6"/>
    <w:rsid w:val="00C141D0"/>
    <w:rsid w:val="00C1435A"/>
    <w:rsid w:val="00C17B51"/>
    <w:rsid w:val="00C20F98"/>
    <w:rsid w:val="00C21F77"/>
    <w:rsid w:val="00C249C9"/>
    <w:rsid w:val="00C27BEF"/>
    <w:rsid w:val="00C32A74"/>
    <w:rsid w:val="00C33BEA"/>
    <w:rsid w:val="00C424F1"/>
    <w:rsid w:val="00C4424F"/>
    <w:rsid w:val="00C445CC"/>
    <w:rsid w:val="00C4599F"/>
    <w:rsid w:val="00C45F82"/>
    <w:rsid w:val="00C475F7"/>
    <w:rsid w:val="00C53E01"/>
    <w:rsid w:val="00C561C9"/>
    <w:rsid w:val="00C62C3C"/>
    <w:rsid w:val="00C81CDA"/>
    <w:rsid w:val="00C83148"/>
    <w:rsid w:val="00C846A9"/>
    <w:rsid w:val="00C87B56"/>
    <w:rsid w:val="00C92404"/>
    <w:rsid w:val="00C97610"/>
    <w:rsid w:val="00CA128C"/>
    <w:rsid w:val="00CA12ED"/>
    <w:rsid w:val="00CA2822"/>
    <w:rsid w:val="00CA620C"/>
    <w:rsid w:val="00CB128D"/>
    <w:rsid w:val="00CB43F1"/>
    <w:rsid w:val="00CB4F76"/>
    <w:rsid w:val="00CB6841"/>
    <w:rsid w:val="00CC60D9"/>
    <w:rsid w:val="00CC678A"/>
    <w:rsid w:val="00CC7AC8"/>
    <w:rsid w:val="00CD0459"/>
    <w:rsid w:val="00CD1F68"/>
    <w:rsid w:val="00CD3E6A"/>
    <w:rsid w:val="00CD47DB"/>
    <w:rsid w:val="00CE1C4A"/>
    <w:rsid w:val="00CE224F"/>
    <w:rsid w:val="00CF1BF6"/>
    <w:rsid w:val="00CF5D27"/>
    <w:rsid w:val="00CF6764"/>
    <w:rsid w:val="00CF6CCE"/>
    <w:rsid w:val="00D00C36"/>
    <w:rsid w:val="00D0145D"/>
    <w:rsid w:val="00D02424"/>
    <w:rsid w:val="00D02B96"/>
    <w:rsid w:val="00D05BAC"/>
    <w:rsid w:val="00D07A16"/>
    <w:rsid w:val="00D12DE0"/>
    <w:rsid w:val="00D14E81"/>
    <w:rsid w:val="00D1647F"/>
    <w:rsid w:val="00D16A26"/>
    <w:rsid w:val="00D16C96"/>
    <w:rsid w:val="00D20F61"/>
    <w:rsid w:val="00D20F95"/>
    <w:rsid w:val="00D3779C"/>
    <w:rsid w:val="00D37DCA"/>
    <w:rsid w:val="00D4786F"/>
    <w:rsid w:val="00D54373"/>
    <w:rsid w:val="00D62225"/>
    <w:rsid w:val="00D6347D"/>
    <w:rsid w:val="00D65D20"/>
    <w:rsid w:val="00D724C9"/>
    <w:rsid w:val="00D745DA"/>
    <w:rsid w:val="00D74CB2"/>
    <w:rsid w:val="00D77DA5"/>
    <w:rsid w:val="00D84420"/>
    <w:rsid w:val="00D85438"/>
    <w:rsid w:val="00D8732D"/>
    <w:rsid w:val="00D927DB"/>
    <w:rsid w:val="00D95F19"/>
    <w:rsid w:val="00DA0D76"/>
    <w:rsid w:val="00DA1274"/>
    <w:rsid w:val="00DA133C"/>
    <w:rsid w:val="00DA1AC7"/>
    <w:rsid w:val="00DA2B1D"/>
    <w:rsid w:val="00DA30A3"/>
    <w:rsid w:val="00DA5E9D"/>
    <w:rsid w:val="00DB415A"/>
    <w:rsid w:val="00DB7EE7"/>
    <w:rsid w:val="00DC0474"/>
    <w:rsid w:val="00DC3E82"/>
    <w:rsid w:val="00DC529B"/>
    <w:rsid w:val="00DD563C"/>
    <w:rsid w:val="00DE06EE"/>
    <w:rsid w:val="00DF0141"/>
    <w:rsid w:val="00DF0807"/>
    <w:rsid w:val="00DF0BDE"/>
    <w:rsid w:val="00DF513B"/>
    <w:rsid w:val="00DF59B0"/>
    <w:rsid w:val="00DF71E8"/>
    <w:rsid w:val="00DF7B01"/>
    <w:rsid w:val="00E0352C"/>
    <w:rsid w:val="00E07BB2"/>
    <w:rsid w:val="00E11E1A"/>
    <w:rsid w:val="00E12C95"/>
    <w:rsid w:val="00E12E0B"/>
    <w:rsid w:val="00E14566"/>
    <w:rsid w:val="00E14911"/>
    <w:rsid w:val="00E22660"/>
    <w:rsid w:val="00E232E0"/>
    <w:rsid w:val="00E23A5B"/>
    <w:rsid w:val="00E3030C"/>
    <w:rsid w:val="00E32AC3"/>
    <w:rsid w:val="00E32EAF"/>
    <w:rsid w:val="00E34BF8"/>
    <w:rsid w:val="00E44F7F"/>
    <w:rsid w:val="00E50CC8"/>
    <w:rsid w:val="00E51FE8"/>
    <w:rsid w:val="00E5244F"/>
    <w:rsid w:val="00E5451E"/>
    <w:rsid w:val="00E55E57"/>
    <w:rsid w:val="00E56249"/>
    <w:rsid w:val="00E67ACE"/>
    <w:rsid w:val="00E67BA7"/>
    <w:rsid w:val="00E7248E"/>
    <w:rsid w:val="00E757FD"/>
    <w:rsid w:val="00E77067"/>
    <w:rsid w:val="00E84140"/>
    <w:rsid w:val="00E93D69"/>
    <w:rsid w:val="00E94FA8"/>
    <w:rsid w:val="00E95609"/>
    <w:rsid w:val="00EA0E64"/>
    <w:rsid w:val="00EB24BF"/>
    <w:rsid w:val="00EB4FD7"/>
    <w:rsid w:val="00EC21F8"/>
    <w:rsid w:val="00EC564B"/>
    <w:rsid w:val="00EC6F58"/>
    <w:rsid w:val="00ED02AB"/>
    <w:rsid w:val="00ED4634"/>
    <w:rsid w:val="00ED7CB3"/>
    <w:rsid w:val="00EE1123"/>
    <w:rsid w:val="00EE1706"/>
    <w:rsid w:val="00EE3A4F"/>
    <w:rsid w:val="00EF0C91"/>
    <w:rsid w:val="00EF2660"/>
    <w:rsid w:val="00EF26A2"/>
    <w:rsid w:val="00F06892"/>
    <w:rsid w:val="00F079E9"/>
    <w:rsid w:val="00F14072"/>
    <w:rsid w:val="00F1668A"/>
    <w:rsid w:val="00F269DE"/>
    <w:rsid w:val="00F26A4B"/>
    <w:rsid w:val="00F31636"/>
    <w:rsid w:val="00F3262B"/>
    <w:rsid w:val="00F376E3"/>
    <w:rsid w:val="00F37ED4"/>
    <w:rsid w:val="00F40A46"/>
    <w:rsid w:val="00F41D12"/>
    <w:rsid w:val="00F45235"/>
    <w:rsid w:val="00F4587E"/>
    <w:rsid w:val="00F50B3C"/>
    <w:rsid w:val="00F5592A"/>
    <w:rsid w:val="00F57E9D"/>
    <w:rsid w:val="00F66E1A"/>
    <w:rsid w:val="00F67D86"/>
    <w:rsid w:val="00F71EBB"/>
    <w:rsid w:val="00F728DA"/>
    <w:rsid w:val="00F75558"/>
    <w:rsid w:val="00F8554D"/>
    <w:rsid w:val="00F92F41"/>
    <w:rsid w:val="00F96E52"/>
    <w:rsid w:val="00FA619D"/>
    <w:rsid w:val="00FB4E60"/>
    <w:rsid w:val="00FC1085"/>
    <w:rsid w:val="00FC25AB"/>
    <w:rsid w:val="00FC3F6C"/>
    <w:rsid w:val="00FC4ACC"/>
    <w:rsid w:val="00FD0892"/>
    <w:rsid w:val="00FD2CDF"/>
    <w:rsid w:val="00FD57B0"/>
    <w:rsid w:val="00FD6782"/>
    <w:rsid w:val="00FF3986"/>
    <w:rsid w:val="00FFF8D8"/>
    <w:rsid w:val="011AB3CC"/>
    <w:rsid w:val="016501B9"/>
    <w:rsid w:val="016ECC7E"/>
    <w:rsid w:val="017CACDD"/>
    <w:rsid w:val="01B4927B"/>
    <w:rsid w:val="01B62CBF"/>
    <w:rsid w:val="0244FA7E"/>
    <w:rsid w:val="02AB1D2E"/>
    <w:rsid w:val="03600BEF"/>
    <w:rsid w:val="0385A2B1"/>
    <w:rsid w:val="03E1E601"/>
    <w:rsid w:val="042FBC9E"/>
    <w:rsid w:val="04C5761F"/>
    <w:rsid w:val="04D5C1A2"/>
    <w:rsid w:val="0523D516"/>
    <w:rsid w:val="0524E670"/>
    <w:rsid w:val="0550D90F"/>
    <w:rsid w:val="05C222BD"/>
    <w:rsid w:val="05FC4720"/>
    <w:rsid w:val="06674DEE"/>
    <w:rsid w:val="0690AA2C"/>
    <w:rsid w:val="07115355"/>
    <w:rsid w:val="0717C12D"/>
    <w:rsid w:val="076D31D6"/>
    <w:rsid w:val="0774D847"/>
    <w:rsid w:val="07A24C98"/>
    <w:rsid w:val="080493AE"/>
    <w:rsid w:val="081285D4"/>
    <w:rsid w:val="08ACED20"/>
    <w:rsid w:val="08B5241B"/>
    <w:rsid w:val="08C6E28E"/>
    <w:rsid w:val="08D6DD0A"/>
    <w:rsid w:val="0901026B"/>
    <w:rsid w:val="0918D47A"/>
    <w:rsid w:val="0965BE6C"/>
    <w:rsid w:val="09673C28"/>
    <w:rsid w:val="0977FB32"/>
    <w:rsid w:val="09FC5DEB"/>
    <w:rsid w:val="0A6016FF"/>
    <w:rsid w:val="0A7D8530"/>
    <w:rsid w:val="0AA4F81E"/>
    <w:rsid w:val="0AB4657D"/>
    <w:rsid w:val="0AD4606A"/>
    <w:rsid w:val="0AF6F581"/>
    <w:rsid w:val="0B52CF1F"/>
    <w:rsid w:val="0B93172D"/>
    <w:rsid w:val="0BD7D387"/>
    <w:rsid w:val="0C0491F0"/>
    <w:rsid w:val="0C07DF84"/>
    <w:rsid w:val="0C67A085"/>
    <w:rsid w:val="0C76CEFD"/>
    <w:rsid w:val="0C97F00B"/>
    <w:rsid w:val="0D35263A"/>
    <w:rsid w:val="0D77E7E8"/>
    <w:rsid w:val="0D8CC9A9"/>
    <w:rsid w:val="0DBBF40E"/>
    <w:rsid w:val="0DC56329"/>
    <w:rsid w:val="0E38ADED"/>
    <w:rsid w:val="0EDD3A24"/>
    <w:rsid w:val="0EF9447F"/>
    <w:rsid w:val="0F1DE9AE"/>
    <w:rsid w:val="0F559946"/>
    <w:rsid w:val="0F6C70AB"/>
    <w:rsid w:val="0FDB84BB"/>
    <w:rsid w:val="0FE4F849"/>
    <w:rsid w:val="10424CFC"/>
    <w:rsid w:val="1044A1D4"/>
    <w:rsid w:val="106C6632"/>
    <w:rsid w:val="1097B42B"/>
    <w:rsid w:val="10A527FA"/>
    <w:rsid w:val="10B76D0F"/>
    <w:rsid w:val="1101B873"/>
    <w:rsid w:val="1174A0E5"/>
    <w:rsid w:val="11C6C923"/>
    <w:rsid w:val="11EBDBFE"/>
    <w:rsid w:val="11EDF315"/>
    <w:rsid w:val="1257F471"/>
    <w:rsid w:val="12A3229C"/>
    <w:rsid w:val="130919B0"/>
    <w:rsid w:val="130B7A7D"/>
    <w:rsid w:val="13206685"/>
    <w:rsid w:val="139E751E"/>
    <w:rsid w:val="13AFE440"/>
    <w:rsid w:val="13D5D483"/>
    <w:rsid w:val="144C38E4"/>
    <w:rsid w:val="14810D83"/>
    <w:rsid w:val="14A3FD57"/>
    <w:rsid w:val="14A4DAAC"/>
    <w:rsid w:val="14FA18FF"/>
    <w:rsid w:val="154E5741"/>
    <w:rsid w:val="15875A1D"/>
    <w:rsid w:val="15920E0D"/>
    <w:rsid w:val="15B0AC6C"/>
    <w:rsid w:val="160D5684"/>
    <w:rsid w:val="164878B0"/>
    <w:rsid w:val="16B16FC7"/>
    <w:rsid w:val="171748B2"/>
    <w:rsid w:val="1766F567"/>
    <w:rsid w:val="17769885"/>
    <w:rsid w:val="17E18D87"/>
    <w:rsid w:val="180E7B24"/>
    <w:rsid w:val="184B80CE"/>
    <w:rsid w:val="18955842"/>
    <w:rsid w:val="18F5A91F"/>
    <w:rsid w:val="1949D363"/>
    <w:rsid w:val="199C7EF3"/>
    <w:rsid w:val="199E5AE9"/>
    <w:rsid w:val="19AC83F5"/>
    <w:rsid w:val="19AFDF18"/>
    <w:rsid w:val="19D2D707"/>
    <w:rsid w:val="1A5ACBB0"/>
    <w:rsid w:val="1AC51E72"/>
    <w:rsid w:val="1ACE1217"/>
    <w:rsid w:val="1B277695"/>
    <w:rsid w:val="1B759236"/>
    <w:rsid w:val="1B848752"/>
    <w:rsid w:val="1B9B323B"/>
    <w:rsid w:val="1BB7B24B"/>
    <w:rsid w:val="1BFABB67"/>
    <w:rsid w:val="1C1956E6"/>
    <w:rsid w:val="1C2A08E2"/>
    <w:rsid w:val="1C2EFD9C"/>
    <w:rsid w:val="1C6943A8"/>
    <w:rsid w:val="1CA5687F"/>
    <w:rsid w:val="1CAF89A3"/>
    <w:rsid w:val="1CBE4B1C"/>
    <w:rsid w:val="1CD3E91C"/>
    <w:rsid w:val="1CEE61DC"/>
    <w:rsid w:val="1D050B7C"/>
    <w:rsid w:val="1D19E7F9"/>
    <w:rsid w:val="1D45C9E3"/>
    <w:rsid w:val="1D47486C"/>
    <w:rsid w:val="1DD8F636"/>
    <w:rsid w:val="1E02235F"/>
    <w:rsid w:val="1E7B354A"/>
    <w:rsid w:val="1E9AAD07"/>
    <w:rsid w:val="1ED98F04"/>
    <w:rsid w:val="1EE48107"/>
    <w:rsid w:val="1F3A2D4C"/>
    <w:rsid w:val="1F6220A4"/>
    <w:rsid w:val="1F6A38C1"/>
    <w:rsid w:val="1F7B70D6"/>
    <w:rsid w:val="1FE152DA"/>
    <w:rsid w:val="1FF9DE45"/>
    <w:rsid w:val="200EB28E"/>
    <w:rsid w:val="203038E3"/>
    <w:rsid w:val="203070DF"/>
    <w:rsid w:val="206580FB"/>
    <w:rsid w:val="20809492"/>
    <w:rsid w:val="20EA1AAA"/>
    <w:rsid w:val="20F996D2"/>
    <w:rsid w:val="21D61AFE"/>
    <w:rsid w:val="226D491D"/>
    <w:rsid w:val="22711B3F"/>
    <w:rsid w:val="22DD5E03"/>
    <w:rsid w:val="2312394D"/>
    <w:rsid w:val="2318517C"/>
    <w:rsid w:val="2327031D"/>
    <w:rsid w:val="23883361"/>
    <w:rsid w:val="23959C4B"/>
    <w:rsid w:val="2397B53D"/>
    <w:rsid w:val="23FC4EE7"/>
    <w:rsid w:val="24812B81"/>
    <w:rsid w:val="248D4022"/>
    <w:rsid w:val="2498F86E"/>
    <w:rsid w:val="24AD3614"/>
    <w:rsid w:val="24CAFEC9"/>
    <w:rsid w:val="251ADDBD"/>
    <w:rsid w:val="254DD8CC"/>
    <w:rsid w:val="25BA0534"/>
    <w:rsid w:val="25EEB893"/>
    <w:rsid w:val="2624F656"/>
    <w:rsid w:val="26C42E2D"/>
    <w:rsid w:val="26C6C159"/>
    <w:rsid w:val="26F94BD9"/>
    <w:rsid w:val="2709C58E"/>
    <w:rsid w:val="2770BFFA"/>
    <w:rsid w:val="27C5A9FC"/>
    <w:rsid w:val="27D6305F"/>
    <w:rsid w:val="2884358C"/>
    <w:rsid w:val="2887CB5E"/>
    <w:rsid w:val="28CE1D7E"/>
    <w:rsid w:val="28DAFF7F"/>
    <w:rsid w:val="290366F3"/>
    <w:rsid w:val="2911D882"/>
    <w:rsid w:val="29331127"/>
    <w:rsid w:val="29DA1CBE"/>
    <w:rsid w:val="29F2A10E"/>
    <w:rsid w:val="2A06C9AF"/>
    <w:rsid w:val="2A18E30B"/>
    <w:rsid w:val="2A8933CB"/>
    <w:rsid w:val="2AC39A05"/>
    <w:rsid w:val="2B6CF6E1"/>
    <w:rsid w:val="2BC7882B"/>
    <w:rsid w:val="2BDEA1C4"/>
    <w:rsid w:val="2C22D4C3"/>
    <w:rsid w:val="2D07AF09"/>
    <w:rsid w:val="2DC17CD3"/>
    <w:rsid w:val="2DDAD532"/>
    <w:rsid w:val="2E40EF1B"/>
    <w:rsid w:val="2ECE48E8"/>
    <w:rsid w:val="2EFA9EC9"/>
    <w:rsid w:val="2F2105BB"/>
    <w:rsid w:val="2F3FFC15"/>
    <w:rsid w:val="2FA236F4"/>
    <w:rsid w:val="2FAE3C6E"/>
    <w:rsid w:val="2FBF427F"/>
    <w:rsid w:val="2FDDD289"/>
    <w:rsid w:val="2FE01F9E"/>
    <w:rsid w:val="30535C1F"/>
    <w:rsid w:val="306686DB"/>
    <w:rsid w:val="311AE86E"/>
    <w:rsid w:val="316C84E7"/>
    <w:rsid w:val="31776A5E"/>
    <w:rsid w:val="3198C9A4"/>
    <w:rsid w:val="31A74245"/>
    <w:rsid w:val="323088C1"/>
    <w:rsid w:val="3231DC9B"/>
    <w:rsid w:val="326D24AF"/>
    <w:rsid w:val="32DF0617"/>
    <w:rsid w:val="33659261"/>
    <w:rsid w:val="33BE3FF7"/>
    <w:rsid w:val="33C453DD"/>
    <w:rsid w:val="3449673A"/>
    <w:rsid w:val="3449AA6C"/>
    <w:rsid w:val="345C684E"/>
    <w:rsid w:val="34B4162B"/>
    <w:rsid w:val="34C728A6"/>
    <w:rsid w:val="34F472F9"/>
    <w:rsid w:val="35C11C42"/>
    <w:rsid w:val="35ECFB61"/>
    <w:rsid w:val="3600AADF"/>
    <w:rsid w:val="361767C2"/>
    <w:rsid w:val="3617D95D"/>
    <w:rsid w:val="364930FC"/>
    <w:rsid w:val="369B4D33"/>
    <w:rsid w:val="36F697CC"/>
    <w:rsid w:val="3702530C"/>
    <w:rsid w:val="378C2E51"/>
    <w:rsid w:val="37BB7B3A"/>
    <w:rsid w:val="382BFC8A"/>
    <w:rsid w:val="384A5266"/>
    <w:rsid w:val="387A5703"/>
    <w:rsid w:val="38A0F991"/>
    <w:rsid w:val="38AEE170"/>
    <w:rsid w:val="38BEC5E0"/>
    <w:rsid w:val="38CBA117"/>
    <w:rsid w:val="38E6E5DB"/>
    <w:rsid w:val="38FFC2C7"/>
    <w:rsid w:val="39313C98"/>
    <w:rsid w:val="3970360F"/>
    <w:rsid w:val="397D125A"/>
    <w:rsid w:val="39961789"/>
    <w:rsid w:val="3A0096E8"/>
    <w:rsid w:val="3A0299CF"/>
    <w:rsid w:val="3A8DB701"/>
    <w:rsid w:val="3A98E7A2"/>
    <w:rsid w:val="3AD49DE1"/>
    <w:rsid w:val="3B060AC8"/>
    <w:rsid w:val="3B0DA404"/>
    <w:rsid w:val="3B1A178D"/>
    <w:rsid w:val="3B4D7B4D"/>
    <w:rsid w:val="3B580F8B"/>
    <w:rsid w:val="3B7DE72A"/>
    <w:rsid w:val="3B82997F"/>
    <w:rsid w:val="3B8A8C69"/>
    <w:rsid w:val="3BA16F71"/>
    <w:rsid w:val="3BD108B6"/>
    <w:rsid w:val="3C17A56A"/>
    <w:rsid w:val="3C41BCE1"/>
    <w:rsid w:val="3C430029"/>
    <w:rsid w:val="3C895263"/>
    <w:rsid w:val="3CC3710B"/>
    <w:rsid w:val="3D0849E9"/>
    <w:rsid w:val="3D1BDAD5"/>
    <w:rsid w:val="3DA42B81"/>
    <w:rsid w:val="3DD2A7CB"/>
    <w:rsid w:val="3E4CC20D"/>
    <w:rsid w:val="3F055BB4"/>
    <w:rsid w:val="3F1C66AC"/>
    <w:rsid w:val="3F27C56F"/>
    <w:rsid w:val="3F50390E"/>
    <w:rsid w:val="3F60DE8F"/>
    <w:rsid w:val="3F89E448"/>
    <w:rsid w:val="3FDC543D"/>
    <w:rsid w:val="3FDF0BDB"/>
    <w:rsid w:val="3FFAABF2"/>
    <w:rsid w:val="40AABB93"/>
    <w:rsid w:val="40C123C9"/>
    <w:rsid w:val="40C3BDA1"/>
    <w:rsid w:val="40DBC75A"/>
    <w:rsid w:val="40E6271C"/>
    <w:rsid w:val="410A0088"/>
    <w:rsid w:val="4142DD9C"/>
    <w:rsid w:val="416E6AAD"/>
    <w:rsid w:val="41708D48"/>
    <w:rsid w:val="419E582E"/>
    <w:rsid w:val="41C83E51"/>
    <w:rsid w:val="41CBCF7B"/>
    <w:rsid w:val="41D5C4E4"/>
    <w:rsid w:val="423AAB40"/>
    <w:rsid w:val="4245A6BA"/>
    <w:rsid w:val="426B348E"/>
    <w:rsid w:val="428BD393"/>
    <w:rsid w:val="42A34FAC"/>
    <w:rsid w:val="42A96E81"/>
    <w:rsid w:val="4305277A"/>
    <w:rsid w:val="4345D3F8"/>
    <w:rsid w:val="435F0D2E"/>
    <w:rsid w:val="43A46ECB"/>
    <w:rsid w:val="43ACE6B4"/>
    <w:rsid w:val="4403C776"/>
    <w:rsid w:val="448A0F5F"/>
    <w:rsid w:val="4497435E"/>
    <w:rsid w:val="44D7080B"/>
    <w:rsid w:val="44EDA72B"/>
    <w:rsid w:val="45445B55"/>
    <w:rsid w:val="454B2135"/>
    <w:rsid w:val="455909EF"/>
    <w:rsid w:val="455F5D30"/>
    <w:rsid w:val="4564ADC0"/>
    <w:rsid w:val="458D4149"/>
    <w:rsid w:val="458F4599"/>
    <w:rsid w:val="459E6E23"/>
    <w:rsid w:val="45C5562D"/>
    <w:rsid w:val="45F72A8B"/>
    <w:rsid w:val="4674AC6B"/>
    <w:rsid w:val="469475BC"/>
    <w:rsid w:val="4699602C"/>
    <w:rsid w:val="46C599AA"/>
    <w:rsid w:val="4738487E"/>
    <w:rsid w:val="47904EF1"/>
    <w:rsid w:val="47F83F91"/>
    <w:rsid w:val="48C68826"/>
    <w:rsid w:val="48F3BC1D"/>
    <w:rsid w:val="4929FFDF"/>
    <w:rsid w:val="49479809"/>
    <w:rsid w:val="494FE1AB"/>
    <w:rsid w:val="496A01F2"/>
    <w:rsid w:val="49B7CEE8"/>
    <w:rsid w:val="49DC919F"/>
    <w:rsid w:val="49DCB621"/>
    <w:rsid w:val="49E3250D"/>
    <w:rsid w:val="49EE5E38"/>
    <w:rsid w:val="49F22F35"/>
    <w:rsid w:val="49FD3B56"/>
    <w:rsid w:val="4A0261DC"/>
    <w:rsid w:val="4A42A836"/>
    <w:rsid w:val="4AB313D3"/>
    <w:rsid w:val="4AD0FEED"/>
    <w:rsid w:val="4AD2EB9D"/>
    <w:rsid w:val="4B084D51"/>
    <w:rsid w:val="4B1ED646"/>
    <w:rsid w:val="4BCBA863"/>
    <w:rsid w:val="4BECB06B"/>
    <w:rsid w:val="4C62E07E"/>
    <w:rsid w:val="4CAB017A"/>
    <w:rsid w:val="4CC30ECF"/>
    <w:rsid w:val="4CFB0010"/>
    <w:rsid w:val="4D7AF805"/>
    <w:rsid w:val="4DB4A89C"/>
    <w:rsid w:val="4DB9C5F7"/>
    <w:rsid w:val="4DC1214D"/>
    <w:rsid w:val="4DE73EA3"/>
    <w:rsid w:val="4DE78897"/>
    <w:rsid w:val="4E2476C5"/>
    <w:rsid w:val="4E2D5C16"/>
    <w:rsid w:val="4E409667"/>
    <w:rsid w:val="4E65E0E5"/>
    <w:rsid w:val="4E9911FE"/>
    <w:rsid w:val="4EBDC293"/>
    <w:rsid w:val="4ECDC554"/>
    <w:rsid w:val="4EE75588"/>
    <w:rsid w:val="4F52050F"/>
    <w:rsid w:val="5029C841"/>
    <w:rsid w:val="5059FEB3"/>
    <w:rsid w:val="50EAECC7"/>
    <w:rsid w:val="518CA2A1"/>
    <w:rsid w:val="51993A90"/>
    <w:rsid w:val="51A8D1E2"/>
    <w:rsid w:val="51B4C246"/>
    <w:rsid w:val="51EA5650"/>
    <w:rsid w:val="52146470"/>
    <w:rsid w:val="52893444"/>
    <w:rsid w:val="52981498"/>
    <w:rsid w:val="52B27170"/>
    <w:rsid w:val="52D3F150"/>
    <w:rsid w:val="52EFB907"/>
    <w:rsid w:val="533244DC"/>
    <w:rsid w:val="539F746C"/>
    <w:rsid w:val="53C46A6B"/>
    <w:rsid w:val="53C518D4"/>
    <w:rsid w:val="53D8B9E1"/>
    <w:rsid w:val="53DD500B"/>
    <w:rsid w:val="53FAC7EE"/>
    <w:rsid w:val="541652E3"/>
    <w:rsid w:val="544C41CB"/>
    <w:rsid w:val="54BEAE89"/>
    <w:rsid w:val="54BED12B"/>
    <w:rsid w:val="54BED905"/>
    <w:rsid w:val="54DB5B42"/>
    <w:rsid w:val="555A4A0F"/>
    <w:rsid w:val="55731605"/>
    <w:rsid w:val="566DCBB1"/>
    <w:rsid w:val="5781C961"/>
    <w:rsid w:val="57B093EE"/>
    <w:rsid w:val="582EC74F"/>
    <w:rsid w:val="58C6C5D5"/>
    <w:rsid w:val="594C4881"/>
    <w:rsid w:val="59D41222"/>
    <w:rsid w:val="59FFAFD5"/>
    <w:rsid w:val="5A26AAB5"/>
    <w:rsid w:val="5A3124AA"/>
    <w:rsid w:val="5A78BF38"/>
    <w:rsid w:val="5A99A1AD"/>
    <w:rsid w:val="5AC73AC9"/>
    <w:rsid w:val="5AF88D2B"/>
    <w:rsid w:val="5B56285D"/>
    <w:rsid w:val="5B759B29"/>
    <w:rsid w:val="5B810D38"/>
    <w:rsid w:val="5BE3FA18"/>
    <w:rsid w:val="5BF187B6"/>
    <w:rsid w:val="5C47E4A8"/>
    <w:rsid w:val="5C6812D1"/>
    <w:rsid w:val="5D5DD052"/>
    <w:rsid w:val="5E8AC11E"/>
    <w:rsid w:val="5EC30ACD"/>
    <w:rsid w:val="5EE672D2"/>
    <w:rsid w:val="5F101251"/>
    <w:rsid w:val="5F499F47"/>
    <w:rsid w:val="5F9666D0"/>
    <w:rsid w:val="5FCF975A"/>
    <w:rsid w:val="5FE1D715"/>
    <w:rsid w:val="605123E5"/>
    <w:rsid w:val="607F0CC4"/>
    <w:rsid w:val="608FC1A5"/>
    <w:rsid w:val="60D7DE34"/>
    <w:rsid w:val="60FBCDA5"/>
    <w:rsid w:val="610BC4E5"/>
    <w:rsid w:val="617F7F9C"/>
    <w:rsid w:val="618F9090"/>
    <w:rsid w:val="61AA31C1"/>
    <w:rsid w:val="61D69F36"/>
    <w:rsid w:val="61E86CF4"/>
    <w:rsid w:val="6239AC71"/>
    <w:rsid w:val="6239C072"/>
    <w:rsid w:val="623A5F47"/>
    <w:rsid w:val="626AA3B2"/>
    <w:rsid w:val="62989817"/>
    <w:rsid w:val="62E4BA38"/>
    <w:rsid w:val="6336FB2D"/>
    <w:rsid w:val="635C106F"/>
    <w:rsid w:val="63DDDD5E"/>
    <w:rsid w:val="63E8B208"/>
    <w:rsid w:val="643AD9A1"/>
    <w:rsid w:val="64414B39"/>
    <w:rsid w:val="64A9DE8B"/>
    <w:rsid w:val="64E00F38"/>
    <w:rsid w:val="64F18551"/>
    <w:rsid w:val="651EBF3A"/>
    <w:rsid w:val="65200D6A"/>
    <w:rsid w:val="6557BB51"/>
    <w:rsid w:val="6565F82D"/>
    <w:rsid w:val="65C1D78A"/>
    <w:rsid w:val="65C67343"/>
    <w:rsid w:val="6711313C"/>
    <w:rsid w:val="6745B8EC"/>
    <w:rsid w:val="677E76E1"/>
    <w:rsid w:val="6797DC53"/>
    <w:rsid w:val="67C5C8B0"/>
    <w:rsid w:val="67C917F7"/>
    <w:rsid w:val="67CABEC6"/>
    <w:rsid w:val="680B7042"/>
    <w:rsid w:val="6816C85D"/>
    <w:rsid w:val="68E9F06A"/>
    <w:rsid w:val="6A348EA3"/>
    <w:rsid w:val="6A74E6BB"/>
    <w:rsid w:val="6A8B758F"/>
    <w:rsid w:val="6A9384DD"/>
    <w:rsid w:val="6AAFC103"/>
    <w:rsid w:val="6AE8518B"/>
    <w:rsid w:val="6AFBB1CD"/>
    <w:rsid w:val="6B04FF8C"/>
    <w:rsid w:val="6B3CB496"/>
    <w:rsid w:val="6B86BCE4"/>
    <w:rsid w:val="6BC11EA6"/>
    <w:rsid w:val="6C1A1D1C"/>
    <w:rsid w:val="6C1C8C71"/>
    <w:rsid w:val="6C505D3F"/>
    <w:rsid w:val="6CA07EB8"/>
    <w:rsid w:val="6CF4E195"/>
    <w:rsid w:val="6D07E2DA"/>
    <w:rsid w:val="6D4C959F"/>
    <w:rsid w:val="6D659C2A"/>
    <w:rsid w:val="6D9C22C3"/>
    <w:rsid w:val="6DEA6B8B"/>
    <w:rsid w:val="6E7CA58E"/>
    <w:rsid w:val="6E9E7FB0"/>
    <w:rsid w:val="6EBB709F"/>
    <w:rsid w:val="6F4B8C21"/>
    <w:rsid w:val="6FE95D2E"/>
    <w:rsid w:val="704A711A"/>
    <w:rsid w:val="70628316"/>
    <w:rsid w:val="70A82A95"/>
    <w:rsid w:val="70F6E3B2"/>
    <w:rsid w:val="7111007E"/>
    <w:rsid w:val="71360626"/>
    <w:rsid w:val="71444D16"/>
    <w:rsid w:val="71520BF0"/>
    <w:rsid w:val="716A410E"/>
    <w:rsid w:val="717FE42A"/>
    <w:rsid w:val="718D328D"/>
    <w:rsid w:val="718F7C7E"/>
    <w:rsid w:val="71A208B7"/>
    <w:rsid w:val="722F4C5E"/>
    <w:rsid w:val="72534147"/>
    <w:rsid w:val="72AFB011"/>
    <w:rsid w:val="72B051D2"/>
    <w:rsid w:val="72C80500"/>
    <w:rsid w:val="72D897D5"/>
    <w:rsid w:val="7305F6CE"/>
    <w:rsid w:val="730A38D0"/>
    <w:rsid w:val="73117275"/>
    <w:rsid w:val="7324C410"/>
    <w:rsid w:val="735236F7"/>
    <w:rsid w:val="735C33A2"/>
    <w:rsid w:val="73DB43E4"/>
    <w:rsid w:val="73F0EC49"/>
    <w:rsid w:val="74865CFF"/>
    <w:rsid w:val="7497B70D"/>
    <w:rsid w:val="7554C73E"/>
    <w:rsid w:val="75DC34F7"/>
    <w:rsid w:val="76356B06"/>
    <w:rsid w:val="768A72FB"/>
    <w:rsid w:val="76B8F633"/>
    <w:rsid w:val="76DA2D4B"/>
    <w:rsid w:val="77711528"/>
    <w:rsid w:val="77C10666"/>
    <w:rsid w:val="780296B9"/>
    <w:rsid w:val="78413D28"/>
    <w:rsid w:val="784B3D9E"/>
    <w:rsid w:val="78672A67"/>
    <w:rsid w:val="78719B16"/>
    <w:rsid w:val="7927D649"/>
    <w:rsid w:val="79401B31"/>
    <w:rsid w:val="79F29CCA"/>
    <w:rsid w:val="7A0140A6"/>
    <w:rsid w:val="7A138CEB"/>
    <w:rsid w:val="7A4B0911"/>
    <w:rsid w:val="7A78AFF6"/>
    <w:rsid w:val="7AD82F94"/>
    <w:rsid w:val="7B0786C3"/>
    <w:rsid w:val="7B3485D2"/>
    <w:rsid w:val="7B93BEBE"/>
    <w:rsid w:val="7BAEF1A5"/>
    <w:rsid w:val="7C6A93E4"/>
    <w:rsid w:val="7C9AB96F"/>
    <w:rsid w:val="7CAF414C"/>
    <w:rsid w:val="7CC2302D"/>
    <w:rsid w:val="7CF14D79"/>
    <w:rsid w:val="7CF215DC"/>
    <w:rsid w:val="7CF53079"/>
    <w:rsid w:val="7D0825F4"/>
    <w:rsid w:val="7D089AD1"/>
    <w:rsid w:val="7D1F2C7A"/>
    <w:rsid w:val="7D204486"/>
    <w:rsid w:val="7D671284"/>
    <w:rsid w:val="7DB6DF38"/>
    <w:rsid w:val="7E0E1348"/>
    <w:rsid w:val="7E3C3ED0"/>
    <w:rsid w:val="7E4CF529"/>
    <w:rsid w:val="7E75A4EC"/>
    <w:rsid w:val="7E86FE60"/>
    <w:rsid w:val="7EB8EF5F"/>
    <w:rsid w:val="7ED165D4"/>
    <w:rsid w:val="7EDA1486"/>
    <w:rsid w:val="7EEDAE87"/>
    <w:rsid w:val="7F661B7D"/>
    <w:rsid w:val="7F6A9ACE"/>
    <w:rsid w:val="7FF5F1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B0531281-5F7B-47C5-8306-93AA648CB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DD2A7CB"/>
    <w:rPr>
      <w:lang w:val="ro-RO" w:eastAsia="en-US"/>
    </w:rPr>
  </w:style>
  <w:style w:type="paragraph" w:styleId="Heading1">
    <w:name w:val="heading 1"/>
    <w:basedOn w:val="Normal"/>
    <w:next w:val="Normal"/>
    <w:link w:val="Heading1Char"/>
    <w:uiPriority w:val="1"/>
    <w:qFormat/>
    <w:rsid w:val="3DD2A7CB"/>
    <w:pPr>
      <w:keepNext/>
      <w:spacing w:before="240" w:after="60"/>
      <w:outlineLvl w:val="0"/>
    </w:pPr>
    <w:rPr>
      <w:rFonts w:ascii="Arial" w:hAnsi="Arial"/>
      <w:b/>
      <w:bCs/>
      <w:sz w:val="28"/>
      <w:szCs w:val="28"/>
    </w:rPr>
  </w:style>
  <w:style w:type="paragraph" w:styleId="Heading2">
    <w:name w:val="heading 2"/>
    <w:basedOn w:val="Normal"/>
    <w:next w:val="Normal"/>
    <w:link w:val="Heading2Char"/>
    <w:uiPriority w:val="1"/>
    <w:qFormat/>
    <w:rsid w:val="3DD2A7CB"/>
    <w:pPr>
      <w:keepNext/>
      <w:jc w:val="center"/>
      <w:outlineLvl w:val="1"/>
    </w:pPr>
    <w:rPr>
      <w:rFonts w:ascii="$ Benguiat_Bold" w:hAnsi="$ Benguiat_Bold"/>
      <w:b/>
      <w:bCs/>
      <w:sz w:val="132"/>
      <w:szCs w:val="132"/>
    </w:rPr>
  </w:style>
  <w:style w:type="paragraph" w:styleId="Heading3">
    <w:name w:val="heading 3"/>
    <w:basedOn w:val="Normal"/>
    <w:next w:val="Normal"/>
    <w:link w:val="Heading3Char"/>
    <w:uiPriority w:val="1"/>
    <w:qFormat/>
    <w:rsid w:val="3DD2A7CB"/>
    <w:pPr>
      <w:keepNext/>
      <w:jc w:val="center"/>
      <w:outlineLvl w:val="2"/>
    </w:pPr>
    <w:rPr>
      <w:rFonts w:ascii="$Caslon" w:hAnsi="$Caslon"/>
      <w:b/>
      <w:bCs/>
    </w:rPr>
  </w:style>
  <w:style w:type="paragraph" w:styleId="Heading4">
    <w:name w:val="heading 4"/>
    <w:basedOn w:val="Normal"/>
    <w:next w:val="Normal"/>
    <w:link w:val="Heading4Char"/>
    <w:uiPriority w:val="1"/>
    <w:qFormat/>
    <w:rsid w:val="3DD2A7CB"/>
    <w:pPr>
      <w:keepNext/>
      <w:jc w:val="center"/>
      <w:outlineLvl w:val="3"/>
    </w:pPr>
    <w:rPr>
      <w:rFonts w:ascii="$Caslon" w:hAnsi="$Caslon"/>
      <w:b/>
      <w:bCs/>
      <w:sz w:val="26"/>
      <w:szCs w:val="26"/>
    </w:rPr>
  </w:style>
  <w:style w:type="paragraph" w:styleId="Heading5">
    <w:name w:val="heading 5"/>
    <w:basedOn w:val="Normal"/>
    <w:next w:val="Normal"/>
    <w:link w:val="Heading5Char"/>
    <w:uiPriority w:val="1"/>
    <w:qFormat/>
    <w:rsid w:val="3DD2A7CB"/>
    <w:pPr>
      <w:keepNext/>
      <w:jc w:val="center"/>
      <w:outlineLvl w:val="4"/>
    </w:pPr>
    <w:rPr>
      <w:rFonts w:ascii="$Caslon" w:hAnsi="$Caslon"/>
      <w:sz w:val="24"/>
      <w:szCs w:val="24"/>
    </w:rPr>
  </w:style>
  <w:style w:type="paragraph" w:styleId="Heading6">
    <w:name w:val="heading 6"/>
    <w:basedOn w:val="Normal"/>
    <w:next w:val="Normal"/>
    <w:link w:val="Heading6Char"/>
    <w:uiPriority w:val="1"/>
    <w:qFormat/>
    <w:rsid w:val="3DD2A7CB"/>
    <w:pPr>
      <w:keepNext/>
      <w:jc w:val="center"/>
      <w:outlineLvl w:val="5"/>
    </w:pPr>
    <w:rPr>
      <w:rFonts w:ascii="$Caslon" w:hAnsi="$Caslon"/>
      <w:b/>
      <w:bCs/>
      <w:sz w:val="22"/>
      <w:szCs w:val="22"/>
    </w:rPr>
  </w:style>
  <w:style w:type="paragraph" w:styleId="Heading7">
    <w:name w:val="heading 7"/>
    <w:basedOn w:val="Normal"/>
    <w:next w:val="Normal"/>
    <w:link w:val="Heading7Char"/>
    <w:uiPriority w:val="1"/>
    <w:qFormat/>
    <w:rsid w:val="3DD2A7CB"/>
    <w:pPr>
      <w:keepNext/>
      <w:jc w:val="center"/>
      <w:outlineLvl w:val="6"/>
    </w:pPr>
    <w:rPr>
      <w:rFonts w:ascii="Garamond" w:hAnsi="Garamond"/>
      <w:b/>
      <w:bCs/>
      <w:sz w:val="28"/>
      <w:szCs w:val="28"/>
    </w:rPr>
  </w:style>
  <w:style w:type="paragraph" w:styleId="Heading8">
    <w:name w:val="heading 8"/>
    <w:basedOn w:val="Normal"/>
    <w:next w:val="Normal"/>
    <w:link w:val="Heading8Char"/>
    <w:uiPriority w:val="1"/>
    <w:qFormat/>
    <w:rsid w:val="3DD2A7CB"/>
    <w:pPr>
      <w:keepNext/>
      <w:jc w:val="center"/>
      <w:outlineLvl w:val="7"/>
    </w:pPr>
    <w:rPr>
      <w:rFonts w:ascii="$Caslon" w:hAnsi="$Caslon"/>
      <w:b/>
      <w:bCs/>
      <w:sz w:val="24"/>
      <w:szCs w:val="24"/>
    </w:rPr>
  </w:style>
  <w:style w:type="paragraph" w:styleId="Heading9">
    <w:name w:val="heading 9"/>
    <w:basedOn w:val="Normal"/>
    <w:next w:val="Normal"/>
    <w:link w:val="Heading9Char"/>
    <w:uiPriority w:val="9"/>
    <w:unhideWhenUsed/>
    <w:qFormat/>
    <w:rsid w:val="3DD2A7CB"/>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rsid w:val="3DD2A7CB"/>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rsid w:val="3DD2A7CB"/>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rsid w:val="3DD2A7CB"/>
    <w:pPr>
      <w:ind w:left="720" w:right="720"/>
    </w:pPr>
    <w:rPr>
      <w:i/>
      <w:iCs/>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rsid w:val="3DD2A7CB"/>
    <w:pPr>
      <w:pBdr>
        <w:top w:val="single" w:sz="4" w:space="5" w:color="FFFFFF"/>
        <w:left w:val="single" w:sz="4" w:space="10" w:color="FFFFFF"/>
        <w:bottom w:val="single" w:sz="4" w:space="5" w:color="FFFFFF"/>
        <w:right w:val="single" w:sz="4" w:space="10" w:color="FFFFFF"/>
      </w:pBdr>
      <w:shd w:val="clear" w:color="auto" w:fill="F2F2F2" w:themeFill="background1" w:themeFillShade="F2"/>
      <w:ind w:left="720" w:right="720"/>
    </w:pPr>
    <w:rPr>
      <w:i/>
      <w:iCs/>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rsid w:val="3DD2A7CB"/>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rsid w:val="3DD2A7CB"/>
    <w:pPr>
      <w:spacing w:after="40"/>
    </w:pPr>
    <w:rPr>
      <w:sz w:val="18"/>
      <w:szCs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rsid w:val="3DD2A7CB"/>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rsid w:val="3DD2A7CB"/>
    <w:pPr>
      <w:spacing w:after="57"/>
      <w:ind w:firstLine="0"/>
    </w:pPr>
  </w:style>
  <w:style w:type="paragraph" w:styleId="TOC2">
    <w:name w:val="toc 2"/>
    <w:basedOn w:val="Normal"/>
    <w:next w:val="Normal"/>
    <w:uiPriority w:val="39"/>
    <w:unhideWhenUsed/>
    <w:rsid w:val="3DD2A7CB"/>
    <w:pPr>
      <w:spacing w:after="57"/>
      <w:ind w:left="283" w:firstLine="0"/>
    </w:pPr>
  </w:style>
  <w:style w:type="paragraph" w:styleId="TOC3">
    <w:name w:val="toc 3"/>
    <w:basedOn w:val="Normal"/>
    <w:next w:val="Normal"/>
    <w:uiPriority w:val="39"/>
    <w:unhideWhenUsed/>
    <w:rsid w:val="3DD2A7CB"/>
    <w:pPr>
      <w:spacing w:after="57"/>
      <w:ind w:left="567" w:firstLine="0"/>
    </w:pPr>
  </w:style>
  <w:style w:type="paragraph" w:styleId="TOC4">
    <w:name w:val="toc 4"/>
    <w:basedOn w:val="Normal"/>
    <w:next w:val="Normal"/>
    <w:uiPriority w:val="39"/>
    <w:unhideWhenUsed/>
    <w:rsid w:val="3DD2A7CB"/>
    <w:pPr>
      <w:spacing w:after="57"/>
      <w:ind w:left="850" w:firstLine="0"/>
    </w:pPr>
  </w:style>
  <w:style w:type="paragraph" w:styleId="TOC5">
    <w:name w:val="toc 5"/>
    <w:basedOn w:val="Normal"/>
    <w:next w:val="Normal"/>
    <w:uiPriority w:val="39"/>
    <w:unhideWhenUsed/>
    <w:rsid w:val="3DD2A7CB"/>
    <w:pPr>
      <w:spacing w:after="57"/>
      <w:ind w:left="1134" w:firstLine="0"/>
    </w:pPr>
  </w:style>
  <w:style w:type="paragraph" w:styleId="TOC6">
    <w:name w:val="toc 6"/>
    <w:basedOn w:val="Normal"/>
    <w:next w:val="Normal"/>
    <w:uiPriority w:val="39"/>
    <w:unhideWhenUsed/>
    <w:rsid w:val="3DD2A7CB"/>
    <w:pPr>
      <w:spacing w:after="57"/>
      <w:ind w:left="1417" w:firstLine="0"/>
    </w:pPr>
  </w:style>
  <w:style w:type="paragraph" w:styleId="TOC7">
    <w:name w:val="toc 7"/>
    <w:basedOn w:val="Normal"/>
    <w:next w:val="Normal"/>
    <w:uiPriority w:val="39"/>
    <w:unhideWhenUsed/>
    <w:rsid w:val="3DD2A7CB"/>
    <w:pPr>
      <w:spacing w:after="57"/>
      <w:ind w:left="1701" w:firstLine="0"/>
    </w:pPr>
  </w:style>
  <w:style w:type="paragraph" w:styleId="TOC8">
    <w:name w:val="toc 8"/>
    <w:basedOn w:val="Normal"/>
    <w:next w:val="Normal"/>
    <w:uiPriority w:val="39"/>
    <w:unhideWhenUsed/>
    <w:rsid w:val="3DD2A7CB"/>
    <w:pPr>
      <w:spacing w:after="57"/>
      <w:ind w:left="1984" w:firstLine="0"/>
    </w:pPr>
  </w:style>
  <w:style w:type="paragraph" w:styleId="TOC9">
    <w:name w:val="toc 9"/>
    <w:basedOn w:val="Normal"/>
    <w:next w:val="Normal"/>
    <w:uiPriority w:val="39"/>
    <w:unhideWhenUsed/>
    <w:rsid w:val="3DD2A7CB"/>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rsid w:val="3DD2A7CB"/>
  </w:style>
  <w:style w:type="paragraph" w:styleId="BalloonText">
    <w:name w:val="Balloon Text"/>
    <w:basedOn w:val="Normal"/>
    <w:link w:val="BalloonTextChar"/>
    <w:uiPriority w:val="99"/>
    <w:rsid w:val="3DD2A7CB"/>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uiPriority w:val="1"/>
    <w:rsid w:val="3DD2A7CB"/>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3DD2A7CB"/>
    <w:pPr>
      <w:ind w:firstLine="567"/>
    </w:pPr>
    <w:rPr>
      <w:sz w:val="24"/>
      <w:szCs w:val="24"/>
      <w:lang w:val="ru-RU" w:eastAsia="ru-RU"/>
    </w:rPr>
  </w:style>
  <w:style w:type="paragraph" w:customStyle="1" w:styleId="cn">
    <w:name w:val="cn"/>
    <w:basedOn w:val="Normal"/>
    <w:uiPriority w:val="1"/>
    <w:rsid w:val="3DD2A7CB"/>
    <w:pPr>
      <w:ind w:firstLine="0"/>
      <w:jc w:val="center"/>
    </w:pPr>
    <w:rPr>
      <w:sz w:val="24"/>
      <w:szCs w:val="24"/>
      <w:lang w:val="ru-RU" w:eastAsia="ru-RU"/>
    </w:rPr>
  </w:style>
  <w:style w:type="paragraph" w:customStyle="1" w:styleId="cb">
    <w:name w:val="cb"/>
    <w:basedOn w:val="Normal"/>
    <w:uiPriority w:val="99"/>
    <w:semiHidden/>
    <w:rsid w:val="3DD2A7CB"/>
    <w:pPr>
      <w:ind w:firstLine="0"/>
      <w:jc w:val="center"/>
    </w:pPr>
    <w:rPr>
      <w:b/>
      <w:bCs/>
      <w:sz w:val="24"/>
      <w:szCs w:val="24"/>
      <w:lang w:val="ru-RU" w:eastAsia="ru-RU"/>
    </w:rPr>
  </w:style>
  <w:style w:type="paragraph" w:styleId="Header">
    <w:name w:val="header"/>
    <w:basedOn w:val="Normal"/>
    <w:link w:val="HeaderChar"/>
    <w:uiPriority w:val="1"/>
    <w:rsid w:val="3DD2A7CB"/>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uiPriority w:val="1"/>
    <w:rsid w:val="3DD2A7CB"/>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uiPriority w:val="1"/>
    <w:rsid w:val="3DD2A7CB"/>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3DD2A7CB"/>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uiPriority w:val="1"/>
    <w:rsid w:val="3DD2A7CB"/>
    <w:pPr>
      <w:ind w:firstLine="0"/>
      <w:jc w:val="center"/>
    </w:pPr>
    <w:rPr>
      <w:b/>
      <w:bCs/>
      <w:sz w:val="24"/>
      <w:szCs w:val="24"/>
      <w:lang w:val="ru-RU" w:eastAsia="ru-RU"/>
    </w:rPr>
  </w:style>
  <w:style w:type="paragraph" w:customStyle="1" w:styleId="CharChar0">
    <w:name w:val="Char Char Знак Знак"/>
    <w:basedOn w:val="Normal"/>
    <w:uiPriority w:val="1"/>
    <w:rsid w:val="3DD2A7CB"/>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uiPriority w:val="1"/>
    <w:rsid w:val="3DD2A7CB"/>
    <w:pPr>
      <w:spacing w:beforeAutospacing="1"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uiPriority w:val="1"/>
    <w:rsid w:val="3DD2A7CB"/>
    <w:pPr>
      <w:spacing w:beforeAutospacing="1"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sid w:val="3DD2A7CB"/>
    <w:pPr>
      <w:ind w:firstLine="0"/>
      <w:jc w:val="left"/>
    </w:pPr>
    <w:rPr>
      <w:lang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rsid w:val="3DD2A7CB"/>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3DD2A7CB"/>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3DD2A7CB"/>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uiPriority w:val="1"/>
    <w:rsid w:val="3DD2A7CB"/>
    <w:pPr>
      <w:spacing w:beforeAutospacing="1"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rsid w:val="3DD2A7CB"/>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styleId="UnresolvedMention">
    <w:name w:val="Unresolved Mention"/>
    <w:basedOn w:val="DefaultParagraphFont"/>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096">
      <w:bodyDiv w:val="1"/>
      <w:marLeft w:val="0"/>
      <w:marRight w:val="0"/>
      <w:marTop w:val="0"/>
      <w:marBottom w:val="0"/>
      <w:divBdr>
        <w:top w:val="none" w:sz="0" w:space="0" w:color="auto"/>
        <w:left w:val="none" w:sz="0" w:space="0" w:color="auto"/>
        <w:bottom w:val="none" w:sz="0" w:space="0" w:color="auto"/>
        <w:right w:val="none" w:sz="0" w:space="0" w:color="auto"/>
      </w:divBdr>
    </w:div>
    <w:div w:id="375356133">
      <w:bodyDiv w:val="1"/>
      <w:marLeft w:val="0"/>
      <w:marRight w:val="0"/>
      <w:marTop w:val="0"/>
      <w:marBottom w:val="0"/>
      <w:divBdr>
        <w:top w:val="none" w:sz="0" w:space="0" w:color="auto"/>
        <w:left w:val="none" w:sz="0" w:space="0" w:color="auto"/>
        <w:bottom w:val="none" w:sz="0" w:space="0" w:color="auto"/>
        <w:right w:val="none" w:sz="0" w:space="0" w:color="auto"/>
      </w:divBdr>
    </w:div>
    <w:div w:id="843278208">
      <w:bodyDiv w:val="1"/>
      <w:marLeft w:val="0"/>
      <w:marRight w:val="0"/>
      <w:marTop w:val="0"/>
      <w:marBottom w:val="0"/>
      <w:divBdr>
        <w:top w:val="none" w:sz="0" w:space="0" w:color="auto"/>
        <w:left w:val="none" w:sz="0" w:space="0" w:color="auto"/>
        <w:bottom w:val="none" w:sz="0" w:space="0" w:color="auto"/>
        <w:right w:val="none" w:sz="0" w:space="0" w:color="auto"/>
      </w:divBdr>
    </w:div>
    <w:div w:id="1061712278">
      <w:bodyDiv w:val="1"/>
      <w:marLeft w:val="0"/>
      <w:marRight w:val="0"/>
      <w:marTop w:val="0"/>
      <w:marBottom w:val="0"/>
      <w:divBdr>
        <w:top w:val="none" w:sz="0" w:space="0" w:color="auto"/>
        <w:left w:val="none" w:sz="0" w:space="0" w:color="auto"/>
        <w:bottom w:val="none" w:sz="0" w:space="0" w:color="auto"/>
        <w:right w:val="none" w:sz="0" w:space="0" w:color="auto"/>
      </w:divBdr>
    </w:div>
    <w:div w:id="1353805242">
      <w:bodyDiv w:val="1"/>
      <w:marLeft w:val="0"/>
      <w:marRight w:val="0"/>
      <w:marTop w:val="0"/>
      <w:marBottom w:val="0"/>
      <w:divBdr>
        <w:top w:val="none" w:sz="0" w:space="0" w:color="auto"/>
        <w:left w:val="none" w:sz="0" w:space="0" w:color="auto"/>
        <w:bottom w:val="none" w:sz="0" w:space="0" w:color="auto"/>
        <w:right w:val="none" w:sz="0" w:space="0" w:color="auto"/>
      </w:divBdr>
    </w:div>
    <w:div w:id="1359815787">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2005694011">
      <w:bodyDiv w:val="1"/>
      <w:marLeft w:val="0"/>
      <w:marRight w:val="0"/>
      <w:marTop w:val="0"/>
      <w:marBottom w:val="0"/>
      <w:divBdr>
        <w:top w:val="none" w:sz="0" w:space="0" w:color="auto"/>
        <w:left w:val="none" w:sz="0" w:space="0" w:color="auto"/>
        <w:bottom w:val="none" w:sz="0" w:space="0" w:color="auto"/>
        <w:right w:val="none" w:sz="0" w:space="0" w:color="auto"/>
      </w:divBdr>
    </w:div>
    <w:div w:id="204932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particip.gov.md/ro/document/stages/anunt-privind-consultarea-publica-a-proiectului-hotararii-guvernului-cu-privire-la-modificarea-hotararii-guvernului-nr-9592018-cu-privire-la-aprobarea-nomenclatorului-functiilor-si-coeficientilor-de-ierarhizare-pentru-stabilirea-indemnizatiilor-de-functie-pentru-personalul-institutiilor-serviciului-diplomatic-al-republicii-moldova-peste-hotare-a-bazei-de-calcul-pentru-stabilirea-indemnizatiilor-de-functie-precum-si-a-structurilor-si-efectivelor-de-personal-ale-acestora-numar-unic-576mae2025/14368"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E109AC6D8825498C60AAA2A4504ABB" ma:contentTypeVersion="14" ma:contentTypeDescription="Create a new document." ma:contentTypeScope="" ma:versionID="963cbe58eafef2d5cd0cdf132aee524f">
  <xsd:schema xmlns:xsd="http://www.w3.org/2001/XMLSchema" xmlns:xs="http://www.w3.org/2001/XMLSchema" xmlns:p="http://schemas.microsoft.com/office/2006/metadata/properties" xmlns:ns2="a1112e56-2832-42be-a945-0dc5bf5802b2" xmlns:ns3="d89666b6-eb5f-416f-9481-684ff84b7fbb" targetNamespace="http://schemas.microsoft.com/office/2006/metadata/properties" ma:root="true" ma:fieldsID="57a8adf7aa599c587b5b20cbb2d16347" ns2:_="" ns3:_="">
    <xsd:import namespace="a1112e56-2832-42be-a945-0dc5bf5802b2"/>
    <xsd:import namespace="d89666b6-eb5f-416f-9481-684ff84b7fb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12e56-2832-42be-a945-0dc5bf5802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f18342c-3873-4b17-a030-b3de3da2e17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9666b6-eb5f-416f-9481-684ff84b7fb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577c90c-e952-4336-a4dc-6a7712c64890}" ma:internalName="TaxCatchAll" ma:showField="CatchAllData" ma:web="d89666b6-eb5f-416f-9481-684ff84b7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9666b6-eb5f-416f-9481-684ff84b7fbb" xsi:nil="true"/>
    <lcf76f155ced4ddcb4097134ff3c332f xmlns="a1112e56-2832-42be-a945-0dc5bf5802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DBA857-C367-40AB-92E3-1323D0F69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12e56-2832-42be-a945-0dc5bf5802b2"/>
    <ds:schemaRef ds:uri="d89666b6-eb5f-416f-9481-684ff84b7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89666b6-eb5f-416f-9481-684ff84b7fbb"/>
    <ds:schemaRef ds:uri="a1112e56-2832-42be-a945-0dc5bf5802b2"/>
  </ds:schemaRefs>
</ds:datastoreItem>
</file>

<file path=docMetadata/LabelInfo.xml><?xml version="1.0" encoding="utf-8"?>
<clbl:labelList xmlns:clbl="http://schemas.microsoft.com/office/2020/mipLabelMetadata">
  <clbl:label id="{5c4e35d5-db9c-4c03-801d-f4783407a705}" enabled="1" method="Standard" siteId="{8e0fb675-40bd-4ab4-adce-8720cfc45ba7}" removed="0"/>
</clbl:labelList>
</file>

<file path=docProps/app.xml><?xml version="1.0" encoding="utf-8"?>
<Properties xmlns="http://schemas.openxmlformats.org/officeDocument/2006/extended-properties" xmlns:vt="http://schemas.openxmlformats.org/officeDocument/2006/docPropsVTypes">
  <Template>Normal.dotm</Template>
  <TotalTime>168</TotalTime>
  <Pages>11</Pages>
  <Words>3049</Words>
  <Characters>17685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435.2023.ro</vt:lpstr>
    </vt:vector>
  </TitlesOfParts>
  <Company>Cancelaria Guvernului</Company>
  <LinksUpToDate>false</LinksUpToDate>
  <CharactersWithSpaces>20693</CharactersWithSpaces>
  <SharedDoc>false</SharedDoc>
  <HLinks>
    <vt:vector size="6" baseType="variant">
      <vt:variant>
        <vt:i4>6619155</vt:i4>
      </vt:variant>
      <vt:variant>
        <vt:i4>0</vt:i4>
      </vt:variant>
      <vt:variant>
        <vt:i4>0</vt:i4>
      </vt:variant>
      <vt:variant>
        <vt:i4>5</vt:i4>
      </vt:variant>
      <vt:variant>
        <vt:lpwstr>https://www.legis.md/cautare/getResults?doc_id=141173&amp;lang=ro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subject/>
  <dc:creator>lll</dc:creator>
  <cp:keywords/>
  <dc:description/>
  <cp:lastModifiedBy>Lidia Badia</cp:lastModifiedBy>
  <cp:revision>86</cp:revision>
  <cp:lastPrinted>2025-08-25T07:13:00Z</cp:lastPrinted>
  <dcterms:created xsi:type="dcterms:W3CDTF">2025-04-16T12:19:00Z</dcterms:created>
  <dcterms:modified xsi:type="dcterms:W3CDTF">2026-01-12T07:08:00Z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0x01010073E109AC6D8825498C60AAA2A4504ABB</vt:lpwstr>
  </property>
  <property fmtid="{D5CDD505-2E9C-101B-9397-08002B2CF9AE}" pid="3" name="Tipul documentului">
    <vt:lpwstr>Aviz</vt:lpwstr>
  </property>
  <property fmtid="{D5CDD505-2E9C-101B-9397-08002B2CF9AE}" pid="4" name="MSIP_Label_5c4e35d5-db9c-4c03-801d-f4783407a705_Enabled">
    <vt:lpwstr>true</vt:lpwstr>
  </property>
  <property fmtid="{D5CDD505-2E9C-101B-9397-08002B2CF9AE}" pid="5" name="MSIP_Label_5c4e35d5-db9c-4c03-801d-f4783407a705_SetDate">
    <vt:lpwstr>2025-03-05T09:41:36Z</vt:lpwstr>
  </property>
  <property fmtid="{D5CDD505-2E9C-101B-9397-08002B2CF9AE}" pid="6" name="MSIP_Label_5c4e35d5-db9c-4c03-801d-f4783407a705_Method">
    <vt:lpwstr>Standard</vt:lpwstr>
  </property>
  <property fmtid="{D5CDD505-2E9C-101B-9397-08002B2CF9AE}" pid="7" name="MSIP_Label_5c4e35d5-db9c-4c03-801d-f4783407a705_Name">
    <vt:lpwstr>[MFA] Default</vt:lpwstr>
  </property>
  <property fmtid="{D5CDD505-2E9C-101B-9397-08002B2CF9AE}" pid="8" name="MSIP_Label_5c4e35d5-db9c-4c03-801d-f4783407a705_SiteId">
    <vt:lpwstr>8e0fb675-40bd-4ab4-adce-8720cfc45ba7</vt:lpwstr>
  </property>
  <property fmtid="{D5CDD505-2E9C-101B-9397-08002B2CF9AE}" pid="9" name="MSIP_Label_5c4e35d5-db9c-4c03-801d-f4783407a705_ActionId">
    <vt:lpwstr>39d650d2-6a72-4f1b-8851-5d3b5444c324</vt:lpwstr>
  </property>
  <property fmtid="{D5CDD505-2E9C-101B-9397-08002B2CF9AE}" pid="10" name="MSIP_Label_5c4e35d5-db9c-4c03-801d-f4783407a705_ContentBits">
    <vt:lpwstr>0</vt:lpwstr>
  </property>
  <property fmtid="{D5CDD505-2E9C-101B-9397-08002B2CF9AE}" pid="11" name="MSIP_Label_5c4e35d5-db9c-4c03-801d-f4783407a705_Tag">
    <vt:lpwstr>10, 3, 0, 2</vt:lpwstr>
  </property>
  <property fmtid="{D5CDD505-2E9C-101B-9397-08002B2CF9AE}" pid="12" name="MediaServiceImageTags">
    <vt:lpwstr/>
  </property>
</Properties>
</file>