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A19D" w14:textId="0CC6DE9E" w:rsidR="00C01C52" w:rsidRDefault="00866554" w:rsidP="00F95D6F">
      <w:pPr>
        <w:ind w:firstLine="0"/>
        <w:jc w:val="right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>P</w:t>
      </w:r>
      <w:r w:rsidR="00C01C52">
        <w:rPr>
          <w:sz w:val="24"/>
          <w:szCs w:val="24"/>
          <w:lang w:val="ro-MD" w:eastAsia="ru-RU"/>
        </w:rPr>
        <w:t>roiect</w:t>
      </w:r>
    </w:p>
    <w:p w14:paraId="6169415E" w14:textId="77777777" w:rsidR="00C01C52" w:rsidRDefault="00C01C52" w:rsidP="00C01C52">
      <w:pPr>
        <w:tabs>
          <w:tab w:val="left" w:pos="6779"/>
        </w:tabs>
        <w:jc w:val="center"/>
        <w:rPr>
          <w:b/>
          <w:sz w:val="24"/>
          <w:szCs w:val="24"/>
          <w:lang w:val="ro-MD" w:eastAsia="ru-RU"/>
        </w:rPr>
      </w:pPr>
    </w:p>
    <w:p w14:paraId="1DFDA1AC" w14:textId="77777777" w:rsidR="00C01C52" w:rsidRDefault="00C01C52" w:rsidP="00C01C52">
      <w:pPr>
        <w:tabs>
          <w:tab w:val="left" w:pos="6779"/>
        </w:tabs>
        <w:jc w:val="center"/>
        <w:rPr>
          <w:b/>
          <w:sz w:val="24"/>
          <w:szCs w:val="24"/>
          <w:lang w:val="ro-MD" w:eastAsia="ru-RU"/>
        </w:rPr>
      </w:pPr>
      <w:r>
        <w:rPr>
          <w:b/>
          <w:sz w:val="24"/>
          <w:szCs w:val="24"/>
          <w:lang w:val="ro-MD" w:eastAsia="ru-RU"/>
        </w:rPr>
        <w:t>GUVERNUL REPUBLICII MOLDOVA</w:t>
      </w:r>
    </w:p>
    <w:p w14:paraId="262FF3E4" w14:textId="77777777" w:rsidR="00C01C52" w:rsidRDefault="00C01C52" w:rsidP="00C01C52">
      <w:pPr>
        <w:jc w:val="center"/>
        <w:rPr>
          <w:sz w:val="24"/>
          <w:szCs w:val="24"/>
          <w:lang w:val="ro-MD" w:eastAsia="ru-RU"/>
        </w:rPr>
      </w:pPr>
    </w:p>
    <w:p w14:paraId="18AC3258" w14:textId="2141CE59" w:rsidR="00C01C52" w:rsidRPr="00520D76" w:rsidRDefault="00C01C52" w:rsidP="00C01C52">
      <w:pPr>
        <w:tabs>
          <w:tab w:val="left" w:pos="4215"/>
        </w:tabs>
        <w:jc w:val="center"/>
        <w:rPr>
          <w:sz w:val="24"/>
          <w:szCs w:val="24"/>
          <w:lang w:val="it-IT" w:eastAsia="ru-RU"/>
        </w:rPr>
      </w:pPr>
      <w:r>
        <w:rPr>
          <w:b/>
          <w:sz w:val="24"/>
          <w:szCs w:val="24"/>
          <w:lang w:val="ro-MD" w:eastAsia="ru-RU"/>
        </w:rPr>
        <w:t>HOTĂR</w:t>
      </w:r>
      <w:r w:rsidR="00747E83">
        <w:rPr>
          <w:b/>
          <w:sz w:val="24"/>
          <w:szCs w:val="24"/>
          <w:lang w:val="ro-MD" w:eastAsia="ru-RU"/>
        </w:rPr>
        <w:t>Â</w:t>
      </w:r>
      <w:r>
        <w:rPr>
          <w:b/>
          <w:sz w:val="24"/>
          <w:szCs w:val="24"/>
          <w:lang w:val="ro-MD" w:eastAsia="ru-RU"/>
        </w:rPr>
        <w:t xml:space="preserve">RE </w:t>
      </w:r>
      <w:r>
        <w:rPr>
          <w:sz w:val="24"/>
          <w:szCs w:val="24"/>
          <w:lang w:val="ro-MD" w:eastAsia="ru-RU"/>
        </w:rPr>
        <w:t>nr. ______</w:t>
      </w:r>
    </w:p>
    <w:p w14:paraId="21141C82" w14:textId="77777777" w:rsidR="00C01C52" w:rsidRDefault="00C01C52" w:rsidP="00C01C52">
      <w:pPr>
        <w:tabs>
          <w:tab w:val="left" w:pos="4215"/>
        </w:tabs>
        <w:jc w:val="center"/>
        <w:rPr>
          <w:sz w:val="24"/>
          <w:szCs w:val="24"/>
          <w:u w:val="single"/>
          <w:lang w:val="ro-MD" w:eastAsia="ru-RU"/>
        </w:rPr>
      </w:pPr>
    </w:p>
    <w:p w14:paraId="1B966618" w14:textId="5A391B3D" w:rsidR="00C01C52" w:rsidRDefault="00630ACB" w:rsidP="00C01C52">
      <w:pPr>
        <w:tabs>
          <w:tab w:val="left" w:pos="4215"/>
          <w:tab w:val="left" w:pos="8027"/>
        </w:tabs>
        <w:jc w:val="center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>din ____  ________________ 202</w:t>
      </w:r>
      <w:r w:rsidR="007610E2">
        <w:rPr>
          <w:sz w:val="24"/>
          <w:szCs w:val="24"/>
          <w:lang w:val="ro-MD" w:eastAsia="ru-RU"/>
        </w:rPr>
        <w:t>6</w:t>
      </w:r>
    </w:p>
    <w:p w14:paraId="73D76967" w14:textId="77777777" w:rsidR="00C01C52" w:rsidRDefault="00C01C52" w:rsidP="00C01C52">
      <w:pPr>
        <w:tabs>
          <w:tab w:val="left" w:pos="540"/>
          <w:tab w:val="left" w:pos="4215"/>
          <w:tab w:val="left" w:pos="8027"/>
        </w:tabs>
        <w:jc w:val="center"/>
        <w:rPr>
          <w:sz w:val="24"/>
          <w:szCs w:val="24"/>
          <w:lang w:val="ro-MD" w:eastAsia="ru-RU"/>
        </w:rPr>
      </w:pPr>
    </w:p>
    <w:p w14:paraId="28BCC9F8" w14:textId="3CADAE5B" w:rsidR="00F65B7B" w:rsidRPr="00620B39" w:rsidRDefault="00F65B7B" w:rsidP="00553515">
      <w:pPr>
        <w:tabs>
          <w:tab w:val="left" w:pos="4215"/>
          <w:tab w:val="left" w:pos="8027"/>
        </w:tabs>
        <w:spacing w:line="276" w:lineRule="auto"/>
        <w:ind w:firstLine="0"/>
        <w:rPr>
          <w:sz w:val="24"/>
          <w:szCs w:val="24"/>
          <w:lang w:val="ro-MD"/>
        </w:rPr>
      </w:pPr>
      <w:r w:rsidRPr="00620B39">
        <w:rPr>
          <w:sz w:val="24"/>
          <w:szCs w:val="24"/>
          <w:lang w:val="ro-MD"/>
        </w:rPr>
        <w:t>cu privire la unele măsuri pentru implementarea în Republica Moldova a Acordului privind Programul de schimburi pentru studii universitare în Europa Centrală (CEEPUS IV),</w:t>
      </w:r>
      <w:r w:rsidRPr="00620B39">
        <w:rPr>
          <w:sz w:val="24"/>
          <w:szCs w:val="24"/>
          <w:lang w:val="it-IT"/>
        </w:rPr>
        <w:t xml:space="preserve"> </w:t>
      </w:r>
      <w:r w:rsidRPr="00620B39">
        <w:rPr>
          <w:sz w:val="24"/>
          <w:szCs w:val="24"/>
          <w:lang w:val="ro-MD"/>
        </w:rPr>
        <w:t>semnat la Varșovia, la 20 septembrie 2023</w:t>
      </w:r>
    </w:p>
    <w:p w14:paraId="2495879C" w14:textId="77777777" w:rsidR="00F721B7" w:rsidRPr="00620B39" w:rsidRDefault="00F721B7" w:rsidP="00630ACB">
      <w:pPr>
        <w:tabs>
          <w:tab w:val="left" w:pos="4215"/>
          <w:tab w:val="left" w:pos="8027"/>
        </w:tabs>
        <w:spacing w:line="276" w:lineRule="auto"/>
        <w:ind w:firstLine="0"/>
        <w:jc w:val="center"/>
        <w:rPr>
          <w:sz w:val="24"/>
          <w:szCs w:val="24"/>
          <w:lang w:val="ro-MD" w:eastAsia="ru-RU"/>
        </w:rPr>
      </w:pPr>
    </w:p>
    <w:p w14:paraId="17804151" w14:textId="59671FE1" w:rsidR="00C01C52" w:rsidRPr="00620B39" w:rsidRDefault="00C01C52" w:rsidP="00630ACB">
      <w:pPr>
        <w:spacing w:line="276" w:lineRule="auto"/>
        <w:ind w:left="284" w:firstLine="283"/>
        <w:rPr>
          <w:sz w:val="24"/>
          <w:szCs w:val="24"/>
          <w:lang w:val="ro-MD"/>
        </w:rPr>
      </w:pPr>
      <w:r w:rsidRPr="00620B39">
        <w:rPr>
          <w:sz w:val="24"/>
          <w:szCs w:val="24"/>
          <w:lang w:val="ro-MD" w:eastAsia="ru-RU"/>
        </w:rPr>
        <w:t>În temeiul</w:t>
      </w:r>
      <w:r w:rsidRPr="00620B39">
        <w:rPr>
          <w:b/>
          <w:sz w:val="24"/>
          <w:szCs w:val="24"/>
          <w:lang w:val="ro-MD" w:eastAsia="ru-RU"/>
        </w:rPr>
        <w:t xml:space="preserve"> </w:t>
      </w:r>
      <w:r w:rsidRPr="00620B39">
        <w:rPr>
          <w:sz w:val="24"/>
          <w:szCs w:val="24"/>
          <w:lang w:val="ro-MD"/>
        </w:rPr>
        <w:t>art. 150 din Codul Educației al Republicii Moldova nr.152/2014 (Monitorul Oficial al Republicii Moldova, 2014, nr.319-324, art.634)</w:t>
      </w:r>
      <w:r w:rsidR="005C4D8B" w:rsidRPr="00620B39">
        <w:rPr>
          <w:sz w:val="24"/>
          <w:szCs w:val="24"/>
          <w:lang w:val="ro-MD"/>
        </w:rPr>
        <w:t>,</w:t>
      </w:r>
      <w:r w:rsidRPr="00620B39">
        <w:rPr>
          <w:sz w:val="24"/>
          <w:szCs w:val="24"/>
          <w:lang w:val="ro-MD"/>
        </w:rPr>
        <w:t xml:space="preserve"> Legii nr. </w:t>
      </w:r>
      <w:r w:rsidR="00866554" w:rsidRPr="00620B39">
        <w:rPr>
          <w:sz w:val="24"/>
          <w:szCs w:val="24"/>
          <w:lang w:val="ro-MD"/>
        </w:rPr>
        <w:t>70/2024</w:t>
      </w:r>
      <w:r w:rsidRPr="00620B39">
        <w:rPr>
          <w:sz w:val="24"/>
          <w:szCs w:val="24"/>
          <w:lang w:val="ro-MD"/>
        </w:rPr>
        <w:t xml:space="preserve"> pentru </w:t>
      </w:r>
      <w:r w:rsidR="00866554" w:rsidRPr="00620B39">
        <w:rPr>
          <w:sz w:val="24"/>
          <w:szCs w:val="24"/>
          <w:lang w:val="ro-MD"/>
        </w:rPr>
        <w:t xml:space="preserve">aprobarea </w:t>
      </w:r>
      <w:r w:rsidRPr="00620B39">
        <w:rPr>
          <w:sz w:val="24"/>
          <w:szCs w:val="24"/>
          <w:lang w:val="ro-MD"/>
        </w:rPr>
        <w:t xml:space="preserve"> Acordul</w:t>
      </w:r>
      <w:r w:rsidR="00866554" w:rsidRPr="00620B39">
        <w:rPr>
          <w:sz w:val="24"/>
          <w:szCs w:val="24"/>
          <w:lang w:val="ro-MD"/>
        </w:rPr>
        <w:t>ui</w:t>
      </w:r>
      <w:r w:rsidRPr="00620B39">
        <w:rPr>
          <w:sz w:val="24"/>
          <w:szCs w:val="24"/>
          <w:lang w:val="ro-MD"/>
        </w:rPr>
        <w:t xml:space="preserve"> privind Programul de schimburi pentru studii universitare în Europa Centrală (CEEPUS</w:t>
      </w:r>
      <w:r w:rsidR="00553515" w:rsidRPr="00620B39">
        <w:rPr>
          <w:sz w:val="24"/>
          <w:szCs w:val="24"/>
          <w:lang w:val="ro-MD"/>
        </w:rPr>
        <w:t xml:space="preserve"> </w:t>
      </w:r>
      <w:r w:rsidRPr="00620B39">
        <w:rPr>
          <w:sz w:val="24"/>
          <w:szCs w:val="24"/>
          <w:lang w:val="ro-MD"/>
        </w:rPr>
        <w:t>I</w:t>
      </w:r>
      <w:r w:rsidR="00866554" w:rsidRPr="00620B39">
        <w:rPr>
          <w:sz w:val="24"/>
          <w:szCs w:val="24"/>
          <w:lang w:val="ro-MD"/>
        </w:rPr>
        <w:t>V</w:t>
      </w:r>
      <w:r w:rsidRPr="00620B39">
        <w:rPr>
          <w:sz w:val="24"/>
          <w:szCs w:val="24"/>
          <w:lang w:val="ro-MD"/>
        </w:rPr>
        <w:t>) (Monitorul Oficial al Republicii Moldova, 20</w:t>
      </w:r>
      <w:r w:rsidR="00215249">
        <w:rPr>
          <w:sz w:val="24"/>
          <w:szCs w:val="24"/>
          <w:lang w:val="ro-MD"/>
        </w:rPr>
        <w:t>24</w:t>
      </w:r>
      <w:r w:rsidRPr="00620B39">
        <w:rPr>
          <w:sz w:val="24"/>
          <w:szCs w:val="24"/>
          <w:lang w:val="ro-MD"/>
        </w:rPr>
        <w:t>, nr</w:t>
      </w:r>
      <w:r w:rsidR="00215249" w:rsidRPr="00215249">
        <w:rPr>
          <w:sz w:val="24"/>
          <w:szCs w:val="24"/>
          <w:lang w:val="ro-MD"/>
        </w:rPr>
        <w:t>. 138-140 art. 209</w:t>
      </w:r>
      <w:r w:rsidRPr="00620B39">
        <w:rPr>
          <w:sz w:val="24"/>
          <w:szCs w:val="24"/>
          <w:lang w:val="ro-MD"/>
        </w:rPr>
        <w:t xml:space="preserve">) </w:t>
      </w:r>
      <w:r w:rsidR="005C4D8B" w:rsidRPr="00620B39">
        <w:rPr>
          <w:sz w:val="24"/>
          <w:szCs w:val="24"/>
          <w:lang w:val="ro-MD"/>
        </w:rPr>
        <w:t>și Programului național de aderare a Republicii Moldova la Uniunea Europeană pentru anii 2025–2029, aprobat prin Hotărârea Guvernului nr. 306/2025, acțiunea normativă nr. 4 din Clusterul 3 „Competitivitate și Creștere Incluzivă”, Capitolul 26 „Educație și Cultură”,</w:t>
      </w:r>
    </w:p>
    <w:p w14:paraId="2E568B81" w14:textId="77777777" w:rsidR="00C01C52" w:rsidRPr="00620B39" w:rsidRDefault="00C01C52" w:rsidP="00630ACB">
      <w:pPr>
        <w:spacing w:line="276" w:lineRule="auto"/>
        <w:rPr>
          <w:sz w:val="24"/>
          <w:szCs w:val="24"/>
          <w:lang w:val="ro-MD"/>
        </w:rPr>
      </w:pPr>
    </w:p>
    <w:p w14:paraId="4932ADDA" w14:textId="77777777" w:rsidR="00C01C52" w:rsidRPr="00620B39" w:rsidRDefault="00C01C52" w:rsidP="00630ACB">
      <w:pPr>
        <w:spacing w:line="276" w:lineRule="auto"/>
        <w:rPr>
          <w:b/>
          <w:sz w:val="24"/>
          <w:szCs w:val="24"/>
          <w:lang w:val="ro-MD"/>
        </w:rPr>
      </w:pPr>
      <w:r w:rsidRPr="00620B39">
        <w:rPr>
          <w:b/>
          <w:sz w:val="24"/>
          <w:szCs w:val="24"/>
          <w:lang w:val="ro-MD"/>
        </w:rPr>
        <w:t>Guvernul HOTĂRĂŞTE:</w:t>
      </w:r>
    </w:p>
    <w:p w14:paraId="3D06FDA1" w14:textId="7F987874" w:rsidR="00F65B7B" w:rsidRPr="00620B39" w:rsidRDefault="00F65B7B" w:rsidP="00975F79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Se aprobă Regulamentul cu privire la unele măsuri pentru implementarea în Republica Moldova a Acordului privind Programul de schimburi pentru studii universitare în Europa Centrală (CEEPUS IV), </w:t>
      </w:r>
      <w:r w:rsidR="004A093B" w:rsidRPr="00620B39">
        <w:rPr>
          <w:rFonts w:ascii="Times New Roman" w:eastAsiaTheme="minorHAnsi" w:hAnsi="Times New Roman"/>
          <w:sz w:val="24"/>
          <w:szCs w:val="24"/>
          <w:lang w:val="ro-MD"/>
        </w:rPr>
        <w:t>semnat la Varșovia, la 20 septembrie 2023</w:t>
      </w:r>
      <w:r w:rsidRPr="00620B39">
        <w:rPr>
          <w:rFonts w:ascii="Times New Roman" w:eastAsiaTheme="minorHAnsi" w:hAnsi="Times New Roman"/>
          <w:sz w:val="24"/>
          <w:szCs w:val="24"/>
          <w:lang w:val="ro-MD"/>
        </w:rPr>
        <w:t>.</w:t>
      </w:r>
    </w:p>
    <w:p w14:paraId="7B581793" w14:textId="13C1BF71" w:rsidR="00F65B7B" w:rsidRPr="00620B39" w:rsidRDefault="00F65B7B" w:rsidP="00975F79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Cuantumul burselor stabilit </w:t>
      </w:r>
      <w:r w:rsidR="001339B3"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pentru Programul de schimburi pentru studii universitare în Europa Centrală (CEEPUS IV) </w:t>
      </w:r>
      <w:r w:rsidRPr="00620B39">
        <w:rPr>
          <w:rFonts w:ascii="Times New Roman" w:eastAsiaTheme="minorHAnsi" w:hAnsi="Times New Roman"/>
          <w:sz w:val="24"/>
          <w:szCs w:val="24"/>
          <w:lang w:val="ro-MD"/>
        </w:rPr>
        <w:t>potrivit prezentei hotărâri se va indexa anual, conform legislației în vigoare.</w:t>
      </w:r>
    </w:p>
    <w:p w14:paraId="7A5310C0" w14:textId="643EDED7" w:rsidR="00AD463D" w:rsidRPr="00620B39" w:rsidRDefault="00AD463D" w:rsidP="001339B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MD"/>
        </w:rPr>
      </w:pPr>
      <w:r w:rsidRPr="00620B39">
        <w:rPr>
          <w:rFonts w:ascii="Times New Roman" w:hAnsi="Times New Roman"/>
          <w:sz w:val="24"/>
          <w:szCs w:val="24"/>
          <w:lang w:val="ro-MD"/>
        </w:rPr>
        <w:t xml:space="preserve">Cheltuielile pentru implementarea prevederilor </w:t>
      </w:r>
      <w:r w:rsidRPr="00620B39">
        <w:rPr>
          <w:rFonts w:ascii="Times New Roman" w:hAnsi="Times New Roman"/>
          <w:sz w:val="24"/>
          <w:szCs w:val="24"/>
          <w:lang w:val="ro-RO"/>
        </w:rPr>
        <w:t>prezentei hotărâri</w:t>
      </w:r>
      <w:r w:rsidRPr="00620B39">
        <w:rPr>
          <w:rFonts w:ascii="Times New Roman" w:hAnsi="Times New Roman"/>
          <w:sz w:val="24"/>
          <w:szCs w:val="24"/>
          <w:lang w:val="ro-MD"/>
        </w:rPr>
        <w:t xml:space="preserve"> urmează a fi acoperite din contul și în limita alocațiilor aprobate în acest scop Ministerului Educației și Cercetării.</w:t>
      </w:r>
    </w:p>
    <w:p w14:paraId="390BE6E2" w14:textId="70356418" w:rsidR="00866554" w:rsidRPr="00620B39" w:rsidRDefault="00866554" w:rsidP="0086655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ro-MD"/>
        </w:rPr>
      </w:pPr>
      <w:r w:rsidRPr="00620B39">
        <w:rPr>
          <w:rFonts w:ascii="Times New Roman" w:hAnsi="Times New Roman"/>
          <w:sz w:val="24"/>
          <w:szCs w:val="24"/>
          <w:lang w:val="ro-MD"/>
        </w:rPr>
        <w:t xml:space="preserve">Se abrogă Hotărârea </w:t>
      </w: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Guvernului nr. 454/2012 „Cu privire la unele măsuri pentru implementarea în Republica Moldova a Acordului privind Programului de schimburi pentru studii universitare în Europa Centrală (CEEPUS III), semnat la </w:t>
      </w:r>
      <w:proofErr w:type="spellStart"/>
      <w:r w:rsidRPr="00620B39">
        <w:rPr>
          <w:rFonts w:ascii="Times New Roman" w:eastAsiaTheme="minorHAnsi" w:hAnsi="Times New Roman"/>
          <w:sz w:val="24"/>
          <w:szCs w:val="24"/>
          <w:lang w:val="ro-MD"/>
        </w:rPr>
        <w:t>Budva</w:t>
      </w:r>
      <w:proofErr w:type="spellEnd"/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 la 25 martie 2010</w:t>
      </w:r>
      <w:r w:rsidR="00215249">
        <w:rPr>
          <w:rFonts w:ascii="Times New Roman" w:eastAsiaTheme="minorHAnsi" w:hAnsi="Times New Roman"/>
          <w:sz w:val="24"/>
          <w:szCs w:val="24"/>
          <w:lang w:val="ro-MD"/>
        </w:rPr>
        <w:t>.</w:t>
      </w:r>
    </w:p>
    <w:p w14:paraId="79059602" w14:textId="18A543C5" w:rsidR="00AD463D" w:rsidRPr="00620B39" w:rsidRDefault="00AD463D" w:rsidP="00AD463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Prezenta Hotărâre intră în vigoare la data publicării</w:t>
      </w:r>
      <w:r w:rsidR="00866554"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 în Monitorul oficial al Republicii Moldova</w:t>
      </w: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. </w:t>
      </w:r>
    </w:p>
    <w:p w14:paraId="56181EFD" w14:textId="77777777" w:rsidR="00620B39" w:rsidRPr="00620B39" w:rsidRDefault="001339B3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right"/>
        <w:rPr>
          <w:rFonts w:eastAsiaTheme="minorHAnsi"/>
          <w:sz w:val="24"/>
          <w:szCs w:val="24"/>
          <w:lang w:val="ro-MD"/>
        </w:rPr>
      </w:pPr>
      <w:r w:rsidRPr="00620B39">
        <w:rPr>
          <w:rFonts w:eastAsiaTheme="minorHAnsi"/>
          <w:sz w:val="24"/>
          <w:szCs w:val="24"/>
          <w:lang w:val="ro-MD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3054"/>
      </w:tblGrid>
      <w:tr w:rsidR="00620B39" w:rsidRPr="00630ACB" w14:paraId="4D040FF8" w14:textId="77777777" w:rsidTr="005F03A2">
        <w:trPr>
          <w:jc w:val="center"/>
        </w:trPr>
        <w:tc>
          <w:tcPr>
            <w:tcW w:w="4567" w:type="dxa"/>
            <w:hideMark/>
          </w:tcPr>
          <w:p w14:paraId="7669AA32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>PRIM-MINISTRU</w:t>
            </w:r>
          </w:p>
        </w:tc>
        <w:tc>
          <w:tcPr>
            <w:tcW w:w="3054" w:type="dxa"/>
            <w:hideMark/>
          </w:tcPr>
          <w:p w14:paraId="4EB33BA5" w14:textId="39651537" w:rsidR="00620B39" w:rsidRPr="00630ACB" w:rsidRDefault="00620B39" w:rsidP="00620B39">
            <w:pPr>
              <w:spacing w:line="276" w:lineRule="auto"/>
              <w:ind w:firstLine="0"/>
              <w:jc w:val="right"/>
              <w:rPr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b/>
                <w:bCs/>
                <w:sz w:val="24"/>
                <w:szCs w:val="24"/>
                <w:lang w:val="ro-MD" w:eastAsia="ru-RU"/>
              </w:rPr>
              <w:t>Alexandru MUNTEANU</w:t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620B39" w:rsidRPr="00630ACB" w14:paraId="68BCAD31" w14:textId="77777777" w:rsidTr="005F03A2">
        <w:trPr>
          <w:jc w:val="center"/>
        </w:trPr>
        <w:tc>
          <w:tcPr>
            <w:tcW w:w="4567" w:type="dxa"/>
          </w:tcPr>
          <w:p w14:paraId="2FE56D91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054" w:type="dxa"/>
          </w:tcPr>
          <w:p w14:paraId="0FA930AA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620B39" w:rsidRPr="00630ACB" w14:paraId="63A5E8F6" w14:textId="77777777" w:rsidTr="005F03A2">
        <w:trPr>
          <w:jc w:val="center"/>
        </w:trPr>
        <w:tc>
          <w:tcPr>
            <w:tcW w:w="4567" w:type="dxa"/>
            <w:hideMark/>
          </w:tcPr>
          <w:p w14:paraId="294D1CED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>Contrasemnează:</w:t>
            </w:r>
          </w:p>
        </w:tc>
        <w:tc>
          <w:tcPr>
            <w:tcW w:w="3054" w:type="dxa"/>
          </w:tcPr>
          <w:p w14:paraId="0E5B67B3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620B39" w:rsidRPr="00630ACB" w14:paraId="0E6F0415" w14:textId="77777777" w:rsidTr="005F03A2">
        <w:trPr>
          <w:jc w:val="center"/>
        </w:trPr>
        <w:tc>
          <w:tcPr>
            <w:tcW w:w="4567" w:type="dxa"/>
          </w:tcPr>
          <w:p w14:paraId="6EE70247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054" w:type="dxa"/>
          </w:tcPr>
          <w:p w14:paraId="2F4F40A0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620B39" w:rsidRPr="00630ACB" w14:paraId="33542C70" w14:textId="77777777" w:rsidTr="005F03A2">
        <w:trPr>
          <w:jc w:val="center"/>
        </w:trPr>
        <w:tc>
          <w:tcPr>
            <w:tcW w:w="4567" w:type="dxa"/>
            <w:hideMark/>
          </w:tcPr>
          <w:p w14:paraId="53FC57D2" w14:textId="504156ED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>Ministr</w:t>
            </w:r>
            <w:r>
              <w:rPr>
                <w:b/>
                <w:bCs/>
                <w:sz w:val="24"/>
                <w:szCs w:val="24"/>
                <w:lang w:val="ro-MD" w:eastAsia="ru-RU"/>
              </w:rPr>
              <w:t>ul</w:t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 xml:space="preserve"> finanțelor</w:t>
            </w:r>
          </w:p>
        </w:tc>
        <w:tc>
          <w:tcPr>
            <w:tcW w:w="3054" w:type="dxa"/>
            <w:hideMark/>
          </w:tcPr>
          <w:p w14:paraId="12C1E3FD" w14:textId="453B7042" w:rsidR="00620B39" w:rsidRPr="00630ACB" w:rsidRDefault="00620B39" w:rsidP="00620B39">
            <w:pPr>
              <w:spacing w:line="276" w:lineRule="auto"/>
              <w:ind w:firstLine="0"/>
              <w:jc w:val="right"/>
              <w:rPr>
                <w:b/>
                <w:bCs/>
                <w:sz w:val="24"/>
                <w:szCs w:val="24"/>
                <w:lang w:val="ro-MD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o-MD" w:eastAsia="ru-RU"/>
              </w:rPr>
              <w:t>Andrian</w:t>
            </w:r>
            <w:proofErr w:type="spellEnd"/>
            <w:r>
              <w:rPr>
                <w:b/>
                <w:bCs/>
                <w:sz w:val="24"/>
                <w:szCs w:val="24"/>
                <w:lang w:val="ro-MD" w:eastAsia="ru-RU"/>
              </w:rPr>
              <w:t xml:space="preserve"> GAVRILIȚĂ</w:t>
            </w:r>
          </w:p>
        </w:tc>
      </w:tr>
      <w:tr w:rsidR="00620B39" w:rsidRPr="00630ACB" w14:paraId="1B088AA0" w14:textId="77777777" w:rsidTr="005F03A2">
        <w:trPr>
          <w:jc w:val="center"/>
        </w:trPr>
        <w:tc>
          <w:tcPr>
            <w:tcW w:w="4567" w:type="dxa"/>
            <w:hideMark/>
          </w:tcPr>
          <w:p w14:paraId="3F39A220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054" w:type="dxa"/>
          </w:tcPr>
          <w:p w14:paraId="210D6C82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620B39" w:rsidRPr="00630ACB" w14:paraId="500D677E" w14:textId="77777777" w:rsidTr="005F03A2">
        <w:trPr>
          <w:jc w:val="center"/>
        </w:trPr>
        <w:tc>
          <w:tcPr>
            <w:tcW w:w="4567" w:type="dxa"/>
          </w:tcPr>
          <w:p w14:paraId="31BAD5F9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054" w:type="dxa"/>
          </w:tcPr>
          <w:p w14:paraId="67AF6D9F" w14:textId="77777777" w:rsidR="00620B39" w:rsidRPr="00630ACB" w:rsidRDefault="00620B39" w:rsidP="005F03A2">
            <w:pPr>
              <w:spacing w:line="276" w:lineRule="auto"/>
              <w:ind w:left="1816"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620B39" w:rsidRPr="00630ACB" w14:paraId="5663759F" w14:textId="77777777" w:rsidTr="005F03A2">
        <w:trPr>
          <w:jc w:val="center"/>
        </w:trPr>
        <w:tc>
          <w:tcPr>
            <w:tcW w:w="4567" w:type="dxa"/>
            <w:hideMark/>
          </w:tcPr>
          <w:p w14:paraId="2D483AD8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>Ministrul e</w:t>
            </w:r>
            <w:r w:rsidRPr="00630ACB">
              <w:rPr>
                <w:b/>
                <w:bCs/>
                <w:sz w:val="24"/>
                <w:szCs w:val="24"/>
                <w:lang w:val="ro-MD"/>
              </w:rPr>
              <w:t>ducației</w:t>
            </w:r>
            <w:r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630ACB">
              <w:rPr>
                <w:b/>
                <w:bCs/>
                <w:sz w:val="24"/>
                <w:szCs w:val="24"/>
                <w:lang w:val="ro-MD"/>
              </w:rPr>
              <w:t>și cercetării</w:t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ab/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ab/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ab/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ab/>
            </w:r>
            <w:r w:rsidRPr="00630ACB">
              <w:rPr>
                <w:b/>
                <w:bCs/>
                <w:sz w:val="24"/>
                <w:szCs w:val="24"/>
                <w:lang w:val="ro-MD" w:eastAsia="ru-RU"/>
              </w:rPr>
              <w:tab/>
            </w:r>
          </w:p>
        </w:tc>
        <w:tc>
          <w:tcPr>
            <w:tcW w:w="3054" w:type="dxa"/>
          </w:tcPr>
          <w:p w14:paraId="470643CA" w14:textId="229860EE" w:rsidR="00620B39" w:rsidRPr="00630ACB" w:rsidRDefault="00620B39" w:rsidP="00620B39">
            <w:pPr>
              <w:spacing w:line="276" w:lineRule="auto"/>
              <w:ind w:firstLine="0"/>
              <w:jc w:val="right"/>
              <w:rPr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b/>
                <w:bCs/>
                <w:sz w:val="24"/>
                <w:szCs w:val="24"/>
                <w:lang w:val="ro-MD" w:eastAsia="ru-RU"/>
              </w:rPr>
              <w:t>Dan PERCIUN</w:t>
            </w:r>
          </w:p>
        </w:tc>
      </w:tr>
      <w:tr w:rsidR="00620B39" w:rsidRPr="00630ACB" w14:paraId="3D139117" w14:textId="77777777" w:rsidTr="005F03A2">
        <w:trPr>
          <w:jc w:val="center"/>
        </w:trPr>
        <w:tc>
          <w:tcPr>
            <w:tcW w:w="4567" w:type="dxa"/>
            <w:hideMark/>
          </w:tcPr>
          <w:p w14:paraId="40A43B6A" w14:textId="77777777" w:rsidR="00620B39" w:rsidRPr="00630ACB" w:rsidRDefault="00620B39" w:rsidP="005F03A2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054" w:type="dxa"/>
            <w:hideMark/>
          </w:tcPr>
          <w:p w14:paraId="77882580" w14:textId="77777777" w:rsidR="00620B39" w:rsidRPr="00630ACB" w:rsidRDefault="00620B39" w:rsidP="005F03A2">
            <w:pPr>
              <w:spacing w:line="276" w:lineRule="auto"/>
              <w:ind w:left="526" w:firstLine="0"/>
              <w:jc w:val="right"/>
              <w:rPr>
                <w:b/>
                <w:bCs/>
                <w:sz w:val="24"/>
                <w:szCs w:val="24"/>
                <w:lang w:val="ro-MD" w:eastAsia="ru-RU"/>
              </w:rPr>
            </w:pPr>
          </w:p>
        </w:tc>
      </w:tr>
    </w:tbl>
    <w:p w14:paraId="44571290" w14:textId="77777777" w:rsidR="00866554" w:rsidRDefault="00866554" w:rsidP="00620B3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rFonts w:eastAsiaTheme="minorHAnsi"/>
          <w:sz w:val="24"/>
          <w:szCs w:val="24"/>
          <w:lang w:val="ro-MD"/>
        </w:rPr>
      </w:pPr>
    </w:p>
    <w:p w14:paraId="726A2DFA" w14:textId="77777777" w:rsidR="00620B39" w:rsidRPr="00620B39" w:rsidRDefault="00620B39" w:rsidP="00620B3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rFonts w:eastAsiaTheme="minorHAnsi"/>
          <w:sz w:val="24"/>
          <w:szCs w:val="24"/>
          <w:lang w:val="ro-MD"/>
        </w:rPr>
      </w:pPr>
    </w:p>
    <w:p w14:paraId="756EAF62" w14:textId="77777777" w:rsidR="00620B39" w:rsidRDefault="00620B39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right"/>
        <w:rPr>
          <w:rFonts w:eastAsiaTheme="minorHAnsi"/>
          <w:sz w:val="24"/>
          <w:szCs w:val="24"/>
          <w:lang w:val="ro-MD"/>
        </w:rPr>
      </w:pPr>
    </w:p>
    <w:p w14:paraId="4CBF39A4" w14:textId="60C12769" w:rsidR="00F65B7B" w:rsidRPr="00620B39" w:rsidRDefault="00215249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right"/>
        <w:rPr>
          <w:rFonts w:eastAsiaTheme="minorHAnsi"/>
          <w:sz w:val="24"/>
          <w:szCs w:val="24"/>
          <w:lang w:val="ro-MD"/>
        </w:rPr>
      </w:pPr>
      <w:r>
        <w:rPr>
          <w:rFonts w:eastAsiaTheme="minorHAnsi"/>
          <w:sz w:val="24"/>
          <w:szCs w:val="24"/>
          <w:lang w:val="ro-MD"/>
        </w:rPr>
        <w:lastRenderedPageBreak/>
        <w:t>Anexă</w:t>
      </w:r>
    </w:p>
    <w:p w14:paraId="5F13232A" w14:textId="77777777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right"/>
        <w:rPr>
          <w:rFonts w:eastAsiaTheme="minorHAnsi"/>
          <w:sz w:val="24"/>
          <w:szCs w:val="24"/>
          <w:lang w:val="ro-MD"/>
        </w:rPr>
      </w:pPr>
    </w:p>
    <w:p w14:paraId="7C38F33F" w14:textId="08BA075A" w:rsidR="00F65B7B" w:rsidRPr="00620B39" w:rsidRDefault="00215249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right"/>
        <w:rPr>
          <w:rFonts w:eastAsiaTheme="minorHAnsi"/>
          <w:sz w:val="24"/>
          <w:szCs w:val="24"/>
          <w:lang w:val="ro-MD"/>
        </w:rPr>
      </w:pPr>
      <w:r>
        <w:rPr>
          <w:rFonts w:eastAsiaTheme="minorHAnsi"/>
          <w:sz w:val="24"/>
          <w:szCs w:val="24"/>
          <w:lang w:val="ro-MD"/>
        </w:rPr>
        <w:t>la</w:t>
      </w:r>
      <w:r w:rsidR="00F65B7B" w:rsidRPr="00620B39">
        <w:rPr>
          <w:rFonts w:eastAsiaTheme="minorHAnsi"/>
          <w:sz w:val="24"/>
          <w:szCs w:val="24"/>
          <w:lang w:val="ro-MD"/>
        </w:rPr>
        <w:t xml:space="preserve"> Hotărârea Guvernului nr. ____ din ________ 202</w:t>
      </w:r>
      <w:r w:rsidR="00520D76">
        <w:rPr>
          <w:rFonts w:eastAsiaTheme="minorHAnsi"/>
          <w:sz w:val="24"/>
          <w:szCs w:val="24"/>
          <w:lang w:val="ro-MD"/>
        </w:rPr>
        <w:t>6</w:t>
      </w:r>
    </w:p>
    <w:p w14:paraId="2FD8B4CB" w14:textId="77777777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rPr>
          <w:rFonts w:eastAsiaTheme="minorHAnsi"/>
          <w:sz w:val="24"/>
          <w:szCs w:val="24"/>
          <w:lang w:val="ro-MD"/>
        </w:rPr>
      </w:pPr>
    </w:p>
    <w:p w14:paraId="279CA1CB" w14:textId="77777777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center"/>
        <w:rPr>
          <w:rFonts w:eastAsiaTheme="minorHAnsi"/>
          <w:b/>
          <w:bCs/>
          <w:sz w:val="24"/>
          <w:szCs w:val="24"/>
          <w:lang w:val="ro-MD"/>
        </w:rPr>
      </w:pPr>
      <w:r w:rsidRPr="00620B39">
        <w:rPr>
          <w:rFonts w:eastAsiaTheme="minorHAnsi"/>
          <w:b/>
          <w:bCs/>
          <w:sz w:val="24"/>
          <w:szCs w:val="24"/>
          <w:lang w:val="ro-MD"/>
        </w:rPr>
        <w:t>REGULAMENTUL</w:t>
      </w:r>
    </w:p>
    <w:p w14:paraId="3EF7BE9D" w14:textId="77777777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center"/>
        <w:rPr>
          <w:rFonts w:eastAsiaTheme="minorHAnsi"/>
          <w:b/>
          <w:bCs/>
          <w:sz w:val="24"/>
          <w:szCs w:val="24"/>
          <w:lang w:val="ro-MD"/>
        </w:rPr>
      </w:pPr>
    </w:p>
    <w:p w14:paraId="41586D05" w14:textId="6C4338FC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center"/>
        <w:rPr>
          <w:rFonts w:eastAsiaTheme="minorHAnsi"/>
          <w:b/>
          <w:bCs/>
          <w:sz w:val="24"/>
          <w:szCs w:val="24"/>
          <w:lang w:val="ro-MD"/>
        </w:rPr>
      </w:pPr>
      <w:r w:rsidRPr="00620B39">
        <w:rPr>
          <w:rFonts w:eastAsiaTheme="minorHAnsi"/>
          <w:b/>
          <w:bCs/>
          <w:sz w:val="24"/>
          <w:szCs w:val="24"/>
          <w:lang w:val="ro-MD"/>
        </w:rPr>
        <w:t>cu privire la unele măsuri pentru implementarea în Republica Moldova a Acordului privind Programul de schimburi pentru studii universitare în Europa Centrală (CEEPUS IV)</w:t>
      </w:r>
    </w:p>
    <w:p w14:paraId="785B2670" w14:textId="77777777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rPr>
          <w:rFonts w:eastAsiaTheme="minorHAnsi"/>
          <w:sz w:val="24"/>
          <w:szCs w:val="24"/>
          <w:lang w:val="ro-MD"/>
        </w:rPr>
      </w:pPr>
    </w:p>
    <w:p w14:paraId="5BDE9DC8" w14:textId="77777777" w:rsidR="00F65B7B" w:rsidRPr="003D3C9F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center"/>
        <w:rPr>
          <w:rFonts w:eastAsiaTheme="minorHAnsi"/>
          <w:b/>
          <w:bCs/>
          <w:sz w:val="24"/>
          <w:szCs w:val="24"/>
          <w:lang w:val="ro-MD"/>
        </w:rPr>
      </w:pPr>
      <w:r w:rsidRPr="003D3C9F">
        <w:rPr>
          <w:rFonts w:eastAsiaTheme="minorHAnsi"/>
          <w:b/>
          <w:bCs/>
          <w:sz w:val="24"/>
          <w:szCs w:val="24"/>
          <w:lang w:val="ro-MD"/>
        </w:rPr>
        <w:t>I. Dispoziții generale</w:t>
      </w:r>
    </w:p>
    <w:p w14:paraId="0657EEAE" w14:textId="77777777" w:rsidR="00F65B7B" w:rsidRPr="00620B39" w:rsidRDefault="00F65B7B" w:rsidP="00F65B7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rPr>
          <w:rFonts w:eastAsiaTheme="minorHAnsi"/>
          <w:sz w:val="24"/>
          <w:szCs w:val="24"/>
          <w:lang w:val="ro-MD"/>
        </w:rPr>
      </w:pPr>
    </w:p>
    <w:p w14:paraId="33078A99" w14:textId="6BAEC8E5" w:rsidR="00F65B7B" w:rsidRPr="00620B39" w:rsidRDefault="00F65B7B" w:rsidP="00975F79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Prezentul Regulament stabilește modul și condițiile de acordare și achitare a burselor pentru studenții, masteranzii, doctoranzii, cercetătorii, cadrele didactice și științifico-didactice din străinătate care vor veni în Republica Moldova în cadrul Programului de schimburi pentru studii universitare în Europa Centrală (CEEPUS IV).</w:t>
      </w:r>
    </w:p>
    <w:p w14:paraId="435CF110" w14:textId="4DBCDA4E" w:rsidR="00F65B7B" w:rsidRPr="00620B39" w:rsidRDefault="00F65B7B" w:rsidP="00975F79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Regulamentul este elaborat în temeiul legislației naționale în domeniul educației privind mobilitatea academică și al angajamentelor asumate de Republica Moldova prin aderarea la Acordul privind Programul (CEEPUS IV).</w:t>
      </w:r>
    </w:p>
    <w:p w14:paraId="6FCB3247" w14:textId="2A5922EF" w:rsidR="00866554" w:rsidRPr="00620B39" w:rsidRDefault="00866554" w:rsidP="00E824B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Ministerul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Educației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și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Cercetării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este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instituția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responsabilă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de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implementarea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ro-RO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prevederilor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Acordului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privind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Programul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de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schimburi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pentru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studii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universitare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în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Europa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Centrală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(CEEPUS IV),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semnat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la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Varșovia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,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Polonia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, la 20 </w:t>
      </w: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septembrie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2023.</w:t>
      </w:r>
    </w:p>
    <w:p w14:paraId="5F98D8B7" w14:textId="77777777" w:rsidR="00F65B7B" w:rsidRPr="00620B39" w:rsidRDefault="00F65B7B" w:rsidP="00F440B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rPr>
          <w:rFonts w:eastAsiaTheme="minorHAnsi"/>
          <w:sz w:val="24"/>
          <w:szCs w:val="24"/>
          <w:lang w:val="ro-MD"/>
        </w:rPr>
      </w:pPr>
    </w:p>
    <w:p w14:paraId="06A5CEAA" w14:textId="77777777" w:rsidR="00863914" w:rsidRPr="00774D40" w:rsidRDefault="00F65B7B" w:rsidP="00F440B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60" w:firstLine="0"/>
        <w:jc w:val="center"/>
        <w:rPr>
          <w:rFonts w:eastAsiaTheme="minorHAnsi"/>
          <w:b/>
          <w:bCs/>
          <w:sz w:val="24"/>
          <w:szCs w:val="24"/>
          <w:lang w:val="ro-MD"/>
        </w:rPr>
      </w:pPr>
      <w:r w:rsidRPr="00774D40">
        <w:rPr>
          <w:rFonts w:eastAsiaTheme="minorHAnsi"/>
          <w:b/>
          <w:bCs/>
          <w:sz w:val="24"/>
          <w:szCs w:val="24"/>
          <w:lang w:val="ro-MD"/>
        </w:rPr>
        <w:t xml:space="preserve">II. </w:t>
      </w:r>
      <w:r w:rsidR="00863914" w:rsidRPr="00774D40">
        <w:rPr>
          <w:rFonts w:eastAsiaTheme="minorHAnsi"/>
          <w:b/>
          <w:bCs/>
          <w:sz w:val="24"/>
          <w:szCs w:val="24"/>
          <w:lang w:val="ro-MD"/>
        </w:rPr>
        <w:t>Cadrul de implementare a Programului CEEPUS IV</w:t>
      </w:r>
    </w:p>
    <w:p w14:paraId="01C61F65" w14:textId="77777777" w:rsidR="00F65B7B" w:rsidRPr="00620B39" w:rsidRDefault="00F65B7B" w:rsidP="00F440B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val="ro-MD"/>
        </w:rPr>
      </w:pPr>
    </w:p>
    <w:p w14:paraId="19FC982A" w14:textId="0C01FEE2" w:rsidR="00F26582" w:rsidRPr="00620B39" w:rsidRDefault="00F26582" w:rsidP="00F440B5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proofErr w:type="spellStart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Participarea</w:t>
      </w:r>
      <w:proofErr w:type="spell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R</w:t>
      </w:r>
      <w:r w:rsidRPr="00620B39">
        <w:rPr>
          <w:rFonts w:ascii="Times New Roman" w:eastAsiaTheme="minorEastAsia" w:hAnsi="Times New Roman"/>
          <w:sz w:val="24"/>
          <w:szCs w:val="24"/>
          <w:lang w:val="ro-RO" w:eastAsia="zh-CN"/>
        </w:rPr>
        <w:t xml:space="preserve">epublicii Moldova </w:t>
      </w:r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la Programul de schimburi pentru studii </w:t>
      </w:r>
      <w:proofErr w:type="gramStart"/>
      <w:r w:rsidR="00866CCD"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universitare </w:t>
      </w:r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în</w:t>
      </w:r>
      <w:proofErr w:type="gramEnd"/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 xml:space="preserve"> Europa Centrală (CEEPUS IV) începe din anul universitar 2025-2026, pentru o perioadă de 7 ani</w:t>
      </w:r>
      <w:r w:rsidRPr="00620B39">
        <w:rPr>
          <w:rFonts w:ascii="Times New Roman" w:eastAsiaTheme="minorEastAsia" w:hAnsi="Times New Roman"/>
          <w:sz w:val="24"/>
          <w:szCs w:val="24"/>
          <w:lang w:val="ro-RO" w:eastAsia="zh-CN"/>
        </w:rPr>
        <w:t xml:space="preserve">, in conformitate </w:t>
      </w:r>
      <w:r w:rsidR="00866CCD" w:rsidRPr="00620B39">
        <w:rPr>
          <w:rFonts w:ascii="Times New Roman" w:eastAsiaTheme="minorEastAsia" w:hAnsi="Times New Roman"/>
          <w:sz w:val="24"/>
          <w:szCs w:val="24"/>
          <w:lang w:val="ro-RO" w:eastAsia="zh-CN"/>
        </w:rPr>
        <w:t xml:space="preserve">cu termenul de </w:t>
      </w:r>
      <w:r w:rsidR="00584D2E" w:rsidRPr="00620B39">
        <w:rPr>
          <w:rFonts w:ascii="Times New Roman" w:eastAsiaTheme="minorEastAsia" w:hAnsi="Times New Roman"/>
          <w:sz w:val="24"/>
          <w:szCs w:val="24"/>
          <w:lang w:val="ro-RO" w:eastAsia="zh-CN"/>
        </w:rPr>
        <w:t>valabilitate</w:t>
      </w:r>
      <w:r w:rsidR="00866CCD" w:rsidRPr="00620B39">
        <w:rPr>
          <w:rFonts w:ascii="Times New Roman" w:eastAsiaTheme="minorEastAsia" w:hAnsi="Times New Roman"/>
          <w:sz w:val="24"/>
          <w:szCs w:val="24"/>
          <w:lang w:val="ro-RO" w:eastAsia="zh-CN"/>
        </w:rPr>
        <w:t xml:space="preserve"> a Acordului</w:t>
      </w:r>
      <w:r w:rsidRPr="00620B39">
        <w:rPr>
          <w:rFonts w:ascii="Times New Roman" w:eastAsiaTheme="minorEastAsia" w:hAnsi="Times New Roman"/>
          <w:sz w:val="24"/>
          <w:szCs w:val="24"/>
          <w:lang w:val="fr-FR" w:eastAsia="zh-CN"/>
        </w:rPr>
        <w:t>.</w:t>
      </w:r>
    </w:p>
    <w:p w14:paraId="70F65A66" w14:textId="3F91C439" w:rsidR="00620B39" w:rsidRPr="003D3C9F" w:rsidRDefault="00164921" w:rsidP="003D3C9F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hAnsi="Times New Roman"/>
          <w:sz w:val="24"/>
          <w:szCs w:val="24"/>
          <w:lang w:val="ro-MD"/>
        </w:rPr>
        <w:t xml:space="preserve">În cadrul Programului CEEPUS IV sunt eligibile pentru participare instituțiile de învățământ superior </w:t>
      </w:r>
      <w:r w:rsidRPr="003D3C9F">
        <w:rPr>
          <w:rFonts w:ascii="Times New Roman" w:hAnsi="Times New Roman"/>
          <w:sz w:val="24"/>
          <w:szCs w:val="24"/>
          <w:lang w:val="ro-MD"/>
        </w:rPr>
        <w:t xml:space="preserve">publice și private din Republica Moldova, care oferă programe de studii acreditate sau autorizate </w:t>
      </w:r>
      <w:r w:rsidR="003D3C9F" w:rsidRPr="003D3C9F">
        <w:rPr>
          <w:rFonts w:ascii="Times New Roman" w:hAnsi="Times New Roman"/>
          <w:sz w:val="24"/>
          <w:szCs w:val="24"/>
          <w:lang w:val="ro-MD"/>
        </w:rPr>
        <w:t>pentru</w:t>
      </w:r>
      <w:r w:rsidRPr="003D3C9F">
        <w:rPr>
          <w:rFonts w:ascii="Times New Roman" w:hAnsi="Times New Roman"/>
          <w:sz w:val="24"/>
          <w:szCs w:val="24"/>
          <w:lang w:val="ro-MD"/>
        </w:rPr>
        <w:t xml:space="preserve"> funcționare</w:t>
      </w:r>
      <w:r w:rsidRPr="00620B39">
        <w:rPr>
          <w:rFonts w:ascii="Times New Roman" w:hAnsi="Times New Roman"/>
          <w:sz w:val="24"/>
          <w:szCs w:val="24"/>
          <w:lang w:val="ro-MD"/>
        </w:rPr>
        <w:t xml:space="preserve"> provizorie, în condițiile legislației în vigoare</w:t>
      </w:r>
      <w:r w:rsidRPr="00620B39">
        <w:rPr>
          <w:rFonts w:ascii="Times New Roman" w:eastAsiaTheme="minorEastAsia" w:hAnsi="Times New Roman"/>
          <w:sz w:val="24"/>
          <w:szCs w:val="24"/>
          <w:lang w:val="ro-MD" w:eastAsia="zh-CN"/>
        </w:rPr>
        <w:t xml:space="preserve">. </w:t>
      </w:r>
    </w:p>
    <w:p w14:paraId="634F1481" w14:textId="1A90A32B" w:rsidR="003D3C9F" w:rsidRPr="00584D2E" w:rsidRDefault="003D3C9F" w:rsidP="003D3C9F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EastAsia" w:hAnsi="Times New Roman"/>
          <w:sz w:val="24"/>
          <w:szCs w:val="24"/>
          <w:lang w:val="ro-MD" w:eastAsia="zh-CN"/>
        </w:rPr>
        <w:t>Lista instituțiilor participante din Republica Moldova în cadrul Programului CEEPUS IV va fi aprobată</w:t>
      </w:r>
      <w:r w:rsidR="00584D2E">
        <w:rPr>
          <w:rFonts w:ascii="Times New Roman" w:eastAsiaTheme="minorEastAsia" w:hAnsi="Times New Roman"/>
          <w:sz w:val="24"/>
          <w:szCs w:val="24"/>
          <w:lang w:val="ro-MD" w:eastAsia="zh-CN"/>
        </w:rPr>
        <w:t xml:space="preserve"> anual prin ordin MEC și publicată anterior lansării apelului de candidaturi CEEPUS pe site-ul mec.gov.md. Lista va fi publicată simultan cu lansarea apelului. </w:t>
      </w:r>
    </w:p>
    <w:p w14:paraId="4DA9EEED" w14:textId="08C66294" w:rsidR="00584D2E" w:rsidRPr="00584D2E" w:rsidRDefault="00584D2E" w:rsidP="003D3C9F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EastAsia" w:hAnsi="Times New Roman"/>
          <w:sz w:val="24"/>
          <w:szCs w:val="24"/>
          <w:lang w:val="ro-MD" w:eastAsia="zh-CN"/>
        </w:rPr>
        <w:t>Anul academic în cadrul Programului CEEPUS IV începe la 01.09. și finalizează la 31.08.</w:t>
      </w:r>
    </w:p>
    <w:p w14:paraId="1CF14370" w14:textId="4E52B6CB" w:rsidR="00584D2E" w:rsidRPr="00584D2E" w:rsidRDefault="00584D2E" w:rsidP="003D3C9F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EastAsia" w:hAnsi="Times New Roman"/>
          <w:sz w:val="24"/>
          <w:szCs w:val="24"/>
          <w:lang w:val="ro-MD" w:eastAsia="zh-CN"/>
        </w:rPr>
        <w:t>Creditele obținute de către bursierii CEEPUS vor fi recunoscute de către țara de origine.</w:t>
      </w:r>
    </w:p>
    <w:p w14:paraId="42FA5A0A" w14:textId="77777777" w:rsidR="00584D2E" w:rsidRDefault="00584D2E" w:rsidP="00584D2E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 w:val="24"/>
          <w:szCs w:val="24"/>
          <w:lang w:val="ro-MD"/>
        </w:rPr>
      </w:pPr>
    </w:p>
    <w:p w14:paraId="637E30F2" w14:textId="71B44020" w:rsidR="00584D2E" w:rsidRPr="00584D2E" w:rsidRDefault="00584D2E" w:rsidP="00584D2E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o-MD"/>
        </w:rPr>
      </w:pPr>
      <w:r w:rsidRPr="00584D2E">
        <w:rPr>
          <w:rFonts w:eastAsiaTheme="minorHAnsi"/>
          <w:b/>
          <w:bCs/>
          <w:sz w:val="24"/>
          <w:szCs w:val="24"/>
          <w:lang w:val="ro-MD"/>
        </w:rPr>
        <w:t xml:space="preserve">III. </w:t>
      </w:r>
      <w:r w:rsidR="00E00B4B">
        <w:rPr>
          <w:rFonts w:eastAsiaTheme="minorHAnsi"/>
          <w:b/>
          <w:bCs/>
          <w:sz w:val="24"/>
          <w:szCs w:val="24"/>
          <w:lang w:val="ro-MD"/>
        </w:rPr>
        <w:t xml:space="preserve">Activitatea </w:t>
      </w:r>
      <w:r w:rsidRPr="00584D2E">
        <w:rPr>
          <w:rFonts w:eastAsiaTheme="minorHAnsi"/>
          <w:b/>
          <w:bCs/>
          <w:sz w:val="24"/>
          <w:szCs w:val="24"/>
          <w:lang w:val="ro-MD"/>
        </w:rPr>
        <w:t>Oficiului Național CEEPUS</w:t>
      </w:r>
    </w:p>
    <w:p w14:paraId="3740DB11" w14:textId="77777777" w:rsidR="00584D2E" w:rsidRDefault="00584D2E" w:rsidP="00584D2E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 w:val="24"/>
          <w:szCs w:val="24"/>
          <w:lang w:val="ro-MD"/>
        </w:rPr>
      </w:pPr>
    </w:p>
    <w:p w14:paraId="5AE228F1" w14:textId="25AE70C6" w:rsidR="00520D76" w:rsidRPr="00520D76" w:rsidRDefault="00584D2E" w:rsidP="00520D76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863914">
        <w:rPr>
          <w:rFonts w:ascii="Times New Roman" w:eastAsiaTheme="minorHAnsi" w:hAnsi="Times New Roman"/>
          <w:sz w:val="24"/>
          <w:szCs w:val="24"/>
          <w:lang w:val="ro-MD"/>
        </w:rPr>
        <w:t xml:space="preserve">Oficiul Național CEEPUS în cadrul Ministerului Educației și Cercetării </w:t>
      </w:r>
      <w:r w:rsidR="00E00B4B">
        <w:rPr>
          <w:rFonts w:ascii="Times New Roman" w:eastAsiaTheme="minorHAnsi" w:hAnsi="Times New Roman"/>
          <w:sz w:val="24"/>
          <w:szCs w:val="24"/>
          <w:lang w:val="ro-MD"/>
        </w:rPr>
        <w:t xml:space="preserve">are </w:t>
      </w:r>
      <w:r w:rsidRPr="00863914">
        <w:rPr>
          <w:rFonts w:ascii="Times New Roman" w:eastAsiaTheme="minorHAnsi" w:hAnsi="Times New Roman"/>
          <w:sz w:val="24"/>
          <w:szCs w:val="24"/>
          <w:lang w:val="ro-MD"/>
        </w:rPr>
        <w:t xml:space="preserve"> următoarele responsabilități:</w:t>
      </w:r>
    </w:p>
    <w:p w14:paraId="30BEF59A" w14:textId="368E0FEB" w:rsidR="00863914" w:rsidRPr="00863914" w:rsidRDefault="00520D76" w:rsidP="00520D7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>Organizarea implementării programului CEEPUS conform reglementărilor naționale respective și  reglementărilor financiare.</w:t>
      </w:r>
    </w:p>
    <w:p w14:paraId="28E0DE74" w14:textId="03056EDC" w:rsidR="00863914" w:rsidRPr="00863914" w:rsidRDefault="00520D76" w:rsidP="00863914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>Promovarea, informarea despre program și diseminarea rezultatului cooperării la nivel național.</w:t>
      </w:r>
    </w:p>
    <w:p w14:paraId="55C2C2E2" w14:textId="027AA227" w:rsidR="00863914" w:rsidRPr="00863914" w:rsidRDefault="00520D76" w:rsidP="00863914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>Consilierea potențialilor solicitanți cu privire la cooperarea în rețea și programul de burse.</w:t>
      </w:r>
    </w:p>
    <w:p w14:paraId="2BBB4187" w14:textId="1939B103" w:rsidR="00863914" w:rsidRPr="00863914" w:rsidRDefault="00520D76" w:rsidP="00863914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lastRenderedPageBreak/>
        <w:t xml:space="preserve"> 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>Primirea și evaluarea formală a candidaturilor și organizarea evaluării rețelelor de către experți la nivel național.</w:t>
      </w:r>
    </w:p>
    <w:p w14:paraId="49CDA153" w14:textId="55488B18" w:rsidR="00863914" w:rsidRPr="00863914" w:rsidRDefault="00520D76" w:rsidP="00863914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>Acordarea și procesarea burselor privind programul de lucru respectiv, în conformitate cu reglementările naționale.</w:t>
      </w:r>
    </w:p>
    <w:p w14:paraId="70B2B95A" w14:textId="5B0CEABD" w:rsidR="00863914" w:rsidRPr="00863914" w:rsidRDefault="00520D76" w:rsidP="00863914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863914">
        <w:rPr>
          <w:rFonts w:ascii="Times New Roman" w:eastAsiaTheme="minorHAnsi" w:hAnsi="Times New Roman"/>
          <w:sz w:val="24"/>
          <w:szCs w:val="24"/>
          <w:lang w:val="ro-MD"/>
        </w:rPr>
        <w:t>Realizarea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 xml:space="preserve"> plăților legate de burse, corespunzător reglementărilor naționale și în conformitate cu reglementările financiare respective ale Părții Contractante.</w:t>
      </w:r>
    </w:p>
    <w:p w14:paraId="568F0834" w14:textId="19963864" w:rsidR="00863914" w:rsidRPr="00863914" w:rsidRDefault="00520D76" w:rsidP="00863914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863914" w:rsidRPr="00863914">
        <w:rPr>
          <w:rFonts w:ascii="Times New Roman" w:eastAsiaTheme="minorHAnsi" w:hAnsi="Times New Roman"/>
          <w:sz w:val="24"/>
          <w:szCs w:val="24"/>
          <w:lang w:val="ro-MD"/>
        </w:rPr>
        <w:t>Efectuarea unei evaluări naționale a cooperării, acolo unde este cazul, și contribuția la evaluarea globală a cooperării.</w:t>
      </w:r>
    </w:p>
    <w:p w14:paraId="6BA8AD1E" w14:textId="77777777" w:rsidR="003D3C9F" w:rsidRDefault="003D3C9F" w:rsidP="003D3C9F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</w:p>
    <w:p w14:paraId="14522155" w14:textId="4C822742" w:rsidR="00C01C52" w:rsidRDefault="00866554" w:rsidP="003D3C9F">
      <w:pPr>
        <w:pStyle w:val="ListParagraph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b/>
          <w:sz w:val="24"/>
          <w:szCs w:val="24"/>
          <w:lang w:val="ro-MD"/>
        </w:rPr>
        <w:t>I</w:t>
      </w:r>
      <w:r w:rsidR="00863914">
        <w:rPr>
          <w:rFonts w:ascii="Times New Roman" w:eastAsiaTheme="minorHAnsi" w:hAnsi="Times New Roman"/>
          <w:b/>
          <w:sz w:val="24"/>
          <w:szCs w:val="24"/>
          <w:lang w:val="ro-MD"/>
        </w:rPr>
        <w:t>V</w:t>
      </w:r>
      <w:r w:rsidRPr="00620B39"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. </w:t>
      </w:r>
      <w:r w:rsidR="003D3C9F" w:rsidRPr="003D3C9F">
        <w:rPr>
          <w:rFonts w:ascii="Times New Roman" w:eastAsiaTheme="minorHAnsi" w:hAnsi="Times New Roman"/>
          <w:b/>
          <w:sz w:val="24"/>
          <w:szCs w:val="24"/>
          <w:lang w:val="ro-MD"/>
        </w:rPr>
        <w:t>Stabilirea</w:t>
      </w:r>
      <w:r w:rsidR="003D3C9F"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și</w:t>
      </w:r>
      <w:r w:rsidR="003D3C9F" w:rsidRPr="003D3C9F"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achitarea burselor în cadrul Programului CEEPUS IV</w:t>
      </w:r>
    </w:p>
    <w:p w14:paraId="3AAB2367" w14:textId="77777777" w:rsidR="003D3C9F" w:rsidRPr="003D3C9F" w:rsidRDefault="003D3C9F" w:rsidP="003D3C9F">
      <w:pPr>
        <w:pStyle w:val="ListParagraph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val="ro-MD"/>
        </w:rPr>
      </w:pPr>
    </w:p>
    <w:p w14:paraId="2E9F733C" w14:textId="30293313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Republica Moldova va oferi anual 100 luni-bursă participanților la Programul („CEEPUS IV”) – cetățeni străini, pentru mobilități în învățământul superior, stagii, cercetări științifice, cursuri intensive, cursuri </w:t>
      </w:r>
      <w:r>
        <w:rPr>
          <w:rFonts w:ascii="Times New Roman" w:eastAsiaTheme="minorHAnsi" w:hAnsi="Times New Roman"/>
          <w:sz w:val="24"/>
          <w:szCs w:val="24"/>
          <w:lang w:val="ro-MD"/>
        </w:rPr>
        <w:t>lingvistice</w:t>
      </w: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, precum și ore de curs predate de cadre didactice și </w:t>
      </w:r>
      <w:proofErr w:type="spellStart"/>
      <w:r w:rsidRPr="00620B39">
        <w:rPr>
          <w:rFonts w:ascii="Times New Roman" w:eastAsiaTheme="minorHAnsi" w:hAnsi="Times New Roman"/>
          <w:sz w:val="24"/>
          <w:szCs w:val="24"/>
          <w:lang w:val="ro-MD"/>
        </w:rPr>
        <w:t>științifico</w:t>
      </w:r>
      <w:proofErr w:type="spellEnd"/>
      <w:r w:rsidRPr="00620B39">
        <w:rPr>
          <w:rFonts w:ascii="Times New Roman" w:eastAsiaTheme="minorHAnsi" w:hAnsi="Times New Roman"/>
          <w:sz w:val="24"/>
          <w:szCs w:val="24"/>
          <w:lang w:val="ro-MD"/>
        </w:rPr>
        <w:t>-didactice.</w:t>
      </w:r>
    </w:p>
    <w:p w14:paraId="36149DBD" w14:textId="77777777" w:rsidR="003D3C9F" w:rsidRPr="00620B39" w:rsidRDefault="003D3C9F" w:rsidP="00584D2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right="443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620B39">
        <w:rPr>
          <w:rFonts w:ascii="Times New Roman" w:hAnsi="Times New Roman"/>
          <w:color w:val="000000"/>
          <w:sz w:val="24"/>
          <w:szCs w:val="24"/>
          <w:lang w:val="ro-MD"/>
        </w:rPr>
        <w:t xml:space="preserve">Sub incidența prezentului Regulament nu cad cetățenii Republicii Moldova care posedă cetățenia altui stat în conformitate cu articolul 24 alineatul 4) din Legea cetățeniei Republicii Moldova nr. 1024-XIV din 2 iunie 2006. </w:t>
      </w:r>
    </w:p>
    <w:p w14:paraId="4FF42670" w14:textId="77777777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 xml:space="preserve">Categoriile de cheltuieli pentru bursele oferite în  Programul CEEPUS IV  sunt următoarele: </w:t>
      </w:r>
    </w:p>
    <w:p w14:paraId="64737B2A" w14:textId="77777777" w:rsidR="003D3C9F" w:rsidRPr="00620B39" w:rsidRDefault="003D3C9F" w:rsidP="003D3C9F">
      <w:pPr>
        <w:pStyle w:val="ListParagraph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cheltuielile de întreținere</w:t>
      </w:r>
      <w:r>
        <w:rPr>
          <w:rFonts w:ascii="Times New Roman" w:eastAsiaTheme="minorHAnsi" w:hAnsi="Times New Roman"/>
          <w:sz w:val="24"/>
          <w:szCs w:val="24"/>
          <w:lang w:val="ro-MD"/>
        </w:rPr>
        <w:t>;</w:t>
      </w:r>
    </w:p>
    <w:p w14:paraId="3D48EA5A" w14:textId="77777777" w:rsidR="003D3C9F" w:rsidRPr="00620B39" w:rsidRDefault="003D3C9F" w:rsidP="003D3C9F">
      <w:pPr>
        <w:pStyle w:val="ListParagraph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cheltuielile de cazare</w:t>
      </w:r>
      <w:r>
        <w:rPr>
          <w:rFonts w:ascii="Times New Roman" w:eastAsiaTheme="minorHAnsi" w:hAnsi="Times New Roman"/>
          <w:sz w:val="24"/>
          <w:szCs w:val="24"/>
          <w:lang w:val="ro-MD"/>
        </w:rPr>
        <w:t>.</w:t>
      </w:r>
    </w:p>
    <w:p w14:paraId="31534E58" w14:textId="77777777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Cheltuielile de transport internațional vor fi acoperite din cont propriu de către participanții la Program.</w:t>
      </w:r>
    </w:p>
    <w:p w14:paraId="63F16307" w14:textId="77777777" w:rsidR="003D3C9F" w:rsidRPr="009E3D14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9E3D14">
        <w:rPr>
          <w:rFonts w:ascii="Times New Roman" w:eastAsiaTheme="minorHAnsi" w:hAnsi="Times New Roman"/>
          <w:sz w:val="24"/>
          <w:szCs w:val="24"/>
          <w:lang w:val="ro-MD"/>
        </w:rPr>
        <w:t>Instituțiile de învățământ superior din Republica Moldova care găzduiesc bursieri CEEPUS IV vor asigura perfectarea poliței de asigurare medicală, în condițiile prevăzute pentru studenții autohtoni.</w:t>
      </w:r>
    </w:p>
    <w:p w14:paraId="3E70F44F" w14:textId="77777777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Ministerul Educației și Cercetării planifică anual resursele financiare necesare pentru acoperirea celor 100 luni-bursă, conform Acordului CEEPUS IV.</w:t>
      </w:r>
    </w:p>
    <w:p w14:paraId="0E5962B4" w14:textId="77777777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Bursele se calculează proporțional cu numărul efectiv de zile petrecute în mobilitate academică, incluzând ziua sosirii și plecării.</w:t>
      </w:r>
    </w:p>
    <w:p w14:paraId="162C4B5D" w14:textId="77777777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Bursele se achită participanților de către instituțiile de învățământ-gazdă, în moneda națională, lunar, în termenele prevăzute de legislație.</w:t>
      </w:r>
    </w:p>
    <w:p w14:paraId="610B9BFF" w14:textId="0DD261B3" w:rsidR="003D3C9F" w:rsidRPr="003D3C9F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eastAsiaTheme="minorHAnsi" w:hAnsi="Times New Roman"/>
          <w:sz w:val="24"/>
          <w:szCs w:val="24"/>
          <w:lang w:val="ro-MD"/>
        </w:rPr>
        <w:t>Bursele pot fi acordate și pentru perioade de practică, stagii în întreprinderi, unități de cercetare, instituții publice sau alte organizații din țara-gazdă, dacă persoana este nominalizată de Oficiul Național CEEPUS.</w:t>
      </w:r>
    </w:p>
    <w:p w14:paraId="298A2B77" w14:textId="307E7349" w:rsidR="003D3C9F" w:rsidRDefault="00620B39" w:rsidP="00391EE2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hAnsi="Times New Roman"/>
          <w:sz w:val="24"/>
          <w:szCs w:val="24"/>
          <w:lang w:val="ro-MD"/>
        </w:rPr>
        <w:t xml:space="preserve">Cuantumul alocațiilor financiare acordate în cadrul Programului CEEPUS IV pentru studenții, masteranzii, doctoranzii, cercetătorii și cadrele didactice sau </w:t>
      </w:r>
      <w:proofErr w:type="spellStart"/>
      <w:r w:rsidRPr="00620B39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Pr="00620B39">
        <w:rPr>
          <w:rFonts w:ascii="Times New Roman" w:hAnsi="Times New Roman"/>
          <w:sz w:val="24"/>
          <w:szCs w:val="24"/>
          <w:lang w:val="ro-MD"/>
        </w:rPr>
        <w:t>-didactice din străinătate, participanți la Programul CEEPUS IV în Republica Moldova, se stabilește după cum urmează</w:t>
      </w:r>
      <w:r w:rsidRPr="00620B39">
        <w:rPr>
          <w:rFonts w:ascii="Times New Roman" w:eastAsiaTheme="minorHAnsi" w:hAnsi="Times New Roman"/>
          <w:sz w:val="24"/>
          <w:szCs w:val="24"/>
          <w:lang w:val="ro-MD"/>
        </w:rPr>
        <w:t>:</w:t>
      </w:r>
    </w:p>
    <w:p w14:paraId="61E288A8" w14:textId="77777777" w:rsidR="00391EE2" w:rsidRPr="00756A4A" w:rsidRDefault="00391EE2" w:rsidP="00391EE2">
      <w:pPr>
        <w:pStyle w:val="ListParagraph"/>
        <w:tabs>
          <w:tab w:val="left" w:pos="567"/>
        </w:tabs>
        <w:autoSpaceDE w:val="0"/>
        <w:autoSpaceDN w:val="0"/>
        <w:adjustRightInd w:val="0"/>
        <w:spacing w:before="240"/>
        <w:ind w:left="108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</w:p>
    <w:tbl>
      <w:tblPr>
        <w:tblStyle w:val="TableGrid"/>
        <w:tblpPr w:leftFromText="180" w:rightFromText="180" w:vertAnchor="text" w:horzAnchor="page" w:tblpX="2857" w:tblpY="-7"/>
        <w:tblW w:w="0" w:type="auto"/>
        <w:tblLook w:val="04A0" w:firstRow="1" w:lastRow="0" w:firstColumn="1" w:lastColumn="0" w:noHBand="0" w:noVBand="1"/>
      </w:tblPr>
      <w:tblGrid>
        <w:gridCol w:w="551"/>
        <w:gridCol w:w="3641"/>
        <w:gridCol w:w="2012"/>
        <w:gridCol w:w="2155"/>
      </w:tblGrid>
      <w:tr w:rsidR="003D3C9F" w:rsidRPr="00620B39" w14:paraId="6FFA0BE5" w14:textId="77777777" w:rsidTr="00391EE2">
        <w:trPr>
          <w:trHeight w:val="69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A10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>Nr.</w:t>
            </w:r>
          </w:p>
          <w:p w14:paraId="5E46826F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C872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 xml:space="preserve">Categoriile de participanți în Programul CEEPUS IV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9B5F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 xml:space="preserve">Cuantumul bursei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832D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 xml:space="preserve">Alocații pentru cazare </w:t>
            </w:r>
          </w:p>
        </w:tc>
      </w:tr>
      <w:tr w:rsidR="003D3C9F" w:rsidRPr="00620B39" w14:paraId="54681BB6" w14:textId="77777777" w:rsidTr="0021524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305" w14:textId="77777777" w:rsidR="003D3C9F" w:rsidRPr="00620B39" w:rsidRDefault="003D3C9F" w:rsidP="00391E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3723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 xml:space="preserve">Studenți, masteranzi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F7E9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ro-MD"/>
              </w:rPr>
              <w:t xml:space="preserve">            3620 lei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4FFA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ro-MD"/>
              </w:rPr>
              <w:t xml:space="preserve">        2000 lei </w:t>
            </w:r>
          </w:p>
        </w:tc>
      </w:tr>
      <w:tr w:rsidR="003D3C9F" w:rsidRPr="00620B39" w14:paraId="126F596F" w14:textId="77777777" w:rsidTr="0021524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28E" w14:textId="77777777" w:rsidR="003D3C9F" w:rsidRPr="00620B39" w:rsidRDefault="003D3C9F" w:rsidP="00391E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F878" w14:textId="77777777" w:rsidR="003D3C9F" w:rsidRPr="00620B39" w:rsidRDefault="003D3C9F" w:rsidP="00391EE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620B39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 xml:space="preserve">Doctoranzi, cercetători, cadre didactice și științifico-didactice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E6FD" w14:textId="77777777" w:rsidR="003D3C9F" w:rsidRPr="00620B39" w:rsidRDefault="003D3C9F" w:rsidP="00391EE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i/>
                <w:iCs/>
                <w:sz w:val="24"/>
                <w:szCs w:val="24"/>
                <w:lang w:val="ro-MD"/>
              </w:rPr>
            </w:pPr>
            <w:r w:rsidRPr="00620B39">
              <w:rPr>
                <w:rFonts w:eastAsiaTheme="minorHAnsi"/>
                <w:i/>
                <w:iCs/>
                <w:sz w:val="24"/>
                <w:szCs w:val="24"/>
                <w:lang w:val="ro-MD"/>
              </w:rPr>
              <w:t xml:space="preserve">4400 lei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581E" w14:textId="77777777" w:rsidR="003D3C9F" w:rsidRPr="00620B39" w:rsidRDefault="003D3C9F" w:rsidP="00391EE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HAnsi"/>
                <w:i/>
                <w:iCs/>
                <w:sz w:val="24"/>
                <w:szCs w:val="24"/>
                <w:lang w:val="ro-MD"/>
              </w:rPr>
            </w:pPr>
            <w:r w:rsidRPr="00620B39">
              <w:rPr>
                <w:rFonts w:eastAsiaTheme="minorHAnsi"/>
                <w:i/>
                <w:iCs/>
                <w:sz w:val="24"/>
                <w:szCs w:val="24"/>
                <w:lang w:val="ro-MD"/>
              </w:rPr>
              <w:t xml:space="preserve">       2500 lei  </w:t>
            </w:r>
          </w:p>
        </w:tc>
      </w:tr>
    </w:tbl>
    <w:p w14:paraId="07860693" w14:textId="77777777" w:rsidR="003D3C9F" w:rsidRDefault="003D3C9F" w:rsidP="003D3C9F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 w:val="24"/>
          <w:szCs w:val="24"/>
          <w:lang w:val="ro-MD"/>
        </w:rPr>
      </w:pPr>
    </w:p>
    <w:p w14:paraId="73DFC819" w14:textId="77777777" w:rsidR="003D3C9F" w:rsidRPr="003D3C9F" w:rsidRDefault="003D3C9F" w:rsidP="003D3C9F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 w:val="24"/>
          <w:szCs w:val="24"/>
          <w:lang w:val="ro-MD"/>
        </w:rPr>
      </w:pPr>
    </w:p>
    <w:p w14:paraId="7D594E35" w14:textId="77777777" w:rsidR="003D3C9F" w:rsidRPr="003D3C9F" w:rsidRDefault="003D3C9F" w:rsidP="003D3C9F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</w:p>
    <w:p w14:paraId="1FA8FD53" w14:textId="646B2437" w:rsidR="003D3C9F" w:rsidRPr="003D3C9F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hAnsi="Times New Roman"/>
          <w:sz w:val="24"/>
          <w:szCs w:val="24"/>
          <w:lang w:val="ro-MD"/>
        </w:rPr>
        <w:lastRenderedPageBreak/>
        <w:t xml:space="preserve">Nu sunt alocate resurse financiare în cadrul Programului CEEPUS IV pentru mobilitățile realizate în format on-line.  </w:t>
      </w:r>
    </w:p>
    <w:p w14:paraId="1B5B8D49" w14:textId="4AA7A740" w:rsidR="003D3C9F" w:rsidRPr="00620B39" w:rsidRDefault="003D3C9F" w:rsidP="00584D2E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620B39">
        <w:rPr>
          <w:rFonts w:ascii="Times New Roman" w:hAnsi="Times New Roman"/>
          <w:sz w:val="24"/>
          <w:szCs w:val="24"/>
          <w:lang w:val="ro-MD"/>
        </w:rPr>
        <w:t xml:space="preserve">În situația anulării unei mobilități sumele neutilizate se restituie în bugetul Ministerului Educației și Cercetării în termen de 30 zile  de la anularea mobilității aprobate, dar nu mai </w:t>
      </w:r>
      <w:r w:rsidRPr="00620B39">
        <w:rPr>
          <w:sz w:val="24"/>
          <w:szCs w:val="24"/>
          <w:lang w:val="ro-MD"/>
        </w:rPr>
        <w:t>târziu</w:t>
      </w:r>
      <w:r w:rsidRPr="00620B39">
        <w:rPr>
          <w:rFonts w:ascii="Times New Roman" w:hAnsi="Times New Roman"/>
          <w:sz w:val="24"/>
          <w:szCs w:val="24"/>
          <w:lang w:val="ro-MD"/>
        </w:rPr>
        <w:t xml:space="preserve"> de sfârșitul anului bugetar.</w:t>
      </w:r>
    </w:p>
    <w:p w14:paraId="2DD57659" w14:textId="7F0EFCAF" w:rsidR="00C01C52" w:rsidRPr="00620B39" w:rsidRDefault="00C01C52" w:rsidP="00630ACB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ro-MD"/>
        </w:rPr>
      </w:pPr>
    </w:p>
    <w:p w14:paraId="10AA4247" w14:textId="77777777" w:rsidR="00164921" w:rsidRPr="00620B39" w:rsidRDefault="00164921" w:rsidP="00747E83">
      <w:pPr>
        <w:autoSpaceDE w:val="0"/>
        <w:autoSpaceDN w:val="0"/>
        <w:adjustRightInd w:val="0"/>
        <w:ind w:firstLine="0"/>
        <w:rPr>
          <w:sz w:val="24"/>
          <w:szCs w:val="24"/>
          <w:lang w:val="ro-MD"/>
        </w:rPr>
      </w:pPr>
    </w:p>
    <w:p w14:paraId="6EBD4833" w14:textId="77777777" w:rsidR="00164921" w:rsidRPr="00620B39" w:rsidRDefault="00164921" w:rsidP="00747E83">
      <w:pPr>
        <w:autoSpaceDE w:val="0"/>
        <w:autoSpaceDN w:val="0"/>
        <w:adjustRightInd w:val="0"/>
        <w:ind w:firstLine="0"/>
        <w:rPr>
          <w:sz w:val="24"/>
          <w:szCs w:val="24"/>
          <w:lang w:val="ro-MD"/>
        </w:rPr>
      </w:pPr>
    </w:p>
    <w:p w14:paraId="37569AEC" w14:textId="6571F84C" w:rsidR="00747E83" w:rsidRPr="00620B39" w:rsidRDefault="00747E83" w:rsidP="00164921">
      <w:pPr>
        <w:autoSpaceDE w:val="0"/>
        <w:autoSpaceDN w:val="0"/>
        <w:adjustRightInd w:val="0"/>
        <w:ind w:firstLine="0"/>
        <w:rPr>
          <w:sz w:val="24"/>
          <w:szCs w:val="24"/>
          <w:lang w:val="ro-MD"/>
        </w:rPr>
      </w:pPr>
    </w:p>
    <w:sectPr w:rsidR="00747E83" w:rsidRPr="00620B39" w:rsidSect="008665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695E"/>
    <w:multiLevelType w:val="multilevel"/>
    <w:tmpl w:val="A6688C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5FAA"/>
    <w:multiLevelType w:val="hybridMultilevel"/>
    <w:tmpl w:val="6D5618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E6880"/>
    <w:multiLevelType w:val="hybridMultilevel"/>
    <w:tmpl w:val="3F0AE682"/>
    <w:lvl w:ilvl="0" w:tplc="A7C0F20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25AF0"/>
    <w:multiLevelType w:val="hybridMultilevel"/>
    <w:tmpl w:val="FD12304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22B2B"/>
    <w:multiLevelType w:val="hybridMultilevel"/>
    <w:tmpl w:val="2C562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62B7E"/>
    <w:multiLevelType w:val="hybridMultilevel"/>
    <w:tmpl w:val="6D5618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701A24"/>
    <w:multiLevelType w:val="hybridMultilevel"/>
    <w:tmpl w:val="0F0201A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0A7D52"/>
    <w:multiLevelType w:val="hybridMultilevel"/>
    <w:tmpl w:val="6D5618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615D2"/>
    <w:multiLevelType w:val="hybridMultilevel"/>
    <w:tmpl w:val="C422C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2D00A0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83CC5"/>
    <w:multiLevelType w:val="hybridMultilevel"/>
    <w:tmpl w:val="6D5618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231572"/>
    <w:multiLevelType w:val="hybridMultilevel"/>
    <w:tmpl w:val="1DD2419E"/>
    <w:lvl w:ilvl="0" w:tplc="E5B6F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AC0913"/>
    <w:multiLevelType w:val="hybridMultilevel"/>
    <w:tmpl w:val="863E7FA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00558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340548">
    <w:abstractNumId w:val="2"/>
  </w:num>
  <w:num w:numId="3" w16cid:durableId="619654226">
    <w:abstractNumId w:val="7"/>
  </w:num>
  <w:num w:numId="4" w16cid:durableId="1539900428">
    <w:abstractNumId w:val="8"/>
  </w:num>
  <w:num w:numId="5" w16cid:durableId="1338966589">
    <w:abstractNumId w:val="5"/>
  </w:num>
  <w:num w:numId="6" w16cid:durableId="943225701">
    <w:abstractNumId w:val="1"/>
  </w:num>
  <w:num w:numId="7" w16cid:durableId="49230377">
    <w:abstractNumId w:val="10"/>
  </w:num>
  <w:num w:numId="8" w16cid:durableId="1410077061">
    <w:abstractNumId w:val="0"/>
  </w:num>
  <w:num w:numId="9" w16cid:durableId="667292402">
    <w:abstractNumId w:val="9"/>
  </w:num>
  <w:num w:numId="10" w16cid:durableId="1905603038">
    <w:abstractNumId w:val="6"/>
  </w:num>
  <w:num w:numId="11" w16cid:durableId="275914893">
    <w:abstractNumId w:val="3"/>
  </w:num>
  <w:num w:numId="12" w16cid:durableId="1084180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52"/>
    <w:rsid w:val="0008773F"/>
    <w:rsid w:val="0010342A"/>
    <w:rsid w:val="001339B3"/>
    <w:rsid w:val="0014658D"/>
    <w:rsid w:val="00164921"/>
    <w:rsid w:val="001B7484"/>
    <w:rsid w:val="00213ACB"/>
    <w:rsid w:val="00215249"/>
    <w:rsid w:val="00235EE6"/>
    <w:rsid w:val="00273956"/>
    <w:rsid w:val="002A5870"/>
    <w:rsid w:val="002B2F69"/>
    <w:rsid w:val="003309E8"/>
    <w:rsid w:val="003314E3"/>
    <w:rsid w:val="00352456"/>
    <w:rsid w:val="00391EE2"/>
    <w:rsid w:val="003D3C9F"/>
    <w:rsid w:val="004A093B"/>
    <w:rsid w:val="004E6A6D"/>
    <w:rsid w:val="00520D76"/>
    <w:rsid w:val="00553515"/>
    <w:rsid w:val="0055704A"/>
    <w:rsid w:val="00584D2E"/>
    <w:rsid w:val="005C4D8B"/>
    <w:rsid w:val="00620B39"/>
    <w:rsid w:val="00630ACB"/>
    <w:rsid w:val="0066359E"/>
    <w:rsid w:val="006E3242"/>
    <w:rsid w:val="00726144"/>
    <w:rsid w:val="007276DC"/>
    <w:rsid w:val="00747E83"/>
    <w:rsid w:val="007521D2"/>
    <w:rsid w:val="00756A4A"/>
    <w:rsid w:val="007610E2"/>
    <w:rsid w:val="00774D40"/>
    <w:rsid w:val="007B687C"/>
    <w:rsid w:val="007F3FF3"/>
    <w:rsid w:val="00821406"/>
    <w:rsid w:val="008253EA"/>
    <w:rsid w:val="00863914"/>
    <w:rsid w:val="00866554"/>
    <w:rsid w:val="00866CCD"/>
    <w:rsid w:val="0097137E"/>
    <w:rsid w:val="00973980"/>
    <w:rsid w:val="00975F79"/>
    <w:rsid w:val="0099777D"/>
    <w:rsid w:val="009C3147"/>
    <w:rsid w:val="009E3D14"/>
    <w:rsid w:val="00A07A2A"/>
    <w:rsid w:val="00AC02FA"/>
    <w:rsid w:val="00AD463D"/>
    <w:rsid w:val="00B16BE9"/>
    <w:rsid w:val="00BD5522"/>
    <w:rsid w:val="00BE7D9B"/>
    <w:rsid w:val="00C01C52"/>
    <w:rsid w:val="00C8654C"/>
    <w:rsid w:val="00C95D39"/>
    <w:rsid w:val="00CE0CB7"/>
    <w:rsid w:val="00CE4B93"/>
    <w:rsid w:val="00D02CC6"/>
    <w:rsid w:val="00D24793"/>
    <w:rsid w:val="00D51940"/>
    <w:rsid w:val="00D83870"/>
    <w:rsid w:val="00D9017F"/>
    <w:rsid w:val="00E00B4B"/>
    <w:rsid w:val="00E13A5D"/>
    <w:rsid w:val="00E159BB"/>
    <w:rsid w:val="00E5225E"/>
    <w:rsid w:val="00E55F6B"/>
    <w:rsid w:val="00E77CCD"/>
    <w:rsid w:val="00E824BE"/>
    <w:rsid w:val="00E97846"/>
    <w:rsid w:val="00EC750B"/>
    <w:rsid w:val="00ED5811"/>
    <w:rsid w:val="00EF1004"/>
    <w:rsid w:val="00F24AC8"/>
    <w:rsid w:val="00F26582"/>
    <w:rsid w:val="00F440B5"/>
    <w:rsid w:val="00F65B7B"/>
    <w:rsid w:val="00F721B7"/>
    <w:rsid w:val="00F7520B"/>
    <w:rsid w:val="00F95D6F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086A"/>
  <w15:docId w15:val="{284C9A96-0F08-460C-9822-8F53E207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5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criptoria bullet points,HotarirePunct1"/>
    <w:basedOn w:val="Normal"/>
    <w:link w:val="ListParagraphChar"/>
    <w:uiPriority w:val="34"/>
    <w:qFormat/>
    <w:rsid w:val="00C01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C01C5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82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Scriptoria bullet points Char,HotarirePunct1 Char"/>
    <w:link w:val="ListParagraph"/>
    <w:uiPriority w:val="34"/>
    <w:qFormat/>
    <w:locked/>
    <w:rsid w:val="0066359E"/>
    <w:rPr>
      <w:rFonts w:ascii="Calibri" w:eastAsia="Calibri" w:hAnsi="Calibri" w:cs="Times New Roman"/>
      <w:lang w:val="ru-RU" w:eastAsia="en-US"/>
    </w:rPr>
  </w:style>
  <w:style w:type="paragraph" w:styleId="Revision">
    <w:name w:val="Revision"/>
    <w:hidden/>
    <w:uiPriority w:val="99"/>
    <w:semiHidden/>
    <w:rsid w:val="00330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PavlovL</dc:creator>
  <cp:lastModifiedBy>MEC</cp:lastModifiedBy>
  <cp:revision>2</cp:revision>
  <cp:lastPrinted>2025-12-26T12:24:00Z</cp:lastPrinted>
  <dcterms:created xsi:type="dcterms:W3CDTF">2025-12-29T08:15:00Z</dcterms:created>
  <dcterms:modified xsi:type="dcterms:W3CDTF">2025-12-29T08:15:00Z</dcterms:modified>
</cp:coreProperties>
</file>