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9D283" w14:textId="77777777" w:rsidR="006555B1" w:rsidRPr="00C949BB" w:rsidRDefault="006555B1" w:rsidP="006555B1">
      <w:pPr>
        <w:pBdr>
          <w:top w:val="none" w:sz="0" w:space="0" w:color="000000"/>
          <w:left w:val="none" w:sz="0" w:space="0" w:color="000000"/>
          <w:bottom w:val="none" w:sz="0" w:space="0" w:color="000000"/>
          <w:right w:val="none" w:sz="0" w:space="0" w:color="000000"/>
        </w:pBdr>
        <w:tabs>
          <w:tab w:val="left" w:pos="884"/>
          <w:tab w:val="left" w:pos="1196"/>
        </w:tabs>
        <w:ind w:firstLine="0"/>
        <w:jc w:val="center"/>
        <w:rPr>
          <w:b/>
          <w:sz w:val="24"/>
          <w:szCs w:val="24"/>
          <w:lang w:val="ro-MD"/>
        </w:rPr>
      </w:pPr>
      <w:r w:rsidRPr="00C949BB">
        <w:rPr>
          <w:b/>
          <w:sz w:val="24"/>
          <w:szCs w:val="24"/>
          <w:lang w:val="ro-MD"/>
        </w:rPr>
        <w:t>NOTĂ DE FUNDAMENTARE</w:t>
      </w:r>
    </w:p>
    <w:p w14:paraId="39FEAF3C" w14:textId="77777777" w:rsidR="00EE0698" w:rsidRPr="00C949BB" w:rsidRDefault="00EE0698" w:rsidP="006555B1">
      <w:pPr>
        <w:pBdr>
          <w:top w:val="none" w:sz="0" w:space="0" w:color="000000"/>
          <w:left w:val="none" w:sz="0" w:space="0" w:color="000000"/>
          <w:bottom w:val="none" w:sz="0" w:space="0" w:color="000000"/>
          <w:right w:val="none" w:sz="0" w:space="0" w:color="000000"/>
        </w:pBdr>
        <w:tabs>
          <w:tab w:val="left" w:pos="884"/>
          <w:tab w:val="left" w:pos="1196"/>
        </w:tabs>
        <w:ind w:firstLine="0"/>
        <w:jc w:val="center"/>
        <w:rPr>
          <w:b/>
          <w:sz w:val="24"/>
          <w:szCs w:val="24"/>
          <w:lang w:val="ro-MD"/>
        </w:rPr>
      </w:pPr>
    </w:p>
    <w:p w14:paraId="4B762E5B" w14:textId="01CFAF5F" w:rsidR="006555B1" w:rsidRPr="00C949BB" w:rsidRDefault="006555B1" w:rsidP="006555B1">
      <w:pPr>
        <w:ind w:right="-188" w:firstLine="0"/>
        <w:jc w:val="center"/>
        <w:rPr>
          <w:b/>
          <w:bCs/>
          <w:sz w:val="24"/>
          <w:szCs w:val="24"/>
          <w:lang w:val="ro-MD"/>
        </w:rPr>
      </w:pPr>
      <w:r w:rsidRPr="00C949BB">
        <w:rPr>
          <w:b/>
          <w:sz w:val="24"/>
          <w:szCs w:val="24"/>
          <w:lang w:val="ro-MD"/>
        </w:rPr>
        <w:t xml:space="preserve">la proiectul ordinului Ministerului Educației și Cercetării </w:t>
      </w:r>
      <w:r w:rsidRPr="00C949BB">
        <w:rPr>
          <w:b/>
          <w:bCs/>
          <w:sz w:val="24"/>
          <w:szCs w:val="24"/>
          <w:lang w:val="ro-MD"/>
        </w:rPr>
        <w:t>privind  aprobare normelor de personal pentru instituțiile de învățământ extrașcolar (centre de creație) municipale și locale de nivelul I și II</w:t>
      </w:r>
    </w:p>
    <w:p w14:paraId="0AC39AFA" w14:textId="77777777" w:rsidR="008C344C" w:rsidRPr="00C949BB" w:rsidRDefault="008C344C" w:rsidP="006555B1">
      <w:pPr>
        <w:ind w:right="-188" w:firstLine="0"/>
        <w:jc w:val="center"/>
        <w:rPr>
          <w:b/>
          <w:bCs/>
          <w:sz w:val="24"/>
          <w:szCs w:val="24"/>
          <w:lang w:val="ro-MD"/>
        </w:rPr>
      </w:pP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771"/>
      </w:tblGrid>
      <w:tr w:rsidR="006555B1" w:rsidRPr="00C949BB" w14:paraId="37F0A72D" w14:textId="77777777" w:rsidTr="009413F1">
        <w:tc>
          <w:tcPr>
            <w:tcW w:w="9771" w:type="dxa"/>
            <w:shd w:val="clear" w:color="auto" w:fill="BFBFBF"/>
            <w:tcMar>
              <w:top w:w="0" w:type="dxa"/>
              <w:left w:w="108" w:type="dxa"/>
              <w:bottom w:w="0" w:type="dxa"/>
              <w:right w:w="108" w:type="dxa"/>
            </w:tcMar>
          </w:tcPr>
          <w:p w14:paraId="59F21A88" w14:textId="77777777" w:rsidR="006555B1" w:rsidRPr="00C949BB" w:rsidRDefault="006555B1" w:rsidP="008C344C">
            <w:pPr>
              <w:spacing w:line="276" w:lineRule="auto"/>
              <w:rPr>
                <w:b/>
                <w:sz w:val="24"/>
                <w:szCs w:val="24"/>
                <w:lang w:val="ro-MD"/>
              </w:rPr>
            </w:pPr>
            <w:r w:rsidRPr="00C949BB">
              <w:rPr>
                <w:b/>
                <w:sz w:val="24"/>
                <w:szCs w:val="24"/>
                <w:lang w:val="ro-MD"/>
              </w:rPr>
              <w:t>1. Denumirea sau numele autorului și, după caz, a/al participanților la elaborarea proiectului actului normativ</w:t>
            </w:r>
          </w:p>
        </w:tc>
      </w:tr>
      <w:tr w:rsidR="006555B1" w:rsidRPr="00C949BB" w14:paraId="0A6D9533" w14:textId="77777777" w:rsidTr="009413F1">
        <w:tc>
          <w:tcPr>
            <w:tcW w:w="9771" w:type="dxa"/>
            <w:tcMar>
              <w:top w:w="0" w:type="dxa"/>
              <w:left w:w="108" w:type="dxa"/>
              <w:bottom w:w="0" w:type="dxa"/>
              <w:right w:w="108" w:type="dxa"/>
            </w:tcMar>
          </w:tcPr>
          <w:p w14:paraId="264A4609" w14:textId="175EFD51" w:rsidR="006555B1" w:rsidRPr="00C949BB" w:rsidRDefault="00D6471B" w:rsidP="008C344C">
            <w:pPr>
              <w:spacing w:line="276" w:lineRule="auto"/>
              <w:rPr>
                <w:sz w:val="24"/>
                <w:szCs w:val="24"/>
                <w:lang w:val="ro-MD"/>
              </w:rPr>
            </w:pPr>
            <w:r w:rsidRPr="00C949BB">
              <w:rPr>
                <w:sz w:val="24"/>
                <w:szCs w:val="24"/>
                <w:lang w:val="ro-MD"/>
              </w:rPr>
              <w:t xml:space="preserve">Autorul proiectului este </w:t>
            </w:r>
            <w:r w:rsidRPr="00C949BB">
              <w:rPr>
                <w:b/>
                <w:bCs/>
                <w:sz w:val="24"/>
                <w:szCs w:val="24"/>
                <w:lang w:val="ro-MD"/>
              </w:rPr>
              <w:t>Ministerul Educației și Cercetării al Republicii Moldova</w:t>
            </w:r>
            <w:r w:rsidRPr="00C949BB">
              <w:rPr>
                <w:sz w:val="24"/>
                <w:szCs w:val="24"/>
                <w:lang w:val="ro-MD"/>
              </w:rPr>
              <w:t>, Direcția generală politici în învățământul general și Serviciul politici în învățământul artistic și extrașcolar.</w:t>
            </w:r>
          </w:p>
        </w:tc>
      </w:tr>
      <w:tr w:rsidR="006555B1" w:rsidRPr="00C949BB" w14:paraId="3801F33E" w14:textId="77777777" w:rsidTr="009413F1">
        <w:tc>
          <w:tcPr>
            <w:tcW w:w="9771" w:type="dxa"/>
            <w:shd w:val="clear" w:color="auto" w:fill="BFBFBF"/>
            <w:tcMar>
              <w:top w:w="0" w:type="dxa"/>
              <w:left w:w="108" w:type="dxa"/>
              <w:bottom w:w="0" w:type="dxa"/>
              <w:right w:w="108" w:type="dxa"/>
            </w:tcMar>
          </w:tcPr>
          <w:p w14:paraId="29017569" w14:textId="77777777" w:rsidR="006555B1" w:rsidRPr="00C949BB" w:rsidRDefault="006555B1" w:rsidP="008C344C">
            <w:pPr>
              <w:spacing w:line="276" w:lineRule="auto"/>
              <w:rPr>
                <w:b/>
                <w:sz w:val="24"/>
                <w:szCs w:val="24"/>
                <w:lang w:val="ro-MD"/>
              </w:rPr>
            </w:pPr>
            <w:r w:rsidRPr="00C949BB">
              <w:rPr>
                <w:b/>
                <w:sz w:val="24"/>
                <w:szCs w:val="24"/>
                <w:lang w:val="ro-MD"/>
              </w:rPr>
              <w:t>2. Condițiile ce au impus elaborarea proiectului actului normativ</w:t>
            </w:r>
          </w:p>
        </w:tc>
      </w:tr>
      <w:tr w:rsidR="006555B1" w:rsidRPr="00C949BB" w14:paraId="734156E2" w14:textId="77777777" w:rsidTr="009413F1">
        <w:tc>
          <w:tcPr>
            <w:tcW w:w="9771" w:type="dxa"/>
            <w:shd w:val="clear" w:color="auto" w:fill="EDEDED"/>
            <w:tcMar>
              <w:top w:w="0" w:type="dxa"/>
              <w:left w:w="108" w:type="dxa"/>
              <w:bottom w:w="0" w:type="dxa"/>
              <w:right w:w="108" w:type="dxa"/>
            </w:tcMar>
          </w:tcPr>
          <w:p w14:paraId="3DDD70E8" w14:textId="77777777" w:rsidR="006555B1" w:rsidRPr="00C949BB" w:rsidRDefault="006555B1" w:rsidP="008C344C">
            <w:pPr>
              <w:spacing w:line="276" w:lineRule="auto"/>
              <w:rPr>
                <w:sz w:val="24"/>
                <w:szCs w:val="24"/>
                <w:lang w:val="ro-MD"/>
              </w:rPr>
            </w:pPr>
            <w:r w:rsidRPr="00C949BB">
              <w:rPr>
                <w:sz w:val="24"/>
                <w:szCs w:val="24"/>
                <w:lang w:val="ro-MD"/>
              </w:rPr>
              <w:t>2.1. Temeiul legal sau, după caz, sursa proiectului actului normativ</w:t>
            </w:r>
          </w:p>
        </w:tc>
      </w:tr>
      <w:tr w:rsidR="006555B1" w:rsidRPr="00C949BB" w14:paraId="4A1DD9BB" w14:textId="77777777" w:rsidTr="009413F1">
        <w:tc>
          <w:tcPr>
            <w:tcW w:w="9771" w:type="dxa"/>
            <w:tcMar>
              <w:top w:w="0" w:type="dxa"/>
              <w:left w:w="108" w:type="dxa"/>
              <w:bottom w:w="0" w:type="dxa"/>
              <w:right w:w="108" w:type="dxa"/>
            </w:tcMar>
          </w:tcPr>
          <w:p w14:paraId="6A036042" w14:textId="1152E04F" w:rsidR="00D6471B" w:rsidRPr="00C949BB" w:rsidRDefault="00D6471B" w:rsidP="008C344C">
            <w:pPr>
              <w:spacing w:line="276" w:lineRule="auto"/>
              <w:rPr>
                <w:sz w:val="24"/>
                <w:szCs w:val="24"/>
                <w:lang w:val="ro-MD"/>
              </w:rPr>
            </w:pPr>
            <w:r w:rsidRPr="00C949BB">
              <w:rPr>
                <w:sz w:val="24"/>
                <w:szCs w:val="24"/>
                <w:lang w:val="ro-MD"/>
              </w:rPr>
              <w:t xml:space="preserve">Elaborarea și aprobarea prezentului </w:t>
            </w:r>
            <w:r w:rsidR="00C75FAA" w:rsidRPr="00C949BB">
              <w:rPr>
                <w:sz w:val="24"/>
                <w:szCs w:val="24"/>
                <w:lang w:val="ro-MD"/>
              </w:rPr>
              <w:t>de O</w:t>
            </w:r>
            <w:r w:rsidRPr="00C949BB">
              <w:rPr>
                <w:sz w:val="24"/>
                <w:szCs w:val="24"/>
                <w:lang w:val="ro-MD"/>
              </w:rPr>
              <w:t>rdin este fundamentată pe următoarele prevederi legale:</w:t>
            </w:r>
          </w:p>
          <w:p w14:paraId="1E90B3EC" w14:textId="77777777" w:rsidR="00D6471B" w:rsidRPr="00C949BB" w:rsidRDefault="00D6471B" w:rsidP="008C344C">
            <w:pPr>
              <w:numPr>
                <w:ilvl w:val="0"/>
                <w:numId w:val="3"/>
              </w:numPr>
              <w:spacing w:line="276" w:lineRule="auto"/>
              <w:rPr>
                <w:sz w:val="24"/>
                <w:szCs w:val="24"/>
                <w:lang w:val="ro-MD"/>
              </w:rPr>
            </w:pPr>
            <w:r w:rsidRPr="00C949BB">
              <w:rPr>
                <w:sz w:val="24"/>
                <w:szCs w:val="24"/>
                <w:lang w:val="ro-MD"/>
              </w:rPr>
              <w:t xml:space="preserve">art. 15 alin. (1) lit. m) și art. 140 alin. (1) lit. l) din </w:t>
            </w:r>
            <w:r w:rsidRPr="00C949BB">
              <w:rPr>
                <w:bCs/>
                <w:sz w:val="24"/>
                <w:szCs w:val="24"/>
                <w:lang w:val="ro-MD"/>
              </w:rPr>
              <w:t>Codul educației al Republicii Moldova nr. 152/2014</w:t>
            </w:r>
            <w:r w:rsidRPr="00C949BB">
              <w:rPr>
                <w:sz w:val="24"/>
                <w:szCs w:val="24"/>
                <w:lang w:val="ro-MD"/>
              </w:rPr>
              <w:t>, care stabilesc competența Ministerului Educației și Cercetării de a elabora și aproba acte normative în domeniul educației;</w:t>
            </w:r>
          </w:p>
          <w:p w14:paraId="30532673" w14:textId="77777777" w:rsidR="00D6471B" w:rsidRPr="00C949BB" w:rsidRDefault="00D6471B" w:rsidP="008C344C">
            <w:pPr>
              <w:numPr>
                <w:ilvl w:val="0"/>
                <w:numId w:val="3"/>
              </w:numPr>
              <w:spacing w:line="276" w:lineRule="auto"/>
              <w:rPr>
                <w:sz w:val="24"/>
                <w:szCs w:val="24"/>
                <w:lang w:val="ro-MD"/>
              </w:rPr>
            </w:pPr>
            <w:r w:rsidRPr="00C949BB">
              <w:rPr>
                <w:sz w:val="24"/>
                <w:szCs w:val="24"/>
                <w:lang w:val="ro-MD"/>
              </w:rPr>
              <w:t>Hotărârea Guvernului nr. 146/2021 privind aprobarea Regulamentului cu privire la organizarea și funcționarea Ministerului Educației și Cercetării;</w:t>
            </w:r>
          </w:p>
          <w:p w14:paraId="00F6C8B9" w14:textId="77777777" w:rsidR="00D6471B" w:rsidRPr="00C949BB" w:rsidRDefault="00D6471B" w:rsidP="008C344C">
            <w:pPr>
              <w:numPr>
                <w:ilvl w:val="0"/>
                <w:numId w:val="3"/>
              </w:numPr>
              <w:spacing w:line="276" w:lineRule="auto"/>
              <w:rPr>
                <w:sz w:val="24"/>
                <w:szCs w:val="24"/>
                <w:lang w:val="ro-MD"/>
              </w:rPr>
            </w:pPr>
            <w:r w:rsidRPr="00C949BB">
              <w:rPr>
                <w:sz w:val="24"/>
                <w:szCs w:val="24"/>
                <w:lang w:val="ro-MD"/>
              </w:rPr>
              <w:t xml:space="preserve">Regulamentul-cadru de organizare și funcționare a instituțiilor de învățământ extrașcolar, aprobat prin </w:t>
            </w:r>
            <w:r w:rsidRPr="00C949BB">
              <w:rPr>
                <w:bCs/>
                <w:sz w:val="24"/>
                <w:szCs w:val="24"/>
                <w:lang w:val="ro-MD"/>
              </w:rPr>
              <w:t>Ordinul MEC nr. 60/2025</w:t>
            </w:r>
            <w:r w:rsidRPr="00C949BB">
              <w:rPr>
                <w:sz w:val="24"/>
                <w:szCs w:val="24"/>
                <w:lang w:val="ro-MD"/>
              </w:rPr>
              <w:t>;</w:t>
            </w:r>
          </w:p>
          <w:p w14:paraId="0EA424A0" w14:textId="01F7B2A8" w:rsidR="006555B1" w:rsidRPr="00C949BB" w:rsidRDefault="00D6471B" w:rsidP="008C344C">
            <w:pPr>
              <w:numPr>
                <w:ilvl w:val="0"/>
                <w:numId w:val="3"/>
              </w:numPr>
              <w:spacing w:line="276" w:lineRule="auto"/>
              <w:rPr>
                <w:sz w:val="24"/>
                <w:szCs w:val="24"/>
                <w:lang w:val="ro-MD"/>
              </w:rPr>
            </w:pPr>
            <w:r w:rsidRPr="00C949BB">
              <w:rPr>
                <w:sz w:val="24"/>
                <w:szCs w:val="24"/>
                <w:lang w:val="ro-MD"/>
              </w:rPr>
              <w:t>Clasificatorul ocupațiilor din Republica Moldova (CORM 006-2021)</w:t>
            </w:r>
          </w:p>
        </w:tc>
      </w:tr>
      <w:tr w:rsidR="006555B1" w:rsidRPr="00C949BB" w14:paraId="2950ADB2" w14:textId="77777777" w:rsidTr="009413F1">
        <w:tc>
          <w:tcPr>
            <w:tcW w:w="9771" w:type="dxa"/>
            <w:shd w:val="clear" w:color="auto" w:fill="EDEDED"/>
            <w:tcMar>
              <w:top w:w="0" w:type="dxa"/>
              <w:left w:w="108" w:type="dxa"/>
              <w:bottom w:w="0" w:type="dxa"/>
              <w:right w:w="108" w:type="dxa"/>
            </w:tcMar>
          </w:tcPr>
          <w:p w14:paraId="7636A479" w14:textId="77777777" w:rsidR="006555B1" w:rsidRPr="00C949BB" w:rsidRDefault="006555B1" w:rsidP="008C344C">
            <w:pPr>
              <w:spacing w:line="276" w:lineRule="auto"/>
              <w:rPr>
                <w:sz w:val="24"/>
                <w:szCs w:val="24"/>
                <w:lang w:val="ro-MD"/>
              </w:rPr>
            </w:pPr>
            <w:r w:rsidRPr="00C949BB">
              <w:rPr>
                <w:sz w:val="24"/>
                <w:szCs w:val="24"/>
                <w:lang w:val="ro-MD"/>
              </w:rPr>
              <w:t>2.2. Descrierea situației actuale și a problemelor care impun intervenția, inclusiv a cadrului normativ aplicabil și a deficiențelor/lacunelor normative</w:t>
            </w:r>
          </w:p>
        </w:tc>
      </w:tr>
      <w:tr w:rsidR="006555B1" w:rsidRPr="00C949BB" w14:paraId="23DED6E7" w14:textId="77777777" w:rsidTr="009413F1">
        <w:tc>
          <w:tcPr>
            <w:tcW w:w="9771" w:type="dxa"/>
            <w:shd w:val="clear" w:color="auto" w:fill="FFFFFF"/>
            <w:tcMar>
              <w:top w:w="0" w:type="dxa"/>
              <w:left w:w="108" w:type="dxa"/>
              <w:bottom w:w="0" w:type="dxa"/>
              <w:right w:w="108" w:type="dxa"/>
            </w:tcMar>
          </w:tcPr>
          <w:p w14:paraId="69154D27" w14:textId="416FFF5F" w:rsidR="00D6471B" w:rsidRPr="00C949BB" w:rsidRDefault="00D6471B" w:rsidP="008C344C">
            <w:pPr>
              <w:spacing w:line="276" w:lineRule="auto"/>
              <w:jc w:val="left"/>
              <w:rPr>
                <w:sz w:val="24"/>
                <w:szCs w:val="24"/>
                <w:lang w:val="ro-MD"/>
              </w:rPr>
            </w:pPr>
            <w:r w:rsidRPr="00C949BB">
              <w:rPr>
                <w:sz w:val="24"/>
                <w:szCs w:val="24"/>
                <w:lang w:val="ro-MD"/>
              </w:rPr>
              <w:t>În prezent, instituțiile de învățământ extrașcolar (centrele de creație) funcționează în baza unor regulamente interne fragmentare privind structura de personal, ceea ce generează:</w:t>
            </w:r>
          </w:p>
          <w:p w14:paraId="713DB019" w14:textId="77777777" w:rsidR="00D6471B" w:rsidRPr="00C949BB" w:rsidRDefault="00D6471B" w:rsidP="008C344C">
            <w:pPr>
              <w:numPr>
                <w:ilvl w:val="0"/>
                <w:numId w:val="4"/>
              </w:numPr>
              <w:spacing w:line="276" w:lineRule="auto"/>
              <w:jc w:val="left"/>
              <w:rPr>
                <w:sz w:val="24"/>
                <w:szCs w:val="24"/>
                <w:lang w:val="ro-MD"/>
              </w:rPr>
            </w:pPr>
            <w:r w:rsidRPr="00C949BB">
              <w:rPr>
                <w:sz w:val="24"/>
                <w:szCs w:val="24"/>
                <w:lang w:val="ro-MD"/>
              </w:rPr>
              <w:t>practici neuniforme de stabilire a schemelor de încadrare la nivel local;</w:t>
            </w:r>
          </w:p>
          <w:p w14:paraId="6699B49A" w14:textId="77777777" w:rsidR="00D6471B" w:rsidRPr="00C949BB" w:rsidRDefault="00D6471B" w:rsidP="008C344C">
            <w:pPr>
              <w:numPr>
                <w:ilvl w:val="0"/>
                <w:numId w:val="4"/>
              </w:numPr>
              <w:spacing w:line="276" w:lineRule="auto"/>
              <w:jc w:val="left"/>
              <w:rPr>
                <w:sz w:val="24"/>
                <w:szCs w:val="24"/>
                <w:lang w:val="ro-MD"/>
              </w:rPr>
            </w:pPr>
            <w:r w:rsidRPr="00C949BB">
              <w:rPr>
                <w:sz w:val="24"/>
                <w:szCs w:val="24"/>
                <w:lang w:val="ro-MD"/>
              </w:rPr>
              <w:t>dificultăți în planificarea resurselor umane și financiare;</w:t>
            </w:r>
          </w:p>
          <w:p w14:paraId="31B26C29" w14:textId="77777777" w:rsidR="00D6471B" w:rsidRPr="00C949BB" w:rsidRDefault="00D6471B" w:rsidP="008C344C">
            <w:pPr>
              <w:numPr>
                <w:ilvl w:val="0"/>
                <w:numId w:val="4"/>
              </w:numPr>
              <w:spacing w:line="276" w:lineRule="auto"/>
              <w:jc w:val="left"/>
              <w:rPr>
                <w:sz w:val="24"/>
                <w:szCs w:val="24"/>
                <w:lang w:val="ro-MD"/>
              </w:rPr>
            </w:pPr>
            <w:r w:rsidRPr="00C949BB">
              <w:rPr>
                <w:sz w:val="24"/>
                <w:szCs w:val="24"/>
                <w:lang w:val="ro-MD"/>
              </w:rPr>
              <w:t>interpretări diferite privind numărul și tipul funcțiilor admisibile;</w:t>
            </w:r>
          </w:p>
          <w:p w14:paraId="24EC302C" w14:textId="77777777" w:rsidR="00D6471B" w:rsidRPr="00C949BB" w:rsidRDefault="00D6471B" w:rsidP="008C344C">
            <w:pPr>
              <w:numPr>
                <w:ilvl w:val="0"/>
                <w:numId w:val="4"/>
              </w:numPr>
              <w:spacing w:line="276" w:lineRule="auto"/>
              <w:jc w:val="left"/>
              <w:rPr>
                <w:sz w:val="24"/>
                <w:szCs w:val="24"/>
                <w:lang w:val="ro-MD"/>
              </w:rPr>
            </w:pPr>
            <w:r w:rsidRPr="00C949BB">
              <w:rPr>
                <w:sz w:val="24"/>
                <w:szCs w:val="24"/>
                <w:lang w:val="ro-MD"/>
              </w:rPr>
              <w:t>lipsa unor criterii clare și unitare de normare a personalului didactic, didactic auxiliar și nedidactic.</w:t>
            </w:r>
          </w:p>
          <w:p w14:paraId="1F83F1C5" w14:textId="7B613F63" w:rsidR="006555B1" w:rsidRPr="00C949BB" w:rsidRDefault="00D6471B" w:rsidP="004063A3">
            <w:pPr>
              <w:spacing w:line="276" w:lineRule="auto"/>
              <w:jc w:val="left"/>
              <w:rPr>
                <w:sz w:val="24"/>
                <w:szCs w:val="24"/>
                <w:lang w:val="ro-MD"/>
              </w:rPr>
            </w:pPr>
            <w:r w:rsidRPr="00C949BB">
              <w:rPr>
                <w:sz w:val="24"/>
                <w:szCs w:val="24"/>
                <w:lang w:val="ro-MD"/>
              </w:rPr>
              <w:t xml:space="preserve">Totodată, diversitatea activităților extrașcolare, științifice, artistice, sportive și recreative desfășurate în centrele de creație, precum și integrarea copiilor cu cerințe educaționale speciale, impun existența unui </w:t>
            </w:r>
            <w:r w:rsidRPr="00C949BB">
              <w:rPr>
                <w:b/>
                <w:bCs/>
                <w:sz w:val="24"/>
                <w:szCs w:val="24"/>
                <w:lang w:val="ro-MD"/>
              </w:rPr>
              <w:t>c</w:t>
            </w:r>
            <w:r w:rsidRPr="00C949BB">
              <w:rPr>
                <w:bCs/>
                <w:sz w:val="24"/>
                <w:szCs w:val="24"/>
                <w:lang w:val="ro-MD"/>
              </w:rPr>
              <w:t>adru normativ clar și actualizat</w:t>
            </w:r>
            <w:r w:rsidRPr="00C949BB">
              <w:rPr>
                <w:sz w:val="24"/>
                <w:szCs w:val="24"/>
                <w:lang w:val="ro-MD"/>
              </w:rPr>
              <w:t xml:space="preserve"> privind normele de personal.</w:t>
            </w:r>
          </w:p>
        </w:tc>
      </w:tr>
      <w:tr w:rsidR="006555B1" w:rsidRPr="00C949BB" w14:paraId="5D0C3BE9" w14:textId="77777777" w:rsidTr="009413F1">
        <w:tc>
          <w:tcPr>
            <w:tcW w:w="9771" w:type="dxa"/>
            <w:shd w:val="clear" w:color="auto" w:fill="BFBFBF"/>
            <w:tcMar>
              <w:top w:w="0" w:type="dxa"/>
              <w:left w:w="108" w:type="dxa"/>
              <w:bottom w:w="0" w:type="dxa"/>
              <w:right w:w="108" w:type="dxa"/>
            </w:tcMar>
          </w:tcPr>
          <w:p w14:paraId="36E72892" w14:textId="77777777" w:rsidR="006555B1" w:rsidRPr="00C949BB" w:rsidRDefault="006555B1" w:rsidP="008C344C">
            <w:pPr>
              <w:spacing w:line="276" w:lineRule="auto"/>
              <w:rPr>
                <w:b/>
                <w:sz w:val="24"/>
                <w:szCs w:val="24"/>
                <w:lang w:val="ro-MD"/>
              </w:rPr>
            </w:pPr>
            <w:r w:rsidRPr="00C949BB">
              <w:rPr>
                <w:b/>
                <w:sz w:val="24"/>
                <w:szCs w:val="24"/>
                <w:lang w:val="ro-MD"/>
              </w:rPr>
              <w:t>3. Obiectivele urmărite și soluțiile propuse</w:t>
            </w:r>
          </w:p>
        </w:tc>
      </w:tr>
      <w:tr w:rsidR="006555B1" w:rsidRPr="00C949BB" w14:paraId="2D1FB4B4" w14:textId="77777777" w:rsidTr="009413F1">
        <w:tc>
          <w:tcPr>
            <w:tcW w:w="9771" w:type="dxa"/>
            <w:shd w:val="clear" w:color="auto" w:fill="F2F2F2"/>
            <w:tcMar>
              <w:top w:w="0" w:type="dxa"/>
              <w:left w:w="108" w:type="dxa"/>
              <w:bottom w:w="0" w:type="dxa"/>
              <w:right w:w="108" w:type="dxa"/>
            </w:tcMar>
          </w:tcPr>
          <w:p w14:paraId="39632F70" w14:textId="77777777" w:rsidR="006555B1" w:rsidRPr="00C949BB" w:rsidRDefault="006555B1" w:rsidP="008C344C">
            <w:pPr>
              <w:spacing w:line="276" w:lineRule="auto"/>
              <w:rPr>
                <w:sz w:val="24"/>
                <w:szCs w:val="24"/>
                <w:lang w:val="ro-MD"/>
              </w:rPr>
            </w:pPr>
            <w:r w:rsidRPr="00C949BB">
              <w:rPr>
                <w:sz w:val="24"/>
                <w:szCs w:val="24"/>
                <w:lang w:val="ro-MD"/>
              </w:rPr>
              <w:t>3.1. Principalele prevederi ale proiectului și evidențierea elementelor noi</w:t>
            </w:r>
          </w:p>
        </w:tc>
      </w:tr>
      <w:tr w:rsidR="006555B1" w:rsidRPr="00C949BB" w14:paraId="741AA906" w14:textId="77777777" w:rsidTr="009413F1">
        <w:tc>
          <w:tcPr>
            <w:tcW w:w="9771" w:type="dxa"/>
            <w:tcMar>
              <w:top w:w="0" w:type="dxa"/>
              <w:left w:w="108" w:type="dxa"/>
              <w:bottom w:w="0" w:type="dxa"/>
              <w:right w:w="108" w:type="dxa"/>
            </w:tcMar>
          </w:tcPr>
          <w:p w14:paraId="4C33F99C" w14:textId="70002038" w:rsidR="002A5353" w:rsidRPr="00C949BB" w:rsidRDefault="002A5353" w:rsidP="008C344C">
            <w:pPr>
              <w:spacing w:line="276" w:lineRule="auto"/>
              <w:ind w:right="-188" w:firstLine="0"/>
              <w:jc w:val="center"/>
              <w:rPr>
                <w:sz w:val="24"/>
                <w:szCs w:val="24"/>
                <w:lang w:val="ro-MD"/>
              </w:rPr>
            </w:pPr>
            <w:r w:rsidRPr="00C949BB">
              <w:rPr>
                <w:sz w:val="24"/>
                <w:szCs w:val="24"/>
                <w:lang w:val="ro-MD"/>
              </w:rPr>
              <w:t>Principalele prevederi ale proiectului</w:t>
            </w:r>
            <w:r w:rsidR="00990252" w:rsidRPr="00C949BB">
              <w:rPr>
                <w:sz w:val="24"/>
                <w:szCs w:val="24"/>
                <w:lang w:val="ro-MD"/>
              </w:rPr>
              <w:t xml:space="preserve"> de ordin </w:t>
            </w:r>
            <w:r w:rsidRPr="00C949BB">
              <w:rPr>
                <w:sz w:val="24"/>
                <w:szCs w:val="24"/>
                <w:lang w:val="ro-MD"/>
              </w:rPr>
              <w:t xml:space="preserve"> privind  aprobare normelor de personal pentru instituțiile de învățământ extrașcolar (centre de creație) municipale și locale de nivelul I și II sunt :</w:t>
            </w:r>
          </w:p>
          <w:p w14:paraId="0B33E61B" w14:textId="17EEEF09" w:rsidR="002A5353" w:rsidRPr="00C949BB" w:rsidRDefault="002A5353" w:rsidP="008C344C">
            <w:pPr>
              <w:numPr>
                <w:ilvl w:val="0"/>
                <w:numId w:val="5"/>
              </w:numPr>
              <w:spacing w:line="276" w:lineRule="auto"/>
              <w:rPr>
                <w:lang w:val="ro-MD"/>
              </w:rPr>
            </w:pPr>
            <w:r w:rsidRPr="00C949BB">
              <w:rPr>
                <w:sz w:val="24"/>
                <w:szCs w:val="24"/>
                <w:lang w:val="ro-MD"/>
              </w:rPr>
              <w:t>stabilirea unui cadru normativ unitar privind normele de personal pentru instituțiile de învățământ extrașcolar și anume  aprobarea Normelor de personal pentru instituțiile de învățământ extrașcolar (centre de creație) municipale și locale de nivelul I și II;  delimitarea clară a categoriilor de personal în personal de conducere,</w:t>
            </w:r>
            <w:r w:rsidR="00D522B8" w:rsidRPr="00C949BB">
              <w:rPr>
                <w:sz w:val="24"/>
                <w:szCs w:val="24"/>
                <w:lang w:val="ro-MD"/>
              </w:rPr>
              <w:t xml:space="preserve"> </w:t>
            </w:r>
            <w:r w:rsidRPr="00C949BB">
              <w:rPr>
                <w:sz w:val="24"/>
                <w:szCs w:val="24"/>
                <w:lang w:val="ro-MD"/>
              </w:rPr>
              <w:t>personal didactic, personal didactic auxiliar</w:t>
            </w:r>
            <w:r w:rsidR="00D522B8" w:rsidRPr="00C949BB">
              <w:rPr>
                <w:sz w:val="24"/>
                <w:szCs w:val="24"/>
                <w:lang w:val="ro-MD"/>
              </w:rPr>
              <w:t xml:space="preserve">, </w:t>
            </w:r>
            <w:r w:rsidRPr="00C949BB">
              <w:rPr>
                <w:sz w:val="24"/>
                <w:szCs w:val="24"/>
                <w:lang w:val="ro-MD"/>
              </w:rPr>
              <w:t>personal nedidactic;</w:t>
            </w:r>
          </w:p>
          <w:p w14:paraId="00FBA506" w14:textId="0DCEA94B" w:rsidR="002A5353" w:rsidRPr="00C949BB" w:rsidRDefault="002A5353" w:rsidP="008C344C">
            <w:pPr>
              <w:numPr>
                <w:ilvl w:val="0"/>
                <w:numId w:val="5"/>
              </w:numPr>
              <w:spacing w:line="276" w:lineRule="auto"/>
              <w:rPr>
                <w:sz w:val="24"/>
                <w:szCs w:val="24"/>
                <w:lang w:val="ro-MD"/>
              </w:rPr>
            </w:pPr>
            <w:r w:rsidRPr="00C949BB">
              <w:rPr>
                <w:sz w:val="24"/>
                <w:szCs w:val="24"/>
                <w:lang w:val="ro-MD"/>
              </w:rPr>
              <w:t>stabilirea criteriilor de normare în funcție de</w:t>
            </w:r>
            <w:r w:rsidR="00D522B8" w:rsidRPr="00C949BB">
              <w:rPr>
                <w:sz w:val="24"/>
                <w:szCs w:val="24"/>
                <w:lang w:val="ro-MD"/>
              </w:rPr>
              <w:t xml:space="preserve"> </w:t>
            </w:r>
            <w:r w:rsidRPr="00C949BB">
              <w:rPr>
                <w:sz w:val="24"/>
                <w:szCs w:val="24"/>
                <w:lang w:val="ro-MD"/>
              </w:rPr>
              <w:t>tipul și categoria instituției</w:t>
            </w:r>
            <w:r w:rsidR="00D522B8" w:rsidRPr="00C949BB">
              <w:rPr>
                <w:sz w:val="24"/>
                <w:szCs w:val="24"/>
                <w:lang w:val="ro-MD"/>
              </w:rPr>
              <w:t xml:space="preserve">, </w:t>
            </w:r>
            <w:r w:rsidRPr="00C949BB">
              <w:rPr>
                <w:sz w:val="24"/>
                <w:szCs w:val="24"/>
                <w:lang w:val="ro-MD"/>
              </w:rPr>
              <w:t>numărul de copii/tineri încadrați</w:t>
            </w:r>
            <w:r w:rsidR="00D522B8" w:rsidRPr="00C949BB">
              <w:rPr>
                <w:sz w:val="24"/>
                <w:szCs w:val="24"/>
                <w:lang w:val="ro-MD"/>
              </w:rPr>
              <w:t xml:space="preserve"> , </w:t>
            </w:r>
            <w:r w:rsidRPr="00C949BB">
              <w:rPr>
                <w:sz w:val="24"/>
                <w:szCs w:val="24"/>
                <w:lang w:val="ro-MD"/>
              </w:rPr>
              <w:t>specificul activităților educaționale;</w:t>
            </w:r>
          </w:p>
          <w:p w14:paraId="50F6985E" w14:textId="77777777" w:rsidR="002A5353" w:rsidRPr="00C949BB" w:rsidRDefault="002A5353" w:rsidP="008C344C">
            <w:pPr>
              <w:numPr>
                <w:ilvl w:val="0"/>
                <w:numId w:val="5"/>
              </w:numPr>
              <w:spacing w:line="276" w:lineRule="auto"/>
              <w:rPr>
                <w:sz w:val="24"/>
                <w:szCs w:val="24"/>
                <w:lang w:val="ro-MD"/>
              </w:rPr>
            </w:pPr>
            <w:r w:rsidRPr="00C949BB">
              <w:rPr>
                <w:sz w:val="24"/>
                <w:szCs w:val="24"/>
                <w:lang w:val="ro-MD"/>
              </w:rPr>
              <w:t>asigurarea unei organizări eficiente și echitabile a resurselor umane;</w:t>
            </w:r>
          </w:p>
          <w:p w14:paraId="1F40290A" w14:textId="77777777" w:rsidR="002A5353" w:rsidRPr="00C949BB" w:rsidRDefault="002A5353" w:rsidP="008C344C">
            <w:pPr>
              <w:numPr>
                <w:ilvl w:val="0"/>
                <w:numId w:val="5"/>
              </w:numPr>
              <w:spacing w:line="276" w:lineRule="auto"/>
              <w:rPr>
                <w:sz w:val="24"/>
                <w:szCs w:val="24"/>
                <w:lang w:val="ro-MD"/>
              </w:rPr>
            </w:pPr>
            <w:r w:rsidRPr="00C949BB">
              <w:rPr>
                <w:sz w:val="24"/>
                <w:szCs w:val="24"/>
                <w:lang w:val="ro-MD"/>
              </w:rPr>
              <w:lastRenderedPageBreak/>
              <w:t>creșterea calității procesului educațional extrașcolar;</w:t>
            </w:r>
          </w:p>
          <w:p w14:paraId="7B73303B" w14:textId="77777777" w:rsidR="002A5353" w:rsidRPr="00C949BB" w:rsidRDefault="002A5353" w:rsidP="008C344C">
            <w:pPr>
              <w:numPr>
                <w:ilvl w:val="0"/>
                <w:numId w:val="5"/>
              </w:numPr>
              <w:spacing w:line="276" w:lineRule="auto"/>
              <w:rPr>
                <w:sz w:val="24"/>
                <w:szCs w:val="24"/>
                <w:lang w:val="ro-MD"/>
              </w:rPr>
            </w:pPr>
            <w:r w:rsidRPr="00C949BB">
              <w:rPr>
                <w:sz w:val="24"/>
                <w:szCs w:val="24"/>
                <w:lang w:val="ro-MD"/>
              </w:rPr>
              <w:t>corelarea schemelor de încadrare cu mărimea instituției, specificul activităților și bugetul disponibil.</w:t>
            </w:r>
          </w:p>
          <w:p w14:paraId="79635E04" w14:textId="3B65F331" w:rsidR="006555B1" w:rsidRPr="00C949BB" w:rsidRDefault="00D522B8" w:rsidP="00421FFC">
            <w:pPr>
              <w:spacing w:line="276" w:lineRule="auto"/>
              <w:ind w:left="360" w:firstLine="0"/>
              <w:rPr>
                <w:sz w:val="24"/>
                <w:szCs w:val="24"/>
                <w:lang w:val="ro-MD"/>
              </w:rPr>
            </w:pPr>
            <w:r w:rsidRPr="00C949BB">
              <w:rPr>
                <w:sz w:val="24"/>
                <w:szCs w:val="24"/>
                <w:lang w:val="ro-MD"/>
              </w:rPr>
              <w:t xml:space="preserve"> Evidențierea elementelor noi din acest proiect este  posibilitatea includerii unor posturi suplimentare în schema de încadrare, cu respectarea CORM și în limita bugetului aprobat și   reglementarea procedurii de elaborare, avizare și aprobare a schemei de încadrare la nivel instituțional.</w:t>
            </w:r>
          </w:p>
        </w:tc>
      </w:tr>
      <w:tr w:rsidR="006555B1" w:rsidRPr="00C949BB" w14:paraId="6D9E04BE" w14:textId="77777777" w:rsidTr="009413F1">
        <w:tc>
          <w:tcPr>
            <w:tcW w:w="9771" w:type="dxa"/>
            <w:shd w:val="clear" w:color="auto" w:fill="F2F2F2"/>
            <w:tcMar>
              <w:top w:w="0" w:type="dxa"/>
              <w:left w:w="108" w:type="dxa"/>
              <w:bottom w:w="0" w:type="dxa"/>
              <w:right w:w="108" w:type="dxa"/>
            </w:tcMar>
          </w:tcPr>
          <w:p w14:paraId="3DD348D6" w14:textId="77777777" w:rsidR="006555B1" w:rsidRPr="00C949BB" w:rsidRDefault="006555B1" w:rsidP="008C344C">
            <w:pPr>
              <w:spacing w:line="276" w:lineRule="auto"/>
              <w:ind w:firstLine="0"/>
              <w:rPr>
                <w:sz w:val="24"/>
                <w:szCs w:val="24"/>
                <w:lang w:val="ro-MD"/>
              </w:rPr>
            </w:pPr>
            <w:r w:rsidRPr="00C949BB">
              <w:rPr>
                <w:sz w:val="24"/>
                <w:szCs w:val="24"/>
                <w:lang w:val="ro-MD"/>
              </w:rPr>
              <w:lastRenderedPageBreak/>
              <w:t>3.2. Opțiunile alternative analizate și motivele pentru care acestea nu au fost luate în considerare</w:t>
            </w:r>
          </w:p>
        </w:tc>
      </w:tr>
      <w:tr w:rsidR="006555B1" w:rsidRPr="00C949BB" w14:paraId="561C0783" w14:textId="77777777" w:rsidTr="009413F1">
        <w:tc>
          <w:tcPr>
            <w:tcW w:w="9771" w:type="dxa"/>
            <w:tcMar>
              <w:top w:w="0" w:type="dxa"/>
              <w:left w:w="108" w:type="dxa"/>
              <w:bottom w:w="0" w:type="dxa"/>
              <w:right w:w="108" w:type="dxa"/>
            </w:tcMar>
          </w:tcPr>
          <w:p w14:paraId="6228E668" w14:textId="61AA20EC" w:rsidR="00D522B8" w:rsidRPr="00C949BB" w:rsidRDefault="00421FFC" w:rsidP="00421FFC">
            <w:pPr>
              <w:pBdr>
                <w:top w:val="nil"/>
                <w:left w:val="nil"/>
                <w:bottom w:val="nil"/>
                <w:right w:val="nil"/>
                <w:between w:val="nil"/>
              </w:pBdr>
              <w:spacing w:line="276" w:lineRule="auto"/>
              <w:rPr>
                <w:sz w:val="24"/>
                <w:szCs w:val="24"/>
                <w:highlight w:val="white"/>
                <w:lang w:val="ro-MD"/>
              </w:rPr>
            </w:pPr>
            <w:r w:rsidRPr="00C949BB">
              <w:rPr>
                <w:sz w:val="24"/>
                <w:szCs w:val="24"/>
                <w:highlight w:val="white"/>
                <w:lang w:val="ro-MD"/>
              </w:rPr>
              <w:t>Nu sunt.</w:t>
            </w:r>
          </w:p>
        </w:tc>
      </w:tr>
      <w:tr w:rsidR="006555B1" w:rsidRPr="00C949BB" w14:paraId="4CFCAB48" w14:textId="77777777" w:rsidTr="009413F1">
        <w:trPr>
          <w:trHeight w:val="381"/>
        </w:trPr>
        <w:tc>
          <w:tcPr>
            <w:tcW w:w="9771" w:type="dxa"/>
            <w:shd w:val="clear" w:color="auto" w:fill="BFBFBF"/>
            <w:tcMar>
              <w:top w:w="0" w:type="dxa"/>
              <w:left w:w="108" w:type="dxa"/>
              <w:bottom w:w="0" w:type="dxa"/>
              <w:right w:w="108" w:type="dxa"/>
            </w:tcMar>
          </w:tcPr>
          <w:p w14:paraId="0C58FD5E" w14:textId="77777777" w:rsidR="006555B1" w:rsidRPr="00C949BB" w:rsidRDefault="006555B1" w:rsidP="008C344C">
            <w:pPr>
              <w:spacing w:line="276" w:lineRule="auto"/>
              <w:rPr>
                <w:b/>
                <w:sz w:val="24"/>
                <w:szCs w:val="24"/>
                <w:lang w:val="ro-MD"/>
              </w:rPr>
            </w:pPr>
            <w:r w:rsidRPr="00C949BB">
              <w:rPr>
                <w:b/>
                <w:sz w:val="24"/>
                <w:szCs w:val="24"/>
                <w:lang w:val="ro-MD"/>
              </w:rPr>
              <w:t xml:space="preserve">4. Analiza impactului de reglementare </w:t>
            </w:r>
          </w:p>
        </w:tc>
      </w:tr>
      <w:tr w:rsidR="006555B1" w:rsidRPr="00C949BB" w14:paraId="06886338" w14:textId="77777777" w:rsidTr="009413F1">
        <w:tc>
          <w:tcPr>
            <w:tcW w:w="9771" w:type="dxa"/>
            <w:shd w:val="clear" w:color="auto" w:fill="EDEDED"/>
            <w:tcMar>
              <w:top w:w="0" w:type="dxa"/>
              <w:left w:w="108" w:type="dxa"/>
              <w:bottom w:w="0" w:type="dxa"/>
              <w:right w:w="108" w:type="dxa"/>
            </w:tcMar>
          </w:tcPr>
          <w:p w14:paraId="1443C279" w14:textId="77777777" w:rsidR="006555B1" w:rsidRPr="00C949BB" w:rsidRDefault="006555B1" w:rsidP="008C344C">
            <w:pPr>
              <w:spacing w:line="276" w:lineRule="auto"/>
              <w:rPr>
                <w:sz w:val="24"/>
                <w:szCs w:val="24"/>
                <w:lang w:val="ro-MD"/>
              </w:rPr>
            </w:pPr>
            <w:r w:rsidRPr="00C949BB">
              <w:rPr>
                <w:sz w:val="24"/>
                <w:szCs w:val="24"/>
                <w:lang w:val="ro-MD"/>
              </w:rPr>
              <w:t>4.1. Impactul asupra sectorului public</w:t>
            </w:r>
          </w:p>
        </w:tc>
      </w:tr>
      <w:tr w:rsidR="006555B1" w:rsidRPr="00C949BB" w14:paraId="0815364D" w14:textId="77777777" w:rsidTr="009413F1">
        <w:tc>
          <w:tcPr>
            <w:tcW w:w="9771" w:type="dxa"/>
            <w:tcMar>
              <w:top w:w="0" w:type="dxa"/>
              <w:left w:w="108" w:type="dxa"/>
              <w:bottom w:w="0" w:type="dxa"/>
              <w:right w:w="108" w:type="dxa"/>
            </w:tcMar>
          </w:tcPr>
          <w:p w14:paraId="584BB8D3" w14:textId="5F19324D" w:rsidR="00990252" w:rsidRPr="00C949BB" w:rsidRDefault="00990252" w:rsidP="008C344C">
            <w:pPr>
              <w:spacing w:line="276" w:lineRule="auto"/>
              <w:rPr>
                <w:sz w:val="24"/>
                <w:szCs w:val="24"/>
                <w:lang w:val="ro-MD"/>
              </w:rPr>
            </w:pPr>
            <w:r w:rsidRPr="00C949BB">
              <w:rPr>
                <w:sz w:val="24"/>
                <w:szCs w:val="24"/>
                <w:lang w:val="ro-MD"/>
              </w:rPr>
              <w:t>Implementarea ordinului privind  aprobare normelor de personal pentru instituțiile de învățământ extrașcolar (centre de creație) municipale și locale de nivelul I și II va contribui la:</w:t>
            </w:r>
          </w:p>
          <w:p w14:paraId="6BFE6266" w14:textId="6886174A" w:rsidR="00990252" w:rsidRPr="00C949BB" w:rsidRDefault="00255F29" w:rsidP="008C344C">
            <w:pPr>
              <w:numPr>
                <w:ilvl w:val="0"/>
                <w:numId w:val="8"/>
              </w:numPr>
              <w:spacing w:line="276" w:lineRule="auto"/>
              <w:rPr>
                <w:sz w:val="24"/>
                <w:szCs w:val="24"/>
                <w:lang w:val="ro-MD"/>
              </w:rPr>
            </w:pPr>
            <w:r w:rsidRPr="00C949BB">
              <w:rPr>
                <w:sz w:val="24"/>
                <w:szCs w:val="24"/>
                <w:lang w:val="ro-MD"/>
              </w:rPr>
              <w:t>alinierea administrativă a normelor de personal aplicabile centrelor de creație</w:t>
            </w:r>
            <w:r w:rsidR="00990252" w:rsidRPr="00C949BB">
              <w:rPr>
                <w:sz w:val="24"/>
                <w:szCs w:val="24"/>
                <w:lang w:val="ro-MD"/>
              </w:rPr>
              <w:t>;</w:t>
            </w:r>
          </w:p>
          <w:p w14:paraId="1911C48A" w14:textId="77777777" w:rsidR="00990252" w:rsidRPr="00C949BB" w:rsidRDefault="00990252" w:rsidP="008C344C">
            <w:pPr>
              <w:numPr>
                <w:ilvl w:val="0"/>
                <w:numId w:val="8"/>
              </w:numPr>
              <w:spacing w:line="276" w:lineRule="auto"/>
              <w:rPr>
                <w:sz w:val="24"/>
                <w:szCs w:val="24"/>
                <w:lang w:val="ro-MD"/>
              </w:rPr>
            </w:pPr>
            <w:r w:rsidRPr="00C949BB">
              <w:rPr>
                <w:sz w:val="24"/>
                <w:szCs w:val="24"/>
                <w:lang w:val="ro-MD"/>
              </w:rPr>
              <w:t>eficientizarea managementului resurselor umane;</w:t>
            </w:r>
          </w:p>
          <w:p w14:paraId="59ADA1BF" w14:textId="77777777" w:rsidR="00990252" w:rsidRPr="00C949BB" w:rsidRDefault="00990252" w:rsidP="008C344C">
            <w:pPr>
              <w:numPr>
                <w:ilvl w:val="0"/>
                <w:numId w:val="8"/>
              </w:numPr>
              <w:spacing w:line="276" w:lineRule="auto"/>
              <w:rPr>
                <w:sz w:val="24"/>
                <w:szCs w:val="24"/>
                <w:lang w:val="ro-MD"/>
              </w:rPr>
            </w:pPr>
            <w:r w:rsidRPr="00C949BB">
              <w:rPr>
                <w:sz w:val="24"/>
                <w:szCs w:val="24"/>
                <w:lang w:val="ro-MD"/>
              </w:rPr>
              <w:t>creșterea transparenței în procesul de angajare;</w:t>
            </w:r>
          </w:p>
          <w:p w14:paraId="40EE1129" w14:textId="46BF64F5" w:rsidR="006555B1" w:rsidRPr="00C949BB" w:rsidRDefault="00990252" w:rsidP="00421FFC">
            <w:pPr>
              <w:numPr>
                <w:ilvl w:val="0"/>
                <w:numId w:val="8"/>
              </w:numPr>
              <w:spacing w:line="276" w:lineRule="auto"/>
              <w:rPr>
                <w:sz w:val="24"/>
                <w:szCs w:val="24"/>
                <w:lang w:val="ro-MD"/>
              </w:rPr>
            </w:pPr>
            <w:r w:rsidRPr="00C949BB">
              <w:rPr>
                <w:sz w:val="24"/>
                <w:szCs w:val="24"/>
                <w:lang w:val="ro-MD"/>
              </w:rPr>
              <w:t>îmbunătățirea capacității instituțiilor de a răspunde nevoilor educaționale ale copiilor și tinerilor.</w:t>
            </w:r>
          </w:p>
        </w:tc>
      </w:tr>
      <w:tr w:rsidR="006555B1" w:rsidRPr="00C949BB" w14:paraId="59CA0211" w14:textId="77777777" w:rsidTr="009413F1">
        <w:tc>
          <w:tcPr>
            <w:tcW w:w="9771" w:type="dxa"/>
            <w:shd w:val="clear" w:color="auto" w:fill="EDEDED"/>
            <w:tcMar>
              <w:top w:w="0" w:type="dxa"/>
              <w:left w:w="108" w:type="dxa"/>
              <w:bottom w:w="0" w:type="dxa"/>
              <w:right w:w="108" w:type="dxa"/>
            </w:tcMar>
          </w:tcPr>
          <w:p w14:paraId="30D0EABC" w14:textId="77777777" w:rsidR="006555B1" w:rsidRPr="00C949BB" w:rsidRDefault="006555B1" w:rsidP="008C344C">
            <w:pPr>
              <w:spacing w:line="276" w:lineRule="auto"/>
              <w:rPr>
                <w:sz w:val="24"/>
                <w:szCs w:val="24"/>
                <w:lang w:val="ro-MD"/>
              </w:rPr>
            </w:pPr>
            <w:r w:rsidRPr="00C949BB">
              <w:rPr>
                <w:sz w:val="24"/>
                <w:szCs w:val="24"/>
                <w:lang w:val="ro-MD"/>
              </w:rPr>
              <w:t>4.2. Impactul financiar și argumentarea costurilor estimative</w:t>
            </w:r>
          </w:p>
        </w:tc>
      </w:tr>
      <w:tr w:rsidR="006555B1" w:rsidRPr="00C949BB" w14:paraId="5A4C4636" w14:textId="77777777" w:rsidTr="009413F1">
        <w:tc>
          <w:tcPr>
            <w:tcW w:w="9771" w:type="dxa"/>
            <w:tcMar>
              <w:top w:w="0" w:type="dxa"/>
              <w:left w:w="108" w:type="dxa"/>
              <w:bottom w:w="0" w:type="dxa"/>
              <w:right w:w="108" w:type="dxa"/>
            </w:tcMar>
          </w:tcPr>
          <w:p w14:paraId="4DDF8423" w14:textId="75EF5263" w:rsidR="004063A3" w:rsidRDefault="00990252" w:rsidP="00FD3D13">
            <w:pPr>
              <w:spacing w:line="276" w:lineRule="auto"/>
              <w:ind w:firstLine="313"/>
              <w:rPr>
                <w:sz w:val="24"/>
                <w:szCs w:val="24"/>
                <w:lang w:val="ro-MD"/>
              </w:rPr>
            </w:pPr>
            <w:r w:rsidRPr="00C949BB">
              <w:rPr>
                <w:sz w:val="24"/>
                <w:szCs w:val="24"/>
                <w:lang w:val="ro-MD"/>
              </w:rPr>
              <w:t xml:space="preserve">Aplicarea ordinului </w:t>
            </w:r>
            <w:r w:rsidRPr="00C949BB">
              <w:rPr>
                <w:bCs/>
                <w:sz w:val="24"/>
                <w:szCs w:val="24"/>
                <w:lang w:val="ro-MD"/>
              </w:rPr>
              <w:t>nu implică cheltuieli bugetare suplimentare</w:t>
            </w:r>
            <w:r w:rsidRPr="00C949BB">
              <w:rPr>
                <w:sz w:val="24"/>
                <w:szCs w:val="24"/>
                <w:lang w:val="ro-MD"/>
              </w:rPr>
              <w:t>, întrucât normele de personal stabilesc plafoane maxime de încadrare, iar aprobarea schemelor se realizează strict în limita bugetelor aprobate pentru fiecare instituție</w:t>
            </w:r>
            <w:r w:rsidR="00EE0698" w:rsidRPr="00C949BB">
              <w:rPr>
                <w:sz w:val="24"/>
                <w:szCs w:val="24"/>
                <w:lang w:val="ro-MD"/>
              </w:rPr>
              <w:t>.</w:t>
            </w:r>
          </w:p>
          <w:p w14:paraId="2288F7EA" w14:textId="04FD125A" w:rsidR="00FD3D13" w:rsidRPr="00FD3D13" w:rsidRDefault="006A0D9F" w:rsidP="00FD3D13">
            <w:pPr>
              <w:ind w:firstLine="313"/>
              <w:rPr>
                <w:sz w:val="24"/>
                <w:szCs w:val="24"/>
                <w:lang w:val="ro-MD" w:eastAsia="en-US"/>
              </w:rPr>
            </w:pPr>
            <w:r w:rsidRPr="00FD3D13">
              <w:rPr>
                <w:sz w:val="24"/>
                <w:szCs w:val="24"/>
                <w:lang w:val="ro-MD"/>
              </w:rPr>
              <w:t xml:space="preserve">Totodată, normele de personal </w:t>
            </w:r>
            <w:r w:rsidR="00FD3D13" w:rsidRPr="00FD3D13">
              <w:rPr>
                <w:sz w:val="24"/>
                <w:szCs w:val="24"/>
                <w:lang w:val="ro-MD"/>
              </w:rPr>
              <w:t xml:space="preserve">au fost simulate pe mai multe instituții de învățământ. </w:t>
            </w:r>
            <w:r w:rsidR="00FD3D13" w:rsidRPr="00FD3D13">
              <w:rPr>
                <w:sz w:val="24"/>
                <w:szCs w:val="24"/>
                <w:lang w:val="ro-MD" w:eastAsia="en-US"/>
              </w:rPr>
              <w:t xml:space="preserve">Analiza datelor centralizate evidențiază o </w:t>
            </w:r>
            <w:r w:rsidR="00FD3D13" w:rsidRPr="00FD3D13">
              <w:rPr>
                <w:bCs/>
                <w:sz w:val="24"/>
                <w:szCs w:val="24"/>
                <w:lang w:val="ro-MD" w:eastAsia="en-US"/>
              </w:rPr>
              <w:t>creștere totală cu până la 30 unități de personal</w:t>
            </w:r>
            <w:r w:rsidR="00FD3D13" w:rsidRPr="00FD3D13">
              <w:rPr>
                <w:sz w:val="24"/>
                <w:szCs w:val="24"/>
                <w:lang w:val="ro-MD" w:eastAsia="en-US"/>
              </w:rPr>
              <w:t xml:space="preserve"> comparativ cu situația aprobată la 01.09.2025. Creșterile se concentrează </w:t>
            </w:r>
            <w:r w:rsidR="00FD3D13" w:rsidRPr="00FD3D13">
              <w:rPr>
                <w:bCs/>
                <w:sz w:val="24"/>
                <w:szCs w:val="24"/>
                <w:lang w:val="ro-MD" w:eastAsia="en-US"/>
              </w:rPr>
              <w:t>preponderent pe personalul didactic și didactic auxiliar</w:t>
            </w:r>
            <w:r w:rsidR="00FD3D13" w:rsidRPr="00FD3D13">
              <w:rPr>
                <w:sz w:val="24"/>
                <w:szCs w:val="24"/>
                <w:lang w:val="ro-MD" w:eastAsia="en-US"/>
              </w:rPr>
              <w:t>, generate de noul Regulament</w:t>
            </w:r>
            <w:r w:rsidR="00FD3D13" w:rsidRPr="00FD3D13">
              <w:rPr>
                <w:sz w:val="24"/>
                <w:szCs w:val="24"/>
                <w:lang w:val="ro-MD"/>
              </w:rPr>
              <w:t xml:space="preserve">-cadru de organizare și funcționare a instituțiilor de învățământ extrașcolar, aprobat prin </w:t>
            </w:r>
            <w:r w:rsidR="00FD3D13" w:rsidRPr="00FD3D13">
              <w:rPr>
                <w:bCs/>
                <w:sz w:val="24"/>
                <w:szCs w:val="24"/>
                <w:lang w:val="ro-MD"/>
              </w:rPr>
              <w:t>Ordinul MEC nr. 60/2025</w:t>
            </w:r>
            <w:r w:rsidR="00FD3D13" w:rsidRPr="00FD3D13">
              <w:rPr>
                <w:bCs/>
                <w:sz w:val="24"/>
                <w:szCs w:val="24"/>
                <w:lang w:val="ro-MD"/>
              </w:rPr>
              <w:t xml:space="preserve">, care este </w:t>
            </w:r>
            <w:r w:rsidR="00FD3D13" w:rsidRPr="00FD3D13">
              <w:rPr>
                <w:sz w:val="24"/>
                <w:szCs w:val="24"/>
                <w:lang w:val="ro-MD" w:eastAsia="en-US"/>
              </w:rPr>
              <w:t xml:space="preserve">orientat spre </w:t>
            </w:r>
            <w:r w:rsidR="00FD3D13" w:rsidRPr="00FD3D13">
              <w:rPr>
                <w:bCs/>
                <w:sz w:val="24"/>
                <w:szCs w:val="24"/>
                <w:lang w:val="ro-MD" w:eastAsia="en-US"/>
              </w:rPr>
              <w:t>consolidarea activității educaționale și de suport psihopedagogic</w:t>
            </w:r>
            <w:r w:rsidR="00FD3D13" w:rsidRPr="00FD3D13">
              <w:rPr>
                <w:sz w:val="24"/>
                <w:szCs w:val="24"/>
                <w:lang w:val="ro-MD" w:eastAsia="en-US"/>
              </w:rPr>
              <w:t xml:space="preserve">. Majorările la personalul nedidactic sunt </w:t>
            </w:r>
            <w:r w:rsidR="00FD3D13" w:rsidRPr="00FD3D13">
              <w:rPr>
                <w:bCs/>
                <w:sz w:val="24"/>
                <w:szCs w:val="24"/>
                <w:lang w:val="ro-MD" w:eastAsia="en-US"/>
              </w:rPr>
              <w:t>moderate</w:t>
            </w:r>
            <w:r w:rsidR="00FD3D13" w:rsidRPr="00FD3D13">
              <w:rPr>
                <w:sz w:val="24"/>
                <w:szCs w:val="24"/>
                <w:lang w:val="ro-MD" w:eastAsia="en-US"/>
              </w:rPr>
              <w:t xml:space="preserve"> (</w:t>
            </w:r>
            <w:r w:rsidR="00FD3D13" w:rsidRPr="00FD3D13">
              <w:rPr>
                <w:sz w:val="24"/>
                <w:szCs w:val="24"/>
                <w:lang w:val="ro-MD"/>
              </w:rPr>
              <w:t>cu creșteri punctuale, de tip 0,5–1 unitate)</w:t>
            </w:r>
            <w:r w:rsidR="00FD3D13" w:rsidRPr="00FD3D13">
              <w:rPr>
                <w:sz w:val="24"/>
                <w:szCs w:val="24"/>
                <w:lang w:val="ro-MD" w:eastAsia="en-US"/>
              </w:rPr>
              <w:t xml:space="preserve"> și vizează funcții-cheie pentru buna funcționare administrativă.</w:t>
            </w:r>
          </w:p>
          <w:p w14:paraId="4D28A9AD" w14:textId="76C0B526" w:rsidR="00FD3D13" w:rsidRPr="00FD3D13" w:rsidRDefault="00FD3D13" w:rsidP="00FD3D13">
            <w:pPr>
              <w:ind w:firstLine="0"/>
              <w:jc w:val="left"/>
              <w:rPr>
                <w:sz w:val="24"/>
                <w:szCs w:val="24"/>
                <w:lang w:val="ro-MD" w:eastAsia="en-US"/>
              </w:rPr>
            </w:pPr>
            <w:r w:rsidRPr="00FD3D13">
              <w:rPr>
                <w:sz w:val="24"/>
                <w:szCs w:val="24"/>
                <w:lang w:val="ro-MD" w:eastAsia="en-US"/>
              </w:rPr>
              <w:t>În context, această majorare reflectă:</w:t>
            </w:r>
          </w:p>
          <w:p w14:paraId="2C0224CB" w14:textId="77777777" w:rsidR="00FD3D13" w:rsidRPr="00FD3D13" w:rsidRDefault="00FD3D13" w:rsidP="00FD3D13">
            <w:pPr>
              <w:numPr>
                <w:ilvl w:val="0"/>
                <w:numId w:val="11"/>
              </w:numPr>
              <w:jc w:val="left"/>
              <w:rPr>
                <w:sz w:val="24"/>
                <w:szCs w:val="24"/>
                <w:lang w:val="ro-MD" w:eastAsia="en-US"/>
              </w:rPr>
            </w:pPr>
            <w:r w:rsidRPr="00FD3D13">
              <w:rPr>
                <w:sz w:val="24"/>
                <w:szCs w:val="24"/>
                <w:lang w:val="ro-MD" w:eastAsia="en-US"/>
              </w:rPr>
              <w:t xml:space="preserve">ajustarea normelor de personal în raport cu </w:t>
            </w:r>
            <w:r w:rsidRPr="00FD3D13">
              <w:rPr>
                <w:bCs/>
                <w:sz w:val="24"/>
                <w:szCs w:val="24"/>
                <w:lang w:val="ro-MD" w:eastAsia="en-US"/>
              </w:rPr>
              <w:t>extinderea și diversificarea activităților instituționale</w:t>
            </w:r>
            <w:r w:rsidRPr="00FD3D13">
              <w:rPr>
                <w:sz w:val="24"/>
                <w:szCs w:val="24"/>
                <w:lang w:val="ro-MD" w:eastAsia="en-US"/>
              </w:rPr>
              <w:t>;</w:t>
            </w:r>
          </w:p>
          <w:p w14:paraId="694A5C81" w14:textId="77777777" w:rsidR="00FD3D13" w:rsidRPr="00FD3D13" w:rsidRDefault="00FD3D13" w:rsidP="00FD3D13">
            <w:pPr>
              <w:numPr>
                <w:ilvl w:val="0"/>
                <w:numId w:val="11"/>
              </w:numPr>
              <w:jc w:val="left"/>
              <w:rPr>
                <w:sz w:val="24"/>
                <w:szCs w:val="24"/>
                <w:lang w:val="ro-MD" w:eastAsia="en-US"/>
              </w:rPr>
            </w:pPr>
            <w:r w:rsidRPr="00FD3D13">
              <w:rPr>
                <w:sz w:val="24"/>
                <w:szCs w:val="24"/>
                <w:lang w:val="ro-MD" w:eastAsia="en-US"/>
              </w:rPr>
              <w:t xml:space="preserve">corelarea structurii de personal cu </w:t>
            </w:r>
            <w:r w:rsidRPr="00FD3D13">
              <w:rPr>
                <w:bCs/>
                <w:sz w:val="24"/>
                <w:szCs w:val="24"/>
                <w:lang w:val="ro-MD" w:eastAsia="en-US"/>
              </w:rPr>
              <w:t>noile cerințe curriculare și funcționale</w:t>
            </w:r>
            <w:r w:rsidRPr="00FD3D13">
              <w:rPr>
                <w:sz w:val="24"/>
                <w:szCs w:val="24"/>
                <w:lang w:val="ro-MD" w:eastAsia="en-US"/>
              </w:rPr>
              <w:t>;</w:t>
            </w:r>
          </w:p>
          <w:p w14:paraId="64CBBC1E" w14:textId="793896DF" w:rsidR="00FD3D13" w:rsidRPr="00FD3D13" w:rsidRDefault="00FD3D13" w:rsidP="00FD3D13">
            <w:pPr>
              <w:numPr>
                <w:ilvl w:val="0"/>
                <w:numId w:val="11"/>
              </w:numPr>
              <w:jc w:val="left"/>
              <w:rPr>
                <w:sz w:val="24"/>
                <w:szCs w:val="24"/>
                <w:lang w:val="ro-MD" w:eastAsia="en-US"/>
              </w:rPr>
            </w:pPr>
            <w:r w:rsidRPr="00FD3D13">
              <w:rPr>
                <w:sz w:val="24"/>
                <w:szCs w:val="24"/>
                <w:lang w:val="ro-MD" w:eastAsia="en-US"/>
              </w:rPr>
              <w:t>necesitatea asigurării funcționării eficiente a instituțiilor.</w:t>
            </w:r>
          </w:p>
          <w:p w14:paraId="35BE22DD" w14:textId="3E86A324" w:rsidR="00FD3D13" w:rsidRPr="00FD3D13" w:rsidRDefault="00FD3D13" w:rsidP="00FD3D13">
            <w:pPr>
              <w:spacing w:after="120"/>
              <w:ind w:firstLine="0"/>
              <w:rPr>
                <w:sz w:val="24"/>
                <w:szCs w:val="24"/>
                <w:lang w:val="en-US"/>
              </w:rPr>
            </w:pPr>
            <w:r w:rsidRPr="00FD3D13">
              <w:rPr>
                <w:sz w:val="24"/>
                <w:szCs w:val="24"/>
                <w:lang w:val="ro-MD"/>
              </w:rPr>
              <w:t xml:space="preserve">Impactul financiar rezultat poate fi gestionat </w:t>
            </w:r>
            <w:r w:rsidRPr="00FD3D13">
              <w:rPr>
                <w:rStyle w:val="Strong"/>
                <w:rFonts w:eastAsiaTheme="majorEastAsia"/>
                <w:b w:val="0"/>
                <w:sz w:val="24"/>
                <w:szCs w:val="24"/>
                <w:lang w:val="ro-MD"/>
              </w:rPr>
              <w:t>în limita bugetului aprobat</w:t>
            </w:r>
            <w:r w:rsidRPr="00FD3D13">
              <w:rPr>
                <w:sz w:val="24"/>
                <w:szCs w:val="24"/>
                <w:lang w:val="ro-MD"/>
              </w:rPr>
              <w:t>, printr-o planifica</w:t>
            </w:r>
            <w:r>
              <w:rPr>
                <w:sz w:val="24"/>
                <w:szCs w:val="24"/>
                <w:lang w:val="ro-MD"/>
              </w:rPr>
              <w:t>re corespunzătoare și utilizare</w:t>
            </w:r>
            <w:r w:rsidRPr="00FD3D13">
              <w:rPr>
                <w:sz w:val="24"/>
                <w:szCs w:val="24"/>
                <w:lang w:val="ro-MD"/>
              </w:rPr>
              <w:t xml:space="preserve"> eficientă a resurselor.</w:t>
            </w:r>
          </w:p>
        </w:tc>
      </w:tr>
      <w:tr w:rsidR="006555B1" w:rsidRPr="00C949BB" w14:paraId="7C86E361" w14:textId="77777777" w:rsidTr="009413F1">
        <w:tc>
          <w:tcPr>
            <w:tcW w:w="9771" w:type="dxa"/>
            <w:shd w:val="clear" w:color="auto" w:fill="EDEDED"/>
            <w:tcMar>
              <w:top w:w="0" w:type="dxa"/>
              <w:left w:w="108" w:type="dxa"/>
              <w:bottom w:w="0" w:type="dxa"/>
              <w:right w:w="108" w:type="dxa"/>
            </w:tcMar>
          </w:tcPr>
          <w:p w14:paraId="3B2E5BDC" w14:textId="77777777" w:rsidR="006555B1" w:rsidRPr="00C949BB" w:rsidRDefault="006555B1" w:rsidP="008C344C">
            <w:pPr>
              <w:spacing w:line="276" w:lineRule="auto"/>
              <w:rPr>
                <w:sz w:val="24"/>
                <w:szCs w:val="24"/>
                <w:lang w:val="ro-MD"/>
              </w:rPr>
            </w:pPr>
            <w:r w:rsidRPr="00C949BB">
              <w:rPr>
                <w:sz w:val="24"/>
                <w:szCs w:val="24"/>
                <w:lang w:val="ro-MD"/>
              </w:rPr>
              <w:t>4.3. Impactul asupra sectorului privat</w:t>
            </w:r>
          </w:p>
        </w:tc>
      </w:tr>
      <w:tr w:rsidR="006555B1" w:rsidRPr="00C949BB" w14:paraId="43C8773A" w14:textId="77777777" w:rsidTr="009413F1">
        <w:tc>
          <w:tcPr>
            <w:tcW w:w="9771" w:type="dxa"/>
            <w:shd w:val="clear" w:color="auto" w:fill="FFFFFF"/>
            <w:tcMar>
              <w:top w:w="0" w:type="dxa"/>
              <w:left w:w="108" w:type="dxa"/>
              <w:bottom w:w="0" w:type="dxa"/>
              <w:right w:w="108" w:type="dxa"/>
            </w:tcMar>
          </w:tcPr>
          <w:p w14:paraId="5DCE05FC" w14:textId="1045B6B6" w:rsidR="006555B1" w:rsidRPr="00C949BB" w:rsidRDefault="00421FFC" w:rsidP="00E25DCA">
            <w:pPr>
              <w:spacing w:line="276" w:lineRule="auto"/>
              <w:rPr>
                <w:sz w:val="24"/>
                <w:szCs w:val="24"/>
                <w:lang w:val="ro-MD"/>
              </w:rPr>
            </w:pPr>
            <w:r w:rsidRPr="00C949BB">
              <w:rPr>
                <w:sz w:val="24"/>
                <w:szCs w:val="24"/>
                <w:lang w:val="ro-MD"/>
              </w:rPr>
              <w:t xml:space="preserve">Nu </w:t>
            </w:r>
            <w:r w:rsidR="00E25DCA" w:rsidRPr="00C949BB">
              <w:rPr>
                <w:sz w:val="24"/>
                <w:szCs w:val="24"/>
                <w:lang w:val="ro-MD"/>
              </w:rPr>
              <w:t>are careva i</w:t>
            </w:r>
            <w:r w:rsidR="00E25DCA" w:rsidRPr="00C949BB">
              <w:rPr>
                <w:sz w:val="24"/>
                <w:szCs w:val="24"/>
                <w:lang w:val="ro-MD"/>
              </w:rPr>
              <w:t>mpact asupra sectorului privat</w:t>
            </w:r>
          </w:p>
        </w:tc>
      </w:tr>
      <w:tr w:rsidR="006555B1" w:rsidRPr="00C949BB" w14:paraId="27041EB4" w14:textId="77777777" w:rsidTr="009413F1">
        <w:tc>
          <w:tcPr>
            <w:tcW w:w="9771" w:type="dxa"/>
            <w:shd w:val="clear" w:color="auto" w:fill="EDEDED"/>
            <w:tcMar>
              <w:top w:w="0" w:type="dxa"/>
              <w:left w:w="108" w:type="dxa"/>
              <w:bottom w:w="0" w:type="dxa"/>
              <w:right w:w="108" w:type="dxa"/>
            </w:tcMar>
          </w:tcPr>
          <w:p w14:paraId="7C92CE5F" w14:textId="77777777" w:rsidR="006555B1" w:rsidRPr="00C949BB" w:rsidRDefault="006555B1" w:rsidP="008C344C">
            <w:pPr>
              <w:spacing w:line="276" w:lineRule="auto"/>
              <w:rPr>
                <w:sz w:val="24"/>
                <w:szCs w:val="24"/>
                <w:lang w:val="ro-MD"/>
              </w:rPr>
            </w:pPr>
            <w:r w:rsidRPr="00C949BB">
              <w:rPr>
                <w:sz w:val="24"/>
                <w:szCs w:val="24"/>
                <w:lang w:val="ro-MD"/>
              </w:rPr>
              <w:t>4.4. Impactul social</w:t>
            </w:r>
          </w:p>
        </w:tc>
      </w:tr>
      <w:tr w:rsidR="006555B1" w:rsidRPr="00C949BB" w14:paraId="6F6667EE" w14:textId="77777777" w:rsidTr="009413F1">
        <w:tc>
          <w:tcPr>
            <w:tcW w:w="9771" w:type="dxa"/>
            <w:shd w:val="clear" w:color="auto" w:fill="FFFFFF"/>
            <w:tcMar>
              <w:top w:w="0" w:type="dxa"/>
              <w:left w:w="108" w:type="dxa"/>
              <w:bottom w:w="0" w:type="dxa"/>
              <w:right w:w="108" w:type="dxa"/>
            </w:tcMar>
          </w:tcPr>
          <w:p w14:paraId="6E010012" w14:textId="77777777" w:rsidR="00EE0698" w:rsidRPr="00C949BB" w:rsidRDefault="006555B1" w:rsidP="008C344C">
            <w:pPr>
              <w:widowControl w:val="0"/>
              <w:tabs>
                <w:tab w:val="left" w:pos="274"/>
              </w:tabs>
              <w:spacing w:line="276" w:lineRule="auto"/>
              <w:ind w:firstLine="0"/>
              <w:jc w:val="left"/>
              <w:rPr>
                <w:sz w:val="24"/>
                <w:szCs w:val="24"/>
                <w:lang w:val="ro-MD"/>
              </w:rPr>
            </w:pPr>
            <w:r w:rsidRPr="00C949BB">
              <w:rPr>
                <w:rFonts w:ascii="Cambria" w:eastAsia="Cambria" w:hAnsi="Cambria" w:cs="Cambria"/>
                <w:sz w:val="24"/>
                <w:szCs w:val="24"/>
                <w:lang w:val="ro-MD"/>
              </w:rPr>
              <w:t xml:space="preserve">        </w:t>
            </w:r>
            <w:r w:rsidRPr="00C949BB">
              <w:rPr>
                <w:sz w:val="24"/>
                <w:szCs w:val="24"/>
                <w:lang w:val="ro-MD"/>
              </w:rPr>
              <w:t xml:space="preserve">    </w:t>
            </w:r>
            <w:r w:rsidR="00EE0698" w:rsidRPr="00C949BB">
              <w:rPr>
                <w:sz w:val="24"/>
                <w:szCs w:val="24"/>
                <w:lang w:val="ro-MD"/>
              </w:rPr>
              <w:t>Adoptarea normelor de personal va avea un impact social pozitiv prin:</w:t>
            </w:r>
          </w:p>
          <w:p w14:paraId="376CA1E2" w14:textId="77777777" w:rsidR="00EE0698" w:rsidRPr="00C949BB" w:rsidRDefault="00EE0698" w:rsidP="008C344C">
            <w:pPr>
              <w:widowControl w:val="0"/>
              <w:numPr>
                <w:ilvl w:val="0"/>
                <w:numId w:val="9"/>
              </w:numPr>
              <w:tabs>
                <w:tab w:val="left" w:pos="274"/>
              </w:tabs>
              <w:spacing w:line="276" w:lineRule="auto"/>
              <w:jc w:val="left"/>
              <w:rPr>
                <w:sz w:val="24"/>
                <w:szCs w:val="24"/>
                <w:lang w:val="ro-MD"/>
              </w:rPr>
            </w:pPr>
            <w:r w:rsidRPr="00C949BB">
              <w:rPr>
                <w:sz w:val="24"/>
                <w:szCs w:val="24"/>
                <w:lang w:val="ro-MD"/>
              </w:rPr>
              <w:t>asigurarea unui cadru educațional extrașcolar de calitate;</w:t>
            </w:r>
          </w:p>
          <w:p w14:paraId="5D8B31F1" w14:textId="77777777" w:rsidR="00EE0698" w:rsidRPr="00C949BB" w:rsidRDefault="00EE0698" w:rsidP="008C344C">
            <w:pPr>
              <w:widowControl w:val="0"/>
              <w:numPr>
                <w:ilvl w:val="0"/>
                <w:numId w:val="9"/>
              </w:numPr>
              <w:tabs>
                <w:tab w:val="left" w:pos="274"/>
              </w:tabs>
              <w:spacing w:line="276" w:lineRule="auto"/>
              <w:jc w:val="left"/>
              <w:rPr>
                <w:sz w:val="24"/>
                <w:szCs w:val="24"/>
                <w:lang w:val="ro-MD"/>
              </w:rPr>
            </w:pPr>
            <w:r w:rsidRPr="00C949BB">
              <w:rPr>
                <w:sz w:val="24"/>
                <w:szCs w:val="24"/>
                <w:lang w:val="ro-MD"/>
              </w:rPr>
              <w:t>susținerea incluziunii copiilor cu cerințe educaționale speciale;</w:t>
            </w:r>
          </w:p>
          <w:p w14:paraId="641AB389" w14:textId="23A91BAC" w:rsidR="006555B1" w:rsidRPr="00C949BB" w:rsidRDefault="00EE0698" w:rsidP="00E25DCA">
            <w:pPr>
              <w:widowControl w:val="0"/>
              <w:numPr>
                <w:ilvl w:val="0"/>
                <w:numId w:val="9"/>
              </w:numPr>
              <w:tabs>
                <w:tab w:val="left" w:pos="274"/>
              </w:tabs>
              <w:spacing w:line="276" w:lineRule="auto"/>
              <w:jc w:val="left"/>
              <w:rPr>
                <w:sz w:val="24"/>
                <w:szCs w:val="24"/>
                <w:lang w:val="ro-MD"/>
              </w:rPr>
            </w:pPr>
            <w:r w:rsidRPr="00C949BB">
              <w:rPr>
                <w:sz w:val="24"/>
                <w:szCs w:val="24"/>
                <w:lang w:val="ro-MD"/>
              </w:rPr>
              <w:t>crearea condițiilor pentru dezvoltarea artistică, științifică, culturală și sportivă a copiilor și tinerilor.</w:t>
            </w:r>
          </w:p>
        </w:tc>
      </w:tr>
      <w:tr w:rsidR="006555B1" w:rsidRPr="00C949BB" w14:paraId="2062226B" w14:textId="77777777" w:rsidTr="009413F1">
        <w:tc>
          <w:tcPr>
            <w:tcW w:w="9771" w:type="dxa"/>
            <w:shd w:val="clear" w:color="auto" w:fill="EDEDED"/>
            <w:tcMar>
              <w:top w:w="0" w:type="dxa"/>
              <w:left w:w="108" w:type="dxa"/>
              <w:bottom w:w="0" w:type="dxa"/>
              <w:right w:w="108" w:type="dxa"/>
            </w:tcMar>
          </w:tcPr>
          <w:p w14:paraId="46AE1B82" w14:textId="77777777" w:rsidR="006555B1" w:rsidRPr="00C949BB" w:rsidRDefault="006555B1" w:rsidP="008C344C">
            <w:pPr>
              <w:spacing w:line="276" w:lineRule="auto"/>
              <w:rPr>
                <w:sz w:val="24"/>
                <w:szCs w:val="24"/>
                <w:lang w:val="ro-MD"/>
              </w:rPr>
            </w:pPr>
            <w:r w:rsidRPr="00C949BB">
              <w:rPr>
                <w:sz w:val="24"/>
                <w:szCs w:val="24"/>
                <w:lang w:val="ro-MD"/>
              </w:rPr>
              <w:t>4.4.1. Impactul asupra datelor cu caracter personal</w:t>
            </w:r>
          </w:p>
        </w:tc>
      </w:tr>
      <w:tr w:rsidR="006555B1" w:rsidRPr="00C949BB" w14:paraId="7B2551A0" w14:textId="77777777" w:rsidTr="009413F1">
        <w:tc>
          <w:tcPr>
            <w:tcW w:w="9771" w:type="dxa"/>
            <w:shd w:val="clear" w:color="auto" w:fill="FFFFFF"/>
            <w:tcMar>
              <w:top w:w="0" w:type="dxa"/>
              <w:left w:w="108" w:type="dxa"/>
              <w:bottom w:w="0" w:type="dxa"/>
              <w:right w:w="108" w:type="dxa"/>
            </w:tcMar>
          </w:tcPr>
          <w:p w14:paraId="6FCF34B1" w14:textId="7AAC0752" w:rsidR="006555B1" w:rsidRPr="00C949BB" w:rsidRDefault="00E25DCA" w:rsidP="00E25DCA">
            <w:pPr>
              <w:spacing w:line="276" w:lineRule="auto"/>
              <w:rPr>
                <w:sz w:val="24"/>
                <w:szCs w:val="24"/>
                <w:lang w:val="ro-MD"/>
              </w:rPr>
            </w:pPr>
            <w:r w:rsidRPr="00C949BB">
              <w:rPr>
                <w:sz w:val="24"/>
                <w:szCs w:val="24"/>
                <w:lang w:val="ro-MD"/>
              </w:rPr>
              <w:lastRenderedPageBreak/>
              <w:t xml:space="preserve">Nu are impact asupra </w:t>
            </w:r>
            <w:r w:rsidRPr="00C949BB">
              <w:rPr>
                <w:sz w:val="24"/>
                <w:szCs w:val="24"/>
                <w:lang w:val="ro-MD"/>
              </w:rPr>
              <w:t>datelor cu caracter personal</w:t>
            </w:r>
          </w:p>
        </w:tc>
      </w:tr>
      <w:tr w:rsidR="006555B1" w:rsidRPr="00C949BB" w14:paraId="1DC6F568" w14:textId="77777777" w:rsidTr="009413F1">
        <w:tc>
          <w:tcPr>
            <w:tcW w:w="9771" w:type="dxa"/>
            <w:shd w:val="clear" w:color="auto" w:fill="EDEDED"/>
            <w:tcMar>
              <w:top w:w="0" w:type="dxa"/>
              <w:left w:w="108" w:type="dxa"/>
              <w:bottom w:w="0" w:type="dxa"/>
              <w:right w:w="108" w:type="dxa"/>
            </w:tcMar>
          </w:tcPr>
          <w:p w14:paraId="61B9538B" w14:textId="77777777" w:rsidR="006555B1" w:rsidRPr="00C949BB" w:rsidRDefault="006555B1" w:rsidP="008C344C">
            <w:pPr>
              <w:spacing w:line="276" w:lineRule="auto"/>
              <w:ind w:firstLine="731"/>
              <w:rPr>
                <w:sz w:val="24"/>
                <w:szCs w:val="24"/>
                <w:lang w:val="ro-MD"/>
              </w:rPr>
            </w:pPr>
            <w:r w:rsidRPr="00C949BB">
              <w:rPr>
                <w:sz w:val="24"/>
                <w:szCs w:val="24"/>
                <w:lang w:val="ro-MD"/>
              </w:rPr>
              <w:t>4.4.2. Impactul asupra echității și egalității de gen</w:t>
            </w:r>
          </w:p>
        </w:tc>
      </w:tr>
      <w:tr w:rsidR="006555B1" w:rsidRPr="00C949BB" w14:paraId="3955949A" w14:textId="77777777" w:rsidTr="009413F1">
        <w:tc>
          <w:tcPr>
            <w:tcW w:w="9771" w:type="dxa"/>
            <w:shd w:val="clear" w:color="auto" w:fill="FFFFFF"/>
            <w:tcMar>
              <w:top w:w="0" w:type="dxa"/>
              <w:left w:w="108" w:type="dxa"/>
              <w:bottom w:w="0" w:type="dxa"/>
              <w:right w:w="108" w:type="dxa"/>
            </w:tcMar>
          </w:tcPr>
          <w:p w14:paraId="74C15E8F" w14:textId="5D7F1678" w:rsidR="006555B1" w:rsidRPr="00C949BB" w:rsidRDefault="00EE0698" w:rsidP="008C344C">
            <w:pPr>
              <w:spacing w:line="276" w:lineRule="auto"/>
              <w:ind w:firstLine="731"/>
              <w:rPr>
                <w:sz w:val="24"/>
                <w:szCs w:val="24"/>
                <w:lang w:val="ro-MD"/>
              </w:rPr>
            </w:pPr>
            <w:r w:rsidRPr="00C949BB">
              <w:rPr>
                <w:sz w:val="24"/>
                <w:szCs w:val="24"/>
                <w:lang w:val="ro-MD"/>
              </w:rPr>
              <w:t>Prevederile ordinului promovează egalitatea de acces la servicii educaționale extrașcolare, fără discriminare pe criterii de gen, dizabilitate sau statut social</w:t>
            </w:r>
            <w:r w:rsidR="00E25DCA" w:rsidRPr="00C949BB">
              <w:rPr>
                <w:sz w:val="24"/>
                <w:szCs w:val="24"/>
                <w:lang w:val="ro-MD"/>
              </w:rPr>
              <w:t>.</w:t>
            </w:r>
          </w:p>
        </w:tc>
      </w:tr>
      <w:tr w:rsidR="006555B1" w:rsidRPr="00C949BB" w14:paraId="6A2905B5" w14:textId="77777777" w:rsidTr="009413F1">
        <w:tc>
          <w:tcPr>
            <w:tcW w:w="9771" w:type="dxa"/>
            <w:shd w:val="clear" w:color="auto" w:fill="EDEDED"/>
            <w:tcMar>
              <w:top w:w="0" w:type="dxa"/>
              <w:left w:w="108" w:type="dxa"/>
              <w:bottom w:w="0" w:type="dxa"/>
              <w:right w:w="108" w:type="dxa"/>
            </w:tcMar>
          </w:tcPr>
          <w:p w14:paraId="2332AD24" w14:textId="77777777" w:rsidR="006555B1" w:rsidRPr="00C949BB" w:rsidRDefault="006555B1" w:rsidP="008C344C">
            <w:pPr>
              <w:spacing w:line="276" w:lineRule="auto"/>
              <w:rPr>
                <w:sz w:val="24"/>
                <w:szCs w:val="24"/>
                <w:lang w:val="ro-MD"/>
              </w:rPr>
            </w:pPr>
            <w:r w:rsidRPr="00C949BB">
              <w:rPr>
                <w:sz w:val="24"/>
                <w:szCs w:val="24"/>
                <w:lang w:val="ro-MD"/>
              </w:rPr>
              <w:t>4.5. Impactul asupra mediului</w:t>
            </w:r>
          </w:p>
        </w:tc>
      </w:tr>
      <w:tr w:rsidR="006555B1" w:rsidRPr="00C949BB" w14:paraId="493F4FF4" w14:textId="77777777" w:rsidTr="009413F1">
        <w:tc>
          <w:tcPr>
            <w:tcW w:w="9771" w:type="dxa"/>
            <w:shd w:val="clear" w:color="auto" w:fill="FFFFFF"/>
            <w:tcMar>
              <w:top w:w="0" w:type="dxa"/>
              <w:left w:w="108" w:type="dxa"/>
              <w:bottom w:w="0" w:type="dxa"/>
              <w:right w:w="108" w:type="dxa"/>
            </w:tcMar>
          </w:tcPr>
          <w:p w14:paraId="42CCE378" w14:textId="42E525B0" w:rsidR="006555B1" w:rsidRPr="00C949BB" w:rsidRDefault="006555B1" w:rsidP="008C344C">
            <w:pPr>
              <w:spacing w:line="276" w:lineRule="auto"/>
              <w:ind w:firstLine="0"/>
              <w:rPr>
                <w:sz w:val="24"/>
                <w:szCs w:val="24"/>
                <w:lang w:val="ro-MD"/>
              </w:rPr>
            </w:pPr>
            <w:r w:rsidRPr="00C949BB">
              <w:rPr>
                <w:sz w:val="24"/>
                <w:szCs w:val="24"/>
                <w:lang w:val="ro-MD"/>
              </w:rPr>
              <w:t xml:space="preserve">          </w:t>
            </w:r>
            <w:r w:rsidR="00EE0698" w:rsidRPr="00C949BB">
              <w:rPr>
                <w:sz w:val="24"/>
                <w:szCs w:val="24"/>
                <w:lang w:val="ro-MD"/>
              </w:rPr>
              <w:t>Ordinul nu generează impact negativ asupra mediului.</w:t>
            </w:r>
          </w:p>
        </w:tc>
      </w:tr>
      <w:tr w:rsidR="006555B1" w:rsidRPr="00C949BB" w14:paraId="04B3F3E4" w14:textId="77777777" w:rsidTr="009413F1">
        <w:tc>
          <w:tcPr>
            <w:tcW w:w="9771" w:type="dxa"/>
            <w:shd w:val="clear" w:color="auto" w:fill="EDEDED"/>
            <w:tcMar>
              <w:top w:w="0" w:type="dxa"/>
              <w:left w:w="108" w:type="dxa"/>
              <w:bottom w:w="0" w:type="dxa"/>
              <w:right w:w="108" w:type="dxa"/>
            </w:tcMar>
          </w:tcPr>
          <w:p w14:paraId="1CEB29EC" w14:textId="77777777" w:rsidR="006555B1" w:rsidRPr="00C949BB" w:rsidRDefault="006555B1" w:rsidP="008C344C">
            <w:pPr>
              <w:spacing w:line="276" w:lineRule="auto"/>
              <w:rPr>
                <w:sz w:val="24"/>
                <w:szCs w:val="24"/>
                <w:lang w:val="ro-MD"/>
              </w:rPr>
            </w:pPr>
            <w:r w:rsidRPr="00C949BB">
              <w:rPr>
                <w:sz w:val="24"/>
                <w:szCs w:val="24"/>
                <w:lang w:val="ro-MD"/>
              </w:rPr>
              <w:t>4.6. Alte impacturi și informații relevante</w:t>
            </w:r>
          </w:p>
        </w:tc>
      </w:tr>
      <w:tr w:rsidR="006555B1" w:rsidRPr="00C949BB" w14:paraId="49A9E8A9" w14:textId="77777777" w:rsidTr="009413F1">
        <w:tc>
          <w:tcPr>
            <w:tcW w:w="9771" w:type="dxa"/>
            <w:shd w:val="clear" w:color="auto" w:fill="FFFFFF"/>
            <w:tcMar>
              <w:top w:w="0" w:type="dxa"/>
              <w:left w:w="108" w:type="dxa"/>
              <w:bottom w:w="0" w:type="dxa"/>
              <w:right w:w="108" w:type="dxa"/>
            </w:tcMar>
          </w:tcPr>
          <w:p w14:paraId="06A02B4D" w14:textId="574C2108" w:rsidR="00EE0698" w:rsidRPr="00C949BB" w:rsidRDefault="00E25DCA" w:rsidP="00E25DCA">
            <w:pPr>
              <w:spacing w:line="276" w:lineRule="auto"/>
              <w:rPr>
                <w:sz w:val="24"/>
                <w:szCs w:val="24"/>
                <w:lang w:val="ro-MD"/>
              </w:rPr>
            </w:pPr>
            <w:r w:rsidRPr="00C949BB">
              <w:rPr>
                <w:sz w:val="24"/>
                <w:szCs w:val="24"/>
                <w:lang w:val="ro-MD"/>
              </w:rPr>
              <w:t>Nu sunt.</w:t>
            </w:r>
          </w:p>
        </w:tc>
      </w:tr>
      <w:tr w:rsidR="006555B1" w:rsidRPr="00C949BB" w14:paraId="0395F659" w14:textId="77777777" w:rsidTr="009413F1">
        <w:tc>
          <w:tcPr>
            <w:tcW w:w="9771" w:type="dxa"/>
            <w:shd w:val="clear" w:color="auto" w:fill="BFBFBF"/>
            <w:tcMar>
              <w:top w:w="0" w:type="dxa"/>
              <w:left w:w="108" w:type="dxa"/>
              <w:bottom w:w="0" w:type="dxa"/>
              <w:right w:w="108" w:type="dxa"/>
            </w:tcMar>
          </w:tcPr>
          <w:p w14:paraId="164F845F" w14:textId="77777777" w:rsidR="006555B1" w:rsidRPr="00C949BB" w:rsidRDefault="006555B1" w:rsidP="008C344C">
            <w:pPr>
              <w:spacing w:line="276" w:lineRule="auto"/>
              <w:rPr>
                <w:b/>
                <w:sz w:val="24"/>
                <w:szCs w:val="24"/>
                <w:lang w:val="ro-MD"/>
              </w:rPr>
            </w:pPr>
            <w:r w:rsidRPr="00C949BB">
              <w:rPr>
                <w:b/>
                <w:sz w:val="24"/>
                <w:szCs w:val="24"/>
                <w:lang w:val="ro-MD"/>
              </w:rPr>
              <w:t xml:space="preserve">5. Compatibilitatea proiectului actului normativ cu legislația UE </w:t>
            </w:r>
          </w:p>
        </w:tc>
      </w:tr>
      <w:tr w:rsidR="006555B1" w:rsidRPr="00C949BB" w14:paraId="63FCAEBB" w14:textId="77777777" w:rsidTr="009413F1">
        <w:tc>
          <w:tcPr>
            <w:tcW w:w="9771" w:type="dxa"/>
            <w:shd w:val="clear" w:color="auto" w:fill="F3F3F3"/>
            <w:tcMar>
              <w:top w:w="0" w:type="dxa"/>
              <w:left w:w="108" w:type="dxa"/>
              <w:bottom w:w="0" w:type="dxa"/>
              <w:right w:w="108" w:type="dxa"/>
            </w:tcMar>
          </w:tcPr>
          <w:p w14:paraId="2B1872E6" w14:textId="77777777" w:rsidR="006555B1" w:rsidRPr="00C949BB" w:rsidRDefault="006555B1" w:rsidP="008C344C">
            <w:pPr>
              <w:spacing w:line="276" w:lineRule="auto"/>
              <w:rPr>
                <w:sz w:val="24"/>
                <w:szCs w:val="24"/>
                <w:lang w:val="ro-MD"/>
              </w:rPr>
            </w:pPr>
            <w:r w:rsidRPr="00C949BB">
              <w:rPr>
                <w:sz w:val="24"/>
                <w:szCs w:val="24"/>
                <w:lang w:val="ro-MD"/>
              </w:rPr>
              <w:t>5.1. Măsuri normative necesare pentru transpunerea actelor juridice ale UE în legislația națională.</w:t>
            </w:r>
          </w:p>
        </w:tc>
      </w:tr>
      <w:tr w:rsidR="006555B1" w:rsidRPr="00C949BB" w14:paraId="6A7C58A6" w14:textId="77777777" w:rsidTr="009413F1">
        <w:tc>
          <w:tcPr>
            <w:tcW w:w="9771" w:type="dxa"/>
            <w:shd w:val="clear" w:color="auto" w:fill="FFFFFF"/>
            <w:tcMar>
              <w:top w:w="0" w:type="dxa"/>
              <w:left w:w="108" w:type="dxa"/>
              <w:bottom w:w="0" w:type="dxa"/>
              <w:right w:w="108" w:type="dxa"/>
            </w:tcMar>
          </w:tcPr>
          <w:p w14:paraId="1E9C03C1" w14:textId="6DDB7516" w:rsidR="00E25DCA" w:rsidRPr="00C949BB" w:rsidRDefault="00E25DCA" w:rsidP="00E25DCA">
            <w:pPr>
              <w:spacing w:line="276" w:lineRule="auto"/>
              <w:ind w:firstLine="0"/>
              <w:rPr>
                <w:sz w:val="24"/>
                <w:szCs w:val="24"/>
                <w:lang w:val="ro-MD"/>
              </w:rPr>
            </w:pPr>
            <w:r w:rsidRPr="00C949BB">
              <w:rPr>
                <w:sz w:val="24"/>
                <w:szCs w:val="24"/>
                <w:lang w:val="ro-MD"/>
              </w:rPr>
              <w:t>Proiectul Ordinului nu ține de racordarea la</w:t>
            </w:r>
            <w:r w:rsidRPr="00C949BB">
              <w:rPr>
                <w:b/>
                <w:sz w:val="24"/>
                <w:szCs w:val="24"/>
                <w:lang w:val="ro-MD"/>
              </w:rPr>
              <w:t xml:space="preserve"> </w:t>
            </w:r>
            <w:r w:rsidRPr="00C949BB">
              <w:rPr>
                <w:sz w:val="24"/>
                <w:szCs w:val="24"/>
                <w:lang w:val="ro-MD"/>
              </w:rPr>
              <w:t>legislația UE</w:t>
            </w:r>
            <w:r w:rsidRPr="00C949BB">
              <w:rPr>
                <w:sz w:val="24"/>
                <w:szCs w:val="24"/>
                <w:lang w:val="ro-MD"/>
              </w:rPr>
              <w:t>.</w:t>
            </w:r>
          </w:p>
          <w:p w14:paraId="2B789C56" w14:textId="22EACFE8" w:rsidR="00EE0698" w:rsidRPr="00C949BB" w:rsidRDefault="00E25DCA" w:rsidP="00E25DCA">
            <w:pPr>
              <w:spacing w:line="276" w:lineRule="auto"/>
              <w:ind w:firstLine="0"/>
              <w:rPr>
                <w:sz w:val="24"/>
                <w:szCs w:val="24"/>
                <w:lang w:val="ro-MD"/>
              </w:rPr>
            </w:pPr>
            <w:r w:rsidRPr="00C949BB">
              <w:rPr>
                <w:sz w:val="24"/>
                <w:szCs w:val="24"/>
                <w:lang w:val="ro-MD"/>
              </w:rPr>
              <w:t>Totodată, p</w:t>
            </w:r>
            <w:r w:rsidR="00EE0698" w:rsidRPr="00C949BB">
              <w:rPr>
                <w:sz w:val="24"/>
                <w:szCs w:val="24"/>
                <w:lang w:val="ro-MD"/>
              </w:rPr>
              <w:t>roiectul de ordin este compatibil cu principiile europene privind:</w:t>
            </w:r>
          </w:p>
          <w:p w14:paraId="4D12541A" w14:textId="77777777" w:rsidR="00EE0698" w:rsidRPr="00C949BB" w:rsidRDefault="00EE0698" w:rsidP="00C949BB">
            <w:pPr>
              <w:numPr>
                <w:ilvl w:val="0"/>
                <w:numId w:val="10"/>
              </w:numPr>
              <w:ind w:left="714" w:hanging="357"/>
              <w:rPr>
                <w:sz w:val="24"/>
                <w:szCs w:val="24"/>
                <w:lang w:val="ro-MD"/>
              </w:rPr>
            </w:pPr>
            <w:r w:rsidRPr="00C949BB">
              <w:rPr>
                <w:sz w:val="24"/>
                <w:szCs w:val="24"/>
                <w:lang w:val="ro-MD"/>
              </w:rPr>
              <w:t>buna guvernare;</w:t>
            </w:r>
          </w:p>
          <w:p w14:paraId="53314083" w14:textId="77777777" w:rsidR="00EE0698" w:rsidRPr="00C949BB" w:rsidRDefault="00EE0698" w:rsidP="00C949BB">
            <w:pPr>
              <w:numPr>
                <w:ilvl w:val="0"/>
                <w:numId w:val="10"/>
              </w:numPr>
              <w:ind w:left="714" w:hanging="357"/>
              <w:rPr>
                <w:sz w:val="24"/>
                <w:szCs w:val="24"/>
                <w:lang w:val="ro-MD"/>
              </w:rPr>
            </w:pPr>
            <w:r w:rsidRPr="00C949BB">
              <w:rPr>
                <w:sz w:val="24"/>
                <w:szCs w:val="24"/>
                <w:lang w:val="ro-MD"/>
              </w:rPr>
              <w:t>managementul eficient al resurselor publice;</w:t>
            </w:r>
          </w:p>
          <w:p w14:paraId="6FC81937" w14:textId="6E93999F" w:rsidR="006555B1" w:rsidRPr="00C949BB" w:rsidRDefault="00EE0698" w:rsidP="00C949BB">
            <w:pPr>
              <w:numPr>
                <w:ilvl w:val="0"/>
                <w:numId w:val="10"/>
              </w:numPr>
              <w:spacing w:after="120"/>
              <w:ind w:left="714" w:hanging="357"/>
              <w:rPr>
                <w:sz w:val="24"/>
                <w:szCs w:val="24"/>
                <w:lang w:val="ro-MD"/>
              </w:rPr>
            </w:pPr>
            <w:r w:rsidRPr="00C949BB">
              <w:rPr>
                <w:sz w:val="24"/>
                <w:szCs w:val="24"/>
                <w:lang w:val="ro-MD"/>
              </w:rPr>
              <w:t>accesul echitabil la educație.</w:t>
            </w:r>
          </w:p>
        </w:tc>
      </w:tr>
      <w:tr w:rsidR="006555B1" w:rsidRPr="00C949BB" w14:paraId="2800C1CC" w14:textId="77777777" w:rsidTr="009413F1">
        <w:tc>
          <w:tcPr>
            <w:tcW w:w="9771" w:type="dxa"/>
            <w:shd w:val="clear" w:color="auto" w:fill="EFEFEF"/>
            <w:tcMar>
              <w:top w:w="0" w:type="dxa"/>
              <w:left w:w="108" w:type="dxa"/>
              <w:bottom w:w="0" w:type="dxa"/>
              <w:right w:w="108" w:type="dxa"/>
            </w:tcMar>
          </w:tcPr>
          <w:p w14:paraId="3F61DA4E" w14:textId="77777777" w:rsidR="006555B1" w:rsidRPr="00C949BB" w:rsidRDefault="006555B1" w:rsidP="008C344C">
            <w:pPr>
              <w:spacing w:line="276" w:lineRule="auto"/>
              <w:rPr>
                <w:sz w:val="24"/>
                <w:szCs w:val="24"/>
                <w:lang w:val="ro-MD"/>
              </w:rPr>
            </w:pPr>
            <w:r w:rsidRPr="00C949BB">
              <w:rPr>
                <w:sz w:val="24"/>
                <w:szCs w:val="24"/>
                <w:lang w:val="ro-MD"/>
              </w:rPr>
              <w:t>5.2. Măsuri normative care urmăresc crearea cadrului juridic intern necesar pentru implementarea legislației UE</w:t>
            </w:r>
          </w:p>
        </w:tc>
      </w:tr>
      <w:tr w:rsidR="006555B1" w:rsidRPr="00C949BB" w14:paraId="5E898B01" w14:textId="77777777" w:rsidTr="009413F1">
        <w:tc>
          <w:tcPr>
            <w:tcW w:w="9771" w:type="dxa"/>
            <w:tcMar>
              <w:top w:w="0" w:type="dxa"/>
              <w:left w:w="108" w:type="dxa"/>
              <w:bottom w:w="0" w:type="dxa"/>
              <w:right w:w="108" w:type="dxa"/>
            </w:tcMar>
          </w:tcPr>
          <w:p w14:paraId="40177252" w14:textId="6050F4B1" w:rsidR="006555B1" w:rsidRPr="00C949BB" w:rsidRDefault="006555B1" w:rsidP="00C949BB">
            <w:pPr>
              <w:spacing w:line="276" w:lineRule="auto"/>
              <w:ind w:firstLine="0"/>
              <w:rPr>
                <w:sz w:val="24"/>
                <w:szCs w:val="24"/>
                <w:lang w:val="ro-MD"/>
              </w:rPr>
            </w:pPr>
            <w:r w:rsidRPr="00C949BB">
              <w:rPr>
                <w:sz w:val="24"/>
                <w:szCs w:val="24"/>
                <w:lang w:val="ro-MD"/>
              </w:rPr>
              <w:t>Nu este aplicabil</w:t>
            </w:r>
          </w:p>
        </w:tc>
      </w:tr>
      <w:tr w:rsidR="006555B1" w:rsidRPr="00C949BB" w14:paraId="59E3231C" w14:textId="77777777" w:rsidTr="009413F1">
        <w:tc>
          <w:tcPr>
            <w:tcW w:w="9771" w:type="dxa"/>
            <w:shd w:val="clear" w:color="auto" w:fill="BFBFBF"/>
            <w:tcMar>
              <w:top w:w="0" w:type="dxa"/>
              <w:left w:w="108" w:type="dxa"/>
              <w:bottom w:w="0" w:type="dxa"/>
              <w:right w:w="108" w:type="dxa"/>
            </w:tcMar>
          </w:tcPr>
          <w:p w14:paraId="5DA68FAF" w14:textId="77777777" w:rsidR="006555B1" w:rsidRPr="00C949BB" w:rsidRDefault="006555B1" w:rsidP="008C344C">
            <w:pPr>
              <w:spacing w:line="276" w:lineRule="auto"/>
              <w:rPr>
                <w:b/>
                <w:sz w:val="24"/>
                <w:szCs w:val="24"/>
                <w:lang w:val="ro-MD"/>
              </w:rPr>
            </w:pPr>
            <w:r w:rsidRPr="00C949BB">
              <w:rPr>
                <w:b/>
                <w:sz w:val="24"/>
                <w:szCs w:val="24"/>
                <w:lang w:val="ro-MD"/>
              </w:rPr>
              <w:t>6. Avizarea și consultarea publică a proiectului actului normativ</w:t>
            </w:r>
          </w:p>
        </w:tc>
      </w:tr>
      <w:tr w:rsidR="006555B1" w:rsidRPr="00C949BB" w14:paraId="5B3F4439" w14:textId="77777777" w:rsidTr="009413F1">
        <w:tc>
          <w:tcPr>
            <w:tcW w:w="9771" w:type="dxa"/>
            <w:tcMar>
              <w:top w:w="0" w:type="dxa"/>
              <w:left w:w="108" w:type="dxa"/>
              <w:bottom w:w="0" w:type="dxa"/>
              <w:right w:w="108" w:type="dxa"/>
            </w:tcMar>
          </w:tcPr>
          <w:p w14:paraId="33726581" w14:textId="77777777" w:rsidR="006555B1" w:rsidRPr="00C949BB" w:rsidRDefault="006555B1" w:rsidP="00C949BB">
            <w:pPr>
              <w:spacing w:line="276" w:lineRule="auto"/>
              <w:ind w:firstLine="0"/>
              <w:rPr>
                <w:sz w:val="24"/>
                <w:szCs w:val="24"/>
                <w:lang w:val="ro-MD"/>
              </w:rPr>
            </w:pPr>
            <w:r w:rsidRPr="00C949BB">
              <w:rPr>
                <w:sz w:val="24"/>
                <w:szCs w:val="24"/>
                <w:lang w:val="ro-MD"/>
              </w:rPr>
              <w:t xml:space="preserve">În vederea respectării prevederilor Legii nr. 239/2008 privind transparența în procesul decizional, pe pagina web oficială a Ministerului Educației și Cercetării </w:t>
            </w:r>
            <w:hyperlink r:id="rId5">
              <w:r w:rsidRPr="00C949BB">
                <w:rPr>
                  <w:sz w:val="24"/>
                  <w:szCs w:val="24"/>
                  <w:lang w:val="ro-MD"/>
                </w:rPr>
                <w:t>www.mec.gov.md</w:t>
              </w:r>
            </w:hyperlink>
            <w:r w:rsidRPr="00C949BB">
              <w:rPr>
                <w:sz w:val="24"/>
                <w:szCs w:val="24"/>
                <w:lang w:val="ro-MD"/>
              </w:rPr>
              <w:t xml:space="preserve">, compartimentul Transparența decizională și pe platforma guvernamentală </w:t>
            </w:r>
            <w:hyperlink r:id="rId6">
              <w:r w:rsidRPr="00C949BB">
                <w:rPr>
                  <w:sz w:val="24"/>
                  <w:szCs w:val="24"/>
                  <w:lang w:val="ro-MD"/>
                </w:rPr>
                <w:t>www.particip.md</w:t>
              </w:r>
            </w:hyperlink>
            <w:r w:rsidRPr="00C949BB">
              <w:rPr>
                <w:sz w:val="24"/>
                <w:szCs w:val="24"/>
                <w:lang w:val="ro-MD"/>
              </w:rPr>
              <w:t xml:space="preserve">, a fost </w:t>
            </w:r>
            <w:r w:rsidR="00C949BB" w:rsidRPr="00C949BB">
              <w:rPr>
                <w:sz w:val="24"/>
                <w:szCs w:val="24"/>
                <w:lang w:val="ro-MD"/>
              </w:rPr>
              <w:t>plasat proiectul Ordinului pentru discuții publice.</w:t>
            </w:r>
          </w:p>
          <w:p w14:paraId="2CAFF788" w14:textId="4560A0AE" w:rsidR="00D711E9" w:rsidRDefault="00C949BB" w:rsidP="00C949BB">
            <w:pPr>
              <w:spacing w:line="276" w:lineRule="auto"/>
              <w:ind w:firstLine="0"/>
              <w:rPr>
                <w:sz w:val="24"/>
                <w:szCs w:val="24"/>
                <w:lang w:val="ro-MD"/>
              </w:rPr>
            </w:pPr>
            <w:r w:rsidRPr="00C949BB">
              <w:rPr>
                <w:sz w:val="24"/>
                <w:szCs w:val="24"/>
                <w:lang w:val="ro-MD"/>
              </w:rPr>
              <w:t xml:space="preserve">Totodată, </w:t>
            </w:r>
            <w:r w:rsidR="00D711E9">
              <w:rPr>
                <w:sz w:val="24"/>
                <w:szCs w:val="24"/>
                <w:lang w:val="ro-MD"/>
              </w:rPr>
              <w:t xml:space="preserve">pe tot procesul de elaborare a normelor de personal, proiectul a fost discutat în cadrul mai multor ședințe cu conducătorii instituțiilor de învățământ </w:t>
            </w:r>
            <w:r w:rsidR="00D711E9" w:rsidRPr="00C949BB">
              <w:rPr>
                <w:sz w:val="24"/>
                <w:szCs w:val="24"/>
                <w:lang w:val="ro-MD"/>
              </w:rPr>
              <w:t>extrașcolar (centrele de creație)</w:t>
            </w:r>
            <w:r w:rsidR="00326E12">
              <w:rPr>
                <w:sz w:val="24"/>
                <w:szCs w:val="24"/>
                <w:lang w:val="ro-MD"/>
              </w:rPr>
              <w:t>,</w:t>
            </w:r>
            <w:r w:rsidR="00D711E9">
              <w:rPr>
                <w:sz w:val="24"/>
                <w:szCs w:val="24"/>
                <w:lang w:val="ro-MD"/>
              </w:rPr>
              <w:t xml:space="preserve"> reprezentanți din cadrul organelor locale de specialitate în domeniul învățământului</w:t>
            </w:r>
            <w:r w:rsidR="00326E12">
              <w:rPr>
                <w:sz w:val="24"/>
                <w:szCs w:val="24"/>
                <w:lang w:val="ro-MD"/>
              </w:rPr>
              <w:t xml:space="preserve"> și APL</w:t>
            </w:r>
            <w:r w:rsidR="00D711E9">
              <w:rPr>
                <w:sz w:val="24"/>
                <w:szCs w:val="24"/>
                <w:lang w:val="ro-MD"/>
              </w:rPr>
              <w:t>.</w:t>
            </w:r>
          </w:p>
          <w:p w14:paraId="79C6D0A5" w14:textId="67C61D2C" w:rsidR="00C949BB" w:rsidRPr="00C949BB" w:rsidRDefault="00D711E9" w:rsidP="00C949BB">
            <w:pPr>
              <w:spacing w:line="276" w:lineRule="auto"/>
              <w:ind w:firstLine="0"/>
              <w:rPr>
                <w:sz w:val="24"/>
                <w:szCs w:val="24"/>
                <w:lang w:val="ro-MD"/>
              </w:rPr>
            </w:pPr>
            <w:r>
              <w:rPr>
                <w:sz w:val="24"/>
                <w:szCs w:val="24"/>
                <w:lang w:val="ro-MD"/>
              </w:rPr>
              <w:t xml:space="preserve">De asemenea, </w:t>
            </w:r>
            <w:r w:rsidR="00C949BB" w:rsidRPr="00C949BB">
              <w:rPr>
                <w:sz w:val="24"/>
                <w:szCs w:val="24"/>
                <w:lang w:val="ro-MD"/>
              </w:rPr>
              <w:t>proiectul Ordinului va fi transmis pentru avizare la Ministerul Finanțelor.</w:t>
            </w:r>
          </w:p>
        </w:tc>
      </w:tr>
      <w:tr w:rsidR="006555B1" w:rsidRPr="00C949BB" w14:paraId="37236790" w14:textId="77777777" w:rsidTr="009413F1">
        <w:tc>
          <w:tcPr>
            <w:tcW w:w="9771" w:type="dxa"/>
            <w:shd w:val="clear" w:color="auto" w:fill="BFBFBF"/>
            <w:tcMar>
              <w:top w:w="0" w:type="dxa"/>
              <w:left w:w="108" w:type="dxa"/>
              <w:bottom w:w="0" w:type="dxa"/>
              <w:right w:w="108" w:type="dxa"/>
            </w:tcMar>
          </w:tcPr>
          <w:p w14:paraId="25292955" w14:textId="77777777" w:rsidR="006555B1" w:rsidRPr="00C949BB" w:rsidRDefault="006555B1" w:rsidP="008C344C">
            <w:pPr>
              <w:spacing w:line="276" w:lineRule="auto"/>
              <w:rPr>
                <w:b/>
                <w:sz w:val="24"/>
                <w:szCs w:val="24"/>
                <w:lang w:val="ro-MD"/>
              </w:rPr>
            </w:pPr>
            <w:r w:rsidRPr="00C949BB">
              <w:rPr>
                <w:b/>
                <w:sz w:val="24"/>
                <w:szCs w:val="24"/>
                <w:lang w:val="ro-MD"/>
              </w:rPr>
              <w:t>7. Concluziile expertizelor</w:t>
            </w:r>
          </w:p>
        </w:tc>
      </w:tr>
      <w:tr w:rsidR="006555B1" w:rsidRPr="00C949BB" w14:paraId="071109A9" w14:textId="77777777" w:rsidTr="009413F1">
        <w:tc>
          <w:tcPr>
            <w:tcW w:w="9771" w:type="dxa"/>
            <w:shd w:val="clear" w:color="auto" w:fill="FFFFFF"/>
            <w:tcMar>
              <w:top w:w="0" w:type="dxa"/>
              <w:left w:w="108" w:type="dxa"/>
              <w:bottom w:w="0" w:type="dxa"/>
              <w:right w:w="108" w:type="dxa"/>
            </w:tcMar>
          </w:tcPr>
          <w:p w14:paraId="43FE1FA6" w14:textId="2E740578" w:rsidR="006555B1" w:rsidRPr="00C949BB" w:rsidRDefault="00C949BB" w:rsidP="00C949BB">
            <w:pPr>
              <w:spacing w:line="276" w:lineRule="auto"/>
              <w:ind w:firstLine="0"/>
              <w:rPr>
                <w:sz w:val="24"/>
                <w:szCs w:val="24"/>
                <w:lang w:val="ro-MD"/>
              </w:rPr>
            </w:pPr>
            <w:r w:rsidRPr="00C949BB">
              <w:rPr>
                <w:sz w:val="24"/>
                <w:szCs w:val="24"/>
                <w:lang w:val="ro-MD"/>
              </w:rPr>
              <w:t>Nu necesită</w:t>
            </w:r>
          </w:p>
        </w:tc>
      </w:tr>
      <w:tr w:rsidR="006555B1" w:rsidRPr="00C949BB" w14:paraId="7499B3AA" w14:textId="77777777" w:rsidTr="009413F1">
        <w:tc>
          <w:tcPr>
            <w:tcW w:w="9771" w:type="dxa"/>
            <w:shd w:val="clear" w:color="auto" w:fill="BFBFBF"/>
            <w:tcMar>
              <w:top w:w="0" w:type="dxa"/>
              <w:left w:w="108" w:type="dxa"/>
              <w:bottom w:w="0" w:type="dxa"/>
              <w:right w:w="108" w:type="dxa"/>
            </w:tcMar>
          </w:tcPr>
          <w:p w14:paraId="33AC5084" w14:textId="77777777" w:rsidR="006555B1" w:rsidRPr="00C949BB" w:rsidRDefault="006555B1" w:rsidP="008C344C">
            <w:pPr>
              <w:spacing w:line="276" w:lineRule="auto"/>
              <w:rPr>
                <w:b/>
                <w:sz w:val="24"/>
                <w:szCs w:val="24"/>
                <w:lang w:val="ro-MD"/>
              </w:rPr>
            </w:pPr>
            <w:r w:rsidRPr="00C949BB">
              <w:rPr>
                <w:b/>
                <w:sz w:val="24"/>
                <w:szCs w:val="24"/>
                <w:lang w:val="ro-MD"/>
              </w:rPr>
              <w:t>8. Modul de încorporare a actului în cadrul normativ existent</w:t>
            </w:r>
          </w:p>
        </w:tc>
      </w:tr>
      <w:tr w:rsidR="006555B1" w:rsidRPr="00C949BB" w14:paraId="3D195B9A" w14:textId="77777777" w:rsidTr="009413F1">
        <w:tc>
          <w:tcPr>
            <w:tcW w:w="9771" w:type="dxa"/>
            <w:tcMar>
              <w:top w:w="0" w:type="dxa"/>
              <w:left w:w="108" w:type="dxa"/>
              <w:bottom w:w="0" w:type="dxa"/>
              <w:right w:w="108" w:type="dxa"/>
            </w:tcMar>
          </w:tcPr>
          <w:p w14:paraId="478E672F" w14:textId="34028910" w:rsidR="006555B1" w:rsidRPr="00C949BB" w:rsidRDefault="006555B1" w:rsidP="00C949BB">
            <w:pPr>
              <w:spacing w:line="276" w:lineRule="auto"/>
              <w:ind w:firstLine="0"/>
              <w:rPr>
                <w:sz w:val="24"/>
                <w:szCs w:val="24"/>
                <w:lang w:val="ro-MD"/>
              </w:rPr>
            </w:pPr>
            <w:r w:rsidRPr="00C949BB">
              <w:rPr>
                <w:sz w:val="24"/>
                <w:szCs w:val="24"/>
                <w:lang w:val="ro-MD"/>
              </w:rPr>
              <w:t>Proiectul se încorporează în cadrul normativ în vigoare și nu necesită modificarea/abrogarea unor acte normative.</w:t>
            </w:r>
          </w:p>
        </w:tc>
      </w:tr>
      <w:tr w:rsidR="006555B1" w:rsidRPr="00C949BB" w14:paraId="6332948B" w14:textId="77777777" w:rsidTr="009413F1">
        <w:tc>
          <w:tcPr>
            <w:tcW w:w="9771" w:type="dxa"/>
            <w:shd w:val="clear" w:color="auto" w:fill="BFBFBF"/>
            <w:tcMar>
              <w:top w:w="0" w:type="dxa"/>
              <w:left w:w="108" w:type="dxa"/>
              <w:bottom w:w="0" w:type="dxa"/>
              <w:right w:w="108" w:type="dxa"/>
            </w:tcMar>
          </w:tcPr>
          <w:p w14:paraId="10DC0182" w14:textId="77777777" w:rsidR="006555B1" w:rsidRPr="00C949BB" w:rsidRDefault="006555B1" w:rsidP="008C344C">
            <w:pPr>
              <w:spacing w:line="276" w:lineRule="auto"/>
              <w:rPr>
                <w:b/>
                <w:sz w:val="24"/>
                <w:szCs w:val="24"/>
                <w:lang w:val="ro-MD"/>
              </w:rPr>
            </w:pPr>
            <w:r w:rsidRPr="00C949BB">
              <w:rPr>
                <w:b/>
                <w:sz w:val="24"/>
                <w:szCs w:val="24"/>
                <w:lang w:val="ro-MD"/>
              </w:rPr>
              <w:t>9. Măsurile necesare pentru implementarea prevederilor proiectului actului normativ</w:t>
            </w:r>
          </w:p>
        </w:tc>
      </w:tr>
      <w:tr w:rsidR="006555B1" w:rsidRPr="00C949BB" w14:paraId="31710E32" w14:textId="77777777" w:rsidTr="009413F1">
        <w:tc>
          <w:tcPr>
            <w:tcW w:w="9771" w:type="dxa"/>
            <w:shd w:val="clear" w:color="auto" w:fill="auto"/>
            <w:tcMar>
              <w:top w:w="0" w:type="dxa"/>
              <w:left w:w="108" w:type="dxa"/>
              <w:bottom w:w="0" w:type="dxa"/>
              <w:right w:w="108" w:type="dxa"/>
            </w:tcMar>
          </w:tcPr>
          <w:p w14:paraId="04CE1414" w14:textId="77777777" w:rsidR="006555B1" w:rsidRDefault="00C949BB" w:rsidP="009413F1">
            <w:pPr>
              <w:spacing w:line="276" w:lineRule="auto"/>
              <w:ind w:firstLine="0"/>
              <w:rPr>
                <w:sz w:val="24"/>
                <w:szCs w:val="24"/>
                <w:lang w:val="ro-MD"/>
              </w:rPr>
            </w:pPr>
            <w:r w:rsidRPr="00C949BB">
              <w:rPr>
                <w:sz w:val="24"/>
                <w:szCs w:val="24"/>
                <w:lang w:val="ro-MD"/>
              </w:rPr>
              <w:t xml:space="preserve">Ordinul se publică în Monitorul Oficial al Republicii Moldova și intră în vigoare </w:t>
            </w:r>
            <w:r w:rsidR="009413F1">
              <w:rPr>
                <w:sz w:val="24"/>
                <w:szCs w:val="24"/>
                <w:lang w:val="ro-MD"/>
              </w:rPr>
              <w:t>la data de</w:t>
            </w:r>
            <w:r w:rsidRPr="00C949BB">
              <w:rPr>
                <w:sz w:val="24"/>
                <w:szCs w:val="24"/>
                <w:lang w:val="ro-MD"/>
              </w:rPr>
              <w:t xml:space="preserve"> 01.08.2026.</w:t>
            </w:r>
          </w:p>
          <w:p w14:paraId="5DD78E0A" w14:textId="7188673D" w:rsidR="00326E12" w:rsidRPr="00C949BB" w:rsidRDefault="00326E12" w:rsidP="009413F1">
            <w:pPr>
              <w:spacing w:line="276" w:lineRule="auto"/>
              <w:ind w:firstLine="0"/>
              <w:rPr>
                <w:sz w:val="24"/>
                <w:szCs w:val="24"/>
                <w:lang w:val="ro-MD"/>
              </w:rPr>
            </w:pPr>
            <w:r>
              <w:rPr>
                <w:sz w:val="24"/>
                <w:szCs w:val="24"/>
                <w:lang w:val="ro-MD"/>
              </w:rPr>
              <w:t xml:space="preserve">Pentru implementarea eficientă, </w:t>
            </w:r>
            <w:r w:rsidRPr="00C949BB">
              <w:rPr>
                <w:sz w:val="24"/>
                <w:szCs w:val="24"/>
                <w:lang w:val="ro-MD"/>
              </w:rPr>
              <w:t>Ministerului Educației și Cercetării</w:t>
            </w:r>
            <w:r>
              <w:rPr>
                <w:sz w:val="24"/>
                <w:szCs w:val="24"/>
                <w:lang w:val="ro-MD"/>
              </w:rPr>
              <w:t xml:space="preserve"> va desfășura sesiuni de informare cu </w:t>
            </w:r>
            <w:r>
              <w:rPr>
                <w:sz w:val="24"/>
                <w:szCs w:val="24"/>
                <w:lang w:val="ro-MD"/>
              </w:rPr>
              <w:t xml:space="preserve">conducătorii instituțiilor de învățământ </w:t>
            </w:r>
            <w:r w:rsidRPr="00C949BB">
              <w:rPr>
                <w:sz w:val="24"/>
                <w:szCs w:val="24"/>
                <w:lang w:val="ro-MD"/>
              </w:rPr>
              <w:t>extrașcolar (centrele de creație)</w:t>
            </w:r>
            <w:r>
              <w:rPr>
                <w:sz w:val="24"/>
                <w:szCs w:val="24"/>
                <w:lang w:val="ro-MD"/>
              </w:rPr>
              <w:t xml:space="preserve">, </w:t>
            </w:r>
            <w:r>
              <w:rPr>
                <w:sz w:val="24"/>
                <w:szCs w:val="24"/>
                <w:lang w:val="ro-MD"/>
              </w:rPr>
              <w:t>reprezentanți din cadrul organelor locale de specialitate în domeniul învățământului și APL</w:t>
            </w:r>
            <w:r>
              <w:rPr>
                <w:sz w:val="24"/>
                <w:szCs w:val="24"/>
                <w:lang w:val="ro-MD"/>
              </w:rPr>
              <w:t xml:space="preserve"> (fondatori).</w:t>
            </w:r>
            <w:bookmarkStart w:id="0" w:name="_GoBack"/>
            <w:bookmarkEnd w:id="0"/>
          </w:p>
        </w:tc>
      </w:tr>
    </w:tbl>
    <w:p w14:paraId="593A519B" w14:textId="77777777" w:rsidR="006555B1" w:rsidRPr="00C949BB" w:rsidRDefault="006555B1" w:rsidP="006555B1">
      <w:pPr>
        <w:pBdr>
          <w:top w:val="none" w:sz="0" w:space="0" w:color="000000"/>
          <w:left w:val="none" w:sz="0" w:space="0" w:color="000000"/>
          <w:bottom w:val="none" w:sz="0" w:space="0" w:color="000000"/>
          <w:right w:val="none" w:sz="0" w:space="0" w:color="000000"/>
        </w:pBdr>
        <w:tabs>
          <w:tab w:val="left" w:pos="884"/>
          <w:tab w:val="left" w:pos="1196"/>
        </w:tabs>
        <w:spacing w:line="276" w:lineRule="auto"/>
        <w:rPr>
          <w:b/>
          <w:sz w:val="24"/>
          <w:szCs w:val="24"/>
          <w:lang w:val="ro-MD"/>
        </w:rPr>
      </w:pPr>
    </w:p>
    <w:p w14:paraId="2D597F0D" w14:textId="77777777" w:rsidR="006555B1" w:rsidRPr="00C949BB" w:rsidRDefault="006555B1" w:rsidP="006555B1">
      <w:pPr>
        <w:pBdr>
          <w:top w:val="none" w:sz="0" w:space="0" w:color="000000"/>
          <w:left w:val="none" w:sz="0" w:space="0" w:color="000000"/>
          <w:bottom w:val="none" w:sz="0" w:space="0" w:color="000000"/>
          <w:right w:val="none" w:sz="0" w:space="0" w:color="000000"/>
        </w:pBdr>
        <w:tabs>
          <w:tab w:val="left" w:pos="884"/>
          <w:tab w:val="left" w:pos="1196"/>
        </w:tabs>
        <w:rPr>
          <w:b/>
          <w:sz w:val="24"/>
          <w:szCs w:val="24"/>
          <w:lang w:val="ro-MD"/>
        </w:rPr>
      </w:pPr>
    </w:p>
    <w:p w14:paraId="5D6BE419" w14:textId="77777777" w:rsidR="006555B1" w:rsidRPr="00C949BB" w:rsidRDefault="006555B1" w:rsidP="006555B1">
      <w:pPr>
        <w:pBdr>
          <w:top w:val="none" w:sz="0" w:space="0" w:color="000000"/>
          <w:left w:val="none" w:sz="0" w:space="0" w:color="000000"/>
          <w:bottom w:val="none" w:sz="0" w:space="0" w:color="000000"/>
          <w:right w:val="none" w:sz="0" w:space="0" w:color="000000"/>
        </w:pBdr>
        <w:tabs>
          <w:tab w:val="left" w:pos="884"/>
          <w:tab w:val="left" w:pos="1196"/>
        </w:tabs>
        <w:rPr>
          <w:b/>
          <w:sz w:val="24"/>
          <w:szCs w:val="24"/>
          <w:lang w:val="ro-MD"/>
        </w:rPr>
      </w:pPr>
    </w:p>
    <w:p w14:paraId="0F1A6CC6" w14:textId="77777777" w:rsidR="006555B1" w:rsidRPr="00C949BB" w:rsidRDefault="006555B1" w:rsidP="006555B1">
      <w:pPr>
        <w:jc w:val="center"/>
        <w:rPr>
          <w:sz w:val="16"/>
          <w:szCs w:val="16"/>
          <w:lang w:val="ro-MD"/>
        </w:rPr>
      </w:pPr>
      <w:r w:rsidRPr="00C949BB">
        <w:rPr>
          <w:b/>
          <w:sz w:val="26"/>
          <w:szCs w:val="26"/>
          <w:lang w:val="ro-MD"/>
        </w:rPr>
        <w:t>Ministru                              Dan PERCIUN</w:t>
      </w:r>
    </w:p>
    <w:p w14:paraId="03CBABAB" w14:textId="77777777" w:rsidR="006555B1" w:rsidRPr="00C949BB" w:rsidRDefault="006555B1" w:rsidP="006555B1">
      <w:pPr>
        <w:widowControl w:val="0"/>
        <w:pBdr>
          <w:top w:val="nil"/>
          <w:left w:val="nil"/>
          <w:bottom w:val="nil"/>
          <w:right w:val="nil"/>
          <w:between w:val="nil"/>
        </w:pBdr>
        <w:ind w:firstLine="0"/>
        <w:jc w:val="left"/>
        <w:rPr>
          <w:color w:val="000000"/>
          <w:sz w:val="16"/>
          <w:szCs w:val="16"/>
          <w:lang w:val="ro-MD"/>
        </w:rPr>
      </w:pPr>
    </w:p>
    <w:p w14:paraId="681165AE" w14:textId="0FDD440F" w:rsidR="006555B1" w:rsidRPr="00C949BB" w:rsidRDefault="006555B1" w:rsidP="006555B1">
      <w:pPr>
        <w:jc w:val="center"/>
        <w:rPr>
          <w:lang w:val="ro-MD"/>
        </w:rPr>
      </w:pPr>
    </w:p>
    <w:sectPr w:rsidR="006555B1" w:rsidRPr="00C949BB" w:rsidSect="009413F1">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A0339"/>
    <w:multiLevelType w:val="multilevel"/>
    <w:tmpl w:val="AA22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97EFE"/>
    <w:multiLevelType w:val="multilevel"/>
    <w:tmpl w:val="3768F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D29C1"/>
    <w:multiLevelType w:val="multilevel"/>
    <w:tmpl w:val="0910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6360BE"/>
    <w:multiLevelType w:val="multilevel"/>
    <w:tmpl w:val="33F0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166D9D"/>
    <w:multiLevelType w:val="multilevel"/>
    <w:tmpl w:val="C97C29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DE31555"/>
    <w:multiLevelType w:val="multilevel"/>
    <w:tmpl w:val="231A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AF1F32"/>
    <w:multiLevelType w:val="multilevel"/>
    <w:tmpl w:val="FFD2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3C04BD"/>
    <w:multiLevelType w:val="multilevel"/>
    <w:tmpl w:val="0E92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FF5BFF"/>
    <w:multiLevelType w:val="multilevel"/>
    <w:tmpl w:val="421C8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ACC1A90"/>
    <w:multiLevelType w:val="multilevel"/>
    <w:tmpl w:val="5E08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DB65A4"/>
    <w:multiLevelType w:val="multilevel"/>
    <w:tmpl w:val="413C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B567D0"/>
    <w:multiLevelType w:val="multilevel"/>
    <w:tmpl w:val="C472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5"/>
  </w:num>
  <w:num w:numId="4">
    <w:abstractNumId w:val="11"/>
  </w:num>
  <w:num w:numId="5">
    <w:abstractNumId w:val="6"/>
  </w:num>
  <w:num w:numId="6">
    <w:abstractNumId w:val="9"/>
  </w:num>
  <w:num w:numId="7">
    <w:abstractNumId w:val="7"/>
  </w:num>
  <w:num w:numId="8">
    <w:abstractNumId w:val="0"/>
  </w:num>
  <w:num w:numId="9">
    <w:abstractNumId w:val="1"/>
  </w:num>
  <w:num w:numId="10">
    <w:abstractNumId w:val="3"/>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5B1"/>
    <w:rsid w:val="00255F29"/>
    <w:rsid w:val="002A5353"/>
    <w:rsid w:val="002C36B2"/>
    <w:rsid w:val="00326E12"/>
    <w:rsid w:val="004063A3"/>
    <w:rsid w:val="00421FFC"/>
    <w:rsid w:val="00570E52"/>
    <w:rsid w:val="006555B1"/>
    <w:rsid w:val="006A0D9F"/>
    <w:rsid w:val="00782A47"/>
    <w:rsid w:val="008C344C"/>
    <w:rsid w:val="009413F1"/>
    <w:rsid w:val="00990252"/>
    <w:rsid w:val="00BA3446"/>
    <w:rsid w:val="00C75FAA"/>
    <w:rsid w:val="00C949BB"/>
    <w:rsid w:val="00D522B8"/>
    <w:rsid w:val="00D6471B"/>
    <w:rsid w:val="00D711E9"/>
    <w:rsid w:val="00E25DCA"/>
    <w:rsid w:val="00EE0698"/>
    <w:rsid w:val="00FD3D13"/>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DD0EE"/>
  <w15:chartTrackingRefBased/>
  <w15:docId w15:val="{E5C22524-8704-41B2-9DEE-70EB7E05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o-MD"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5B1"/>
    <w:pPr>
      <w:spacing w:after="0" w:line="240" w:lineRule="auto"/>
      <w:ind w:firstLine="709"/>
      <w:jc w:val="both"/>
    </w:pPr>
    <w:rPr>
      <w:rFonts w:ascii="Times New Roman" w:eastAsia="Times New Roman" w:hAnsi="Times New Roman" w:cs="Times New Roman"/>
      <w:kern w:val="0"/>
      <w:sz w:val="20"/>
      <w:szCs w:val="20"/>
      <w:lang w:val="en" w:eastAsia="ro-MD"/>
      <w14:ligatures w14:val="none"/>
    </w:rPr>
  </w:style>
  <w:style w:type="paragraph" w:styleId="Heading1">
    <w:name w:val="heading 1"/>
    <w:basedOn w:val="Normal"/>
    <w:next w:val="Normal"/>
    <w:link w:val="Heading1Char"/>
    <w:uiPriority w:val="9"/>
    <w:qFormat/>
    <w:rsid w:val="006555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55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55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55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55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55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5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5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5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5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55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55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55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55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5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5B1"/>
    <w:rPr>
      <w:rFonts w:eastAsiaTheme="majorEastAsia" w:cstheme="majorBidi"/>
      <w:color w:val="272727" w:themeColor="text1" w:themeTint="D8"/>
    </w:rPr>
  </w:style>
  <w:style w:type="paragraph" w:styleId="Title">
    <w:name w:val="Title"/>
    <w:basedOn w:val="Normal"/>
    <w:next w:val="Normal"/>
    <w:link w:val="TitleChar"/>
    <w:uiPriority w:val="10"/>
    <w:qFormat/>
    <w:rsid w:val="006555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5B1"/>
    <w:pPr>
      <w:numPr>
        <w:ilvl w:val="1"/>
      </w:numPr>
      <w:ind w:firstLine="709"/>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5B1"/>
    <w:pPr>
      <w:spacing w:before="160"/>
      <w:jc w:val="center"/>
    </w:pPr>
    <w:rPr>
      <w:i/>
      <w:iCs/>
      <w:color w:val="404040" w:themeColor="text1" w:themeTint="BF"/>
    </w:rPr>
  </w:style>
  <w:style w:type="character" w:customStyle="1" w:styleId="QuoteChar">
    <w:name w:val="Quote Char"/>
    <w:basedOn w:val="DefaultParagraphFont"/>
    <w:link w:val="Quote"/>
    <w:uiPriority w:val="29"/>
    <w:rsid w:val="006555B1"/>
    <w:rPr>
      <w:i/>
      <w:iCs/>
      <w:color w:val="404040" w:themeColor="text1" w:themeTint="BF"/>
    </w:rPr>
  </w:style>
  <w:style w:type="paragraph" w:styleId="ListParagraph">
    <w:name w:val="List Paragraph"/>
    <w:basedOn w:val="Normal"/>
    <w:uiPriority w:val="34"/>
    <w:qFormat/>
    <w:rsid w:val="006555B1"/>
    <w:pPr>
      <w:ind w:left="720"/>
      <w:contextualSpacing/>
    </w:pPr>
  </w:style>
  <w:style w:type="character" w:styleId="IntenseEmphasis">
    <w:name w:val="Intense Emphasis"/>
    <w:basedOn w:val="DefaultParagraphFont"/>
    <w:uiPriority w:val="21"/>
    <w:qFormat/>
    <w:rsid w:val="006555B1"/>
    <w:rPr>
      <w:i/>
      <w:iCs/>
      <w:color w:val="2F5496" w:themeColor="accent1" w:themeShade="BF"/>
    </w:rPr>
  </w:style>
  <w:style w:type="paragraph" w:styleId="IntenseQuote">
    <w:name w:val="Intense Quote"/>
    <w:basedOn w:val="Normal"/>
    <w:next w:val="Normal"/>
    <w:link w:val="IntenseQuoteChar"/>
    <w:uiPriority w:val="30"/>
    <w:qFormat/>
    <w:rsid w:val="006555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55B1"/>
    <w:rPr>
      <w:i/>
      <w:iCs/>
      <w:color w:val="2F5496" w:themeColor="accent1" w:themeShade="BF"/>
    </w:rPr>
  </w:style>
  <w:style w:type="character" w:styleId="IntenseReference">
    <w:name w:val="Intense Reference"/>
    <w:basedOn w:val="DefaultParagraphFont"/>
    <w:uiPriority w:val="32"/>
    <w:qFormat/>
    <w:rsid w:val="006555B1"/>
    <w:rPr>
      <w:b/>
      <w:bCs/>
      <w:smallCaps/>
      <w:color w:val="2F5496" w:themeColor="accent1" w:themeShade="BF"/>
      <w:spacing w:val="5"/>
    </w:rPr>
  </w:style>
  <w:style w:type="paragraph" w:styleId="NormalWeb">
    <w:name w:val="Normal (Web)"/>
    <w:basedOn w:val="Normal"/>
    <w:uiPriority w:val="99"/>
    <w:semiHidden/>
    <w:unhideWhenUsed/>
    <w:rsid w:val="002A5353"/>
    <w:rPr>
      <w:sz w:val="24"/>
      <w:szCs w:val="24"/>
    </w:rPr>
  </w:style>
  <w:style w:type="character" w:styleId="Strong">
    <w:name w:val="Strong"/>
    <w:basedOn w:val="DefaultParagraphFont"/>
    <w:uiPriority w:val="22"/>
    <w:qFormat/>
    <w:rsid w:val="00FD3D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65449">
      <w:bodyDiv w:val="1"/>
      <w:marLeft w:val="0"/>
      <w:marRight w:val="0"/>
      <w:marTop w:val="0"/>
      <w:marBottom w:val="0"/>
      <w:divBdr>
        <w:top w:val="none" w:sz="0" w:space="0" w:color="auto"/>
        <w:left w:val="none" w:sz="0" w:space="0" w:color="auto"/>
        <w:bottom w:val="none" w:sz="0" w:space="0" w:color="auto"/>
        <w:right w:val="none" w:sz="0" w:space="0" w:color="auto"/>
      </w:divBdr>
    </w:div>
    <w:div w:id="1385134042">
      <w:bodyDiv w:val="1"/>
      <w:marLeft w:val="0"/>
      <w:marRight w:val="0"/>
      <w:marTop w:val="0"/>
      <w:marBottom w:val="0"/>
      <w:divBdr>
        <w:top w:val="none" w:sz="0" w:space="0" w:color="auto"/>
        <w:left w:val="none" w:sz="0" w:space="0" w:color="auto"/>
        <w:bottom w:val="none" w:sz="0" w:space="0" w:color="auto"/>
        <w:right w:val="none" w:sz="0" w:space="0" w:color="auto"/>
      </w:divBdr>
    </w:div>
    <w:div w:id="206637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ticip.md" TargetMode="External"/><Relationship Id="rId5" Type="http://schemas.openxmlformats.org/officeDocument/2006/relationships/hyperlink" Target="http://www.mec.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Angela Prisacaru</cp:lastModifiedBy>
  <cp:revision>15</cp:revision>
  <dcterms:created xsi:type="dcterms:W3CDTF">2025-12-23T13:43:00Z</dcterms:created>
  <dcterms:modified xsi:type="dcterms:W3CDTF">2025-12-24T09:42:00Z</dcterms:modified>
</cp:coreProperties>
</file>