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jc w:val="center"/>
        <w:rPr>
          <w:lang w:val="ro-RO"/>
        </w:rPr>
      </w:pPr>
      <w:r w:rsidRPr="005535FB">
        <w:rPr>
          <w:b/>
          <w:lang w:val="ro-RO"/>
        </w:rPr>
        <w:t>NOTA</w:t>
      </w:r>
      <w:r w:rsidR="00032B46" w:rsidRPr="005535FB">
        <w:rPr>
          <w:b/>
          <w:lang w:val="ro-RO"/>
        </w:rPr>
        <w:t xml:space="preserve"> </w:t>
      </w:r>
      <w:r w:rsidRPr="005535FB">
        <w:rPr>
          <w:b/>
          <w:lang w:val="ro-RO"/>
        </w:rPr>
        <w:t>DE</w:t>
      </w:r>
      <w:r w:rsidR="00032B46" w:rsidRPr="005535FB">
        <w:rPr>
          <w:b/>
          <w:lang w:val="ro-RO"/>
        </w:rPr>
        <w:t xml:space="preserve"> </w:t>
      </w:r>
      <w:r w:rsidRPr="005535FB">
        <w:rPr>
          <w:b/>
          <w:lang w:val="ro-RO"/>
        </w:rPr>
        <w:t>FUNDAMENTARE</w:t>
      </w:r>
    </w:p>
    <w:p w14:paraId="2D691A2F" w14:textId="06658876" w:rsidR="00854347" w:rsidRPr="00854347" w:rsidRDefault="006933C3" w:rsidP="00854347">
      <w:pPr>
        <w:jc w:val="center"/>
        <w:rPr>
          <w:b/>
          <w:lang w:val="ro-RO"/>
        </w:rPr>
      </w:pPr>
      <w:r w:rsidRPr="005535FB">
        <w:rPr>
          <w:b/>
          <w:lang w:val="ro-RO"/>
        </w:rPr>
        <w:t>la</w:t>
      </w:r>
      <w:r w:rsidR="00032B46" w:rsidRPr="005535FB">
        <w:rPr>
          <w:b/>
          <w:lang w:val="ro-RO"/>
        </w:rPr>
        <w:t xml:space="preserve"> </w:t>
      </w:r>
      <w:r w:rsidRPr="005535FB">
        <w:rPr>
          <w:b/>
          <w:lang w:val="ro-RO"/>
        </w:rPr>
        <w:t>proiectul</w:t>
      </w:r>
      <w:r w:rsidR="00032B46" w:rsidRPr="005535FB">
        <w:rPr>
          <w:b/>
          <w:lang w:val="ro-RO"/>
        </w:rPr>
        <w:t xml:space="preserve"> </w:t>
      </w:r>
      <w:r w:rsidR="0056297E">
        <w:rPr>
          <w:b/>
          <w:lang w:val="ro-RO"/>
        </w:rPr>
        <w:t xml:space="preserve">de </w:t>
      </w:r>
      <w:r w:rsidR="00854347" w:rsidRPr="00854347">
        <w:rPr>
          <w:b/>
          <w:lang w:val="ro-RO"/>
        </w:rPr>
        <w:t>ordin cu privire la elaborarea Regulamentului privind cazurile și condițiile în care Agenția Națională pentru Siguranța Alimentelor poate desemna drept laboratoare oficiale</w:t>
      </w:r>
      <w:r w:rsidR="00AB0923">
        <w:rPr>
          <w:b/>
          <w:lang w:val="ro-RO"/>
        </w:rPr>
        <w:t>,</w:t>
      </w:r>
      <w:r w:rsidR="00854347" w:rsidRPr="00854347">
        <w:rPr>
          <w:b/>
          <w:lang w:val="ro-RO"/>
        </w:rPr>
        <w:t xml:space="preserve"> laboratoarele care nu îndeplinesc condițiile privind toate metodele pe care acestea le utilizează pentru controalele oficiale sau alte activități oficiale</w:t>
      </w:r>
    </w:p>
    <w:p w14:paraId="581CF8BF" w14:textId="341E3E90" w:rsidR="008B4BE6" w:rsidRPr="005535FB" w:rsidRDefault="008B4BE6" w:rsidP="0031555D">
      <w:pPr>
        <w:pBdr>
          <w:top w:val="none" w:sz="4" w:space="0" w:color="000000"/>
          <w:left w:val="none" w:sz="4" w:space="0" w:color="000000"/>
          <w:bottom w:val="none" w:sz="4" w:space="0" w:color="000000"/>
          <w:right w:val="none" w:sz="4" w:space="0" w:color="000000"/>
        </w:pBdr>
        <w:tabs>
          <w:tab w:val="left" w:pos="884"/>
          <w:tab w:val="left" w:pos="1196"/>
        </w:tabs>
        <w:jc w:val="center"/>
        <w:rPr>
          <w:lang w:val="ro-RO"/>
        </w:rPr>
      </w:pP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015248"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56297E">
            <w:pPr>
              <w:jc w:val="both"/>
              <w:rPr>
                <w:rFonts w:ascii="Times New Roman" w:hAnsi="Times New Roman"/>
                <w:b/>
                <w:bCs/>
                <w:lang w:val="ro-RO"/>
              </w:rPr>
            </w:pPr>
            <w:r w:rsidRPr="005535FB">
              <w:rPr>
                <w:rFonts w:ascii="Times New Roman" w:hAnsi="Times New Roman"/>
                <w:b/>
                <w:bCs/>
                <w:lang w:val="ro-RO"/>
              </w:rPr>
              <w:t>1.</w:t>
            </w:r>
            <w:r w:rsidR="00032B46" w:rsidRPr="005535FB">
              <w:rPr>
                <w:rFonts w:ascii="Times New Roman" w:hAnsi="Times New Roman"/>
                <w:b/>
                <w:bCs/>
                <w:lang w:val="ro-RO"/>
              </w:rPr>
              <w:t xml:space="preserve"> </w:t>
            </w:r>
            <w:r w:rsidR="006933C3" w:rsidRPr="005535FB">
              <w:rPr>
                <w:rFonts w:ascii="Times New Roman" w:hAnsi="Times New Roman"/>
                <w:b/>
                <w:bCs/>
                <w:lang w:val="ro-RO"/>
              </w:rPr>
              <w:t>Denumirea</w:t>
            </w:r>
            <w:r w:rsidR="00032B46" w:rsidRPr="005535FB">
              <w:rPr>
                <w:rFonts w:ascii="Times New Roman" w:hAnsi="Times New Roman"/>
                <w:b/>
                <w:bCs/>
                <w:lang w:val="ro-RO"/>
              </w:rPr>
              <w:t xml:space="preserve"> </w:t>
            </w:r>
            <w:r w:rsidR="006933C3" w:rsidRPr="005535FB">
              <w:rPr>
                <w:rFonts w:ascii="Times New Roman" w:hAnsi="Times New Roman"/>
                <w:b/>
                <w:bCs/>
                <w:lang w:val="ro-RO"/>
              </w:rPr>
              <w:t>sau</w:t>
            </w:r>
            <w:r w:rsidR="00032B46" w:rsidRPr="005535FB">
              <w:rPr>
                <w:rFonts w:ascii="Times New Roman" w:hAnsi="Times New Roman"/>
                <w:b/>
                <w:bCs/>
                <w:lang w:val="ro-RO"/>
              </w:rPr>
              <w:t xml:space="preserve"> </w:t>
            </w:r>
            <w:r w:rsidR="006933C3" w:rsidRPr="005535FB">
              <w:rPr>
                <w:rFonts w:ascii="Times New Roman" w:hAnsi="Times New Roman"/>
                <w:b/>
                <w:bCs/>
                <w:lang w:val="ro-RO"/>
              </w:rPr>
              <w:t>numele</w:t>
            </w:r>
            <w:r w:rsidR="00032B46" w:rsidRPr="005535FB">
              <w:rPr>
                <w:rFonts w:ascii="Times New Roman" w:hAnsi="Times New Roman"/>
                <w:b/>
                <w:bCs/>
                <w:lang w:val="ro-RO"/>
              </w:rPr>
              <w:t xml:space="preserve"> </w:t>
            </w:r>
            <w:r w:rsidR="006933C3" w:rsidRPr="005535FB">
              <w:rPr>
                <w:rFonts w:ascii="Times New Roman" w:hAnsi="Times New Roman"/>
                <w:b/>
                <w:bCs/>
                <w:lang w:val="ro-RO"/>
              </w:rPr>
              <w:t>autorului</w:t>
            </w:r>
            <w:r w:rsidR="00032B46" w:rsidRPr="005535FB">
              <w:rPr>
                <w:rFonts w:ascii="Times New Roman" w:hAnsi="Times New Roman"/>
                <w:b/>
                <w:bCs/>
                <w:lang w:val="ro-RO"/>
              </w:rPr>
              <w:t xml:space="preserve"> </w:t>
            </w:r>
            <w:r w:rsidR="00863417" w:rsidRPr="005535FB">
              <w:rPr>
                <w:rFonts w:ascii="Times New Roman" w:hAnsi="Times New Roman"/>
                <w:b/>
                <w:bCs/>
                <w:lang w:val="ro-RO"/>
              </w:rPr>
              <w:t>ș</w:t>
            </w:r>
            <w:r w:rsidR="006933C3" w:rsidRPr="005535FB">
              <w:rPr>
                <w:rFonts w:ascii="Times New Roman" w:hAnsi="Times New Roman"/>
                <w:b/>
                <w:bCs/>
                <w:lang w:val="ro-RO"/>
              </w:rPr>
              <w:t>i,</w:t>
            </w:r>
            <w:r w:rsidR="00032B46" w:rsidRPr="005535FB">
              <w:rPr>
                <w:rFonts w:ascii="Times New Roman" w:hAnsi="Times New Roman"/>
                <w:b/>
                <w:bCs/>
                <w:lang w:val="ro-RO"/>
              </w:rPr>
              <w:t xml:space="preserve"> </w:t>
            </w:r>
            <w:r w:rsidR="006933C3" w:rsidRPr="005535FB">
              <w:rPr>
                <w:rFonts w:ascii="Times New Roman" w:hAnsi="Times New Roman"/>
                <w:b/>
                <w:bCs/>
                <w:lang w:val="ro-RO"/>
              </w:rPr>
              <w:t>după</w:t>
            </w:r>
            <w:r w:rsidR="00032B46" w:rsidRPr="005535FB">
              <w:rPr>
                <w:rFonts w:ascii="Times New Roman" w:hAnsi="Times New Roman"/>
                <w:b/>
                <w:bCs/>
                <w:lang w:val="ro-RO"/>
              </w:rPr>
              <w:t xml:space="preserve"> </w:t>
            </w:r>
            <w:r w:rsidR="006933C3" w:rsidRPr="005535FB">
              <w:rPr>
                <w:rFonts w:ascii="Times New Roman" w:hAnsi="Times New Roman"/>
                <w:b/>
                <w:bCs/>
                <w:lang w:val="ro-RO"/>
              </w:rPr>
              <w:t>caz,</w:t>
            </w:r>
            <w:r w:rsidR="00032B46" w:rsidRPr="005535FB">
              <w:rPr>
                <w:rFonts w:ascii="Times New Roman" w:hAnsi="Times New Roman"/>
                <w:b/>
                <w:bCs/>
                <w:lang w:val="ro-RO"/>
              </w:rPr>
              <w:t xml:space="preserve"> </w:t>
            </w:r>
            <w:r w:rsidR="006933C3" w:rsidRPr="005535FB">
              <w:rPr>
                <w:rFonts w:ascii="Times New Roman" w:hAnsi="Times New Roman"/>
                <w:b/>
                <w:bCs/>
                <w:lang w:val="ro-RO"/>
              </w:rPr>
              <w:t>a</w:t>
            </w:r>
            <w:r w:rsidR="00E94FA8" w:rsidRPr="005535FB">
              <w:rPr>
                <w:rFonts w:ascii="Times New Roman" w:hAnsi="Times New Roman"/>
                <w:b/>
                <w:bCs/>
                <w:lang w:val="ro-RO"/>
              </w:rPr>
              <w:t>/al</w:t>
            </w:r>
            <w:r w:rsidR="00032B46" w:rsidRPr="005535FB">
              <w:rPr>
                <w:rFonts w:ascii="Times New Roman" w:hAnsi="Times New Roman"/>
                <w:b/>
                <w:bCs/>
                <w:lang w:val="ro-RO"/>
              </w:rPr>
              <w:t xml:space="preserve"> </w:t>
            </w:r>
            <w:r w:rsidR="006933C3" w:rsidRPr="005535FB">
              <w:rPr>
                <w:rFonts w:ascii="Times New Roman" w:hAnsi="Times New Roman"/>
                <w:b/>
                <w:bCs/>
                <w:lang w:val="ro-RO"/>
              </w:rPr>
              <w:t>participan</w:t>
            </w:r>
            <w:r w:rsidR="00863417" w:rsidRPr="005535FB">
              <w:rPr>
                <w:rFonts w:ascii="Times New Roman" w:hAnsi="Times New Roman"/>
                <w:b/>
                <w:bCs/>
                <w:lang w:val="ro-RO"/>
              </w:rPr>
              <w:t>ț</w:t>
            </w:r>
            <w:r w:rsidR="006933C3" w:rsidRPr="005535FB">
              <w:rPr>
                <w:rFonts w:ascii="Times New Roman" w:hAnsi="Times New Roman"/>
                <w:b/>
                <w:bCs/>
                <w:lang w:val="ro-RO"/>
              </w:rPr>
              <w:t>ilor</w:t>
            </w:r>
            <w:r w:rsidR="00032B46" w:rsidRPr="005535FB">
              <w:rPr>
                <w:rFonts w:ascii="Times New Roman" w:hAnsi="Times New Roman"/>
                <w:b/>
                <w:bCs/>
                <w:lang w:val="ro-RO"/>
              </w:rPr>
              <w:t xml:space="preserve"> </w:t>
            </w:r>
            <w:r w:rsidR="006933C3" w:rsidRPr="005535FB">
              <w:rPr>
                <w:rFonts w:ascii="Times New Roman" w:hAnsi="Times New Roman"/>
                <w:b/>
                <w:bCs/>
                <w:lang w:val="ro-RO"/>
              </w:rPr>
              <w:t>la</w:t>
            </w:r>
            <w:r w:rsidR="00032B46" w:rsidRPr="005535FB">
              <w:rPr>
                <w:rFonts w:ascii="Times New Roman" w:hAnsi="Times New Roman"/>
                <w:b/>
                <w:bCs/>
                <w:lang w:val="ro-RO"/>
              </w:rPr>
              <w:t xml:space="preserve"> </w:t>
            </w:r>
            <w:r w:rsidR="006933C3" w:rsidRPr="005535FB">
              <w:rPr>
                <w:rFonts w:ascii="Times New Roman" w:hAnsi="Times New Roman"/>
                <w:b/>
                <w:bCs/>
                <w:lang w:val="ro-RO"/>
              </w:rPr>
              <w:t>elaborarea</w:t>
            </w:r>
            <w:r w:rsidR="00032B46" w:rsidRPr="005535FB">
              <w:rPr>
                <w:rFonts w:ascii="Times New Roman" w:hAnsi="Times New Roman"/>
                <w:b/>
                <w:bCs/>
                <w:lang w:val="ro-RO"/>
              </w:rPr>
              <w:t xml:space="preserve"> </w:t>
            </w:r>
            <w:r w:rsidR="006933C3" w:rsidRPr="005535FB">
              <w:rPr>
                <w:rFonts w:ascii="Times New Roman" w:hAnsi="Times New Roman"/>
                <w:b/>
                <w:bCs/>
                <w:lang w:val="ro-RO"/>
              </w:rPr>
              <w:t>proiectului</w:t>
            </w:r>
            <w:r w:rsidR="00032B46" w:rsidRPr="005535FB">
              <w:rPr>
                <w:rFonts w:ascii="Times New Roman" w:hAnsi="Times New Roman"/>
                <w:b/>
                <w:bCs/>
                <w:lang w:val="ro-RO"/>
              </w:rPr>
              <w:t xml:space="preserve"> </w:t>
            </w:r>
            <w:r w:rsidR="006933C3" w:rsidRPr="005535FB">
              <w:rPr>
                <w:rFonts w:ascii="Times New Roman" w:hAnsi="Times New Roman"/>
                <w:b/>
                <w:bCs/>
                <w:lang w:val="ro-RO"/>
              </w:rPr>
              <w:t>actului</w:t>
            </w:r>
            <w:r w:rsidR="00032B46" w:rsidRPr="005535FB">
              <w:rPr>
                <w:rFonts w:ascii="Times New Roman" w:hAnsi="Times New Roman"/>
                <w:b/>
                <w:bCs/>
                <w:lang w:val="ro-RO"/>
              </w:rPr>
              <w:t xml:space="preserve"> </w:t>
            </w:r>
            <w:r w:rsidR="006933C3" w:rsidRPr="005535FB">
              <w:rPr>
                <w:rFonts w:ascii="Times New Roman" w:hAnsi="Times New Roman"/>
                <w:b/>
                <w:bCs/>
                <w:lang w:val="ro-RO"/>
              </w:rPr>
              <w:t>normativ</w:t>
            </w:r>
          </w:p>
        </w:tc>
      </w:tr>
      <w:tr w:rsidR="006D3EB7" w:rsidRPr="00015248"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030D477" w:rsidR="008B4BE6" w:rsidRPr="00854347" w:rsidRDefault="00854347" w:rsidP="0052128B">
            <w:pPr>
              <w:jc w:val="both"/>
              <w:rPr>
                <w:rFonts w:ascii="Times New Roman" w:hAnsi="Times New Roman"/>
                <w:lang w:val="ro-RO"/>
              </w:rPr>
            </w:pPr>
            <w:r w:rsidRPr="00854347">
              <w:rPr>
                <w:rFonts w:ascii="Times New Roman" w:hAnsi="Times New Roman"/>
                <w:lang w:val="fr-FR"/>
              </w:rPr>
              <w:t>P</w:t>
            </w:r>
            <w:r w:rsidRPr="00854347">
              <w:rPr>
                <w:rFonts w:ascii="Times New Roman" w:hAnsi="Times New Roman"/>
                <w:lang w:val="ro-RO"/>
              </w:rPr>
              <w:t>roiectul de ordin al Agenției Naționale pentru Siguranța Alimentelor</w:t>
            </w:r>
            <w:r w:rsidRPr="00854347">
              <w:rPr>
                <w:rFonts w:ascii="Times New Roman" w:hAnsi="Times New Roman"/>
                <w:b/>
                <w:bCs/>
                <w:lang w:val="ro-RO"/>
              </w:rPr>
              <w:t> </w:t>
            </w:r>
            <w:r w:rsidRPr="00854347">
              <w:rPr>
                <w:rFonts w:ascii="Times New Roman" w:hAnsi="Times New Roman"/>
                <w:lang w:val="ro-RO"/>
              </w:rPr>
              <w:t>cu privire la elaborarea Regulamentului privind cazurile și condițiile în care Agenția Națională pentru Siguranța Alimentelor poate desemna drept laboratoare oficiale</w:t>
            </w:r>
            <w:r w:rsidR="00AB0923">
              <w:rPr>
                <w:rFonts w:ascii="Times New Roman" w:hAnsi="Times New Roman"/>
                <w:lang w:val="ro-RO"/>
              </w:rPr>
              <w:t>,</w:t>
            </w:r>
            <w:r w:rsidRPr="00854347">
              <w:rPr>
                <w:rFonts w:ascii="Times New Roman" w:hAnsi="Times New Roman"/>
                <w:lang w:val="ro-RO"/>
              </w:rPr>
              <w:t xml:space="preserve"> laboratoarele care nu îndeplinesc condițiile privind toate metodele pe care acestea le utilizează pentru controalele oficiale sau alte activități oficiale. </w:t>
            </w:r>
          </w:p>
        </w:tc>
      </w:tr>
      <w:tr w:rsidR="006D3EB7" w:rsidRPr="00015248"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lang w:val="ro-RO"/>
              </w:rPr>
            </w:pPr>
            <w:r w:rsidRPr="005535FB">
              <w:rPr>
                <w:rFonts w:ascii="Times New Roman" w:hAnsi="Times New Roman"/>
                <w:b/>
                <w:bCs/>
                <w:lang w:val="ro-RO"/>
              </w:rPr>
              <w:t>2.</w:t>
            </w:r>
            <w:r w:rsidR="00032B46" w:rsidRPr="005535FB">
              <w:rPr>
                <w:rFonts w:ascii="Times New Roman" w:hAnsi="Times New Roman"/>
                <w:b/>
                <w:bCs/>
                <w:lang w:val="ro-RO"/>
              </w:rPr>
              <w:t xml:space="preserve"> </w:t>
            </w:r>
            <w:r w:rsidRPr="005535FB">
              <w:rPr>
                <w:rFonts w:ascii="Times New Roman" w:hAnsi="Times New Roman"/>
                <w:b/>
                <w:bCs/>
                <w:lang w:val="ro-RO"/>
              </w:rPr>
              <w:t>Condi</w:t>
            </w:r>
            <w:r w:rsidR="00863417" w:rsidRPr="005535FB">
              <w:rPr>
                <w:rFonts w:ascii="Times New Roman" w:hAnsi="Times New Roman"/>
                <w:b/>
                <w:bCs/>
                <w:lang w:val="ro-RO"/>
              </w:rPr>
              <w:t>ț</w:t>
            </w:r>
            <w:r w:rsidRPr="005535FB">
              <w:rPr>
                <w:rFonts w:ascii="Times New Roman" w:hAnsi="Times New Roman"/>
                <w:b/>
                <w:bCs/>
                <w:lang w:val="ro-RO"/>
              </w:rPr>
              <w:t>iile</w:t>
            </w:r>
            <w:r w:rsidR="00032B46" w:rsidRPr="005535FB">
              <w:rPr>
                <w:rFonts w:ascii="Times New Roman" w:hAnsi="Times New Roman"/>
                <w:b/>
                <w:bCs/>
                <w:lang w:val="ro-RO"/>
              </w:rPr>
              <w:t xml:space="preserve"> </w:t>
            </w:r>
            <w:r w:rsidRPr="005535FB">
              <w:rPr>
                <w:rFonts w:ascii="Times New Roman" w:hAnsi="Times New Roman"/>
                <w:b/>
                <w:bCs/>
                <w:lang w:val="ro-RO"/>
              </w:rPr>
              <w:t>ce</w:t>
            </w:r>
            <w:r w:rsidR="00032B46" w:rsidRPr="005535FB">
              <w:rPr>
                <w:rFonts w:ascii="Times New Roman" w:hAnsi="Times New Roman"/>
                <w:b/>
                <w:bCs/>
                <w:lang w:val="ro-RO"/>
              </w:rPr>
              <w:t xml:space="preserve"> </w:t>
            </w:r>
            <w:r w:rsidRPr="005535FB">
              <w:rPr>
                <w:rFonts w:ascii="Times New Roman" w:hAnsi="Times New Roman"/>
                <w:b/>
                <w:bCs/>
                <w:lang w:val="ro-RO"/>
              </w:rPr>
              <w:t>au</w:t>
            </w:r>
            <w:r w:rsidR="00032B46" w:rsidRPr="005535FB">
              <w:rPr>
                <w:rFonts w:ascii="Times New Roman" w:hAnsi="Times New Roman"/>
                <w:b/>
                <w:bCs/>
                <w:lang w:val="ro-RO"/>
              </w:rPr>
              <w:t xml:space="preserve"> </w:t>
            </w:r>
            <w:r w:rsidRPr="005535FB">
              <w:rPr>
                <w:rFonts w:ascii="Times New Roman" w:hAnsi="Times New Roman"/>
                <w:b/>
                <w:bCs/>
                <w:lang w:val="ro-RO"/>
              </w:rPr>
              <w:t>impus</w:t>
            </w:r>
            <w:r w:rsidR="00032B46" w:rsidRPr="005535FB">
              <w:rPr>
                <w:rFonts w:ascii="Times New Roman" w:hAnsi="Times New Roman"/>
                <w:b/>
                <w:bCs/>
                <w:lang w:val="ro-RO"/>
              </w:rPr>
              <w:t xml:space="preserve"> </w:t>
            </w:r>
            <w:r w:rsidRPr="005535FB">
              <w:rPr>
                <w:rFonts w:ascii="Times New Roman" w:hAnsi="Times New Roman"/>
                <w:b/>
                <w:bCs/>
                <w:lang w:val="ro-RO"/>
              </w:rPr>
              <w:t>elaborarea</w:t>
            </w:r>
            <w:r w:rsidR="00032B46" w:rsidRPr="005535FB">
              <w:rPr>
                <w:rFonts w:ascii="Times New Roman" w:hAnsi="Times New Roman"/>
                <w:b/>
                <w:bCs/>
                <w:lang w:val="ro-RO"/>
              </w:rPr>
              <w:t xml:space="preserve"> </w:t>
            </w:r>
            <w:r w:rsidRPr="005535FB">
              <w:rPr>
                <w:rFonts w:ascii="Times New Roman" w:hAnsi="Times New Roman"/>
                <w:b/>
                <w:bCs/>
                <w:lang w:val="ro-RO"/>
              </w:rPr>
              <w:t>proiectului</w:t>
            </w:r>
            <w:r w:rsidR="00032B46" w:rsidRPr="005535FB">
              <w:rPr>
                <w:rFonts w:ascii="Times New Roman" w:hAnsi="Times New Roman"/>
                <w:b/>
                <w:bCs/>
                <w:lang w:val="ro-RO"/>
              </w:rPr>
              <w:t xml:space="preserve"> </w:t>
            </w:r>
            <w:r w:rsidRPr="005535FB">
              <w:rPr>
                <w:rFonts w:ascii="Times New Roman" w:hAnsi="Times New Roman"/>
                <w:b/>
                <w:bCs/>
                <w:lang w:val="ro-RO"/>
              </w:rPr>
              <w:t>actului</w:t>
            </w:r>
            <w:r w:rsidR="00032B46" w:rsidRPr="005535FB">
              <w:rPr>
                <w:rFonts w:ascii="Times New Roman" w:hAnsi="Times New Roman"/>
                <w:b/>
                <w:bCs/>
                <w:lang w:val="ro-RO"/>
              </w:rPr>
              <w:t xml:space="preserve"> </w:t>
            </w:r>
            <w:r w:rsidRPr="005535FB">
              <w:rPr>
                <w:rFonts w:ascii="Times New Roman" w:hAnsi="Times New Roman"/>
                <w:b/>
                <w:bCs/>
                <w:lang w:val="ro-RO"/>
              </w:rPr>
              <w:t>normativ</w:t>
            </w:r>
          </w:p>
        </w:tc>
      </w:tr>
      <w:tr w:rsidR="006D3EB7" w:rsidRPr="00015248" w14:paraId="4F79667C" w14:textId="77777777" w:rsidTr="00A951FA">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E2152FC" w14:textId="16688074" w:rsidR="008B4BE6" w:rsidRPr="005535FB" w:rsidRDefault="006933C3" w:rsidP="00452C6C">
            <w:pPr>
              <w:rPr>
                <w:rFonts w:ascii="Times New Roman" w:hAnsi="Times New Roman"/>
                <w:lang w:val="ro-RO"/>
              </w:rPr>
            </w:pPr>
            <w:r w:rsidRPr="005535FB">
              <w:rPr>
                <w:rFonts w:ascii="Times New Roman" w:hAnsi="Times New Roman"/>
                <w:lang w:val="ro-RO"/>
              </w:rPr>
              <w:t>2.1.</w:t>
            </w:r>
            <w:r w:rsidR="00032B46" w:rsidRPr="005535FB">
              <w:rPr>
                <w:rFonts w:ascii="Times New Roman" w:hAnsi="Times New Roman"/>
                <w:lang w:val="ro-RO"/>
              </w:rPr>
              <w:t xml:space="preserve"> </w:t>
            </w:r>
            <w:r w:rsidRPr="005535FB">
              <w:rPr>
                <w:rFonts w:ascii="Times New Roman" w:hAnsi="Times New Roman"/>
                <w:lang w:val="ro-RO"/>
              </w:rPr>
              <w:t>Temeiul</w:t>
            </w:r>
            <w:r w:rsidR="00032B46" w:rsidRPr="005535FB">
              <w:rPr>
                <w:rFonts w:ascii="Times New Roman" w:hAnsi="Times New Roman"/>
                <w:lang w:val="ro-RO"/>
              </w:rPr>
              <w:t xml:space="preserve"> </w:t>
            </w:r>
            <w:r w:rsidRPr="005535FB">
              <w:rPr>
                <w:rFonts w:ascii="Times New Roman" w:hAnsi="Times New Roman"/>
                <w:lang w:val="ro-RO"/>
              </w:rPr>
              <w:t>legal</w:t>
            </w:r>
            <w:r w:rsidR="00825DC9" w:rsidRPr="005535FB">
              <w:rPr>
                <w:rFonts w:ascii="Times New Roman" w:hAnsi="Times New Roman"/>
                <w:lang w:val="ro-RO"/>
              </w:rPr>
              <w:t xml:space="preserve"> sau</w:t>
            </w:r>
            <w:r w:rsidRPr="005535FB">
              <w:rPr>
                <w:rFonts w:ascii="Times New Roman" w:hAnsi="Times New Roman"/>
                <w:lang w:val="ro-RO"/>
              </w:rPr>
              <w:t>,</w:t>
            </w:r>
            <w:r w:rsidR="00032B46" w:rsidRPr="005535FB">
              <w:rPr>
                <w:rFonts w:ascii="Times New Roman" w:hAnsi="Times New Roman"/>
                <w:lang w:val="ro-RO"/>
              </w:rPr>
              <w:t xml:space="preserve"> </w:t>
            </w:r>
            <w:r w:rsidRPr="005535FB">
              <w:rPr>
                <w:rFonts w:ascii="Times New Roman" w:hAnsi="Times New Roman"/>
                <w:lang w:val="ro-RO"/>
              </w:rPr>
              <w:t>după</w:t>
            </w:r>
            <w:r w:rsidR="00032B46" w:rsidRPr="005535FB">
              <w:rPr>
                <w:rFonts w:ascii="Times New Roman" w:hAnsi="Times New Roman"/>
                <w:lang w:val="ro-RO"/>
              </w:rPr>
              <w:t xml:space="preserve"> </w:t>
            </w:r>
            <w:r w:rsidRPr="005535FB">
              <w:rPr>
                <w:rFonts w:ascii="Times New Roman" w:hAnsi="Times New Roman"/>
                <w:lang w:val="ro-RO"/>
              </w:rPr>
              <w:t>caz</w:t>
            </w:r>
            <w:r w:rsidR="00825DC9" w:rsidRPr="005535FB">
              <w:rPr>
                <w:rFonts w:ascii="Times New Roman" w:hAnsi="Times New Roman"/>
                <w:lang w:val="ro-RO"/>
              </w:rPr>
              <w:t>,</w:t>
            </w:r>
            <w:r w:rsidR="00032B46" w:rsidRPr="005535FB">
              <w:rPr>
                <w:rFonts w:ascii="Times New Roman" w:hAnsi="Times New Roman"/>
                <w:lang w:val="ro-RO"/>
              </w:rPr>
              <w:t xml:space="preserve"> </w:t>
            </w:r>
            <w:r w:rsidRPr="005535FB">
              <w:rPr>
                <w:rFonts w:ascii="Times New Roman" w:hAnsi="Times New Roman"/>
                <w:lang w:val="ro-RO"/>
              </w:rPr>
              <w:t>sursa</w:t>
            </w:r>
            <w:r w:rsidR="00032B46" w:rsidRPr="005535FB">
              <w:rPr>
                <w:rFonts w:ascii="Times New Roman" w:hAnsi="Times New Roman"/>
                <w:lang w:val="ro-RO"/>
              </w:rPr>
              <w:t xml:space="preserve"> </w:t>
            </w:r>
            <w:r w:rsidRPr="005535FB">
              <w:rPr>
                <w:rFonts w:ascii="Times New Roman" w:hAnsi="Times New Roman"/>
                <w:lang w:val="ro-RO"/>
              </w:rPr>
              <w:t>proiectului</w:t>
            </w:r>
            <w:r w:rsidR="00032B46" w:rsidRPr="005535FB">
              <w:rPr>
                <w:rFonts w:ascii="Times New Roman" w:hAnsi="Times New Roman"/>
                <w:lang w:val="ro-RO"/>
              </w:rPr>
              <w:t xml:space="preserve"> </w:t>
            </w:r>
            <w:r w:rsidRPr="005535FB">
              <w:rPr>
                <w:rFonts w:ascii="Times New Roman" w:hAnsi="Times New Roman"/>
                <w:lang w:val="ro-RO"/>
              </w:rPr>
              <w:t>actului</w:t>
            </w:r>
            <w:r w:rsidR="00032B46" w:rsidRPr="005535FB">
              <w:rPr>
                <w:rFonts w:ascii="Times New Roman" w:hAnsi="Times New Roman"/>
                <w:lang w:val="ro-RO"/>
              </w:rPr>
              <w:t xml:space="preserve"> </w:t>
            </w:r>
            <w:r w:rsidRPr="005535FB">
              <w:rPr>
                <w:rFonts w:ascii="Times New Roman" w:hAnsi="Times New Roman"/>
                <w:lang w:val="ro-RO"/>
              </w:rPr>
              <w:t>normativ</w:t>
            </w:r>
          </w:p>
        </w:tc>
      </w:tr>
      <w:tr w:rsidR="00854347" w:rsidRPr="00015248" w14:paraId="0DBFE6A2" w14:textId="77777777" w:rsidTr="00A951FA">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D0A37F" w14:textId="7DBF0B3D" w:rsidR="00854347" w:rsidRPr="003321EA" w:rsidRDefault="00854347" w:rsidP="00A951FA">
            <w:pPr>
              <w:jc w:val="both"/>
              <w:rPr>
                <w:rFonts w:ascii="Times New Roman" w:hAnsi="Times New Roman"/>
                <w:lang w:val="ro-RO"/>
              </w:rPr>
            </w:pPr>
            <w:r w:rsidRPr="003321EA">
              <w:rPr>
                <w:rFonts w:ascii="Times New Roman" w:hAnsi="Times New Roman"/>
                <w:lang w:val="ro-RO"/>
              </w:rPr>
              <w:t xml:space="preserve">Proiectul de ordin este elaborat în temeiul </w:t>
            </w:r>
            <w:r w:rsidR="003321EA" w:rsidRPr="00D249B7">
              <w:rPr>
                <w:rFonts w:ascii="Times New Roman" w:hAnsi="Times New Roman"/>
                <w:lang w:val="ro-RO"/>
              </w:rPr>
              <w:t>articolul </w:t>
            </w:r>
            <w:r w:rsidRPr="003321EA">
              <w:rPr>
                <w:rFonts w:ascii="Times New Roman" w:hAnsi="Times New Roman"/>
                <w:lang w:val="ro-RO"/>
              </w:rPr>
              <w:t>18 și</w:t>
            </w:r>
            <w:r w:rsidR="003321EA">
              <w:rPr>
                <w:rFonts w:ascii="Times New Roman" w:hAnsi="Times New Roman"/>
                <w:lang w:val="ro-RO"/>
              </w:rPr>
              <w:t xml:space="preserve"> </w:t>
            </w:r>
            <w:r w:rsidR="003321EA" w:rsidRPr="00D249B7">
              <w:rPr>
                <w:rFonts w:ascii="Times New Roman" w:hAnsi="Times New Roman"/>
                <w:lang w:val="ro-RO"/>
              </w:rPr>
              <w:t>articolul </w:t>
            </w:r>
            <w:r w:rsidR="003321EA" w:rsidRPr="003321EA">
              <w:rPr>
                <w:rFonts w:ascii="Times New Roman" w:hAnsi="Times New Roman"/>
                <w:lang w:val="ro-RO"/>
              </w:rPr>
              <w:t xml:space="preserve"> </w:t>
            </w:r>
            <w:r w:rsidRPr="003321EA">
              <w:rPr>
                <w:rFonts w:ascii="Times New Roman" w:hAnsi="Times New Roman"/>
                <w:lang w:val="ro-RO"/>
              </w:rPr>
              <w:t>35 alin. (1) din Legea nr.82/2024 privind controalele oficiale în domeniul agroalimentar, pct.2</w:t>
            </w:r>
            <w:r w:rsidR="00A951FA" w:rsidRPr="003321EA">
              <w:rPr>
                <w:rFonts w:ascii="Times New Roman" w:hAnsi="Times New Roman"/>
                <w:lang w:val="ro-RO"/>
              </w:rPr>
              <w:t xml:space="preserve"> </w:t>
            </w:r>
            <w:r w:rsidRPr="003321EA">
              <w:rPr>
                <w:rFonts w:ascii="Times New Roman" w:hAnsi="Times New Roman"/>
                <w:lang w:val="ro-RO"/>
              </w:rPr>
              <w:t>din Hotărârea Guvernului nr.306/2025 cu privire la aprobarea Programului național de aderare a Republicii Moldova la Uniunea Europeană pentru anii 2025-2029.</w:t>
            </w:r>
          </w:p>
          <w:p w14:paraId="56481821" w14:textId="77777777" w:rsidR="0052128B" w:rsidRPr="003321EA" w:rsidRDefault="0052128B" w:rsidP="00A951FA">
            <w:pPr>
              <w:jc w:val="both"/>
              <w:rPr>
                <w:rFonts w:ascii="Times New Roman" w:hAnsi="Times New Roman"/>
                <w:lang w:val="ro-RO"/>
              </w:rPr>
            </w:pPr>
          </w:p>
          <w:p w14:paraId="4D301791" w14:textId="4F200D0E" w:rsidR="00854347" w:rsidRPr="003321EA" w:rsidRDefault="00854347" w:rsidP="00D249B7">
            <w:pPr>
              <w:jc w:val="both"/>
              <w:rPr>
                <w:rFonts w:ascii="Times New Roman" w:hAnsi="Times New Roman"/>
                <w:lang w:val="ro-RO"/>
              </w:rPr>
            </w:pPr>
            <w:r w:rsidRPr="00854347">
              <w:rPr>
                <w:rFonts w:ascii="Times New Roman" w:hAnsi="Times New Roman"/>
                <w:lang w:val="ro-RO"/>
              </w:rPr>
              <w:t>Elaborarea proiectului este determinată de necesitatea alinierii cadrului normativ național la</w:t>
            </w:r>
            <w:r w:rsidRPr="003321EA">
              <w:rPr>
                <w:rFonts w:ascii="Times New Roman" w:hAnsi="Times New Roman"/>
                <w:lang w:val="ro-RO"/>
              </w:rPr>
              <w:t xml:space="preserve"> cerințele europene privind cazurile și condițiile în care pot</w:t>
            </w:r>
            <w:r w:rsidR="0052128B" w:rsidRPr="003321EA">
              <w:rPr>
                <w:rFonts w:ascii="Times New Roman" w:hAnsi="Times New Roman"/>
                <w:lang w:val="ro-RO"/>
              </w:rPr>
              <w:t xml:space="preserve"> fi</w:t>
            </w:r>
            <w:r w:rsidRPr="003321EA">
              <w:rPr>
                <w:rFonts w:ascii="Times New Roman" w:hAnsi="Times New Roman"/>
                <w:lang w:val="ro-RO"/>
              </w:rPr>
              <w:t xml:space="preserve"> desemna</w:t>
            </w:r>
            <w:r w:rsidR="0052128B" w:rsidRPr="003321EA">
              <w:rPr>
                <w:rFonts w:ascii="Times New Roman" w:hAnsi="Times New Roman"/>
                <w:lang w:val="ro-RO"/>
              </w:rPr>
              <w:t>te</w:t>
            </w:r>
            <w:r w:rsidRPr="003321EA">
              <w:rPr>
                <w:rFonts w:ascii="Times New Roman" w:hAnsi="Times New Roman"/>
                <w:lang w:val="ro-RO"/>
              </w:rPr>
              <w:t xml:space="preserve"> drept laboratoare oficiale laboratoarele care nu îndeplinesc condițiile privind toate metodele pe care acestea le utilizează pentru controalele oficiale sau alte activități oficiale.</w:t>
            </w:r>
          </w:p>
          <w:p w14:paraId="78990556" w14:textId="77777777" w:rsidR="0052128B" w:rsidRPr="003321EA" w:rsidRDefault="0052128B" w:rsidP="00D249B7">
            <w:pPr>
              <w:jc w:val="both"/>
              <w:rPr>
                <w:rFonts w:ascii="Times New Roman" w:hAnsi="Times New Roman"/>
                <w:lang w:val="ro-RO"/>
              </w:rPr>
            </w:pPr>
          </w:p>
          <w:p w14:paraId="43781D06" w14:textId="77777777" w:rsidR="00D249B7" w:rsidRPr="00D249B7" w:rsidRDefault="00D249B7" w:rsidP="00D249B7">
            <w:pPr>
              <w:jc w:val="both"/>
              <w:rPr>
                <w:rFonts w:ascii="Times New Roman" w:hAnsi="Times New Roman"/>
                <w:vanish/>
                <w:lang w:val="ro-RO"/>
              </w:rPr>
            </w:pPr>
          </w:p>
          <w:tbl>
            <w:tblPr>
              <w:tblW w:w="5000" w:type="pct"/>
              <w:tblCellMar>
                <w:left w:w="0" w:type="dxa"/>
                <w:right w:w="0" w:type="dxa"/>
              </w:tblCellMar>
              <w:tblLook w:val="04A0" w:firstRow="1" w:lastRow="0" w:firstColumn="1" w:lastColumn="0" w:noHBand="0" w:noVBand="1"/>
            </w:tblPr>
            <w:tblGrid>
              <w:gridCol w:w="4559"/>
              <w:gridCol w:w="4560"/>
            </w:tblGrid>
            <w:tr w:rsidR="00D249B7" w:rsidRPr="00015248" w14:paraId="59C2C862" w14:textId="77777777" w:rsidTr="00D249B7">
              <w:tc>
                <w:tcPr>
                  <w:tcW w:w="0" w:type="auto"/>
                  <w:hideMark/>
                </w:tcPr>
                <w:p w14:paraId="71FE377C" w14:textId="63AC7367" w:rsidR="00D249B7" w:rsidRPr="00D249B7" w:rsidRDefault="00D249B7" w:rsidP="00D249B7">
                  <w:pPr>
                    <w:jc w:val="both"/>
                    <w:rPr>
                      <w:rFonts w:eastAsia="Calibri"/>
                      <w:lang w:val="ro-RO" w:eastAsia="en-US"/>
                    </w:rPr>
                  </w:pPr>
                </w:p>
              </w:tc>
              <w:tc>
                <w:tcPr>
                  <w:tcW w:w="0" w:type="auto"/>
                  <w:hideMark/>
                </w:tcPr>
                <w:p w14:paraId="40A374C0" w14:textId="2C8D1871" w:rsidR="00D249B7" w:rsidRPr="00D249B7" w:rsidRDefault="00D249B7" w:rsidP="00D249B7">
                  <w:pPr>
                    <w:jc w:val="both"/>
                    <w:rPr>
                      <w:rFonts w:eastAsia="Calibri"/>
                      <w:lang w:val="ro-RO" w:eastAsia="en-US"/>
                    </w:rPr>
                  </w:pPr>
                </w:p>
              </w:tc>
            </w:tr>
          </w:tbl>
          <w:p w14:paraId="136F57FF" w14:textId="408FF00A" w:rsidR="0052128B" w:rsidRPr="0052128B" w:rsidRDefault="0052128B" w:rsidP="0052128B">
            <w:pPr>
              <w:jc w:val="both"/>
              <w:rPr>
                <w:rFonts w:ascii="Times New Roman" w:hAnsi="Times New Roman"/>
                <w:lang w:val="ro-RO"/>
              </w:rPr>
            </w:pPr>
            <w:r w:rsidRPr="0052128B">
              <w:rPr>
                <w:rFonts w:ascii="Times New Roman" w:hAnsi="Times New Roman"/>
                <w:lang w:val="ro-RO"/>
              </w:rPr>
              <w:t xml:space="preserve">În acest context, proiectul de </w:t>
            </w:r>
            <w:r w:rsidRPr="003321EA">
              <w:rPr>
                <w:rFonts w:ascii="Times New Roman" w:hAnsi="Times New Roman"/>
                <w:lang w:val="ro-RO"/>
              </w:rPr>
              <w:t>ordin</w:t>
            </w:r>
            <w:r w:rsidRPr="0052128B">
              <w:rPr>
                <w:rFonts w:ascii="Times New Roman" w:hAnsi="Times New Roman"/>
                <w:lang w:val="ro-RO"/>
              </w:rPr>
              <w:t xml:space="preserve"> are drept scop transpunerea prevederilor </w:t>
            </w:r>
            <w:r w:rsidRPr="003321EA">
              <w:rPr>
                <w:rFonts w:ascii="Times New Roman" w:hAnsi="Times New Roman"/>
                <w:lang w:val="ro-RO"/>
              </w:rPr>
              <w:t>Regulamentului delegat (UE) 2021/1353 al Comisiei din 17 mai 2021 de completare a Regulamentului (UE) 2017/625 al Parlamentului European și al Consiliului în ceea ce privește cazurile și condițiile în care autoritățile competente pot desemna drept laboratoare oficiale laboratoarele care nu îndeplinesc condițiile privind toate metodele pe care acestea le utilizează pentru controalele oficiale sau alte activități oficiale</w:t>
            </w:r>
            <w:r w:rsidR="003321EA" w:rsidRPr="003321EA">
              <w:rPr>
                <w:rFonts w:ascii="Times New Roman" w:hAnsi="Times New Roman"/>
                <w:lang w:val="ro-RO"/>
              </w:rPr>
              <w:t>.</w:t>
            </w:r>
          </w:p>
          <w:p w14:paraId="42FB21D0" w14:textId="77777777" w:rsidR="0052128B" w:rsidRPr="0052128B" w:rsidRDefault="0052128B" w:rsidP="0052128B">
            <w:pPr>
              <w:jc w:val="both"/>
              <w:rPr>
                <w:rFonts w:ascii="Times New Roman" w:hAnsi="Times New Roman"/>
                <w:lang w:val="ro-RO"/>
              </w:rPr>
            </w:pPr>
          </w:p>
          <w:p w14:paraId="3C8E6363" w14:textId="0D7FC490" w:rsidR="0052128B" w:rsidRPr="003321EA" w:rsidRDefault="0052128B" w:rsidP="0052128B">
            <w:pPr>
              <w:jc w:val="both"/>
              <w:rPr>
                <w:rFonts w:ascii="Times New Roman" w:hAnsi="Times New Roman"/>
                <w:lang w:val="ro-RO"/>
              </w:rPr>
            </w:pPr>
            <w:r w:rsidRPr="003321EA">
              <w:rPr>
                <w:rFonts w:ascii="Times New Roman" w:hAnsi="Times New Roman"/>
                <w:lang w:val="ro-RO"/>
              </w:rPr>
              <w:t xml:space="preserve">Proiectul de ordin urmărește aprobarea </w:t>
            </w:r>
            <w:r w:rsidRPr="00D249B7">
              <w:rPr>
                <w:rFonts w:ascii="Times New Roman" w:hAnsi="Times New Roman"/>
                <w:lang w:val="ro-RO"/>
              </w:rPr>
              <w:t>cazuril</w:t>
            </w:r>
            <w:r w:rsidRPr="003321EA">
              <w:rPr>
                <w:rFonts w:ascii="Times New Roman" w:hAnsi="Times New Roman"/>
                <w:lang w:val="ro-RO"/>
              </w:rPr>
              <w:t>or</w:t>
            </w:r>
            <w:r w:rsidRPr="00D249B7">
              <w:rPr>
                <w:rFonts w:ascii="Times New Roman" w:hAnsi="Times New Roman"/>
                <w:lang w:val="ro-RO"/>
              </w:rPr>
              <w:t xml:space="preserve"> și </w:t>
            </w:r>
            <w:r w:rsidRPr="003321EA">
              <w:rPr>
                <w:rFonts w:ascii="Times New Roman" w:hAnsi="Times New Roman"/>
                <w:lang w:val="ro-RO"/>
              </w:rPr>
              <w:t xml:space="preserve">a </w:t>
            </w:r>
            <w:r w:rsidRPr="00D249B7">
              <w:rPr>
                <w:rFonts w:ascii="Times New Roman" w:hAnsi="Times New Roman"/>
                <w:lang w:val="ro-RO"/>
              </w:rPr>
              <w:t>condițiil</w:t>
            </w:r>
            <w:r w:rsidRPr="003321EA">
              <w:rPr>
                <w:rFonts w:ascii="Times New Roman" w:hAnsi="Times New Roman"/>
                <w:lang w:val="ro-RO"/>
              </w:rPr>
              <w:t>or</w:t>
            </w:r>
            <w:r w:rsidRPr="00D249B7">
              <w:rPr>
                <w:rFonts w:ascii="Times New Roman" w:hAnsi="Times New Roman"/>
                <w:lang w:val="ro-RO"/>
              </w:rPr>
              <w:t xml:space="preserve"> în care </w:t>
            </w:r>
            <w:r w:rsidR="003321EA" w:rsidRPr="003321EA">
              <w:rPr>
                <w:rFonts w:ascii="Times New Roman" w:hAnsi="Times New Roman"/>
                <w:lang w:val="ro-RO"/>
              </w:rPr>
              <w:t xml:space="preserve">se </w:t>
            </w:r>
            <w:r w:rsidRPr="00D249B7">
              <w:rPr>
                <w:rFonts w:ascii="Times New Roman" w:hAnsi="Times New Roman"/>
                <w:lang w:val="ro-RO"/>
              </w:rPr>
              <w:t xml:space="preserve">pot desemna drept laboratoare oficiale laboratoarele care nu îndeplinesc condițiile </w:t>
            </w:r>
            <w:r w:rsidRPr="003321EA">
              <w:rPr>
                <w:rFonts w:ascii="Times New Roman" w:hAnsi="Times New Roman"/>
                <w:lang w:val="ro-RO"/>
              </w:rPr>
              <w:t>menționate</w:t>
            </w:r>
            <w:r w:rsidRPr="00D249B7">
              <w:rPr>
                <w:rFonts w:ascii="Times New Roman" w:hAnsi="Times New Roman"/>
                <w:lang w:val="ro-RO"/>
              </w:rPr>
              <w:t xml:space="preserve"> la articolul </w:t>
            </w:r>
            <w:r w:rsidRPr="003321EA">
              <w:rPr>
                <w:rFonts w:ascii="Times New Roman" w:hAnsi="Times New Roman"/>
                <w:lang w:val="ro-RO"/>
              </w:rPr>
              <w:t>35</w:t>
            </w:r>
            <w:r w:rsidRPr="00D249B7">
              <w:rPr>
                <w:rFonts w:ascii="Times New Roman" w:hAnsi="Times New Roman"/>
                <w:lang w:val="ro-RO"/>
              </w:rPr>
              <w:t xml:space="preserve"> alineatul (4) litera (e) din </w:t>
            </w:r>
            <w:r w:rsidRPr="003321EA">
              <w:rPr>
                <w:rFonts w:ascii="Times New Roman" w:hAnsi="Times New Roman"/>
                <w:lang w:val="ro-RO"/>
              </w:rPr>
              <w:t>Legea</w:t>
            </w:r>
            <w:r w:rsidRPr="00D249B7">
              <w:rPr>
                <w:rFonts w:ascii="Times New Roman" w:hAnsi="Times New Roman"/>
                <w:lang w:val="ro-RO"/>
              </w:rPr>
              <w:t xml:space="preserve"> </w:t>
            </w:r>
            <w:r w:rsidRPr="003321EA">
              <w:rPr>
                <w:rFonts w:ascii="Times New Roman" w:hAnsi="Times New Roman"/>
                <w:lang w:val="ro-RO"/>
              </w:rPr>
              <w:t>nr.82/2024</w:t>
            </w:r>
            <w:r w:rsidR="0056297E" w:rsidRPr="003321EA">
              <w:rPr>
                <w:rFonts w:ascii="Times New Roman" w:hAnsi="Times New Roman"/>
                <w:lang w:val="ro-RO"/>
              </w:rPr>
              <w:t xml:space="preserve"> privind controalele oficiale în domeniul agroalimentar</w:t>
            </w:r>
            <w:r w:rsidRPr="003321EA">
              <w:rPr>
                <w:rFonts w:ascii="Times New Roman" w:hAnsi="Times New Roman"/>
                <w:lang w:val="ro-RO"/>
              </w:rPr>
              <w:t>,</w:t>
            </w:r>
            <w:r w:rsidRPr="00D249B7">
              <w:rPr>
                <w:rFonts w:ascii="Times New Roman" w:hAnsi="Times New Roman"/>
                <w:lang w:val="ro-RO"/>
              </w:rPr>
              <w:t xml:space="preserve"> privind toate metodele pe care acestea le utilizează pentru controalele oficiale și alte activități oficiale</w:t>
            </w:r>
            <w:r w:rsidR="003321EA" w:rsidRPr="003321EA">
              <w:rPr>
                <w:rFonts w:ascii="Times New Roman" w:hAnsi="Times New Roman"/>
                <w:lang w:val="ro-RO"/>
              </w:rPr>
              <w:t xml:space="preserve"> în domeniul sănătății plantelor, al materialelor care intră în contact cu produsele alimentare, al aditivilor alimentari, al enzimelor alimentare, al aromelor și al aditivilor furajeri</w:t>
            </w:r>
            <w:r w:rsidRPr="00D249B7">
              <w:rPr>
                <w:rFonts w:ascii="Times New Roman" w:hAnsi="Times New Roman"/>
                <w:lang w:val="ro-RO"/>
              </w:rPr>
              <w:t>.</w:t>
            </w:r>
          </w:p>
          <w:p w14:paraId="5168A1C3" w14:textId="77777777" w:rsidR="003321EA" w:rsidRDefault="003321EA" w:rsidP="0052128B">
            <w:pPr>
              <w:jc w:val="both"/>
              <w:rPr>
                <w:rFonts w:ascii="Times New Roman" w:hAnsi="Times New Roman"/>
                <w:lang w:val="ro-RO"/>
              </w:rPr>
            </w:pPr>
          </w:p>
          <w:p w14:paraId="71EFD611" w14:textId="027158CF" w:rsidR="0052128B" w:rsidRPr="0052128B" w:rsidRDefault="003321EA" w:rsidP="0052128B">
            <w:pPr>
              <w:jc w:val="both"/>
              <w:rPr>
                <w:rFonts w:ascii="Times New Roman" w:hAnsi="Times New Roman"/>
                <w:lang w:val="ro-RO"/>
              </w:rPr>
            </w:pPr>
            <w:r w:rsidRPr="003321EA">
              <w:rPr>
                <w:rFonts w:ascii="Times New Roman" w:hAnsi="Times New Roman"/>
                <w:lang w:val="ro-RO"/>
              </w:rPr>
              <w:t xml:space="preserve">Lipsa condițiilor și a cerințelor de desemnare pentru laboratoarele oficiale </w:t>
            </w:r>
            <w:r w:rsidRPr="00D249B7">
              <w:rPr>
                <w:rFonts w:ascii="Times New Roman" w:hAnsi="Times New Roman"/>
                <w:lang w:val="ro-RO"/>
              </w:rPr>
              <w:t>care nu îndeplinesc condițiile</w:t>
            </w:r>
            <w:r w:rsidRPr="003321EA">
              <w:rPr>
                <w:rFonts w:ascii="Times New Roman" w:hAnsi="Times New Roman"/>
                <w:lang w:val="ro-RO"/>
              </w:rPr>
              <w:t xml:space="preserve"> de desemnare conform prevederilor</w:t>
            </w:r>
            <w:r w:rsidRPr="00D249B7">
              <w:rPr>
                <w:rFonts w:ascii="Times New Roman" w:hAnsi="Times New Roman"/>
                <w:lang w:val="ro-RO"/>
              </w:rPr>
              <w:t xml:space="preserve"> </w:t>
            </w:r>
            <w:r w:rsidRPr="003321EA">
              <w:rPr>
                <w:rFonts w:ascii="Times New Roman" w:hAnsi="Times New Roman"/>
                <w:lang w:val="ro-RO"/>
              </w:rPr>
              <w:t>Legii</w:t>
            </w:r>
            <w:r w:rsidRPr="00D249B7">
              <w:rPr>
                <w:rFonts w:ascii="Times New Roman" w:hAnsi="Times New Roman"/>
                <w:lang w:val="ro-RO"/>
              </w:rPr>
              <w:t xml:space="preserve"> </w:t>
            </w:r>
            <w:r w:rsidRPr="003321EA">
              <w:rPr>
                <w:rFonts w:ascii="Times New Roman" w:hAnsi="Times New Roman"/>
                <w:lang w:val="ro-RO"/>
              </w:rPr>
              <w:t xml:space="preserve">nr.82/2024, duce la imposibilitatea aplicării unor cerințe de derogare care facilitează selectarea laboratoarelor oficiale. </w:t>
            </w:r>
          </w:p>
          <w:p w14:paraId="650F518A" w14:textId="685F5DC0" w:rsidR="00D249B7" w:rsidRPr="00B90152" w:rsidRDefault="003321EA" w:rsidP="00B90152">
            <w:pPr>
              <w:jc w:val="both"/>
              <w:rPr>
                <w:rFonts w:ascii="Times New Roman" w:hAnsi="Times New Roman"/>
                <w:lang w:val="ro-RO"/>
              </w:rPr>
            </w:pPr>
            <w:r w:rsidRPr="003321EA">
              <w:rPr>
                <w:rFonts w:ascii="Times New Roman" w:hAnsi="Times New Roman"/>
                <w:lang w:val="ro-RO"/>
              </w:rPr>
              <w:t xml:space="preserve">Prin urmare, se impune aprobarea prezentului ordin, care constituie un instrument esențial pentru aplicarea derogărilor stabilite la </w:t>
            </w:r>
            <w:r w:rsidR="00AD12DB" w:rsidRPr="00D249B7">
              <w:rPr>
                <w:rFonts w:ascii="Times New Roman" w:hAnsi="Times New Roman"/>
                <w:lang w:val="ro-RO"/>
              </w:rPr>
              <w:t>articolul </w:t>
            </w:r>
            <w:r w:rsidRPr="003321EA">
              <w:rPr>
                <w:rFonts w:ascii="Times New Roman" w:hAnsi="Times New Roman"/>
                <w:lang w:val="ro-RO"/>
              </w:rPr>
              <w:t>39 din Legea nr.82/2024 privind controalele oficiale în domeniul agroalimentar.</w:t>
            </w:r>
          </w:p>
          <w:p w14:paraId="01C21583" w14:textId="596EC6C3" w:rsidR="00D249B7" w:rsidRPr="003321EA" w:rsidRDefault="00D249B7" w:rsidP="00854347">
            <w:pPr>
              <w:rPr>
                <w:rFonts w:ascii="Times New Roman" w:hAnsi="Times New Roman"/>
                <w:lang w:val="ro-RO"/>
              </w:rPr>
            </w:pPr>
          </w:p>
        </w:tc>
      </w:tr>
      <w:tr w:rsidR="006D3EB7" w:rsidRPr="005535FB" w14:paraId="6F56D62C" w14:textId="77777777" w:rsidTr="00CB4683">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452C6C">
            <w:pPr>
              <w:rPr>
                <w:rFonts w:ascii="Times New Roman" w:hAnsi="Times New Roman"/>
                <w:lang w:val="ro-RO"/>
              </w:rPr>
            </w:pPr>
            <w:r w:rsidRPr="005535FB">
              <w:rPr>
                <w:rFonts w:ascii="Times New Roman" w:hAnsi="Times New Roman"/>
                <w:lang w:val="ro-RO"/>
              </w:rPr>
              <w:t>2.2.</w:t>
            </w:r>
            <w:r w:rsidR="00032B46" w:rsidRPr="005535FB">
              <w:rPr>
                <w:rFonts w:ascii="Times New Roman" w:hAnsi="Times New Roman"/>
                <w:lang w:val="ro-RO"/>
              </w:rPr>
              <w:t xml:space="preserve"> </w:t>
            </w:r>
            <w:r w:rsidRPr="005535FB">
              <w:rPr>
                <w:rFonts w:ascii="Times New Roman" w:hAnsi="Times New Roman"/>
                <w:lang w:val="ro-RO"/>
              </w:rPr>
              <w:t>Descrierea</w:t>
            </w:r>
            <w:r w:rsidR="00032B46" w:rsidRPr="005535FB">
              <w:rPr>
                <w:rFonts w:ascii="Times New Roman" w:hAnsi="Times New Roman"/>
                <w:lang w:val="ro-RO"/>
              </w:rPr>
              <w:t xml:space="preserve"> </w:t>
            </w:r>
            <w:r w:rsidRPr="005535FB">
              <w:rPr>
                <w:rFonts w:ascii="Times New Roman" w:hAnsi="Times New Roman"/>
                <w:lang w:val="ro-RO"/>
              </w:rPr>
              <w:t>situa</w:t>
            </w:r>
            <w:r w:rsidR="00863417" w:rsidRPr="005535FB">
              <w:rPr>
                <w:rFonts w:ascii="Times New Roman" w:hAnsi="Times New Roman"/>
                <w:lang w:val="ro-RO"/>
              </w:rPr>
              <w:t>ț</w:t>
            </w:r>
            <w:r w:rsidRPr="005535FB">
              <w:rPr>
                <w:rFonts w:ascii="Times New Roman" w:hAnsi="Times New Roman"/>
                <w:lang w:val="ro-RO"/>
              </w:rPr>
              <w:t>iei</w:t>
            </w:r>
            <w:r w:rsidR="00032B46" w:rsidRPr="005535FB">
              <w:rPr>
                <w:rFonts w:ascii="Times New Roman" w:hAnsi="Times New Roman"/>
                <w:lang w:val="ro-RO"/>
              </w:rPr>
              <w:t xml:space="preserve"> </w:t>
            </w:r>
            <w:r w:rsidRPr="005535FB">
              <w:rPr>
                <w:rFonts w:ascii="Times New Roman" w:hAnsi="Times New Roman"/>
                <w:lang w:val="ro-RO"/>
              </w:rPr>
              <w:t>actuale</w:t>
            </w:r>
            <w:r w:rsidR="00032B46" w:rsidRPr="005535FB">
              <w:rPr>
                <w:rFonts w:ascii="Times New Roman" w:hAnsi="Times New Roman"/>
                <w:lang w:val="ro-RO"/>
              </w:rPr>
              <w:t xml:space="preserve"> </w:t>
            </w:r>
            <w:r w:rsidR="00863417" w:rsidRPr="005535FB">
              <w:rPr>
                <w:rFonts w:ascii="Times New Roman" w:hAnsi="Times New Roman"/>
                <w:lang w:val="ro-RO"/>
              </w:rPr>
              <w:t>ș</w:t>
            </w:r>
            <w:r w:rsidRPr="005535FB">
              <w:rPr>
                <w:rFonts w:ascii="Times New Roman" w:hAnsi="Times New Roman"/>
                <w:lang w:val="ro-RO"/>
              </w:rPr>
              <w:t>i</w:t>
            </w:r>
            <w:r w:rsidR="00032B46" w:rsidRPr="005535FB">
              <w:rPr>
                <w:rFonts w:ascii="Times New Roman" w:hAnsi="Times New Roman"/>
                <w:lang w:val="ro-RO"/>
              </w:rPr>
              <w:t xml:space="preserve"> </w:t>
            </w:r>
            <w:r w:rsidRPr="005535FB">
              <w:rPr>
                <w:rFonts w:ascii="Times New Roman" w:hAnsi="Times New Roman"/>
                <w:lang w:val="ro-RO"/>
              </w:rPr>
              <w:t>a</w:t>
            </w:r>
            <w:r w:rsidR="00032B46" w:rsidRPr="005535FB">
              <w:rPr>
                <w:rFonts w:ascii="Times New Roman" w:hAnsi="Times New Roman"/>
                <w:lang w:val="ro-RO"/>
              </w:rPr>
              <w:t xml:space="preserve"> </w:t>
            </w:r>
            <w:r w:rsidRPr="005535FB">
              <w:rPr>
                <w:rFonts w:ascii="Times New Roman" w:hAnsi="Times New Roman"/>
                <w:lang w:val="ro-RO"/>
              </w:rPr>
              <w:t>problemelor</w:t>
            </w:r>
            <w:r w:rsidR="00032B46" w:rsidRPr="005535FB">
              <w:rPr>
                <w:rFonts w:ascii="Times New Roman" w:hAnsi="Times New Roman"/>
                <w:lang w:val="ro-RO"/>
              </w:rPr>
              <w:t xml:space="preserve"> </w:t>
            </w:r>
            <w:r w:rsidRPr="005535FB">
              <w:rPr>
                <w:rFonts w:ascii="Times New Roman" w:hAnsi="Times New Roman"/>
                <w:lang w:val="ro-RO"/>
              </w:rPr>
              <w:t>care</w:t>
            </w:r>
            <w:r w:rsidR="00032B46" w:rsidRPr="005535FB">
              <w:rPr>
                <w:rFonts w:ascii="Times New Roman" w:hAnsi="Times New Roman"/>
                <w:lang w:val="ro-RO"/>
              </w:rPr>
              <w:t xml:space="preserve"> </w:t>
            </w:r>
            <w:r w:rsidRPr="005535FB">
              <w:rPr>
                <w:rFonts w:ascii="Times New Roman" w:hAnsi="Times New Roman"/>
                <w:lang w:val="ro-RO"/>
              </w:rPr>
              <w:t>impun</w:t>
            </w:r>
            <w:r w:rsidR="00032B46" w:rsidRPr="005535FB">
              <w:rPr>
                <w:rFonts w:ascii="Times New Roman" w:hAnsi="Times New Roman"/>
                <w:lang w:val="ro-RO"/>
              </w:rPr>
              <w:t xml:space="preserve"> </w:t>
            </w:r>
            <w:r w:rsidRPr="005535FB">
              <w:rPr>
                <w:rFonts w:ascii="Times New Roman" w:hAnsi="Times New Roman"/>
                <w:lang w:val="ro-RO"/>
              </w:rPr>
              <w:t>interven</w:t>
            </w:r>
            <w:r w:rsidR="00863417" w:rsidRPr="005535FB">
              <w:rPr>
                <w:rFonts w:ascii="Times New Roman" w:hAnsi="Times New Roman"/>
                <w:lang w:val="ro-RO"/>
              </w:rPr>
              <w:t>ț</w:t>
            </w:r>
            <w:r w:rsidRPr="005535FB">
              <w:rPr>
                <w:rFonts w:ascii="Times New Roman" w:hAnsi="Times New Roman"/>
                <w:lang w:val="ro-RO"/>
              </w:rPr>
              <w:t>ia,</w:t>
            </w:r>
            <w:r w:rsidR="00032B46" w:rsidRPr="005535FB">
              <w:rPr>
                <w:rFonts w:ascii="Times New Roman" w:hAnsi="Times New Roman"/>
                <w:lang w:val="ro-RO"/>
              </w:rPr>
              <w:t xml:space="preserve"> </w:t>
            </w:r>
            <w:r w:rsidRPr="005535FB">
              <w:rPr>
                <w:rFonts w:ascii="Times New Roman" w:hAnsi="Times New Roman"/>
                <w:lang w:val="ro-RO"/>
              </w:rPr>
              <w:t>inclusiv</w:t>
            </w:r>
            <w:r w:rsidR="00032B46" w:rsidRPr="005535FB">
              <w:rPr>
                <w:rFonts w:ascii="Times New Roman" w:hAnsi="Times New Roman"/>
                <w:lang w:val="ro-RO"/>
              </w:rPr>
              <w:t xml:space="preserve"> </w:t>
            </w:r>
            <w:r w:rsidR="005C7769" w:rsidRPr="005535FB">
              <w:rPr>
                <w:rFonts w:ascii="Times New Roman" w:hAnsi="Times New Roman"/>
                <w:lang w:val="ro-RO"/>
              </w:rPr>
              <w:t xml:space="preserve">a </w:t>
            </w:r>
            <w:r w:rsidRPr="005535FB">
              <w:rPr>
                <w:rFonts w:ascii="Times New Roman" w:hAnsi="Times New Roman"/>
                <w:lang w:val="ro-RO"/>
              </w:rPr>
              <w:t>cadrul</w:t>
            </w:r>
            <w:r w:rsidR="005C7769" w:rsidRPr="005535FB">
              <w:rPr>
                <w:rFonts w:ascii="Times New Roman" w:hAnsi="Times New Roman"/>
                <w:lang w:val="ro-RO"/>
              </w:rPr>
              <w:t>ui</w:t>
            </w:r>
            <w:r w:rsidR="00032B46" w:rsidRPr="005535FB">
              <w:rPr>
                <w:rFonts w:ascii="Times New Roman" w:hAnsi="Times New Roman"/>
                <w:lang w:val="ro-RO"/>
              </w:rPr>
              <w:t xml:space="preserve"> </w:t>
            </w:r>
            <w:r w:rsidRPr="005535FB">
              <w:rPr>
                <w:rFonts w:ascii="Times New Roman" w:hAnsi="Times New Roman"/>
                <w:lang w:val="ro-RO"/>
              </w:rPr>
              <w:t>normativ</w:t>
            </w:r>
            <w:r w:rsidR="00032B46" w:rsidRPr="005535FB">
              <w:rPr>
                <w:rFonts w:ascii="Times New Roman" w:hAnsi="Times New Roman"/>
                <w:lang w:val="ro-RO"/>
              </w:rPr>
              <w:t xml:space="preserve"> </w:t>
            </w:r>
            <w:r w:rsidRPr="005535FB">
              <w:rPr>
                <w:rFonts w:ascii="Times New Roman" w:hAnsi="Times New Roman"/>
                <w:lang w:val="ro-RO"/>
              </w:rPr>
              <w:t>aplicabil</w:t>
            </w:r>
            <w:r w:rsidR="00032B46" w:rsidRPr="005535FB">
              <w:rPr>
                <w:rFonts w:ascii="Times New Roman" w:hAnsi="Times New Roman"/>
                <w:lang w:val="ro-RO"/>
              </w:rPr>
              <w:t xml:space="preserve"> </w:t>
            </w:r>
            <w:r w:rsidR="00863417" w:rsidRPr="005535FB">
              <w:rPr>
                <w:rFonts w:ascii="Times New Roman" w:hAnsi="Times New Roman"/>
                <w:lang w:val="ro-RO"/>
              </w:rPr>
              <w:t>ș</w:t>
            </w:r>
            <w:r w:rsidRPr="005535FB">
              <w:rPr>
                <w:rFonts w:ascii="Times New Roman" w:hAnsi="Times New Roman"/>
                <w:lang w:val="ro-RO"/>
              </w:rPr>
              <w:t>i</w:t>
            </w:r>
            <w:r w:rsidR="00032B46" w:rsidRPr="005535FB">
              <w:rPr>
                <w:rFonts w:ascii="Times New Roman" w:hAnsi="Times New Roman"/>
                <w:lang w:val="ro-RO"/>
              </w:rPr>
              <w:t xml:space="preserve"> </w:t>
            </w:r>
            <w:r w:rsidR="005C7769" w:rsidRPr="005535FB">
              <w:rPr>
                <w:rFonts w:ascii="Times New Roman" w:hAnsi="Times New Roman"/>
                <w:lang w:val="ro-RO"/>
              </w:rPr>
              <w:t xml:space="preserve">a </w:t>
            </w:r>
            <w:r w:rsidRPr="005535FB">
              <w:rPr>
                <w:rFonts w:ascii="Times New Roman" w:hAnsi="Times New Roman"/>
                <w:lang w:val="ro-RO"/>
              </w:rPr>
              <w:t>deficien</w:t>
            </w:r>
            <w:r w:rsidR="00863417" w:rsidRPr="005535FB">
              <w:rPr>
                <w:rFonts w:ascii="Times New Roman" w:hAnsi="Times New Roman"/>
                <w:lang w:val="ro-RO"/>
              </w:rPr>
              <w:t>ț</w:t>
            </w:r>
            <w:r w:rsidRPr="005535FB">
              <w:rPr>
                <w:rFonts w:ascii="Times New Roman" w:hAnsi="Times New Roman"/>
                <w:lang w:val="ro-RO"/>
              </w:rPr>
              <w:t>el</w:t>
            </w:r>
            <w:r w:rsidR="005C7769" w:rsidRPr="005535FB">
              <w:rPr>
                <w:rFonts w:ascii="Times New Roman" w:hAnsi="Times New Roman"/>
                <w:lang w:val="ro-RO"/>
              </w:rPr>
              <w:t>or</w:t>
            </w:r>
            <w:r w:rsidRPr="005535FB">
              <w:rPr>
                <w:rFonts w:ascii="Times New Roman" w:hAnsi="Times New Roman"/>
                <w:lang w:val="ro-RO"/>
              </w:rPr>
              <w:t>/lacunel</w:t>
            </w:r>
            <w:r w:rsidR="005C7769" w:rsidRPr="005535FB">
              <w:rPr>
                <w:rFonts w:ascii="Times New Roman" w:hAnsi="Times New Roman"/>
                <w:lang w:val="ro-RO"/>
              </w:rPr>
              <w:t>or</w:t>
            </w:r>
            <w:r w:rsidR="00032B46" w:rsidRPr="005535FB">
              <w:rPr>
                <w:rFonts w:ascii="Times New Roman" w:hAnsi="Times New Roman"/>
                <w:lang w:val="ro-RO"/>
              </w:rPr>
              <w:t xml:space="preserve"> </w:t>
            </w:r>
            <w:r w:rsidRPr="005535FB">
              <w:rPr>
                <w:rFonts w:ascii="Times New Roman" w:hAnsi="Times New Roman"/>
                <w:lang w:val="ro-RO"/>
              </w:rPr>
              <w:t>normative</w:t>
            </w:r>
          </w:p>
        </w:tc>
      </w:tr>
      <w:tr w:rsidR="00452C6C" w:rsidRPr="00015248" w14:paraId="30963134" w14:textId="77777777" w:rsidTr="00CB4683">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0DE978" w14:textId="547FF9B1" w:rsidR="00C71896" w:rsidRPr="00B85876" w:rsidRDefault="00AD12DB" w:rsidP="0056297E">
            <w:pPr>
              <w:jc w:val="both"/>
              <w:rPr>
                <w:rFonts w:ascii="Times New Roman" w:hAnsi="Times New Roman"/>
                <w:lang w:val="ro-RO"/>
              </w:rPr>
            </w:pPr>
            <w:r w:rsidRPr="00B85876">
              <w:rPr>
                <w:rFonts w:ascii="Times New Roman" w:hAnsi="Times New Roman"/>
                <w:lang w:val="ro-RO"/>
              </w:rPr>
              <w:lastRenderedPageBreak/>
              <w:t>Actualmente</w:t>
            </w:r>
            <w:r w:rsidR="00C71896" w:rsidRPr="00B85876">
              <w:rPr>
                <w:rFonts w:ascii="Times New Roman" w:hAnsi="Times New Roman"/>
                <w:lang w:val="ro-RO"/>
              </w:rPr>
              <w:t>,</w:t>
            </w:r>
            <w:r w:rsidRPr="00B85876">
              <w:rPr>
                <w:rFonts w:ascii="Times New Roman" w:hAnsi="Times New Roman"/>
                <w:lang w:val="ro-RO"/>
              </w:rPr>
              <w:t xml:space="preserve"> în conformitate cu prevederile</w:t>
            </w:r>
            <w:r w:rsidR="00C71896" w:rsidRPr="00B85876">
              <w:rPr>
                <w:rFonts w:ascii="Times New Roman" w:hAnsi="Times New Roman"/>
                <w:lang w:val="ro-RO"/>
              </w:rPr>
              <w:t xml:space="preserve"> art.12 din</w:t>
            </w:r>
            <w:r w:rsidRPr="00B85876">
              <w:rPr>
                <w:rFonts w:ascii="Times New Roman" w:hAnsi="Times New Roman"/>
                <w:lang w:val="ro-RO"/>
              </w:rPr>
              <w:t xml:space="preserve"> Leg</w:t>
            </w:r>
            <w:r w:rsidR="00C71896" w:rsidRPr="00B85876">
              <w:rPr>
                <w:rFonts w:ascii="Times New Roman" w:hAnsi="Times New Roman"/>
                <w:lang w:val="ro-RO"/>
              </w:rPr>
              <w:t>ea</w:t>
            </w:r>
            <w:r w:rsidRPr="00B85876">
              <w:rPr>
                <w:rFonts w:ascii="Times New Roman" w:hAnsi="Times New Roman"/>
                <w:lang w:val="ro-RO"/>
              </w:rPr>
              <w:t xml:space="preserve"> nr.50/2013</w:t>
            </w:r>
            <w:r w:rsidR="00C71896" w:rsidRPr="00B85876">
              <w:rPr>
                <w:rFonts w:ascii="PT Serif" w:hAnsi="PT Serif"/>
                <w:color w:val="333333"/>
                <w:lang w:val="ro-RO"/>
              </w:rPr>
              <w:t xml:space="preserve"> </w:t>
            </w:r>
            <w:r w:rsidR="00C71896" w:rsidRPr="00B85876">
              <w:rPr>
                <w:rFonts w:ascii="Times New Roman" w:hAnsi="Times New Roman"/>
                <w:lang w:val="ro-RO"/>
              </w:rPr>
              <w:t>cu privire la controalele oficiale pentru verificarea conformităţii cu legislaţia privind hrana pentru animale şi produsele alimentare şi cu normele de sănătate şi de bunăstare a animalelor</w:t>
            </w:r>
            <w:r w:rsidR="0056297E">
              <w:rPr>
                <w:rFonts w:ascii="Times New Roman" w:hAnsi="Times New Roman"/>
                <w:lang w:val="ro-RO"/>
              </w:rPr>
              <w:t>,</w:t>
            </w:r>
            <w:r w:rsidR="00C71896" w:rsidRPr="00B85876">
              <w:rPr>
                <w:rFonts w:ascii="Times New Roman" w:hAnsi="Times New Roman"/>
                <w:lang w:val="ro-RO"/>
              </w:rPr>
              <w:t xml:space="preserve"> Agenția Națională pentru Sigurnața Alimentelor desemnează laboratoarele oficiale</w:t>
            </w:r>
            <w:r w:rsidR="00AB7695">
              <w:rPr>
                <w:rFonts w:ascii="Times New Roman" w:hAnsi="Times New Roman"/>
                <w:lang w:val="ro-RO"/>
              </w:rPr>
              <w:t>,</w:t>
            </w:r>
            <w:r w:rsidR="00C71896" w:rsidRPr="00B85876">
              <w:rPr>
                <w:rFonts w:ascii="Times New Roman" w:hAnsi="Times New Roman"/>
                <w:lang w:val="ro-RO"/>
              </w:rPr>
              <w:t xml:space="preserve"> </w:t>
            </w:r>
            <w:r w:rsidR="00AB7695">
              <w:rPr>
                <w:rFonts w:ascii="Times New Roman" w:hAnsi="Times New Roman"/>
                <w:lang w:val="ro-RO"/>
              </w:rPr>
              <w:t xml:space="preserve">ce dispun de metode acreditate, </w:t>
            </w:r>
            <w:r w:rsidR="00C71896" w:rsidRPr="00B85876">
              <w:rPr>
                <w:rFonts w:ascii="Times New Roman" w:hAnsi="Times New Roman"/>
                <w:lang w:val="ro-RO"/>
              </w:rPr>
              <w:t xml:space="preserve">în vederea implementării programelor naționale de monitorizare și supraveghere pe toate domeniile de competență. </w:t>
            </w:r>
          </w:p>
          <w:p w14:paraId="4D563A29" w14:textId="2AC57337" w:rsidR="00C71896" w:rsidRPr="00B85876" w:rsidRDefault="00C71896" w:rsidP="0056297E">
            <w:pPr>
              <w:jc w:val="both"/>
              <w:rPr>
                <w:rFonts w:ascii="Times New Roman" w:hAnsi="Times New Roman"/>
                <w:lang w:val="ro-RO"/>
              </w:rPr>
            </w:pPr>
            <w:r w:rsidRPr="00B85876">
              <w:rPr>
                <w:rFonts w:ascii="Times New Roman" w:hAnsi="Times New Roman"/>
                <w:lang w:val="ro-RO"/>
              </w:rPr>
              <w:t xml:space="preserve">Legea nr.82/2024 privind controalele oficiale în domeniul agroalimentar, care la momentul intrării în vigoare va abroga Legea nr.50/2013, </w:t>
            </w:r>
            <w:r w:rsidRPr="00D249B7">
              <w:rPr>
                <w:rFonts w:ascii="Times New Roman" w:hAnsi="Times New Roman"/>
                <w:lang w:val="ro-RO"/>
              </w:rPr>
              <w:t xml:space="preserve">prevede că analizele, testele și diagnosticările de laborator efectuate pe eșantioane prelevate în timpul controalelor oficiale și al altor activități oficiale trebuie efectuate de laboratoare oficiale care au fost desemnate de către </w:t>
            </w:r>
            <w:r w:rsidRPr="00B85876">
              <w:rPr>
                <w:rFonts w:ascii="Times New Roman" w:hAnsi="Times New Roman"/>
                <w:lang w:val="ro-RO"/>
              </w:rPr>
              <w:t>Agenția Națională pentru Sigurnața Alimentelor</w:t>
            </w:r>
            <w:r w:rsidRPr="00D249B7">
              <w:rPr>
                <w:rFonts w:ascii="Times New Roman" w:hAnsi="Times New Roman"/>
                <w:lang w:val="ro-RO"/>
              </w:rPr>
              <w:t>.</w:t>
            </w:r>
            <w:r w:rsidRPr="00B85876">
              <w:rPr>
                <w:rFonts w:ascii="Times New Roman" w:hAnsi="Times New Roman"/>
                <w:lang w:val="ro-RO"/>
              </w:rPr>
              <w:t xml:space="preserve"> </w:t>
            </w:r>
          </w:p>
          <w:p w14:paraId="5048B969" w14:textId="26BBB995" w:rsidR="00B85876" w:rsidRPr="003321EA" w:rsidRDefault="00B85876" w:rsidP="0056297E">
            <w:pPr>
              <w:jc w:val="both"/>
              <w:rPr>
                <w:rFonts w:ascii="Times New Roman" w:hAnsi="Times New Roman"/>
                <w:lang w:val="ro-RO"/>
              </w:rPr>
            </w:pPr>
            <w:r w:rsidRPr="00B85876">
              <w:rPr>
                <w:rFonts w:ascii="Times New Roman" w:hAnsi="Times New Roman"/>
                <w:lang w:val="ro-RO"/>
              </w:rPr>
              <w:t>Legea nr.82/2024 privind controalele oficiale în domeniul agroalimentar</w:t>
            </w:r>
            <w:r w:rsidR="00311F5B">
              <w:rPr>
                <w:rFonts w:ascii="Times New Roman" w:hAnsi="Times New Roman"/>
                <w:lang w:val="ro-RO"/>
              </w:rPr>
              <w:t>,</w:t>
            </w:r>
            <w:r w:rsidRPr="00B85876">
              <w:rPr>
                <w:rFonts w:ascii="Times New Roman" w:hAnsi="Times New Roman"/>
                <w:lang w:val="ro-RO"/>
              </w:rPr>
              <w:t xml:space="preserve"> stabilește </w:t>
            </w:r>
            <w:r>
              <w:rPr>
                <w:rFonts w:ascii="Times New Roman" w:hAnsi="Times New Roman"/>
                <w:lang w:val="ro-RO"/>
              </w:rPr>
              <w:t xml:space="preserve">cerințele și </w:t>
            </w:r>
            <w:r w:rsidRPr="00B85876">
              <w:rPr>
                <w:rFonts w:ascii="Times New Roman" w:hAnsi="Times New Roman"/>
                <w:lang w:val="ro-RO"/>
              </w:rPr>
              <w:t>condițiile de desemnare a laboratoarelor oficiale, dar și</w:t>
            </w:r>
            <w:r>
              <w:rPr>
                <w:rFonts w:ascii="Times New Roman" w:hAnsi="Times New Roman"/>
                <w:lang w:val="ro-RO"/>
              </w:rPr>
              <w:t xml:space="preserve"> condiții de</w:t>
            </w:r>
            <w:r w:rsidRPr="00B85876">
              <w:rPr>
                <w:rFonts w:ascii="Times New Roman" w:hAnsi="Times New Roman"/>
                <w:lang w:val="ro-RO"/>
              </w:rPr>
              <w:t xml:space="preserve"> </w:t>
            </w:r>
            <w:r>
              <w:rPr>
                <w:rFonts w:ascii="Times New Roman" w:hAnsi="Times New Roman"/>
                <w:lang w:val="ro-RO"/>
              </w:rPr>
              <w:t>derogare privind desemnarea laboratoarelor.</w:t>
            </w:r>
            <w:r w:rsidR="00E1503A">
              <w:rPr>
                <w:rFonts w:ascii="Times New Roman" w:hAnsi="Times New Roman"/>
                <w:lang w:val="ro-RO"/>
              </w:rPr>
              <w:t xml:space="preserve"> </w:t>
            </w:r>
            <w:r>
              <w:rPr>
                <w:rFonts w:ascii="Times New Roman" w:hAnsi="Times New Roman"/>
                <w:lang w:val="ro-RO"/>
              </w:rPr>
              <w:t xml:space="preserve">În vederea implementării prevederilor referitoare la derorogări pentru laboratoarele desemnate pentru </w:t>
            </w:r>
            <w:r w:rsidRPr="00D249B7">
              <w:rPr>
                <w:rFonts w:ascii="Times New Roman" w:hAnsi="Times New Roman"/>
                <w:lang w:val="ro-RO"/>
              </w:rPr>
              <w:t>controalele oficiale și alte activități oficiale</w:t>
            </w:r>
            <w:r w:rsidRPr="003321EA">
              <w:rPr>
                <w:rFonts w:ascii="Times New Roman" w:hAnsi="Times New Roman"/>
                <w:lang w:val="ro-RO"/>
              </w:rPr>
              <w:t xml:space="preserve"> în domeniul sănătății plantelor, al materialelor care intră în contact cu produsele alimentare, al aditivilor alimentari, al enzimelor alimentare, al aromelor și al aditivilor furajeri</w:t>
            </w:r>
            <w:r>
              <w:rPr>
                <w:rFonts w:ascii="Times New Roman" w:hAnsi="Times New Roman"/>
                <w:lang w:val="ro-RO"/>
              </w:rPr>
              <w:t xml:space="preserve"> este necesară stabilirea cazurilor și condițiilor în mod expres</w:t>
            </w:r>
            <w:r w:rsidRPr="00D249B7">
              <w:rPr>
                <w:rFonts w:ascii="Times New Roman" w:hAnsi="Times New Roman"/>
                <w:lang w:val="ro-RO"/>
              </w:rPr>
              <w:t>.</w:t>
            </w:r>
          </w:p>
          <w:p w14:paraId="7AF8A9C7" w14:textId="5D881F08" w:rsidR="00452C6C" w:rsidRPr="00B85876" w:rsidRDefault="00AD12DB" w:rsidP="0056297E">
            <w:pPr>
              <w:jc w:val="both"/>
              <w:rPr>
                <w:rFonts w:ascii="Times New Roman" w:hAnsi="Times New Roman"/>
                <w:lang w:val="ro-RO"/>
              </w:rPr>
            </w:pPr>
            <w:r w:rsidRPr="00B85876">
              <w:rPr>
                <w:rFonts w:ascii="Times New Roman" w:hAnsi="Times New Roman"/>
                <w:lang w:val="ro-RO"/>
              </w:rPr>
              <w:t xml:space="preserve"> </w:t>
            </w:r>
            <w:r w:rsidR="00B85876" w:rsidRPr="00B85876">
              <w:rPr>
                <w:rFonts w:ascii="Times New Roman" w:hAnsi="Times New Roman"/>
                <w:lang w:val="ro-RO"/>
              </w:rPr>
              <w:t xml:space="preserve">Prin urmare, intervenția propusă </w:t>
            </w:r>
            <w:r w:rsidR="00E1503A">
              <w:rPr>
                <w:rFonts w:ascii="Times New Roman" w:hAnsi="Times New Roman"/>
                <w:lang w:val="ro-RO"/>
              </w:rPr>
              <w:t xml:space="preserve">prin elaborarea proiectului de ordin </w:t>
            </w:r>
            <w:r w:rsidR="00B85876" w:rsidRPr="00B85876">
              <w:rPr>
                <w:rFonts w:ascii="Times New Roman" w:hAnsi="Times New Roman"/>
                <w:lang w:val="ro-RO"/>
              </w:rPr>
              <w:t xml:space="preserve">este necesară pentru a </w:t>
            </w:r>
            <w:r w:rsidR="00E1503A">
              <w:rPr>
                <w:rFonts w:ascii="Times New Roman" w:hAnsi="Times New Roman"/>
                <w:lang w:val="ro-RO"/>
              </w:rPr>
              <w:t xml:space="preserve">asigura implementarea prevederilor menționate la articolul 39 din </w:t>
            </w:r>
            <w:r w:rsidR="00B85876" w:rsidRPr="00B85876">
              <w:rPr>
                <w:rFonts w:ascii="Times New Roman" w:hAnsi="Times New Roman"/>
                <w:lang w:val="ro-RO"/>
              </w:rPr>
              <w:t xml:space="preserve"> </w:t>
            </w:r>
            <w:r w:rsidR="00E1503A" w:rsidRPr="00B85876">
              <w:rPr>
                <w:rFonts w:ascii="Times New Roman" w:hAnsi="Times New Roman"/>
                <w:lang w:val="ro-RO"/>
              </w:rPr>
              <w:t>Legea nr.82/2024 privind controalele oficiale în domeniul agroalimentar</w:t>
            </w:r>
            <w:r w:rsidR="00311F5B">
              <w:rPr>
                <w:rFonts w:ascii="Times New Roman" w:hAnsi="Times New Roman"/>
                <w:lang w:val="ro-RO"/>
              </w:rPr>
              <w:t>,</w:t>
            </w:r>
            <w:r w:rsidR="00E1503A">
              <w:rPr>
                <w:rFonts w:ascii="Times New Roman" w:hAnsi="Times New Roman"/>
                <w:lang w:val="ro-RO"/>
              </w:rPr>
              <w:t xml:space="preserve"> care introduce condiții de derogare pentru desemnarea laboratoarelor. Cerințele și condițiile derogatorii aprobate prin proiectul dat</w:t>
            </w:r>
            <w:r w:rsidR="00311F5B">
              <w:rPr>
                <w:rFonts w:ascii="Times New Roman" w:hAnsi="Times New Roman"/>
                <w:lang w:val="ro-RO"/>
              </w:rPr>
              <w:t xml:space="preserve">, </w:t>
            </w:r>
            <w:r w:rsidR="00E1503A">
              <w:rPr>
                <w:rFonts w:ascii="Times New Roman" w:hAnsi="Times New Roman"/>
                <w:lang w:val="ro-RO"/>
              </w:rPr>
              <w:t xml:space="preserve">vor deveni aplicabile din data intrării în vigoare a </w:t>
            </w:r>
            <w:r w:rsidR="00E1503A" w:rsidRPr="00B85876">
              <w:rPr>
                <w:rFonts w:ascii="Times New Roman" w:hAnsi="Times New Roman"/>
                <w:lang w:val="ro-RO"/>
              </w:rPr>
              <w:t>Leg</w:t>
            </w:r>
            <w:r w:rsidR="00E1503A">
              <w:rPr>
                <w:rFonts w:ascii="Times New Roman" w:hAnsi="Times New Roman"/>
                <w:lang w:val="ro-RO"/>
              </w:rPr>
              <w:t>ii</w:t>
            </w:r>
            <w:r w:rsidR="00E1503A" w:rsidRPr="00B85876">
              <w:rPr>
                <w:rFonts w:ascii="Times New Roman" w:hAnsi="Times New Roman"/>
                <w:lang w:val="ro-RO"/>
              </w:rPr>
              <w:t xml:space="preserve"> nr.82/2024 privind controalele oficiale în domeniul agroalimentar</w:t>
            </w:r>
            <w:r w:rsidR="00E1503A">
              <w:rPr>
                <w:rFonts w:ascii="Times New Roman" w:hAnsi="Times New Roman"/>
                <w:lang w:val="ro-RO"/>
              </w:rPr>
              <w:t>.</w:t>
            </w:r>
          </w:p>
        </w:tc>
      </w:tr>
      <w:tr w:rsidR="006D3EB7" w:rsidRPr="005535FB" w14:paraId="595D390F" w14:textId="77777777" w:rsidTr="00CB4683">
        <w:tc>
          <w:tcPr>
            <w:tcW w:w="9109"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lang w:val="ro-RO"/>
              </w:rPr>
            </w:pPr>
            <w:r w:rsidRPr="005535FB">
              <w:rPr>
                <w:rFonts w:ascii="Times New Roman" w:hAnsi="Times New Roman"/>
                <w:b/>
                <w:bCs/>
                <w:lang w:val="ro-RO"/>
              </w:rPr>
              <w:t>3.</w:t>
            </w:r>
            <w:r w:rsidR="00032B46" w:rsidRPr="005535FB">
              <w:rPr>
                <w:rFonts w:ascii="Times New Roman" w:hAnsi="Times New Roman"/>
                <w:b/>
                <w:bCs/>
                <w:lang w:val="ro-RO"/>
              </w:rPr>
              <w:t xml:space="preserve"> </w:t>
            </w:r>
            <w:r w:rsidRPr="005535FB">
              <w:rPr>
                <w:rFonts w:ascii="Times New Roman" w:hAnsi="Times New Roman"/>
                <w:b/>
                <w:bCs/>
                <w:lang w:val="ro-RO"/>
              </w:rPr>
              <w:t>Obiectivele</w:t>
            </w:r>
            <w:r w:rsidR="00032B46" w:rsidRPr="005535FB">
              <w:rPr>
                <w:rFonts w:ascii="Times New Roman" w:hAnsi="Times New Roman"/>
                <w:b/>
                <w:bCs/>
                <w:lang w:val="ro-RO"/>
              </w:rPr>
              <w:t xml:space="preserve"> </w:t>
            </w:r>
            <w:r w:rsidRPr="005535FB">
              <w:rPr>
                <w:rFonts w:ascii="Times New Roman" w:hAnsi="Times New Roman"/>
                <w:b/>
                <w:bCs/>
                <w:lang w:val="ro-RO"/>
              </w:rPr>
              <w:t>urmărite</w:t>
            </w:r>
            <w:r w:rsidR="00032B46" w:rsidRPr="005535FB">
              <w:rPr>
                <w:rFonts w:ascii="Times New Roman" w:hAnsi="Times New Roman"/>
                <w:b/>
                <w:bCs/>
                <w:lang w:val="ro-RO"/>
              </w:rPr>
              <w:t xml:space="preserve"> </w:t>
            </w:r>
            <w:r w:rsidR="00863417" w:rsidRPr="005535FB">
              <w:rPr>
                <w:rFonts w:ascii="Times New Roman" w:hAnsi="Times New Roman"/>
                <w:b/>
                <w:bCs/>
                <w:lang w:val="ro-RO"/>
              </w:rPr>
              <w:t>ș</w:t>
            </w:r>
            <w:r w:rsidRPr="005535FB">
              <w:rPr>
                <w:rFonts w:ascii="Times New Roman" w:hAnsi="Times New Roman"/>
                <w:b/>
                <w:bCs/>
                <w:lang w:val="ro-RO"/>
              </w:rPr>
              <w:t>i</w:t>
            </w:r>
            <w:r w:rsidR="00032B46" w:rsidRPr="005535FB">
              <w:rPr>
                <w:rFonts w:ascii="Times New Roman" w:hAnsi="Times New Roman"/>
                <w:b/>
                <w:bCs/>
                <w:lang w:val="ro-RO"/>
              </w:rPr>
              <w:t xml:space="preserve"> </w:t>
            </w:r>
            <w:r w:rsidRPr="005535FB">
              <w:rPr>
                <w:rFonts w:ascii="Times New Roman" w:hAnsi="Times New Roman"/>
                <w:b/>
                <w:bCs/>
                <w:lang w:val="ro-RO"/>
              </w:rPr>
              <w:t>solu</w:t>
            </w:r>
            <w:r w:rsidR="00863417" w:rsidRPr="005535FB">
              <w:rPr>
                <w:rFonts w:ascii="Times New Roman" w:hAnsi="Times New Roman"/>
                <w:b/>
                <w:bCs/>
                <w:lang w:val="ro-RO"/>
              </w:rPr>
              <w:t>ț</w:t>
            </w:r>
            <w:r w:rsidRPr="005535FB">
              <w:rPr>
                <w:rFonts w:ascii="Times New Roman" w:hAnsi="Times New Roman"/>
                <w:b/>
                <w:bCs/>
                <w:lang w:val="ro-RO"/>
              </w:rPr>
              <w:t>iile</w:t>
            </w:r>
            <w:r w:rsidR="00032B46" w:rsidRPr="005535FB">
              <w:rPr>
                <w:rFonts w:ascii="Times New Roman" w:hAnsi="Times New Roman"/>
                <w:b/>
                <w:bCs/>
                <w:lang w:val="ro-RO"/>
              </w:rPr>
              <w:t xml:space="preserve"> </w:t>
            </w:r>
            <w:r w:rsidRPr="005535FB">
              <w:rPr>
                <w:rFonts w:ascii="Times New Roman" w:hAnsi="Times New Roman"/>
                <w:b/>
                <w:bCs/>
                <w:lang w:val="ro-RO"/>
              </w:rPr>
              <w:t>propuse</w:t>
            </w:r>
          </w:p>
        </w:tc>
      </w:tr>
      <w:tr w:rsidR="006D3EB7" w:rsidRPr="005535FB" w14:paraId="256ADACA" w14:textId="77777777" w:rsidTr="00E1503A">
        <w:tc>
          <w:tcPr>
            <w:tcW w:w="9109"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Mar>
              <w:top w:w="0" w:type="dxa"/>
              <w:left w:w="108" w:type="dxa"/>
              <w:bottom w:w="0" w:type="dxa"/>
              <w:right w:w="108" w:type="dxa"/>
            </w:tcMar>
          </w:tcPr>
          <w:p w14:paraId="0E4919AE" w14:textId="5A3B80E1" w:rsidR="00D927DB" w:rsidRPr="00E1503A" w:rsidRDefault="00D927DB" w:rsidP="00E1503A">
            <w:pPr>
              <w:jc w:val="both"/>
              <w:rPr>
                <w:rFonts w:ascii="Times New Roman" w:hAnsi="Times New Roman"/>
                <w:lang w:val="ro-RO"/>
              </w:rPr>
            </w:pPr>
            <w:r w:rsidRPr="00E1503A">
              <w:rPr>
                <w:rFonts w:ascii="Times New Roman" w:hAnsi="Times New Roman"/>
                <w:lang w:val="ro-RO"/>
              </w:rPr>
              <w:t>3.1.</w:t>
            </w:r>
            <w:r w:rsidR="00032B46" w:rsidRPr="00E1503A">
              <w:rPr>
                <w:rFonts w:ascii="Times New Roman" w:hAnsi="Times New Roman"/>
                <w:lang w:val="ro-RO"/>
              </w:rPr>
              <w:t xml:space="preserve"> </w:t>
            </w:r>
            <w:r w:rsidRPr="00E1503A">
              <w:rPr>
                <w:rFonts w:ascii="Times New Roman" w:hAnsi="Times New Roman"/>
                <w:lang w:val="ro-RO"/>
              </w:rPr>
              <w:t>Principalele</w:t>
            </w:r>
            <w:r w:rsidR="00032B46" w:rsidRPr="00E1503A">
              <w:rPr>
                <w:rFonts w:ascii="Times New Roman" w:hAnsi="Times New Roman"/>
                <w:lang w:val="ro-RO"/>
              </w:rPr>
              <w:t xml:space="preserve"> </w:t>
            </w:r>
            <w:r w:rsidRPr="00E1503A">
              <w:rPr>
                <w:rFonts w:ascii="Times New Roman" w:hAnsi="Times New Roman"/>
                <w:lang w:val="ro-RO"/>
              </w:rPr>
              <w:t>prevederi</w:t>
            </w:r>
            <w:r w:rsidR="00032B46" w:rsidRPr="00E1503A">
              <w:rPr>
                <w:rFonts w:ascii="Times New Roman" w:hAnsi="Times New Roman"/>
                <w:lang w:val="ro-RO"/>
              </w:rPr>
              <w:t xml:space="preserve"> </w:t>
            </w:r>
            <w:r w:rsidRPr="00E1503A">
              <w:rPr>
                <w:rFonts w:ascii="Times New Roman" w:hAnsi="Times New Roman"/>
                <w:lang w:val="ro-RO"/>
              </w:rPr>
              <w:t>ale</w:t>
            </w:r>
            <w:r w:rsidR="00032B46" w:rsidRPr="00E1503A">
              <w:rPr>
                <w:rFonts w:ascii="Times New Roman" w:hAnsi="Times New Roman"/>
                <w:lang w:val="ro-RO"/>
              </w:rPr>
              <w:t xml:space="preserve"> </w:t>
            </w:r>
            <w:r w:rsidRPr="00E1503A">
              <w:rPr>
                <w:rFonts w:ascii="Times New Roman" w:hAnsi="Times New Roman"/>
                <w:lang w:val="ro-RO"/>
              </w:rPr>
              <w:t>proiectului</w:t>
            </w:r>
            <w:r w:rsidR="00032B46" w:rsidRPr="00E1503A">
              <w:rPr>
                <w:rFonts w:ascii="Times New Roman" w:hAnsi="Times New Roman"/>
                <w:lang w:val="ro-RO"/>
              </w:rPr>
              <w:t xml:space="preserve"> </w:t>
            </w:r>
            <w:r w:rsidR="00863417" w:rsidRPr="00E1503A">
              <w:rPr>
                <w:rFonts w:ascii="Times New Roman" w:hAnsi="Times New Roman"/>
                <w:lang w:val="ro-RO"/>
              </w:rPr>
              <w:t>ș</w:t>
            </w:r>
            <w:r w:rsidRPr="00E1503A">
              <w:rPr>
                <w:rFonts w:ascii="Times New Roman" w:hAnsi="Times New Roman"/>
                <w:lang w:val="ro-RO"/>
              </w:rPr>
              <w:t>i</w:t>
            </w:r>
            <w:r w:rsidR="00032B46" w:rsidRPr="00E1503A">
              <w:rPr>
                <w:rFonts w:ascii="Times New Roman" w:hAnsi="Times New Roman"/>
                <w:lang w:val="ro-RO"/>
              </w:rPr>
              <w:t xml:space="preserve"> </w:t>
            </w:r>
            <w:r w:rsidRPr="00E1503A">
              <w:rPr>
                <w:rFonts w:ascii="Times New Roman" w:hAnsi="Times New Roman"/>
                <w:lang w:val="ro-RO"/>
              </w:rPr>
              <w:t>eviden</w:t>
            </w:r>
            <w:r w:rsidR="00863417" w:rsidRPr="00E1503A">
              <w:rPr>
                <w:rFonts w:ascii="Times New Roman" w:hAnsi="Times New Roman"/>
                <w:lang w:val="ro-RO"/>
              </w:rPr>
              <w:t>ț</w:t>
            </w:r>
            <w:r w:rsidRPr="00E1503A">
              <w:rPr>
                <w:rFonts w:ascii="Times New Roman" w:hAnsi="Times New Roman"/>
                <w:lang w:val="ro-RO"/>
              </w:rPr>
              <w:t>ierea</w:t>
            </w:r>
            <w:r w:rsidR="00032B46" w:rsidRPr="00E1503A">
              <w:rPr>
                <w:rFonts w:ascii="Times New Roman" w:hAnsi="Times New Roman"/>
                <w:lang w:val="ro-RO"/>
              </w:rPr>
              <w:t xml:space="preserve"> </w:t>
            </w:r>
            <w:r w:rsidRPr="00E1503A">
              <w:rPr>
                <w:rFonts w:ascii="Times New Roman" w:hAnsi="Times New Roman"/>
                <w:lang w:val="ro-RO"/>
              </w:rPr>
              <w:t>elementelor</w:t>
            </w:r>
            <w:r w:rsidR="00032B46" w:rsidRPr="00E1503A">
              <w:rPr>
                <w:rFonts w:ascii="Times New Roman" w:hAnsi="Times New Roman"/>
                <w:lang w:val="ro-RO"/>
              </w:rPr>
              <w:t xml:space="preserve"> </w:t>
            </w:r>
            <w:r w:rsidRPr="00E1503A">
              <w:rPr>
                <w:rFonts w:ascii="Times New Roman" w:hAnsi="Times New Roman"/>
                <w:lang w:val="ro-RO"/>
              </w:rPr>
              <w:t>noi</w:t>
            </w:r>
          </w:p>
        </w:tc>
      </w:tr>
      <w:tr w:rsidR="00E1503A" w:rsidRPr="00015248" w14:paraId="6E9EE771" w14:textId="77777777" w:rsidTr="00E1503A">
        <w:tc>
          <w:tcPr>
            <w:tcW w:w="9109" w:type="dxa"/>
            <w:tcBorders>
              <w:top w:val="single" w:sz="8" w:space="0" w:color="000000"/>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94F6F" w14:textId="5824C9BC" w:rsidR="00CE11D1" w:rsidRPr="00CE11D1" w:rsidRDefault="00E1503A" w:rsidP="00311F5B">
            <w:pPr>
              <w:jc w:val="both"/>
              <w:rPr>
                <w:rFonts w:ascii="Times New Roman" w:hAnsi="Times New Roman"/>
                <w:lang w:val="ro-RO"/>
              </w:rPr>
            </w:pPr>
            <w:proofErr w:type="spellStart"/>
            <w:r w:rsidRPr="00E1503A">
              <w:rPr>
                <w:rFonts w:ascii="Times New Roman" w:hAnsi="Times New Roman"/>
                <w:lang w:val="fr-FR"/>
              </w:rPr>
              <w:t>Proiectul</w:t>
            </w:r>
            <w:proofErr w:type="spellEnd"/>
            <w:r w:rsidRPr="00E1503A">
              <w:rPr>
                <w:rFonts w:ascii="Times New Roman" w:hAnsi="Times New Roman"/>
                <w:lang w:val="ru-RU"/>
              </w:rPr>
              <w:t xml:space="preserve"> </w:t>
            </w:r>
            <w:r w:rsidRPr="00E1503A">
              <w:rPr>
                <w:rFonts w:ascii="Times New Roman" w:hAnsi="Times New Roman"/>
                <w:lang w:val="fr-FR"/>
              </w:rPr>
              <w:t>de</w:t>
            </w:r>
            <w:r w:rsidRPr="00E1503A">
              <w:rPr>
                <w:rFonts w:ascii="Times New Roman" w:hAnsi="Times New Roman"/>
                <w:lang w:val="ru-RU"/>
              </w:rPr>
              <w:t xml:space="preserve"> </w:t>
            </w:r>
            <w:proofErr w:type="spellStart"/>
            <w:r w:rsidRPr="00E1503A">
              <w:rPr>
                <w:rFonts w:ascii="Times New Roman" w:hAnsi="Times New Roman"/>
                <w:lang w:val="fr-FR"/>
              </w:rPr>
              <w:t>ordin</w:t>
            </w:r>
            <w:proofErr w:type="spellEnd"/>
            <w:r w:rsidRPr="00E1503A">
              <w:rPr>
                <w:rFonts w:ascii="Times New Roman" w:hAnsi="Times New Roman"/>
                <w:lang w:val="ru-RU"/>
              </w:rPr>
              <w:t xml:space="preserve"> </w:t>
            </w:r>
            <w:proofErr w:type="spellStart"/>
            <w:r w:rsidRPr="00E1503A">
              <w:rPr>
                <w:rFonts w:ascii="Times New Roman" w:hAnsi="Times New Roman"/>
                <w:lang w:val="fr-FR"/>
              </w:rPr>
              <w:t>urm</w:t>
            </w:r>
            <w:proofErr w:type="spellEnd"/>
            <w:r w:rsidRPr="00E1503A">
              <w:rPr>
                <w:rFonts w:ascii="Times New Roman" w:hAnsi="Times New Roman"/>
                <w:lang w:val="ru-RU"/>
              </w:rPr>
              <w:t>ă</w:t>
            </w:r>
            <w:r w:rsidRPr="00E1503A">
              <w:rPr>
                <w:rFonts w:ascii="Times New Roman" w:hAnsi="Times New Roman"/>
                <w:lang w:val="fr-FR"/>
              </w:rPr>
              <w:t>re</w:t>
            </w:r>
            <w:r w:rsidRPr="00E1503A">
              <w:rPr>
                <w:rFonts w:ascii="Times New Roman" w:hAnsi="Times New Roman"/>
                <w:lang w:val="ru-RU"/>
              </w:rPr>
              <w:t>ș</w:t>
            </w:r>
            <w:r w:rsidRPr="00E1503A">
              <w:rPr>
                <w:rFonts w:ascii="Times New Roman" w:hAnsi="Times New Roman"/>
                <w:lang w:val="fr-FR"/>
              </w:rPr>
              <w:t>te</w:t>
            </w:r>
            <w:r w:rsidRPr="00E1503A">
              <w:rPr>
                <w:rFonts w:ascii="Times New Roman" w:hAnsi="Times New Roman"/>
                <w:lang w:val="ru-RU"/>
              </w:rPr>
              <w:t xml:space="preserve"> </w:t>
            </w:r>
            <w:proofErr w:type="spellStart"/>
            <w:r w:rsidRPr="00E1503A">
              <w:rPr>
                <w:rFonts w:ascii="Times New Roman" w:hAnsi="Times New Roman"/>
                <w:lang w:val="fr-FR"/>
              </w:rPr>
              <w:t>instituirea</w:t>
            </w:r>
            <w:proofErr w:type="spellEnd"/>
            <w:r w:rsidRPr="00E1503A">
              <w:rPr>
                <w:rFonts w:ascii="Times New Roman" w:hAnsi="Times New Roman"/>
                <w:lang w:val="ru-RU"/>
              </w:rPr>
              <w:t xml:space="preserve"> </w:t>
            </w:r>
            <w:proofErr w:type="spellStart"/>
            <w:r w:rsidRPr="00E1503A">
              <w:rPr>
                <w:rFonts w:ascii="Times New Roman" w:hAnsi="Times New Roman"/>
                <w:lang w:val="fr-FR"/>
              </w:rPr>
              <w:t>cadrului</w:t>
            </w:r>
            <w:proofErr w:type="spellEnd"/>
            <w:r w:rsidRPr="00E1503A">
              <w:rPr>
                <w:rFonts w:ascii="Times New Roman" w:hAnsi="Times New Roman"/>
                <w:lang w:val="ru-RU"/>
              </w:rPr>
              <w:t xml:space="preserve"> </w:t>
            </w:r>
            <w:proofErr w:type="spellStart"/>
            <w:r w:rsidRPr="00E1503A">
              <w:rPr>
                <w:rFonts w:ascii="Times New Roman" w:hAnsi="Times New Roman"/>
                <w:lang w:val="fr-FR"/>
              </w:rPr>
              <w:t>normativ</w:t>
            </w:r>
            <w:proofErr w:type="spellEnd"/>
            <w:r w:rsidRPr="00E1503A">
              <w:rPr>
                <w:rFonts w:ascii="Times New Roman" w:hAnsi="Times New Roman"/>
                <w:lang w:val="ru-RU"/>
              </w:rPr>
              <w:t xml:space="preserve"> </w:t>
            </w:r>
            <w:proofErr w:type="spellStart"/>
            <w:r w:rsidRPr="00E1503A">
              <w:rPr>
                <w:rFonts w:ascii="Times New Roman" w:hAnsi="Times New Roman"/>
                <w:lang w:val="fr-FR"/>
              </w:rPr>
              <w:t>necesar</w:t>
            </w:r>
            <w:proofErr w:type="spellEnd"/>
            <w:r w:rsidRPr="00E1503A">
              <w:rPr>
                <w:rFonts w:ascii="Times New Roman" w:hAnsi="Times New Roman"/>
                <w:lang w:val="ru-RU"/>
              </w:rPr>
              <w:t xml:space="preserve"> </w:t>
            </w:r>
            <w:proofErr w:type="spellStart"/>
            <w:r w:rsidRPr="00E1503A">
              <w:rPr>
                <w:rFonts w:ascii="Times New Roman" w:hAnsi="Times New Roman"/>
                <w:lang w:val="fr-FR"/>
              </w:rPr>
              <w:t>pentru</w:t>
            </w:r>
            <w:proofErr w:type="spellEnd"/>
            <w:r w:rsidRPr="00E1503A">
              <w:rPr>
                <w:rFonts w:ascii="Times New Roman" w:hAnsi="Times New Roman"/>
                <w:lang w:val="ru-RU"/>
              </w:rPr>
              <w:t xml:space="preserve"> </w:t>
            </w:r>
            <w:proofErr w:type="spellStart"/>
            <w:r w:rsidRPr="00E1503A">
              <w:rPr>
                <w:rFonts w:ascii="Times New Roman" w:hAnsi="Times New Roman"/>
                <w:lang w:val="fr-FR"/>
              </w:rPr>
              <w:t>aplicarea</w:t>
            </w:r>
            <w:proofErr w:type="spellEnd"/>
            <w:r w:rsidRPr="00E1503A">
              <w:rPr>
                <w:rFonts w:ascii="Times New Roman" w:hAnsi="Times New Roman"/>
                <w:lang w:val="ru-RU"/>
              </w:rPr>
              <w:t xml:space="preserve"> </w:t>
            </w:r>
            <w:r w:rsidRPr="00E1503A">
              <w:rPr>
                <w:rFonts w:ascii="Times New Roman" w:hAnsi="Times New Roman"/>
                <w:lang w:val="ro-RO"/>
              </w:rPr>
              <w:t>prevederilor menționate la articolul 39 din Legea nr.82/2024 privind controalele oficiale în domeniul agroalimentar care introduce condiții de derogare pentru desemnarea laboratoarelor.</w:t>
            </w:r>
            <w:r>
              <w:rPr>
                <w:rFonts w:ascii="Times New Roman" w:hAnsi="Times New Roman"/>
                <w:lang w:val="ro-RO"/>
              </w:rPr>
              <w:t xml:space="preserve"> </w:t>
            </w:r>
            <w:r w:rsidR="00CE11D1" w:rsidRPr="00CE11D1">
              <w:rPr>
                <w:rFonts w:ascii="Times New Roman" w:hAnsi="Times New Roman"/>
                <w:lang w:val="ro-RO"/>
              </w:rPr>
              <w:t xml:space="preserve">Astfel, articolul 39, lit. a) și b) precizează cazurile și condițiile în care pot </w:t>
            </w:r>
            <w:r w:rsidR="00CE11D1">
              <w:rPr>
                <w:rFonts w:ascii="Times New Roman" w:hAnsi="Times New Roman"/>
                <w:lang w:val="ro-RO"/>
              </w:rPr>
              <w:t xml:space="preserve">fi </w:t>
            </w:r>
            <w:r w:rsidR="00CE11D1" w:rsidRPr="00CE11D1">
              <w:rPr>
                <w:rFonts w:ascii="Times New Roman" w:hAnsi="Times New Roman"/>
                <w:lang w:val="ro-RO"/>
              </w:rPr>
              <w:t>desemna</w:t>
            </w:r>
            <w:r w:rsidR="00CE11D1">
              <w:rPr>
                <w:rFonts w:ascii="Times New Roman" w:hAnsi="Times New Roman"/>
                <w:lang w:val="ro-RO"/>
              </w:rPr>
              <w:t>te</w:t>
            </w:r>
            <w:r w:rsidR="00CE11D1" w:rsidRPr="00CE11D1">
              <w:rPr>
                <w:rFonts w:ascii="Times New Roman" w:hAnsi="Times New Roman"/>
                <w:lang w:val="ro-RO"/>
              </w:rPr>
              <w:t xml:space="preserve"> drept laboratoare oficiale laboratoarele care nu îndeplinesc condițiile </w:t>
            </w:r>
            <w:r w:rsidR="00CE11D1">
              <w:rPr>
                <w:rFonts w:ascii="Times New Roman" w:hAnsi="Times New Roman"/>
                <w:lang w:val="ro-RO"/>
              </w:rPr>
              <w:t>de desemnare,</w:t>
            </w:r>
            <w:r w:rsidR="00CE11D1" w:rsidRPr="00CE11D1">
              <w:rPr>
                <w:rFonts w:ascii="Times New Roman" w:hAnsi="Times New Roman"/>
                <w:lang w:val="ro-RO"/>
              </w:rPr>
              <w:t xml:space="preserve"> privind toate metodele pe care acestea le utilizează pentru controalele oficiale și alte activități oficiale. Aceste laboratoare pot fi desemnate cu condiția ca îndeplineas</w:t>
            </w:r>
            <w:r w:rsidR="00CE11D1">
              <w:rPr>
                <w:rFonts w:ascii="Times New Roman" w:hAnsi="Times New Roman"/>
                <w:lang w:val="ro-RO"/>
              </w:rPr>
              <w:t>c</w:t>
            </w:r>
            <w:r w:rsidR="00CE11D1" w:rsidRPr="00CE11D1">
              <w:rPr>
                <w:rFonts w:ascii="Times New Roman" w:hAnsi="Times New Roman"/>
                <w:lang w:val="ro-RO"/>
              </w:rPr>
              <w:t xml:space="preserve"> </w:t>
            </w:r>
            <w:r w:rsidR="00CE11D1">
              <w:rPr>
                <w:rFonts w:ascii="Times New Roman" w:hAnsi="Times New Roman"/>
                <w:lang w:val="ro-RO"/>
              </w:rPr>
              <w:t xml:space="preserve">următoarele </w:t>
            </w:r>
            <w:r w:rsidR="00CE11D1" w:rsidRPr="00CE11D1">
              <w:rPr>
                <w:rFonts w:ascii="Times New Roman" w:hAnsi="Times New Roman"/>
                <w:lang w:val="ro-RO"/>
              </w:rPr>
              <w:t>criterii:</w:t>
            </w:r>
          </w:p>
          <w:p w14:paraId="40994591" w14:textId="79FADAED" w:rsidR="00CE11D1" w:rsidRPr="00CE11D1" w:rsidRDefault="00CE11D1" w:rsidP="00311F5B">
            <w:pPr>
              <w:jc w:val="both"/>
              <w:rPr>
                <w:rFonts w:ascii="Times New Roman" w:hAnsi="Times New Roman"/>
                <w:lang w:val="ro-RO"/>
              </w:rPr>
            </w:pPr>
            <w:r w:rsidRPr="00B90152">
              <w:rPr>
                <w:rFonts w:ascii="Times New Roman" w:hAnsi="Times New Roman"/>
                <w:lang w:val="ro-RO"/>
              </w:rPr>
              <w:t>-</w:t>
            </w:r>
            <w:r w:rsidRPr="00CE11D1">
              <w:rPr>
                <w:rFonts w:ascii="Times New Roman" w:hAnsi="Times New Roman"/>
                <w:lang w:val="ro-RO"/>
              </w:rPr>
              <w:t xml:space="preserve"> funcțione</w:t>
            </w:r>
            <w:r w:rsidRPr="00B90152">
              <w:rPr>
                <w:rFonts w:ascii="Times New Roman" w:hAnsi="Times New Roman"/>
                <w:lang w:val="ro-RO"/>
              </w:rPr>
              <w:t>ază</w:t>
            </w:r>
            <w:r w:rsidRPr="00CE11D1">
              <w:rPr>
                <w:rFonts w:ascii="Times New Roman" w:hAnsi="Times New Roman"/>
                <w:lang w:val="ro-RO"/>
              </w:rPr>
              <w:t xml:space="preserve"> și </w:t>
            </w:r>
            <w:r w:rsidRPr="00B90152">
              <w:rPr>
                <w:rFonts w:ascii="Times New Roman" w:hAnsi="Times New Roman"/>
                <w:lang w:val="ro-RO"/>
              </w:rPr>
              <w:t>sunt</w:t>
            </w:r>
            <w:r w:rsidRPr="00CE11D1">
              <w:rPr>
                <w:rFonts w:ascii="Times New Roman" w:hAnsi="Times New Roman"/>
                <w:lang w:val="ro-RO"/>
              </w:rPr>
              <w:t xml:space="preserve"> acreditate în conformitate cu standardul SM EN ISO/IEC 17025:2018 „Cerințe generale pentru competența laboratoarelor de încercări și etalonări” pentru utilizarea unei sau mai multor metode care sunt similare și reprezentative pentru celelalte metode pe care le utilizează; și</w:t>
            </w:r>
          </w:p>
          <w:p w14:paraId="530EA969" w14:textId="691EBF27" w:rsidR="00CE11D1" w:rsidRPr="00CE11D1" w:rsidRDefault="00CE11D1" w:rsidP="00311F5B">
            <w:pPr>
              <w:jc w:val="both"/>
              <w:rPr>
                <w:rFonts w:ascii="Times New Roman" w:hAnsi="Times New Roman"/>
                <w:lang w:val="ro-RO"/>
              </w:rPr>
            </w:pPr>
            <w:r w:rsidRPr="00B90152">
              <w:rPr>
                <w:rFonts w:ascii="Times New Roman" w:hAnsi="Times New Roman"/>
                <w:lang w:val="ro-RO"/>
              </w:rPr>
              <w:t xml:space="preserve">- </w:t>
            </w:r>
            <w:r w:rsidRPr="00CE11D1">
              <w:rPr>
                <w:rFonts w:ascii="Times New Roman" w:hAnsi="Times New Roman"/>
                <w:lang w:val="ro-RO"/>
              </w:rPr>
              <w:t>utiliz</w:t>
            </w:r>
            <w:r w:rsidRPr="00B90152">
              <w:rPr>
                <w:rFonts w:ascii="Times New Roman" w:hAnsi="Times New Roman"/>
                <w:lang w:val="ro-RO"/>
              </w:rPr>
              <w:t>ează</w:t>
            </w:r>
            <w:r w:rsidRPr="00CE11D1">
              <w:rPr>
                <w:rFonts w:ascii="Times New Roman" w:hAnsi="Times New Roman"/>
                <w:lang w:val="ro-RO"/>
              </w:rPr>
              <w:t xml:space="preserve"> în mod regulat și semnificativ, metode pentru care au obținut acreditarea în conformitate cu standardul SM EN ISO/IEC 17025:2018</w:t>
            </w:r>
            <w:r w:rsidRPr="00B90152">
              <w:rPr>
                <w:rFonts w:ascii="Times New Roman" w:hAnsi="Times New Roman"/>
                <w:lang w:val="ro-RO"/>
              </w:rPr>
              <w:t>,</w:t>
            </w:r>
            <w:r w:rsidRPr="00CE11D1">
              <w:rPr>
                <w:rFonts w:ascii="Times New Roman" w:hAnsi="Times New Roman"/>
                <w:lang w:val="ro-RO"/>
              </w:rPr>
              <w:t xml:space="preserve"> exceptând</w:t>
            </w:r>
            <w:r w:rsidRPr="00B90152">
              <w:rPr>
                <w:rFonts w:ascii="Times New Roman" w:hAnsi="Times New Roman"/>
                <w:lang w:val="ro-RO"/>
              </w:rPr>
              <w:t xml:space="preserve"> </w:t>
            </w:r>
            <w:r w:rsidRPr="00CE11D1">
              <w:rPr>
                <w:rFonts w:ascii="Times New Roman" w:hAnsi="Times New Roman"/>
                <w:lang w:val="ro-RO"/>
              </w:rPr>
              <w:t xml:space="preserve">domeniul </w:t>
            </w:r>
            <w:r w:rsidRPr="00B90152">
              <w:rPr>
                <w:rFonts w:ascii="Times New Roman" w:hAnsi="Times New Roman"/>
                <w:lang w:val="ro-RO"/>
              </w:rPr>
              <w:t xml:space="preserve">protecția împotriva organismelor dăunătoare plantelor în </w:t>
            </w:r>
            <w:r w:rsidRPr="00CE11D1">
              <w:rPr>
                <w:rFonts w:ascii="Times New Roman" w:hAnsi="Times New Roman"/>
                <w:lang w:val="ro-RO"/>
              </w:rPr>
              <w:t xml:space="preserve">cazul în care nu există o metodă validată dintre cele menționate la art. 32 alin. (1) și (2) </w:t>
            </w:r>
            <w:r w:rsidR="00B90152" w:rsidRPr="00B90152">
              <w:rPr>
                <w:rFonts w:ascii="Times New Roman" w:hAnsi="Times New Roman"/>
                <w:lang w:val="ro-RO"/>
              </w:rPr>
              <w:t xml:space="preserve">din  Legea nr.82/2024 privind controalele oficiale în domeniul agroalimentar </w:t>
            </w:r>
            <w:r w:rsidRPr="00CE11D1">
              <w:rPr>
                <w:rFonts w:ascii="Times New Roman" w:hAnsi="Times New Roman"/>
                <w:lang w:val="ro-RO"/>
              </w:rPr>
              <w:t>pentru detectarea organismelor dăunătoare plantelor.”</w:t>
            </w:r>
          </w:p>
          <w:p w14:paraId="2E11E1CC" w14:textId="1F0D2114" w:rsidR="00CE11D1" w:rsidRPr="00CE11D1" w:rsidRDefault="00CE11D1" w:rsidP="00311F5B">
            <w:pPr>
              <w:jc w:val="both"/>
              <w:rPr>
                <w:rFonts w:ascii="Times New Roman" w:hAnsi="Times New Roman"/>
                <w:lang w:val="ro-RO"/>
              </w:rPr>
            </w:pPr>
            <w:r w:rsidRPr="00CE11D1">
              <w:rPr>
                <w:rFonts w:ascii="Times New Roman" w:hAnsi="Times New Roman"/>
                <w:lang w:val="ro-RO"/>
              </w:rPr>
              <w:t xml:space="preserve">Prin urmare, Agenția Națională pentru Siguranța Alimentelor </w:t>
            </w:r>
            <w:r w:rsidR="00B90152">
              <w:rPr>
                <w:rFonts w:ascii="Times New Roman" w:hAnsi="Times New Roman"/>
                <w:lang w:val="ro-RO"/>
              </w:rPr>
              <w:t>va putea</w:t>
            </w:r>
            <w:r w:rsidRPr="00CE11D1">
              <w:rPr>
                <w:rFonts w:ascii="Times New Roman" w:hAnsi="Times New Roman"/>
                <w:lang w:val="ro-RO"/>
              </w:rPr>
              <w:t xml:space="preserve"> desemna drept laboratoare oficiale</w:t>
            </w:r>
            <w:r w:rsidR="00B90152">
              <w:rPr>
                <w:rFonts w:ascii="Times New Roman" w:hAnsi="Times New Roman"/>
                <w:lang w:val="ro-RO"/>
              </w:rPr>
              <w:t>,</w:t>
            </w:r>
            <w:r w:rsidRPr="00CE11D1">
              <w:rPr>
                <w:rFonts w:ascii="Times New Roman" w:hAnsi="Times New Roman"/>
                <w:lang w:val="ro-RO"/>
              </w:rPr>
              <w:t xml:space="preserve"> acele laboratoare care nu sunt acreditate pentru toate metodele pe care le utilizează pentru controalele oficiale și alte activități oficiale, cu condiția că aceste laboratoare să dispună de un sistem de asigurare a calității și să utilizeze metode caracterizate de criteriile relevante stabilite în anexa </w:t>
            </w:r>
            <w:r w:rsidR="001757DA">
              <w:rPr>
                <w:rFonts w:ascii="Times New Roman" w:hAnsi="Times New Roman"/>
                <w:lang w:val="ro-RO"/>
              </w:rPr>
              <w:t>nr.</w:t>
            </w:r>
            <w:r w:rsidRPr="00CE11D1">
              <w:rPr>
                <w:rFonts w:ascii="Times New Roman" w:hAnsi="Times New Roman"/>
                <w:lang w:val="ro-RO"/>
              </w:rPr>
              <w:t xml:space="preserve">2 din Legea nr.82/2024 privind controalele oficiale în domeniul agroalimentar. Criteriile stabilite pentru metodele de analiză inlcud: </w:t>
            </w:r>
          </w:p>
          <w:p w14:paraId="7F102A85"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1) acuratețea (fidelitate și precizie);</w:t>
            </w:r>
          </w:p>
          <w:p w14:paraId="2A3C213C"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2) aplicabilitatea (matrice și interval de concentrare);</w:t>
            </w:r>
          </w:p>
          <w:p w14:paraId="5FD3CA72"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lastRenderedPageBreak/>
              <w:t>3) limita de detecție;</w:t>
            </w:r>
          </w:p>
          <w:p w14:paraId="5B0A5479"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4) limita de cuantificare;</w:t>
            </w:r>
          </w:p>
          <w:p w14:paraId="365796BA"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5) precizia;</w:t>
            </w:r>
          </w:p>
          <w:p w14:paraId="593E1F35"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6) repetabilitatea;</w:t>
            </w:r>
          </w:p>
          <w:p w14:paraId="3F401297"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7) reproductibilitatea;</w:t>
            </w:r>
          </w:p>
          <w:p w14:paraId="1815F8A2"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8) recuperarea;</w:t>
            </w:r>
          </w:p>
          <w:p w14:paraId="1DF02729"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9) selectivitatea;</w:t>
            </w:r>
          </w:p>
          <w:p w14:paraId="211B0E3D"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10) sensibilitatea;</w:t>
            </w:r>
          </w:p>
          <w:p w14:paraId="25FDF26F"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11) liniaritatea;</w:t>
            </w:r>
          </w:p>
          <w:p w14:paraId="1A4A4F9D"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12) incertitudinea de măsurare;</w:t>
            </w:r>
          </w:p>
          <w:p w14:paraId="2FDCF1DC" w14:textId="77777777" w:rsidR="00CE11D1" w:rsidRPr="00CE11D1" w:rsidRDefault="00CE11D1" w:rsidP="00311F5B">
            <w:pPr>
              <w:jc w:val="both"/>
              <w:rPr>
                <w:rFonts w:ascii="Times New Roman" w:hAnsi="Times New Roman"/>
                <w:lang w:val="ro-MD"/>
              </w:rPr>
            </w:pPr>
            <w:r w:rsidRPr="00CE11D1">
              <w:rPr>
                <w:rFonts w:ascii="Times New Roman" w:hAnsi="Times New Roman"/>
                <w:lang w:val="ro-MD"/>
              </w:rPr>
              <w:t>13) alte criterii care pot fi selectate, după caz.</w:t>
            </w:r>
          </w:p>
          <w:p w14:paraId="116BC630" w14:textId="69AA5176" w:rsidR="00E1503A" w:rsidRPr="00B90152" w:rsidRDefault="00B90152" w:rsidP="00311F5B">
            <w:pPr>
              <w:jc w:val="both"/>
              <w:rPr>
                <w:rFonts w:ascii="Times New Roman" w:hAnsi="Times New Roman"/>
                <w:lang w:val="ro-MD"/>
              </w:rPr>
            </w:pPr>
            <w:r w:rsidRPr="00CE11D1">
              <w:rPr>
                <w:rFonts w:ascii="Times New Roman" w:hAnsi="Times New Roman"/>
                <w:lang w:val="ro-MD"/>
              </w:rPr>
              <w:t xml:space="preserve">În domeniul </w:t>
            </w:r>
            <w:r w:rsidR="00AB7695" w:rsidRPr="003321EA">
              <w:rPr>
                <w:rFonts w:ascii="Times New Roman" w:hAnsi="Times New Roman"/>
                <w:lang w:val="ro-RO"/>
              </w:rPr>
              <w:t>domeniul sănătății plantelor</w:t>
            </w:r>
            <w:r w:rsidRPr="00CE11D1">
              <w:rPr>
                <w:rFonts w:ascii="Times New Roman" w:hAnsi="Times New Roman"/>
                <w:lang w:val="ro-MD"/>
              </w:rPr>
              <w:t xml:space="preserve">, </w:t>
            </w:r>
            <w:r w:rsidR="00AB7695">
              <w:rPr>
                <w:rFonts w:ascii="Times New Roman" w:hAnsi="Times New Roman"/>
                <w:lang w:val="ro-MD"/>
              </w:rPr>
              <w:t>conform proiectului de ordin, vor putea</w:t>
            </w:r>
            <w:r w:rsidRPr="00CE11D1">
              <w:rPr>
                <w:rFonts w:ascii="Times New Roman" w:hAnsi="Times New Roman"/>
                <w:lang w:val="ro-MD"/>
              </w:rPr>
              <w:t xml:space="preserve"> </w:t>
            </w:r>
            <w:r w:rsidR="00AB7695">
              <w:rPr>
                <w:rFonts w:ascii="Times New Roman" w:hAnsi="Times New Roman"/>
                <w:lang w:val="ro-MD"/>
              </w:rPr>
              <w:t xml:space="preserve">fi </w:t>
            </w:r>
            <w:r w:rsidRPr="00CE11D1">
              <w:rPr>
                <w:rFonts w:ascii="Times New Roman" w:hAnsi="Times New Roman"/>
                <w:lang w:val="ro-MD"/>
              </w:rPr>
              <w:t>desemna</w:t>
            </w:r>
            <w:r w:rsidR="00AB7695">
              <w:rPr>
                <w:rFonts w:ascii="Times New Roman" w:hAnsi="Times New Roman"/>
                <w:lang w:val="ro-MD"/>
              </w:rPr>
              <w:t>te</w:t>
            </w:r>
            <w:r w:rsidRPr="00CE11D1">
              <w:rPr>
                <w:rFonts w:ascii="Times New Roman" w:hAnsi="Times New Roman"/>
                <w:lang w:val="ro-MD"/>
              </w:rPr>
              <w:t xml:space="preserve"> drept laboratoare oficiale acele laboratoare care doresc să utilizeze o metodă pentru care nu au acreditare și care sunt deja acreditate pentru cel puțin o metodă de utilizare pentru un organism dăunător din același grup de organisme, și anume nematode, bacterii, ciuperci și oomycete, virusuri, viroizi și fitoplasme, insecte și acarieni, ca organism dăunător pentru care se utilizează metoda neacreditată.</w:t>
            </w:r>
          </w:p>
        </w:tc>
      </w:tr>
      <w:tr w:rsidR="006D3EB7" w:rsidRPr="005535FB" w14:paraId="3761439B" w14:textId="77777777" w:rsidTr="00E1503A">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37144F0C" w:rsidR="00D927DB" w:rsidRPr="005535FB" w:rsidRDefault="00D927DB" w:rsidP="00F37ED4">
            <w:pPr>
              <w:rPr>
                <w:rFonts w:ascii="Times New Roman" w:hAnsi="Times New Roman"/>
                <w:lang w:val="ro-RO"/>
              </w:rPr>
            </w:pPr>
            <w:r w:rsidRPr="005535FB">
              <w:rPr>
                <w:rFonts w:ascii="Times New Roman" w:hAnsi="Times New Roman"/>
                <w:lang w:val="ro-RO"/>
              </w:rPr>
              <w:lastRenderedPageBreak/>
              <w:t>3.2.</w:t>
            </w:r>
            <w:r w:rsidR="00032B46" w:rsidRPr="005535FB">
              <w:rPr>
                <w:rFonts w:ascii="Times New Roman" w:hAnsi="Times New Roman"/>
                <w:lang w:val="ro-RO"/>
              </w:rPr>
              <w:t xml:space="preserve"> </w:t>
            </w:r>
            <w:r w:rsidRPr="005535FB">
              <w:rPr>
                <w:rFonts w:ascii="Times New Roman" w:hAnsi="Times New Roman"/>
                <w:lang w:val="ro-RO"/>
              </w:rPr>
              <w:t>Op</w:t>
            </w:r>
            <w:r w:rsidR="00863417" w:rsidRPr="005535FB">
              <w:rPr>
                <w:rFonts w:ascii="Times New Roman" w:hAnsi="Times New Roman"/>
                <w:lang w:val="ro-RO"/>
              </w:rPr>
              <w:t>ț</w:t>
            </w:r>
            <w:r w:rsidRPr="005535FB">
              <w:rPr>
                <w:rFonts w:ascii="Times New Roman" w:hAnsi="Times New Roman"/>
                <w:lang w:val="ro-RO"/>
              </w:rPr>
              <w:t>iunile</w:t>
            </w:r>
            <w:r w:rsidR="00032B46" w:rsidRPr="005535FB">
              <w:rPr>
                <w:rFonts w:ascii="Times New Roman" w:hAnsi="Times New Roman"/>
                <w:lang w:val="ro-RO"/>
              </w:rPr>
              <w:t xml:space="preserve"> </w:t>
            </w:r>
            <w:r w:rsidRPr="005535FB">
              <w:rPr>
                <w:rFonts w:ascii="Times New Roman" w:hAnsi="Times New Roman"/>
                <w:lang w:val="ro-RO"/>
              </w:rPr>
              <w:t>alternative</w:t>
            </w:r>
            <w:r w:rsidR="00032B46" w:rsidRPr="005535FB">
              <w:rPr>
                <w:rFonts w:ascii="Times New Roman" w:hAnsi="Times New Roman"/>
                <w:lang w:val="ro-RO"/>
              </w:rPr>
              <w:t xml:space="preserve"> </w:t>
            </w:r>
            <w:r w:rsidRPr="005535FB">
              <w:rPr>
                <w:rFonts w:ascii="Times New Roman" w:hAnsi="Times New Roman"/>
                <w:lang w:val="ro-RO"/>
              </w:rPr>
              <w:t>analizate</w:t>
            </w:r>
            <w:r w:rsidR="00032B46" w:rsidRPr="005535FB">
              <w:rPr>
                <w:rFonts w:ascii="Times New Roman" w:hAnsi="Times New Roman"/>
                <w:lang w:val="ro-RO"/>
              </w:rPr>
              <w:t xml:space="preserve"> </w:t>
            </w:r>
            <w:r w:rsidR="00863417" w:rsidRPr="005535FB">
              <w:rPr>
                <w:rFonts w:ascii="Times New Roman" w:hAnsi="Times New Roman"/>
                <w:lang w:val="ro-RO"/>
              </w:rPr>
              <w:t>ș</w:t>
            </w:r>
            <w:r w:rsidRPr="005535FB">
              <w:rPr>
                <w:rFonts w:ascii="Times New Roman" w:hAnsi="Times New Roman"/>
                <w:lang w:val="ro-RO"/>
              </w:rPr>
              <w:t>i</w:t>
            </w:r>
            <w:r w:rsidR="00032B46" w:rsidRPr="005535FB">
              <w:rPr>
                <w:rFonts w:ascii="Times New Roman" w:hAnsi="Times New Roman"/>
                <w:lang w:val="ro-RO"/>
              </w:rPr>
              <w:t xml:space="preserve"> </w:t>
            </w:r>
            <w:r w:rsidRPr="005535FB">
              <w:rPr>
                <w:rFonts w:ascii="Times New Roman" w:hAnsi="Times New Roman"/>
                <w:lang w:val="ro-RO"/>
              </w:rPr>
              <w:t>motivele</w:t>
            </w:r>
            <w:r w:rsidR="00032B46" w:rsidRPr="005535FB">
              <w:rPr>
                <w:rFonts w:ascii="Times New Roman" w:hAnsi="Times New Roman"/>
                <w:lang w:val="ro-RO"/>
              </w:rPr>
              <w:t xml:space="preserve"> </w:t>
            </w:r>
            <w:r w:rsidR="00E44F7F" w:rsidRPr="005535FB">
              <w:rPr>
                <w:rFonts w:ascii="Times New Roman" w:hAnsi="Times New Roman"/>
                <w:lang w:val="ro-RO"/>
              </w:rPr>
              <w:t>pentru</w:t>
            </w:r>
            <w:r w:rsidR="00032B46" w:rsidRPr="005535FB">
              <w:rPr>
                <w:rFonts w:ascii="Times New Roman" w:hAnsi="Times New Roman"/>
                <w:lang w:val="ro-RO"/>
              </w:rPr>
              <w:t xml:space="preserve"> </w:t>
            </w:r>
            <w:r w:rsidR="00E44F7F" w:rsidRPr="005535FB">
              <w:rPr>
                <w:rFonts w:ascii="Times New Roman" w:hAnsi="Times New Roman"/>
                <w:lang w:val="ro-RO"/>
              </w:rPr>
              <w:t>care</w:t>
            </w:r>
            <w:r w:rsidR="00032B46" w:rsidRPr="005535FB">
              <w:rPr>
                <w:rFonts w:ascii="Times New Roman" w:hAnsi="Times New Roman"/>
                <w:lang w:val="ro-RO"/>
              </w:rPr>
              <w:t xml:space="preserve"> </w:t>
            </w:r>
            <w:r w:rsidRPr="005535FB">
              <w:rPr>
                <w:rFonts w:ascii="Times New Roman" w:hAnsi="Times New Roman"/>
                <w:lang w:val="ro-RO"/>
              </w:rPr>
              <w:t>acestea</w:t>
            </w:r>
            <w:r w:rsidR="00032B46" w:rsidRPr="005535FB">
              <w:rPr>
                <w:rFonts w:ascii="Times New Roman" w:hAnsi="Times New Roman"/>
                <w:lang w:val="ro-RO"/>
              </w:rPr>
              <w:t xml:space="preserve"> </w:t>
            </w:r>
            <w:r w:rsidRPr="005535FB">
              <w:rPr>
                <w:rFonts w:ascii="Times New Roman" w:hAnsi="Times New Roman"/>
                <w:lang w:val="ro-RO"/>
              </w:rPr>
              <w:t>nu</w:t>
            </w:r>
            <w:r w:rsidR="00032B46" w:rsidRPr="005535FB">
              <w:rPr>
                <w:rFonts w:ascii="Times New Roman" w:hAnsi="Times New Roman"/>
                <w:lang w:val="ro-RO"/>
              </w:rPr>
              <w:t xml:space="preserve"> </w:t>
            </w:r>
            <w:r w:rsidRPr="005535FB">
              <w:rPr>
                <w:rFonts w:ascii="Times New Roman" w:hAnsi="Times New Roman"/>
                <w:lang w:val="ro-RO"/>
              </w:rPr>
              <w:t>au</w:t>
            </w:r>
            <w:r w:rsidR="00032B46" w:rsidRPr="005535FB">
              <w:rPr>
                <w:rFonts w:ascii="Times New Roman" w:hAnsi="Times New Roman"/>
                <w:lang w:val="ro-RO"/>
              </w:rPr>
              <w:t xml:space="preserve"> </w:t>
            </w:r>
            <w:r w:rsidRPr="005535FB">
              <w:rPr>
                <w:rFonts w:ascii="Times New Roman" w:hAnsi="Times New Roman"/>
                <w:lang w:val="ro-RO"/>
              </w:rPr>
              <w:t>fost</w:t>
            </w:r>
            <w:r w:rsidR="00032B46" w:rsidRPr="005535FB">
              <w:rPr>
                <w:rFonts w:ascii="Times New Roman" w:hAnsi="Times New Roman"/>
                <w:lang w:val="ro-RO"/>
              </w:rPr>
              <w:t xml:space="preserve"> </w:t>
            </w:r>
            <w:r w:rsidRPr="005535FB">
              <w:rPr>
                <w:rFonts w:ascii="Times New Roman" w:hAnsi="Times New Roman"/>
                <w:lang w:val="ro-RO"/>
              </w:rPr>
              <w:t>luate</w:t>
            </w:r>
            <w:r w:rsidR="00032B46" w:rsidRPr="005535FB">
              <w:rPr>
                <w:rFonts w:ascii="Times New Roman" w:hAnsi="Times New Roman"/>
                <w:lang w:val="ro-RO"/>
              </w:rPr>
              <w:t xml:space="preserve"> </w:t>
            </w:r>
            <w:r w:rsidRPr="005535FB">
              <w:rPr>
                <w:rFonts w:ascii="Times New Roman" w:hAnsi="Times New Roman"/>
                <w:lang w:val="ro-RO"/>
              </w:rPr>
              <w:t>în</w:t>
            </w:r>
            <w:r w:rsidR="00032B46" w:rsidRPr="005535FB">
              <w:rPr>
                <w:rFonts w:ascii="Times New Roman" w:hAnsi="Times New Roman"/>
                <w:lang w:val="ro-RO"/>
              </w:rPr>
              <w:t xml:space="preserve"> </w:t>
            </w:r>
            <w:r w:rsidRPr="005535FB">
              <w:rPr>
                <w:rFonts w:ascii="Times New Roman" w:hAnsi="Times New Roman"/>
                <w:lang w:val="ro-RO"/>
              </w:rPr>
              <w:t>considerare</w:t>
            </w:r>
            <w:r w:rsidR="00E1503A">
              <w:rPr>
                <w:rFonts w:ascii="Times New Roman" w:hAnsi="Times New Roman"/>
                <w:lang w:val="ro-RO"/>
              </w:rPr>
              <w:t xml:space="preserve"> </w:t>
            </w:r>
          </w:p>
        </w:tc>
      </w:tr>
      <w:tr w:rsidR="006D3EB7" w:rsidRPr="00AB7695"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13E9CCDD" w:rsidR="008B4BE6" w:rsidRPr="00AB7695" w:rsidRDefault="00B90152" w:rsidP="00AB7695">
            <w:pPr>
              <w:autoSpaceDE w:val="0"/>
              <w:autoSpaceDN w:val="0"/>
              <w:adjustRightInd w:val="0"/>
              <w:jc w:val="both"/>
              <w:rPr>
                <w:rFonts w:ascii="Times New Roman" w:hAnsi="Times New Roman"/>
                <w:lang w:val="ro-RO"/>
              </w:rPr>
            </w:pPr>
            <w:r w:rsidRPr="00AB7695">
              <w:rPr>
                <w:rFonts w:ascii="Times New Roman" w:hAnsi="Times New Roman"/>
                <w:lang w:val="ro-RO"/>
              </w:rPr>
              <w:t xml:space="preserve">În cadrul analizei opțiunilor alternative pentru transpunerea și implementarea unui </w:t>
            </w:r>
            <w:r w:rsidR="00AB7695" w:rsidRPr="00AB7695">
              <w:rPr>
                <w:rFonts w:ascii="Times New Roman" w:hAnsi="Times New Roman"/>
                <w:lang w:val="ro-RO"/>
              </w:rPr>
              <w:t xml:space="preserve">mecanism de desemnare a laboratoarelor </w:t>
            </w:r>
            <w:r w:rsidR="00AB7695" w:rsidRPr="00AB7695">
              <w:rPr>
                <w:rFonts w:ascii="Times New Roman" w:hAnsi="Times New Roman"/>
                <w:bCs/>
                <w:lang w:val="ro-RO"/>
              </w:rPr>
              <w:t>oficiale care nu îndeplinesc condițiile privind toate metodele pe care acestea le utilizează pentru controalele oficiale sau alte activități oficiale,</w:t>
            </w:r>
            <w:r w:rsidRPr="00AB7695">
              <w:rPr>
                <w:rFonts w:ascii="Times New Roman" w:hAnsi="Times New Roman"/>
                <w:lang w:val="ro-RO"/>
              </w:rPr>
              <w:t>s</w:t>
            </w:r>
            <w:r w:rsidR="00AB7695" w:rsidRPr="00AB7695">
              <w:rPr>
                <w:rFonts w:ascii="Times New Roman" w:hAnsi="Times New Roman"/>
                <w:lang w:val="ro-RO"/>
              </w:rPr>
              <w:t>e</w:t>
            </w:r>
            <w:r w:rsidRPr="00AB7695">
              <w:rPr>
                <w:rFonts w:ascii="Times New Roman" w:hAnsi="Times New Roman"/>
                <w:lang w:val="ro-RO"/>
              </w:rPr>
              <w:t xml:space="preserve"> </w:t>
            </w:r>
            <w:r w:rsidR="00AB7695" w:rsidRPr="00AB7695">
              <w:rPr>
                <w:rFonts w:ascii="Times New Roman" w:hAnsi="Times New Roman"/>
                <w:lang w:val="ro-RO"/>
              </w:rPr>
              <w:t>constată</w:t>
            </w:r>
            <w:r w:rsidRPr="00AB7695">
              <w:rPr>
                <w:rFonts w:ascii="Times New Roman" w:hAnsi="Times New Roman"/>
                <w:lang w:val="ro-RO"/>
              </w:rPr>
              <w:t xml:space="preserve"> </w:t>
            </w:r>
            <w:r w:rsidR="00AB7695" w:rsidRPr="00AB7695">
              <w:rPr>
                <w:rFonts w:ascii="Times New Roman" w:hAnsi="Times New Roman"/>
                <w:lang w:val="ro-RO"/>
              </w:rPr>
              <w:t>lipsa</w:t>
            </w:r>
            <w:r w:rsidRPr="00AB7695">
              <w:rPr>
                <w:rFonts w:ascii="Times New Roman" w:hAnsi="Times New Roman"/>
                <w:lang w:val="ro-RO"/>
              </w:rPr>
              <w:t xml:space="preserve"> soluții</w:t>
            </w:r>
            <w:r w:rsidR="00AB7695" w:rsidRPr="00AB7695">
              <w:rPr>
                <w:rFonts w:ascii="Times New Roman" w:hAnsi="Times New Roman"/>
                <w:lang w:val="ro-RO"/>
              </w:rPr>
              <w:t>lor</w:t>
            </w:r>
            <w:r w:rsidRPr="00AB7695">
              <w:rPr>
                <w:rFonts w:ascii="Times New Roman" w:hAnsi="Times New Roman"/>
                <w:lang w:val="ro-RO"/>
              </w:rPr>
              <w:t xml:space="preserve"> viabile care să asigure alinierea completă la cerințele Uniunii Europene și la angajamentele asumate de Republica Moldova.</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lang w:val="ro-RO"/>
              </w:rPr>
            </w:pPr>
            <w:r w:rsidRPr="005535FB">
              <w:rPr>
                <w:rFonts w:ascii="Times New Roman" w:hAnsi="Times New Roman"/>
                <w:b/>
                <w:bCs/>
                <w:lang w:val="ro-RO"/>
              </w:rPr>
              <w:t>4.</w:t>
            </w:r>
            <w:r w:rsidR="00032B46" w:rsidRPr="005535FB">
              <w:rPr>
                <w:rFonts w:ascii="Times New Roman" w:hAnsi="Times New Roman"/>
                <w:b/>
                <w:bCs/>
                <w:lang w:val="ro-RO"/>
              </w:rPr>
              <w:t xml:space="preserve"> </w:t>
            </w:r>
            <w:r w:rsidRPr="005535FB">
              <w:rPr>
                <w:rFonts w:ascii="Times New Roman" w:hAnsi="Times New Roman"/>
                <w:b/>
                <w:bCs/>
                <w:lang w:val="ro-RO"/>
              </w:rPr>
              <w:t>Analiza</w:t>
            </w:r>
            <w:r w:rsidR="00032B46" w:rsidRPr="005535FB">
              <w:rPr>
                <w:rFonts w:ascii="Times New Roman" w:hAnsi="Times New Roman"/>
                <w:b/>
                <w:bCs/>
                <w:lang w:val="ro-RO"/>
              </w:rPr>
              <w:t xml:space="preserve"> </w:t>
            </w:r>
            <w:r w:rsidRPr="005535FB">
              <w:rPr>
                <w:rFonts w:ascii="Times New Roman" w:hAnsi="Times New Roman"/>
                <w:b/>
                <w:bCs/>
                <w:lang w:val="ro-RO"/>
              </w:rPr>
              <w:t>impactului</w:t>
            </w:r>
            <w:r w:rsidR="00032B46" w:rsidRPr="005535FB">
              <w:rPr>
                <w:rFonts w:ascii="Times New Roman" w:hAnsi="Times New Roman"/>
                <w:b/>
                <w:bCs/>
                <w:lang w:val="ro-RO"/>
              </w:rPr>
              <w:t xml:space="preserve"> </w:t>
            </w:r>
            <w:r w:rsidRPr="005535FB">
              <w:rPr>
                <w:rFonts w:ascii="Times New Roman" w:hAnsi="Times New Roman"/>
                <w:b/>
                <w:bCs/>
                <w:lang w:val="ro-RO"/>
              </w:rPr>
              <w:t>de</w:t>
            </w:r>
            <w:r w:rsidR="00032B46" w:rsidRPr="005535FB">
              <w:rPr>
                <w:rFonts w:ascii="Times New Roman" w:hAnsi="Times New Roman"/>
                <w:b/>
                <w:bCs/>
                <w:lang w:val="ro-RO"/>
              </w:rPr>
              <w:t xml:space="preserve"> </w:t>
            </w:r>
            <w:r w:rsidRPr="005535FB">
              <w:rPr>
                <w:rFonts w:ascii="Times New Roman" w:hAnsi="Times New Roman"/>
                <w:b/>
                <w:bCs/>
                <w:lang w:val="ro-RO"/>
              </w:rPr>
              <w:t>reglementare</w:t>
            </w:r>
            <w:r w:rsidR="00032B46" w:rsidRPr="005535FB">
              <w:rPr>
                <w:rFonts w:ascii="Times New Roman" w:hAnsi="Times New Roman"/>
                <w:b/>
                <w:bCs/>
                <w:lang w:val="ro-RO"/>
              </w:rPr>
              <w:t xml:space="preserve"> </w:t>
            </w:r>
          </w:p>
        </w:tc>
      </w:tr>
      <w:tr w:rsidR="006D3EB7" w:rsidRPr="005535F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1FDE9384" w:rsidR="008B4BE6" w:rsidRPr="005535FB" w:rsidRDefault="006933C3" w:rsidP="00452C6C">
            <w:pPr>
              <w:rPr>
                <w:rFonts w:ascii="Times New Roman" w:hAnsi="Times New Roman"/>
                <w:lang w:val="ro-RO"/>
              </w:rPr>
            </w:pPr>
            <w:r w:rsidRPr="005535FB">
              <w:rPr>
                <w:rFonts w:ascii="Times New Roman" w:hAnsi="Times New Roman"/>
                <w:lang w:val="ro-RO"/>
              </w:rPr>
              <w:t>4.1.</w:t>
            </w:r>
            <w:r w:rsidR="00CA2822" w:rsidRPr="005535FB">
              <w:rPr>
                <w:rFonts w:ascii="Times New Roman" w:hAnsi="Times New Roman"/>
                <w:lang w:val="ro-RO"/>
              </w:rPr>
              <w:t>Impactul</w:t>
            </w:r>
            <w:r w:rsidR="00032B46" w:rsidRPr="005535FB">
              <w:rPr>
                <w:rFonts w:ascii="Times New Roman" w:hAnsi="Times New Roman"/>
                <w:lang w:val="ro-RO"/>
              </w:rPr>
              <w:t xml:space="preserve"> </w:t>
            </w:r>
            <w:r w:rsidR="00CA2822" w:rsidRPr="005535FB">
              <w:rPr>
                <w:rFonts w:ascii="Times New Roman" w:hAnsi="Times New Roman"/>
                <w:lang w:val="ro-RO"/>
              </w:rPr>
              <w:t>asupra</w:t>
            </w:r>
            <w:r w:rsidR="00032B46" w:rsidRPr="005535FB">
              <w:rPr>
                <w:rFonts w:ascii="Times New Roman" w:hAnsi="Times New Roman"/>
                <w:lang w:val="ro-RO"/>
              </w:rPr>
              <w:t xml:space="preserve"> </w:t>
            </w:r>
            <w:r w:rsidR="00CA2822" w:rsidRPr="005535FB">
              <w:rPr>
                <w:rFonts w:ascii="Times New Roman" w:hAnsi="Times New Roman"/>
                <w:lang w:val="ro-RO"/>
              </w:rPr>
              <w:t>sectorului</w:t>
            </w:r>
            <w:r w:rsidR="00032B46" w:rsidRPr="005535FB">
              <w:rPr>
                <w:rFonts w:ascii="Times New Roman" w:hAnsi="Times New Roman"/>
                <w:lang w:val="ro-RO"/>
              </w:rPr>
              <w:t xml:space="preserve"> </w:t>
            </w:r>
            <w:r w:rsidR="00CA2822" w:rsidRPr="005535FB">
              <w:rPr>
                <w:rFonts w:ascii="Times New Roman" w:hAnsi="Times New Roman"/>
                <w:lang w:val="ro-RO"/>
              </w:rPr>
              <w:t>public</w:t>
            </w:r>
          </w:p>
        </w:tc>
      </w:tr>
      <w:tr w:rsidR="00AB7695" w:rsidRPr="00015248" w14:paraId="4DBA37C7" w14:textId="77777777" w:rsidTr="00CB468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AD9B9D0" w14:textId="228F5850" w:rsidR="00AB7695" w:rsidRPr="00CB4683" w:rsidRDefault="003905C0" w:rsidP="00CB4683">
            <w:pPr>
              <w:jc w:val="both"/>
              <w:rPr>
                <w:rFonts w:ascii="Times New Roman" w:hAnsi="Times New Roman"/>
                <w:lang w:val="ro-RO"/>
              </w:rPr>
            </w:pPr>
            <w:proofErr w:type="spellStart"/>
            <w:r>
              <w:rPr>
                <w:rFonts w:ascii="TimesNewRomanPSMT" w:hAnsi="TimesNewRomanPSMT" w:cs="TimesNewRomanPSMT"/>
                <w:lang w:val="fr-FR"/>
              </w:rPr>
              <w:t>Aprobarea</w:t>
            </w:r>
            <w:proofErr w:type="spellEnd"/>
            <w:r w:rsidR="00CB4683" w:rsidRPr="00CB4683">
              <w:rPr>
                <w:rFonts w:ascii="TimesNewRomanPSMT" w:hAnsi="TimesNewRomanPSMT" w:cs="TimesNewRomanPSMT"/>
                <w:lang w:val="ru-RU"/>
              </w:rPr>
              <w:t xml:space="preserve"> </w:t>
            </w:r>
            <w:proofErr w:type="spellStart"/>
            <w:r w:rsidR="00CB4683">
              <w:rPr>
                <w:rFonts w:ascii="TimesNewRomanPSMT" w:hAnsi="TimesNewRomanPSMT" w:cs="TimesNewRomanPSMT"/>
                <w:lang w:val="fr-FR"/>
              </w:rPr>
              <w:t>proiectului</w:t>
            </w:r>
            <w:proofErr w:type="spellEnd"/>
            <w:r w:rsidR="00CB4683" w:rsidRPr="00CB4683">
              <w:rPr>
                <w:rFonts w:ascii="TimesNewRomanPSMT" w:hAnsi="TimesNewRomanPSMT" w:cs="TimesNewRomanPSMT"/>
                <w:lang w:val="ru-RU"/>
              </w:rPr>
              <w:t xml:space="preserve"> </w:t>
            </w:r>
            <w:r w:rsidR="00CB4683">
              <w:rPr>
                <w:rFonts w:ascii="TimesNewRomanPSMT" w:hAnsi="TimesNewRomanPSMT" w:cs="TimesNewRomanPSMT"/>
                <w:lang w:val="fr-FR"/>
              </w:rPr>
              <w:t>de</w:t>
            </w:r>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ordin</w:t>
            </w:r>
            <w:proofErr w:type="spellEnd"/>
            <w:r w:rsidR="00CB4683" w:rsidRPr="00CB4683">
              <w:rPr>
                <w:rFonts w:ascii="TimesNewRomanPSMT" w:hAnsi="TimesNewRomanPSMT" w:cs="TimesNewRomanPSMT"/>
                <w:lang w:val="ru-RU"/>
              </w:rPr>
              <w:t xml:space="preserve"> </w:t>
            </w:r>
            <w:r w:rsidR="00CB4683" w:rsidRPr="00CB4683">
              <w:rPr>
                <w:rFonts w:ascii="TimesNewRomanPSMT" w:hAnsi="TimesNewRomanPSMT" w:cs="TimesNewRomanPSMT"/>
                <w:lang w:val="fr-FR"/>
              </w:rPr>
              <w:t>va</w:t>
            </w:r>
            <w:r w:rsidR="00CB4683" w:rsidRPr="00CB4683">
              <w:rPr>
                <w:rFonts w:ascii="TimesNewRomanPSMT" w:hAnsi="TimesNewRomanPSMT" w:cs="TimesNewRomanPSMT"/>
                <w:lang w:val="ru-RU"/>
              </w:rPr>
              <w:t xml:space="preserve"> </w:t>
            </w:r>
            <w:r w:rsidR="00CB4683">
              <w:rPr>
                <w:rFonts w:ascii="TimesNewRomanPSMT" w:hAnsi="TimesNewRomanPSMT" w:cs="TimesNewRomanPSMT"/>
                <w:lang w:val="fr-FR"/>
              </w:rPr>
              <w:t>consolida</w:t>
            </w:r>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cadrul</w:t>
            </w:r>
            <w:proofErr w:type="spellEnd"/>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normativ</w:t>
            </w:r>
            <w:proofErr w:type="spellEnd"/>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secundar</w:t>
            </w:r>
            <w:proofErr w:type="spellEnd"/>
            <w:r w:rsidR="00CB4683" w:rsidRPr="00CB4683">
              <w:rPr>
                <w:rFonts w:ascii="TimesNewRomanPSMT" w:hAnsi="TimesNewRomanPSMT" w:cs="TimesNewRomanPSMT"/>
                <w:lang w:val="ru-RU"/>
              </w:rPr>
              <w:t xml:space="preserve"> </w:t>
            </w:r>
            <w:proofErr w:type="spellStart"/>
            <w:r w:rsidR="00CB4683">
              <w:rPr>
                <w:rFonts w:ascii="TimesNewRomanPSMT" w:hAnsi="TimesNewRomanPSMT" w:cs="TimesNewRomanPSMT"/>
                <w:lang w:val="fr-FR"/>
              </w:rPr>
              <w:t>privind</w:t>
            </w:r>
            <w:proofErr w:type="spellEnd"/>
            <w:r w:rsidR="00CB4683" w:rsidRPr="00CB4683">
              <w:rPr>
                <w:rFonts w:ascii="TimesNewRomanPSMT" w:hAnsi="TimesNewRomanPSMT" w:cs="TimesNewRomanPSMT"/>
                <w:lang w:val="ru-RU"/>
              </w:rPr>
              <w:t xml:space="preserve"> </w:t>
            </w:r>
            <w:proofErr w:type="spellStart"/>
            <w:r w:rsidR="00CB4683">
              <w:rPr>
                <w:rFonts w:ascii="TimesNewRomanPSMT" w:hAnsi="TimesNewRomanPSMT" w:cs="TimesNewRomanPSMT"/>
                <w:lang w:val="fr-FR"/>
              </w:rPr>
              <w:t>siguran</w:t>
            </w:r>
            <w:proofErr w:type="spellEnd"/>
            <w:r w:rsidR="00CB4683" w:rsidRPr="00CB4683">
              <w:rPr>
                <w:rFonts w:ascii="TimesNewRomanPSMT" w:hAnsi="TimesNewRomanPSMT" w:cs="TimesNewRomanPSMT"/>
                <w:lang w:val="ru-RU"/>
              </w:rPr>
              <w:t>ț</w:t>
            </w:r>
            <w:proofErr w:type="spellStart"/>
            <w:r w:rsidR="00CB4683">
              <w:rPr>
                <w:rFonts w:ascii="TimesNewRomanPSMT" w:hAnsi="TimesNewRomanPSMT" w:cs="TimesNewRomanPSMT"/>
                <w:lang w:val="fr-FR"/>
              </w:rPr>
              <w:t>a</w:t>
            </w:r>
            <w:proofErr w:type="spellEnd"/>
            <w:r w:rsidR="00CB4683" w:rsidRPr="00CB4683">
              <w:rPr>
                <w:rFonts w:ascii="TimesNewRomanPSMT" w:hAnsi="TimesNewRomanPSMT" w:cs="TimesNewRomanPSMT"/>
                <w:lang w:val="ru-RU"/>
              </w:rPr>
              <w:t xml:space="preserve"> </w:t>
            </w:r>
            <w:proofErr w:type="spellStart"/>
            <w:r w:rsidR="00CB4683">
              <w:rPr>
                <w:rFonts w:ascii="TimesNewRomanPSMT" w:hAnsi="TimesNewRomanPSMT" w:cs="TimesNewRomanPSMT"/>
                <w:lang w:val="fr-FR"/>
              </w:rPr>
              <w:t>alimentelor</w:t>
            </w:r>
            <w:proofErr w:type="spellEnd"/>
            <w:r w:rsidR="00CB4683" w:rsidRPr="00CB4683">
              <w:rPr>
                <w:rFonts w:ascii="TimesNewRomanPSMT" w:hAnsi="TimesNewRomanPSMT" w:cs="TimesNewRomanPSMT"/>
                <w:lang w:val="ru-RU"/>
              </w:rPr>
              <w:t>, î</w:t>
            </w:r>
            <w:r w:rsidR="00CB4683" w:rsidRPr="00CB4683">
              <w:rPr>
                <w:rFonts w:ascii="TimesNewRomanPSMT" w:hAnsi="TimesNewRomanPSMT" w:cs="TimesNewRomanPSMT"/>
                <w:lang w:val="fr-FR"/>
              </w:rPr>
              <w:t>n</w:t>
            </w:r>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concordan</w:t>
            </w:r>
            <w:r w:rsidR="00CB4683" w:rsidRPr="00CB4683">
              <w:rPr>
                <w:rFonts w:ascii="TimesNewRomanPSMT" w:hAnsi="TimesNewRomanPSMT" w:cs="TimesNewRomanPSMT"/>
                <w:lang w:val="ru-RU"/>
              </w:rPr>
              <w:t>ță</w:t>
            </w:r>
            <w:proofErr w:type="spellEnd"/>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cu</w:t>
            </w:r>
            <w:proofErr w:type="spellEnd"/>
            <w:r w:rsidR="00CB4683" w:rsidRPr="00CB4683">
              <w:rPr>
                <w:rFonts w:ascii="TimesNewRomanPSMT" w:hAnsi="TimesNewRomanPSMT" w:cs="TimesNewRomanPSMT"/>
                <w:lang w:val="ru-RU"/>
              </w:rPr>
              <w:t xml:space="preserve"> </w:t>
            </w:r>
            <w:proofErr w:type="spellStart"/>
            <w:r w:rsidR="00CB4683" w:rsidRPr="00CB4683">
              <w:rPr>
                <w:rFonts w:ascii="TimesNewRomanPSMT" w:hAnsi="TimesNewRomanPSMT" w:cs="TimesNewRomanPSMT"/>
                <w:lang w:val="fr-FR"/>
              </w:rPr>
              <w:t>Regulamentul</w:t>
            </w:r>
            <w:proofErr w:type="spellEnd"/>
            <w:r w:rsidR="00CB4683" w:rsidRPr="00CB4683">
              <w:rPr>
                <w:rFonts w:ascii="TimesNewRomanPSMT" w:hAnsi="TimesNewRomanPSMT" w:cs="TimesNewRomanPSMT"/>
                <w:lang w:val="ru-RU"/>
              </w:rPr>
              <w:t xml:space="preserve"> </w:t>
            </w:r>
            <w:r w:rsidR="00CB4683" w:rsidRPr="003321EA">
              <w:rPr>
                <w:rFonts w:ascii="Times New Roman" w:hAnsi="Times New Roman"/>
                <w:lang w:val="ro-RO"/>
              </w:rPr>
              <w:t>delegat (UE) 2021/1353 al Comisiei din 17 mai 2021 de completare a Regulamentului (UE) 2017/625 al Parlamentului European și al Consiliului în ceea ce privește cazurile și condițiile în care autoritățile competente pot desemna drept laboratoare oficiale laboratoarele care nu îndeplinesc condițiile privind toate metodele pe care acestea le utilizează pentru controalele oficiale sau alte activități oficiale.</w:t>
            </w:r>
            <w:r w:rsidR="00CB4683">
              <w:rPr>
                <w:rFonts w:ascii="Times New Roman" w:hAnsi="Times New Roman"/>
                <w:lang w:val="ro-RO"/>
              </w:rPr>
              <w:t xml:space="preserve"> La fel, va oferi temei juridic pentru Agenția Națională pentru Siguranța Alimentelor de a aplica condițiile de derogare în procesul de desemnare a laboratoarelor.</w:t>
            </w:r>
          </w:p>
        </w:tc>
      </w:tr>
      <w:tr w:rsidR="006D3EB7" w:rsidRPr="00015248" w14:paraId="44F24487" w14:textId="77777777" w:rsidTr="00230192">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452C6C">
            <w:pPr>
              <w:rPr>
                <w:rFonts w:ascii="Times New Roman" w:hAnsi="Times New Roman"/>
                <w:lang w:val="ro-RO"/>
              </w:rPr>
            </w:pPr>
            <w:r w:rsidRPr="00AB0923">
              <w:rPr>
                <w:rFonts w:ascii="Times New Roman" w:hAnsi="Times New Roman"/>
                <w:lang w:val="ro-RO"/>
              </w:rPr>
              <w:t>4.2.</w:t>
            </w:r>
            <w:r w:rsidR="00032B46" w:rsidRPr="005535FB">
              <w:rPr>
                <w:rFonts w:ascii="Times New Roman" w:hAnsi="Times New Roman"/>
                <w:lang w:val="ro-RO"/>
              </w:rPr>
              <w:t xml:space="preserve"> </w:t>
            </w:r>
            <w:r w:rsidR="00CA2822" w:rsidRPr="005535FB">
              <w:rPr>
                <w:rFonts w:ascii="Times New Roman" w:hAnsi="Times New Roman"/>
                <w:lang w:val="ro-RO"/>
              </w:rPr>
              <w:t>Impactul</w:t>
            </w:r>
            <w:r w:rsidR="00032B46" w:rsidRPr="005535FB">
              <w:rPr>
                <w:rFonts w:ascii="Times New Roman" w:hAnsi="Times New Roman"/>
                <w:lang w:val="ro-RO"/>
              </w:rPr>
              <w:t xml:space="preserve"> </w:t>
            </w:r>
            <w:r w:rsidR="00CA2822" w:rsidRPr="005535FB">
              <w:rPr>
                <w:rFonts w:ascii="Times New Roman" w:hAnsi="Times New Roman"/>
                <w:lang w:val="ro-RO"/>
              </w:rPr>
              <w:t>financiar</w:t>
            </w:r>
            <w:r w:rsidR="00032B46" w:rsidRPr="005535FB">
              <w:rPr>
                <w:rFonts w:ascii="Times New Roman" w:hAnsi="Times New Roman"/>
                <w:lang w:val="ro-RO"/>
              </w:rPr>
              <w:t xml:space="preserve"> </w:t>
            </w:r>
            <w:r w:rsidR="00863417" w:rsidRPr="005535FB">
              <w:rPr>
                <w:rFonts w:ascii="Times New Roman" w:hAnsi="Times New Roman"/>
                <w:lang w:val="ro-RO"/>
              </w:rPr>
              <w:t>ș</w:t>
            </w:r>
            <w:r w:rsidR="00CA2822" w:rsidRPr="005535FB">
              <w:rPr>
                <w:rFonts w:ascii="Times New Roman" w:hAnsi="Times New Roman"/>
                <w:lang w:val="ro-RO"/>
              </w:rPr>
              <w:t>i</w:t>
            </w:r>
            <w:r w:rsidR="00032B46" w:rsidRPr="005535FB">
              <w:rPr>
                <w:rFonts w:ascii="Times New Roman" w:hAnsi="Times New Roman"/>
                <w:lang w:val="ro-RO"/>
              </w:rPr>
              <w:t xml:space="preserve"> </w:t>
            </w:r>
            <w:r w:rsidR="00CA2822" w:rsidRPr="005535FB">
              <w:rPr>
                <w:rFonts w:ascii="Times New Roman" w:hAnsi="Times New Roman"/>
                <w:lang w:val="ro-RO"/>
              </w:rPr>
              <w:t>argumentarea</w:t>
            </w:r>
            <w:r w:rsidR="00032B46" w:rsidRPr="005535FB">
              <w:rPr>
                <w:rFonts w:ascii="Times New Roman" w:hAnsi="Times New Roman"/>
                <w:lang w:val="ro-RO"/>
              </w:rPr>
              <w:t xml:space="preserve"> </w:t>
            </w:r>
            <w:r w:rsidR="00CA2822" w:rsidRPr="005535FB">
              <w:rPr>
                <w:rFonts w:ascii="Times New Roman" w:hAnsi="Times New Roman"/>
                <w:lang w:val="ro-RO"/>
              </w:rPr>
              <w:t>costurilor</w:t>
            </w:r>
            <w:r w:rsidR="00032B46" w:rsidRPr="005535FB">
              <w:rPr>
                <w:rFonts w:ascii="Times New Roman" w:hAnsi="Times New Roman"/>
                <w:lang w:val="ro-RO"/>
              </w:rPr>
              <w:t xml:space="preserve"> </w:t>
            </w:r>
            <w:r w:rsidR="00CA2822" w:rsidRPr="005535FB">
              <w:rPr>
                <w:rFonts w:ascii="Times New Roman" w:hAnsi="Times New Roman"/>
                <w:lang w:val="ro-RO"/>
              </w:rPr>
              <w:t>estimative</w:t>
            </w:r>
          </w:p>
        </w:tc>
      </w:tr>
      <w:tr w:rsidR="00AB7695" w:rsidRPr="00015248" w14:paraId="5BE6E0AA" w14:textId="77777777" w:rsidTr="00FC58B9">
        <w:trPr>
          <w:trHeight w:val="3245"/>
        </w:trPr>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0C03F7" w14:textId="77777777" w:rsidR="00AB7695" w:rsidRDefault="00CB4683" w:rsidP="00CE5E8C">
            <w:pPr>
              <w:jc w:val="both"/>
              <w:rPr>
                <w:rFonts w:ascii="Times New Roman" w:hAnsi="Times New Roman"/>
                <w:lang w:val="ro-RO"/>
              </w:rPr>
            </w:pPr>
            <w:r w:rsidRPr="00CE5E8C">
              <w:rPr>
                <w:rFonts w:ascii="Times New Roman" w:hAnsi="Times New Roman"/>
                <w:lang w:val="ro-RO"/>
              </w:rPr>
              <w:t xml:space="preserve">Implementarea prevederilor proiectului de ordin va reduce cheltuielile Instituției Publice Centrul Național pentru </w:t>
            </w:r>
            <w:r w:rsidR="00CE5E8C" w:rsidRPr="00CE5E8C">
              <w:rPr>
                <w:rFonts w:ascii="Times New Roman" w:hAnsi="Times New Roman"/>
                <w:lang w:val="ro-RO"/>
              </w:rPr>
              <w:t>Sănătatea Animalelor, Plantelor și Siguranța Alimentelor</w:t>
            </w:r>
            <w:r w:rsidR="003905C0">
              <w:rPr>
                <w:rFonts w:ascii="Times New Roman" w:hAnsi="Times New Roman"/>
                <w:lang w:val="ro-RO"/>
              </w:rPr>
              <w:t xml:space="preserve"> sau a altor laboratoare în vederea acreditării metodelor</w:t>
            </w:r>
            <w:r w:rsidR="00CE5E8C">
              <w:rPr>
                <w:rFonts w:ascii="Times New Roman" w:hAnsi="Times New Roman"/>
                <w:lang w:val="ro-RO"/>
              </w:rPr>
              <w:t xml:space="preserve">. </w:t>
            </w:r>
            <w:r w:rsidR="001757DA">
              <w:rPr>
                <w:rFonts w:ascii="Times New Roman" w:hAnsi="Times New Roman"/>
                <w:lang w:val="ro-RO"/>
              </w:rPr>
              <w:t>S</w:t>
            </w:r>
            <w:r w:rsidR="003905C0">
              <w:rPr>
                <w:rFonts w:ascii="Times New Roman" w:hAnsi="Times New Roman"/>
                <w:lang w:val="ro-RO"/>
              </w:rPr>
              <w:t>e prezintă unele estimări în vederea implementării și acreditării metodelor</w:t>
            </w:r>
            <w:r w:rsidR="00230192">
              <w:rPr>
                <w:rFonts w:ascii="Times New Roman" w:hAnsi="Times New Roman"/>
                <w:lang w:val="ro-RO"/>
              </w:rPr>
              <w:t>.</w:t>
            </w:r>
          </w:p>
          <w:tbl>
            <w:tblPr>
              <w:tblStyle w:val="afa"/>
              <w:tblW w:w="9322" w:type="dxa"/>
              <w:tblLook w:val="04A0" w:firstRow="1" w:lastRow="0" w:firstColumn="1" w:lastColumn="0" w:noHBand="0" w:noVBand="1"/>
            </w:tblPr>
            <w:tblGrid>
              <w:gridCol w:w="936"/>
              <w:gridCol w:w="4184"/>
              <w:gridCol w:w="4202"/>
            </w:tblGrid>
            <w:tr w:rsidR="00230192" w:rsidRPr="00230192" w14:paraId="14349FDF" w14:textId="77777777" w:rsidTr="00230192">
              <w:trPr>
                <w:trHeight w:val="580"/>
              </w:trPr>
              <w:tc>
                <w:tcPr>
                  <w:tcW w:w="9322" w:type="dxa"/>
                  <w:gridSpan w:val="3"/>
                  <w:hideMark/>
                </w:tcPr>
                <w:p w14:paraId="58575AD9" w14:textId="77777777" w:rsidR="00230192" w:rsidRPr="00230192" w:rsidRDefault="00230192" w:rsidP="00230192">
                  <w:pPr>
                    <w:jc w:val="center"/>
                    <w:rPr>
                      <w:rFonts w:ascii="Times New Roman" w:hAnsi="Times New Roman"/>
                      <w:b/>
                      <w:bCs/>
                      <w:lang w:val="ro-RO"/>
                    </w:rPr>
                  </w:pPr>
                  <w:r w:rsidRPr="00230192">
                    <w:rPr>
                      <w:rFonts w:ascii="Times New Roman" w:hAnsi="Times New Roman"/>
                      <w:b/>
                      <w:bCs/>
                      <w:lang w:val="ro-RO"/>
                    </w:rPr>
                    <w:t>Costul anual pentru extinderea  unei metode acreditate</w:t>
                  </w:r>
                </w:p>
                <w:p w14:paraId="3915CBB5" w14:textId="58CAE47E" w:rsidR="00230192" w:rsidRPr="00230192" w:rsidRDefault="00230192" w:rsidP="00230192">
                  <w:pPr>
                    <w:jc w:val="center"/>
                    <w:rPr>
                      <w:rFonts w:ascii="Times New Roman" w:hAnsi="Times New Roman"/>
                      <w:b/>
                      <w:bCs/>
                      <w:lang w:val="ro-RO"/>
                    </w:rPr>
                  </w:pPr>
                  <w:r w:rsidRPr="00230192">
                    <w:rPr>
                      <w:rFonts w:ascii="Times New Roman" w:hAnsi="Times New Roman"/>
                      <w:b/>
                      <w:bCs/>
                      <w:lang w:val="ro-RO"/>
                    </w:rPr>
                    <w:t xml:space="preserve">a  serviciilor prestate                                                                </w:t>
                  </w:r>
                </w:p>
              </w:tc>
            </w:tr>
            <w:tr w:rsidR="00230192" w:rsidRPr="00230192" w14:paraId="05383AAD" w14:textId="77777777" w:rsidTr="001F49D3">
              <w:trPr>
                <w:trHeight w:val="135"/>
              </w:trPr>
              <w:tc>
                <w:tcPr>
                  <w:tcW w:w="936" w:type="dxa"/>
                  <w:hideMark/>
                </w:tcPr>
                <w:p w14:paraId="41E5DB91" w14:textId="77777777" w:rsidR="00230192" w:rsidRPr="00230192" w:rsidRDefault="00230192" w:rsidP="001F49D3">
                  <w:pPr>
                    <w:rPr>
                      <w:rFonts w:ascii="Times New Roman" w:hAnsi="Times New Roman"/>
                      <w:b/>
                      <w:lang w:val="ro-RO"/>
                    </w:rPr>
                  </w:pPr>
                  <w:r w:rsidRPr="00230192">
                    <w:rPr>
                      <w:rFonts w:ascii="Times New Roman" w:hAnsi="Times New Roman"/>
                      <w:b/>
                      <w:lang w:val="ro-RO"/>
                    </w:rPr>
                    <w:t> Nr.d/o</w:t>
                  </w:r>
                </w:p>
              </w:tc>
              <w:tc>
                <w:tcPr>
                  <w:tcW w:w="4184" w:type="dxa"/>
                  <w:hideMark/>
                </w:tcPr>
                <w:p w14:paraId="2A25344D" w14:textId="77777777" w:rsidR="00230192" w:rsidRPr="00230192" w:rsidRDefault="00230192" w:rsidP="001F49D3">
                  <w:pPr>
                    <w:rPr>
                      <w:rFonts w:ascii="Times New Roman" w:hAnsi="Times New Roman"/>
                      <w:b/>
                      <w:bCs/>
                      <w:lang w:val="ro-RO"/>
                    </w:rPr>
                  </w:pPr>
                  <w:r w:rsidRPr="00230192">
                    <w:rPr>
                      <w:rFonts w:ascii="Times New Roman" w:hAnsi="Times New Roman"/>
                      <w:b/>
                      <w:bCs/>
                      <w:lang w:val="ro-RO"/>
                    </w:rPr>
                    <w:t>Denumirea  Cheltuielilor</w:t>
                  </w:r>
                </w:p>
              </w:tc>
              <w:tc>
                <w:tcPr>
                  <w:tcW w:w="4202" w:type="dxa"/>
                  <w:hideMark/>
                </w:tcPr>
                <w:p w14:paraId="694E8B05" w14:textId="5415A43E" w:rsidR="00230192" w:rsidRPr="00230192" w:rsidRDefault="00230192" w:rsidP="001F49D3">
                  <w:pPr>
                    <w:rPr>
                      <w:rFonts w:ascii="Times New Roman" w:hAnsi="Times New Roman"/>
                      <w:b/>
                      <w:bCs/>
                      <w:lang w:val="ro-RO"/>
                    </w:rPr>
                  </w:pPr>
                  <w:r w:rsidRPr="00230192">
                    <w:rPr>
                      <w:rFonts w:ascii="Times New Roman" w:hAnsi="Times New Roman"/>
                      <w:b/>
                      <w:bCs/>
                      <w:lang w:val="ro-RO"/>
                    </w:rPr>
                    <w:t>Valoarea</w:t>
                  </w:r>
                  <w:r w:rsidR="00FC58B9">
                    <w:rPr>
                      <w:rFonts w:ascii="Times New Roman" w:hAnsi="Times New Roman"/>
                      <w:b/>
                      <w:bCs/>
                      <w:lang w:val="ro-RO"/>
                    </w:rPr>
                    <w:t xml:space="preserve"> mii </w:t>
                  </w:r>
                  <w:r w:rsidRPr="00230192">
                    <w:rPr>
                      <w:rFonts w:ascii="Times New Roman" w:hAnsi="Times New Roman"/>
                      <w:b/>
                      <w:bCs/>
                      <w:lang w:val="ro-RO"/>
                    </w:rPr>
                    <w:t>lei</w:t>
                  </w:r>
                </w:p>
              </w:tc>
            </w:tr>
            <w:tr w:rsidR="00230192" w:rsidRPr="00230192" w14:paraId="2A478E4C" w14:textId="77777777" w:rsidTr="001F49D3">
              <w:trPr>
                <w:trHeight w:val="315"/>
              </w:trPr>
              <w:tc>
                <w:tcPr>
                  <w:tcW w:w="936" w:type="dxa"/>
                  <w:hideMark/>
                </w:tcPr>
                <w:p w14:paraId="33F0D010" w14:textId="77777777" w:rsidR="00230192" w:rsidRPr="00230192" w:rsidRDefault="00230192" w:rsidP="00230192">
                  <w:pPr>
                    <w:rPr>
                      <w:rFonts w:ascii="Times New Roman" w:hAnsi="Times New Roman"/>
                      <w:lang w:val="ro-RO"/>
                    </w:rPr>
                  </w:pPr>
                  <w:r w:rsidRPr="00230192">
                    <w:rPr>
                      <w:rFonts w:ascii="Times New Roman" w:hAnsi="Times New Roman"/>
                      <w:lang w:val="ro-RO"/>
                    </w:rPr>
                    <w:t>1</w:t>
                  </w:r>
                </w:p>
              </w:tc>
              <w:tc>
                <w:tcPr>
                  <w:tcW w:w="4184" w:type="dxa"/>
                  <w:hideMark/>
                </w:tcPr>
                <w:p w14:paraId="386AB6C7" w14:textId="77777777" w:rsidR="00230192" w:rsidRPr="00230192" w:rsidRDefault="00230192" w:rsidP="00230192">
                  <w:pPr>
                    <w:rPr>
                      <w:rFonts w:ascii="Times New Roman" w:hAnsi="Times New Roman"/>
                      <w:lang w:val="ro-RO"/>
                    </w:rPr>
                  </w:pPr>
                  <w:r w:rsidRPr="00230192">
                    <w:rPr>
                      <w:rFonts w:ascii="Times New Roman" w:hAnsi="Times New Roman"/>
                      <w:lang w:val="ro-RO"/>
                    </w:rPr>
                    <w:t>Validarea metodei (costuri directe)</w:t>
                  </w:r>
                </w:p>
              </w:tc>
              <w:tc>
                <w:tcPr>
                  <w:tcW w:w="4202" w:type="dxa"/>
                  <w:noWrap/>
                  <w:hideMark/>
                </w:tcPr>
                <w:p w14:paraId="70F2B646" w14:textId="09C5CA05" w:rsidR="00230192" w:rsidRPr="00230192" w:rsidRDefault="00230192" w:rsidP="00230192">
                  <w:pPr>
                    <w:rPr>
                      <w:rFonts w:ascii="Times New Roman" w:hAnsi="Times New Roman"/>
                      <w:bCs/>
                      <w:lang w:val="ro-RO"/>
                    </w:rPr>
                  </w:pPr>
                  <w:r w:rsidRPr="00230192">
                    <w:rPr>
                      <w:rFonts w:ascii="Times New Roman" w:hAnsi="Times New Roman"/>
                      <w:bCs/>
                      <w:lang w:val="ro-RO"/>
                    </w:rPr>
                    <w:t>26</w:t>
                  </w:r>
                  <w:r w:rsidR="00FC58B9">
                    <w:rPr>
                      <w:rFonts w:ascii="Times New Roman" w:hAnsi="Times New Roman"/>
                      <w:bCs/>
                      <w:lang w:val="ro-RO"/>
                    </w:rPr>
                    <w:t>,</w:t>
                  </w:r>
                  <w:r w:rsidRPr="00230192">
                    <w:rPr>
                      <w:rFonts w:ascii="Times New Roman" w:hAnsi="Times New Roman"/>
                      <w:bCs/>
                      <w:lang w:val="ro-RO"/>
                    </w:rPr>
                    <w:t>7</w:t>
                  </w:r>
                </w:p>
              </w:tc>
            </w:tr>
            <w:tr w:rsidR="00230192" w:rsidRPr="00230192" w14:paraId="511F1C7A" w14:textId="77777777" w:rsidTr="001F49D3">
              <w:trPr>
                <w:trHeight w:val="315"/>
              </w:trPr>
              <w:tc>
                <w:tcPr>
                  <w:tcW w:w="936" w:type="dxa"/>
                  <w:hideMark/>
                </w:tcPr>
                <w:p w14:paraId="162ABE9F" w14:textId="77777777" w:rsidR="00230192" w:rsidRPr="00230192" w:rsidRDefault="00230192" w:rsidP="00230192">
                  <w:pPr>
                    <w:rPr>
                      <w:rFonts w:ascii="Times New Roman" w:hAnsi="Times New Roman"/>
                      <w:lang w:val="ro-RO"/>
                    </w:rPr>
                  </w:pPr>
                  <w:r w:rsidRPr="00230192">
                    <w:rPr>
                      <w:rFonts w:ascii="Times New Roman" w:hAnsi="Times New Roman"/>
                      <w:lang w:val="ro-RO"/>
                    </w:rPr>
                    <w:t>2</w:t>
                  </w:r>
                </w:p>
              </w:tc>
              <w:tc>
                <w:tcPr>
                  <w:tcW w:w="4184" w:type="dxa"/>
                  <w:hideMark/>
                </w:tcPr>
                <w:p w14:paraId="00DF9868" w14:textId="77777777" w:rsidR="00230192" w:rsidRPr="00230192" w:rsidRDefault="00230192" w:rsidP="00230192">
                  <w:pPr>
                    <w:rPr>
                      <w:rFonts w:ascii="Times New Roman" w:hAnsi="Times New Roman"/>
                      <w:lang w:val="ro-RO"/>
                    </w:rPr>
                  </w:pPr>
                  <w:r w:rsidRPr="00230192">
                    <w:rPr>
                      <w:rFonts w:ascii="Times New Roman" w:hAnsi="Times New Roman"/>
                      <w:lang w:val="ro-RO"/>
                    </w:rPr>
                    <w:t xml:space="preserve">Material de referinta,teste de proficienta         </w:t>
                  </w:r>
                </w:p>
              </w:tc>
              <w:tc>
                <w:tcPr>
                  <w:tcW w:w="4202" w:type="dxa"/>
                  <w:noWrap/>
                  <w:hideMark/>
                </w:tcPr>
                <w:p w14:paraId="1CE67B91" w14:textId="5455689E" w:rsidR="00230192" w:rsidRPr="00230192" w:rsidRDefault="00230192" w:rsidP="00230192">
                  <w:pPr>
                    <w:rPr>
                      <w:rFonts w:ascii="Times New Roman" w:hAnsi="Times New Roman"/>
                      <w:bCs/>
                      <w:lang w:val="ro-RO"/>
                    </w:rPr>
                  </w:pPr>
                  <w:r w:rsidRPr="00230192">
                    <w:rPr>
                      <w:rFonts w:ascii="Times New Roman" w:hAnsi="Times New Roman"/>
                      <w:bCs/>
                      <w:lang w:val="ro-RO"/>
                    </w:rPr>
                    <w:t>28</w:t>
                  </w:r>
                  <w:r w:rsidR="00FC58B9">
                    <w:rPr>
                      <w:rFonts w:ascii="Times New Roman" w:hAnsi="Times New Roman"/>
                      <w:bCs/>
                      <w:lang w:val="ro-RO"/>
                    </w:rPr>
                    <w:t>,</w:t>
                  </w:r>
                  <w:r w:rsidRPr="00230192">
                    <w:rPr>
                      <w:rFonts w:ascii="Times New Roman" w:hAnsi="Times New Roman"/>
                      <w:bCs/>
                      <w:lang w:val="ro-RO"/>
                    </w:rPr>
                    <w:t>5</w:t>
                  </w:r>
                </w:p>
              </w:tc>
            </w:tr>
            <w:tr w:rsidR="00230192" w:rsidRPr="00230192" w14:paraId="75938649" w14:textId="77777777" w:rsidTr="001F49D3">
              <w:trPr>
                <w:trHeight w:val="315"/>
              </w:trPr>
              <w:tc>
                <w:tcPr>
                  <w:tcW w:w="936" w:type="dxa"/>
                  <w:hideMark/>
                </w:tcPr>
                <w:p w14:paraId="31945F82" w14:textId="77777777" w:rsidR="00230192" w:rsidRPr="00230192" w:rsidRDefault="00230192" w:rsidP="00230192">
                  <w:pPr>
                    <w:rPr>
                      <w:rFonts w:ascii="Times New Roman" w:hAnsi="Times New Roman"/>
                      <w:lang w:val="ro-RO"/>
                    </w:rPr>
                  </w:pPr>
                  <w:r w:rsidRPr="00230192">
                    <w:rPr>
                      <w:rFonts w:ascii="Times New Roman" w:hAnsi="Times New Roman"/>
                      <w:lang w:val="ro-RO"/>
                    </w:rPr>
                    <w:t>3</w:t>
                  </w:r>
                </w:p>
              </w:tc>
              <w:tc>
                <w:tcPr>
                  <w:tcW w:w="4184" w:type="dxa"/>
                  <w:hideMark/>
                </w:tcPr>
                <w:p w14:paraId="2420BEAB" w14:textId="77777777" w:rsidR="00230192" w:rsidRPr="00230192" w:rsidRDefault="00230192" w:rsidP="00230192">
                  <w:pPr>
                    <w:rPr>
                      <w:rFonts w:ascii="Times New Roman" w:hAnsi="Times New Roman"/>
                      <w:lang w:val="ro-RO"/>
                    </w:rPr>
                  </w:pPr>
                  <w:r w:rsidRPr="00230192">
                    <w:rPr>
                      <w:rFonts w:ascii="Times New Roman" w:hAnsi="Times New Roman"/>
                      <w:lang w:val="ro-RO"/>
                    </w:rPr>
                    <w:t>Cheltuieli aferente procesului de acreditare ( extindere,etalonarea instrumentelor)</w:t>
                  </w:r>
                </w:p>
              </w:tc>
              <w:tc>
                <w:tcPr>
                  <w:tcW w:w="4202" w:type="dxa"/>
                  <w:noWrap/>
                  <w:hideMark/>
                </w:tcPr>
                <w:p w14:paraId="173F61B1" w14:textId="37E3B667" w:rsidR="00230192" w:rsidRPr="00230192" w:rsidRDefault="00230192" w:rsidP="00230192">
                  <w:pPr>
                    <w:rPr>
                      <w:rFonts w:ascii="Times New Roman" w:hAnsi="Times New Roman"/>
                      <w:bCs/>
                      <w:lang w:val="ro-RO"/>
                    </w:rPr>
                  </w:pPr>
                  <w:r w:rsidRPr="00230192">
                    <w:rPr>
                      <w:rFonts w:ascii="Times New Roman" w:hAnsi="Times New Roman"/>
                      <w:bCs/>
                      <w:lang w:val="ro-RO"/>
                    </w:rPr>
                    <w:t>22</w:t>
                  </w:r>
                  <w:r w:rsidR="00FC58B9">
                    <w:rPr>
                      <w:rFonts w:ascii="Times New Roman" w:hAnsi="Times New Roman"/>
                      <w:bCs/>
                      <w:lang w:val="ro-RO"/>
                    </w:rPr>
                    <w:t>,0</w:t>
                  </w:r>
                </w:p>
              </w:tc>
            </w:tr>
            <w:tr w:rsidR="00230192" w:rsidRPr="00015248" w14:paraId="2136E770" w14:textId="77777777" w:rsidTr="001F49D3">
              <w:trPr>
                <w:trHeight w:val="315"/>
              </w:trPr>
              <w:tc>
                <w:tcPr>
                  <w:tcW w:w="936" w:type="dxa"/>
                  <w:hideMark/>
                </w:tcPr>
                <w:p w14:paraId="37938732" w14:textId="77777777" w:rsidR="00230192" w:rsidRPr="00230192" w:rsidRDefault="00230192" w:rsidP="00230192">
                  <w:pPr>
                    <w:rPr>
                      <w:rFonts w:ascii="Times New Roman" w:hAnsi="Times New Roman"/>
                      <w:lang w:val="ro-RO"/>
                    </w:rPr>
                  </w:pPr>
                  <w:r w:rsidRPr="00230192">
                    <w:rPr>
                      <w:rFonts w:ascii="Times New Roman" w:hAnsi="Times New Roman"/>
                      <w:lang w:val="ro-RO"/>
                    </w:rPr>
                    <w:t>4</w:t>
                  </w:r>
                </w:p>
              </w:tc>
              <w:tc>
                <w:tcPr>
                  <w:tcW w:w="4184" w:type="dxa"/>
                  <w:hideMark/>
                </w:tcPr>
                <w:p w14:paraId="31B65990" w14:textId="77777777" w:rsidR="00230192" w:rsidRPr="00230192" w:rsidRDefault="00230192" w:rsidP="00230192">
                  <w:pPr>
                    <w:rPr>
                      <w:rFonts w:ascii="Times New Roman" w:hAnsi="Times New Roman"/>
                      <w:lang w:val="ro-RO"/>
                    </w:rPr>
                  </w:pPr>
                  <w:r w:rsidRPr="00230192">
                    <w:rPr>
                      <w:rFonts w:ascii="Times New Roman" w:hAnsi="Times New Roman"/>
                      <w:lang w:val="ro-RO"/>
                    </w:rPr>
                    <w:t>Cheltuieli de personal inc.contributii obligat. (1 per.x0.5)</w:t>
                  </w:r>
                </w:p>
              </w:tc>
              <w:tc>
                <w:tcPr>
                  <w:tcW w:w="4202" w:type="dxa"/>
                  <w:noWrap/>
                  <w:hideMark/>
                </w:tcPr>
                <w:p w14:paraId="3B96BF55" w14:textId="258D1D73" w:rsidR="00230192" w:rsidRPr="00230192" w:rsidRDefault="00230192" w:rsidP="00230192">
                  <w:pPr>
                    <w:rPr>
                      <w:rFonts w:ascii="Times New Roman" w:hAnsi="Times New Roman"/>
                      <w:bCs/>
                      <w:lang w:val="ro-RO"/>
                    </w:rPr>
                  </w:pPr>
                  <w:r w:rsidRPr="00230192">
                    <w:rPr>
                      <w:rFonts w:ascii="Times New Roman" w:hAnsi="Times New Roman"/>
                      <w:bCs/>
                      <w:lang w:val="ro-RO"/>
                    </w:rPr>
                    <w:t>158</w:t>
                  </w:r>
                  <w:r w:rsidR="00FC58B9">
                    <w:rPr>
                      <w:rFonts w:ascii="Times New Roman" w:hAnsi="Times New Roman"/>
                      <w:bCs/>
                      <w:lang w:val="ro-RO"/>
                    </w:rPr>
                    <w:t>,</w:t>
                  </w:r>
                  <w:r w:rsidRPr="00230192">
                    <w:rPr>
                      <w:rFonts w:ascii="Times New Roman" w:hAnsi="Times New Roman"/>
                      <w:bCs/>
                      <w:lang w:val="ro-RO"/>
                    </w:rPr>
                    <w:t>67 – 343</w:t>
                  </w:r>
                  <w:r w:rsidR="00FC58B9">
                    <w:rPr>
                      <w:rFonts w:ascii="Times New Roman" w:hAnsi="Times New Roman"/>
                      <w:bCs/>
                      <w:lang w:val="ro-RO"/>
                    </w:rPr>
                    <w:t>,</w:t>
                  </w:r>
                  <w:r w:rsidRPr="00230192">
                    <w:rPr>
                      <w:rFonts w:ascii="Times New Roman" w:hAnsi="Times New Roman"/>
                      <w:bCs/>
                      <w:lang w:val="ro-RO"/>
                    </w:rPr>
                    <w:t>2</w:t>
                  </w:r>
                </w:p>
              </w:tc>
            </w:tr>
            <w:tr w:rsidR="00230192" w:rsidRPr="00015248" w14:paraId="5E61EFE1" w14:textId="77777777" w:rsidTr="001F49D3">
              <w:trPr>
                <w:trHeight w:val="315"/>
              </w:trPr>
              <w:tc>
                <w:tcPr>
                  <w:tcW w:w="936" w:type="dxa"/>
                  <w:hideMark/>
                </w:tcPr>
                <w:p w14:paraId="52597912" w14:textId="77777777" w:rsidR="00230192" w:rsidRPr="00230192" w:rsidRDefault="00230192" w:rsidP="00230192">
                  <w:pPr>
                    <w:rPr>
                      <w:rFonts w:ascii="Times New Roman" w:hAnsi="Times New Roman"/>
                      <w:lang w:val="ro-RO"/>
                    </w:rPr>
                  </w:pPr>
                  <w:r w:rsidRPr="00230192">
                    <w:rPr>
                      <w:rFonts w:ascii="Times New Roman" w:hAnsi="Times New Roman"/>
                      <w:lang w:val="ro-RO"/>
                    </w:rPr>
                    <w:lastRenderedPageBreak/>
                    <w:t>6</w:t>
                  </w:r>
                </w:p>
              </w:tc>
              <w:tc>
                <w:tcPr>
                  <w:tcW w:w="4184" w:type="dxa"/>
                  <w:hideMark/>
                </w:tcPr>
                <w:p w14:paraId="4D868905" w14:textId="77777777" w:rsidR="00230192" w:rsidRPr="00230192" w:rsidRDefault="00230192" w:rsidP="00230192">
                  <w:pPr>
                    <w:rPr>
                      <w:rFonts w:ascii="Times New Roman" w:hAnsi="Times New Roman"/>
                      <w:lang w:val="ro-RO"/>
                    </w:rPr>
                  </w:pPr>
                  <w:r w:rsidRPr="00230192">
                    <w:rPr>
                      <w:rFonts w:ascii="Times New Roman" w:hAnsi="Times New Roman"/>
                      <w:lang w:val="ro-RO"/>
                    </w:rPr>
                    <w:t xml:space="preserve">Cheltuieli de instruiri ,deplasari                                                                                             </w:t>
                  </w:r>
                </w:p>
              </w:tc>
              <w:tc>
                <w:tcPr>
                  <w:tcW w:w="4202" w:type="dxa"/>
                  <w:noWrap/>
                  <w:hideMark/>
                </w:tcPr>
                <w:p w14:paraId="3D436AB8" w14:textId="6DEA677C" w:rsidR="00230192" w:rsidRPr="00230192" w:rsidRDefault="00230192" w:rsidP="00230192">
                  <w:pPr>
                    <w:rPr>
                      <w:rFonts w:ascii="Times New Roman" w:hAnsi="Times New Roman"/>
                      <w:bCs/>
                      <w:lang w:val="ro-RO"/>
                    </w:rPr>
                  </w:pPr>
                  <w:r w:rsidRPr="00230192">
                    <w:rPr>
                      <w:rFonts w:ascii="Times New Roman" w:hAnsi="Times New Roman"/>
                      <w:bCs/>
                      <w:lang w:val="ro-RO"/>
                    </w:rPr>
                    <w:t>63</w:t>
                  </w:r>
                  <w:r w:rsidR="00FC58B9">
                    <w:rPr>
                      <w:rFonts w:ascii="Times New Roman" w:hAnsi="Times New Roman"/>
                      <w:bCs/>
                      <w:lang w:val="ro-RO"/>
                    </w:rPr>
                    <w:t>,</w:t>
                  </w:r>
                  <w:r w:rsidRPr="00230192">
                    <w:rPr>
                      <w:rFonts w:ascii="Times New Roman" w:hAnsi="Times New Roman"/>
                      <w:bCs/>
                      <w:lang w:val="ro-RO"/>
                    </w:rPr>
                    <w:t xml:space="preserve">75 </w:t>
                  </w:r>
                </w:p>
              </w:tc>
            </w:tr>
            <w:tr w:rsidR="00230192" w:rsidRPr="00015248" w14:paraId="14C0EA59" w14:textId="77777777" w:rsidTr="001F49D3">
              <w:trPr>
                <w:trHeight w:val="315"/>
              </w:trPr>
              <w:tc>
                <w:tcPr>
                  <w:tcW w:w="936" w:type="dxa"/>
                </w:tcPr>
                <w:p w14:paraId="6E3C7F2D" w14:textId="77777777" w:rsidR="00230192" w:rsidRPr="00230192" w:rsidRDefault="00230192" w:rsidP="00230192">
                  <w:pPr>
                    <w:rPr>
                      <w:rFonts w:ascii="Times New Roman" w:hAnsi="Times New Roman"/>
                      <w:lang w:val="ro-RO"/>
                    </w:rPr>
                  </w:pPr>
                </w:p>
              </w:tc>
              <w:tc>
                <w:tcPr>
                  <w:tcW w:w="4184" w:type="dxa"/>
                </w:tcPr>
                <w:p w14:paraId="21E7C587" w14:textId="77777777" w:rsidR="00230192" w:rsidRPr="00230192" w:rsidRDefault="00230192" w:rsidP="00230192">
                  <w:pPr>
                    <w:rPr>
                      <w:rFonts w:ascii="Times New Roman" w:hAnsi="Times New Roman"/>
                      <w:b/>
                      <w:lang w:val="ro-RO"/>
                    </w:rPr>
                  </w:pPr>
                  <w:r w:rsidRPr="00230192">
                    <w:rPr>
                      <w:rFonts w:ascii="Times New Roman" w:hAnsi="Times New Roman"/>
                      <w:b/>
                      <w:lang w:val="ro-RO"/>
                    </w:rPr>
                    <w:t xml:space="preserve">Total cheltuieli directe </w:t>
                  </w:r>
                </w:p>
              </w:tc>
              <w:tc>
                <w:tcPr>
                  <w:tcW w:w="4202" w:type="dxa"/>
                  <w:noWrap/>
                </w:tcPr>
                <w:p w14:paraId="5391A056" w14:textId="5B7E1810" w:rsidR="00230192" w:rsidRPr="00230192" w:rsidRDefault="00230192" w:rsidP="00230192">
                  <w:pPr>
                    <w:rPr>
                      <w:rFonts w:ascii="Times New Roman" w:hAnsi="Times New Roman"/>
                      <w:b/>
                      <w:bCs/>
                      <w:lang w:val="ro-RO"/>
                    </w:rPr>
                  </w:pPr>
                  <w:r w:rsidRPr="00230192">
                    <w:rPr>
                      <w:rFonts w:ascii="Times New Roman" w:hAnsi="Times New Roman"/>
                      <w:b/>
                      <w:bCs/>
                      <w:lang w:val="ro-RO"/>
                    </w:rPr>
                    <w:t>299</w:t>
                  </w:r>
                  <w:r w:rsidR="00FC58B9">
                    <w:rPr>
                      <w:rFonts w:ascii="Times New Roman" w:hAnsi="Times New Roman"/>
                      <w:b/>
                      <w:bCs/>
                      <w:lang w:val="ro-RO"/>
                    </w:rPr>
                    <w:t>,</w:t>
                  </w:r>
                  <w:r w:rsidRPr="00230192">
                    <w:rPr>
                      <w:rFonts w:ascii="Times New Roman" w:hAnsi="Times New Roman"/>
                      <w:b/>
                      <w:bCs/>
                      <w:lang w:val="ro-RO"/>
                    </w:rPr>
                    <w:t>62 – 464</w:t>
                  </w:r>
                  <w:r w:rsidR="00FC58B9">
                    <w:rPr>
                      <w:rFonts w:ascii="Times New Roman" w:hAnsi="Times New Roman"/>
                      <w:b/>
                      <w:bCs/>
                      <w:lang w:val="ro-RO"/>
                    </w:rPr>
                    <w:t>,</w:t>
                  </w:r>
                  <w:r w:rsidRPr="00230192">
                    <w:rPr>
                      <w:rFonts w:ascii="Times New Roman" w:hAnsi="Times New Roman"/>
                      <w:b/>
                      <w:bCs/>
                      <w:lang w:val="ro-RO"/>
                    </w:rPr>
                    <w:t>159</w:t>
                  </w:r>
                </w:p>
              </w:tc>
            </w:tr>
            <w:tr w:rsidR="00230192" w:rsidRPr="00015248" w14:paraId="65112827" w14:textId="77777777" w:rsidTr="001F49D3">
              <w:trPr>
                <w:trHeight w:val="315"/>
              </w:trPr>
              <w:tc>
                <w:tcPr>
                  <w:tcW w:w="936" w:type="dxa"/>
                </w:tcPr>
                <w:p w14:paraId="47EB0969" w14:textId="77777777" w:rsidR="00230192" w:rsidRPr="00230192" w:rsidRDefault="00230192" w:rsidP="00230192">
                  <w:pPr>
                    <w:rPr>
                      <w:rFonts w:ascii="Times New Roman" w:hAnsi="Times New Roman"/>
                      <w:lang w:val="ro-RO"/>
                    </w:rPr>
                  </w:pPr>
                  <w:r w:rsidRPr="00230192">
                    <w:rPr>
                      <w:rFonts w:ascii="Times New Roman" w:hAnsi="Times New Roman"/>
                      <w:lang w:val="ro-RO"/>
                    </w:rPr>
                    <w:t>7</w:t>
                  </w:r>
                </w:p>
              </w:tc>
              <w:tc>
                <w:tcPr>
                  <w:tcW w:w="4184" w:type="dxa"/>
                </w:tcPr>
                <w:p w14:paraId="1ED4DA03" w14:textId="77777777" w:rsidR="00230192" w:rsidRPr="00230192" w:rsidRDefault="00230192" w:rsidP="00230192">
                  <w:pPr>
                    <w:rPr>
                      <w:rFonts w:ascii="Times New Roman" w:hAnsi="Times New Roman"/>
                      <w:lang w:val="ro-RO"/>
                    </w:rPr>
                  </w:pPr>
                  <w:r w:rsidRPr="00230192">
                    <w:rPr>
                      <w:rFonts w:ascii="Times New Roman" w:hAnsi="Times New Roman"/>
                      <w:lang w:val="ro-RO"/>
                    </w:rPr>
                    <w:t>Cheltuieli indirecte 15%</w:t>
                  </w:r>
                </w:p>
              </w:tc>
              <w:tc>
                <w:tcPr>
                  <w:tcW w:w="4202" w:type="dxa"/>
                  <w:noWrap/>
                </w:tcPr>
                <w:p w14:paraId="66BC68E6" w14:textId="1A03C19C" w:rsidR="00230192" w:rsidRPr="00230192" w:rsidRDefault="00230192" w:rsidP="00230192">
                  <w:pPr>
                    <w:rPr>
                      <w:rFonts w:ascii="Times New Roman" w:hAnsi="Times New Roman"/>
                      <w:b/>
                      <w:bCs/>
                      <w:lang w:val="ro-RO"/>
                    </w:rPr>
                  </w:pPr>
                  <w:r w:rsidRPr="00230192">
                    <w:rPr>
                      <w:rFonts w:ascii="Times New Roman" w:hAnsi="Times New Roman"/>
                      <w:b/>
                      <w:bCs/>
                      <w:lang w:val="ro-RO"/>
                    </w:rPr>
                    <w:t>44</w:t>
                  </w:r>
                  <w:r w:rsidR="00FC58B9">
                    <w:rPr>
                      <w:rFonts w:ascii="Times New Roman" w:hAnsi="Times New Roman"/>
                      <w:b/>
                      <w:bCs/>
                      <w:lang w:val="ro-RO"/>
                    </w:rPr>
                    <w:t>,</w:t>
                  </w:r>
                  <w:r w:rsidRPr="00230192">
                    <w:rPr>
                      <w:rFonts w:ascii="Times New Roman" w:hAnsi="Times New Roman"/>
                      <w:b/>
                      <w:bCs/>
                      <w:lang w:val="ro-RO"/>
                    </w:rPr>
                    <w:t>943 – 92</w:t>
                  </w:r>
                  <w:r w:rsidR="00FC58B9">
                    <w:rPr>
                      <w:rFonts w:ascii="Times New Roman" w:hAnsi="Times New Roman"/>
                      <w:b/>
                      <w:bCs/>
                      <w:lang w:val="ro-RO"/>
                    </w:rPr>
                    <w:t>,</w:t>
                  </w:r>
                  <w:r w:rsidRPr="00230192">
                    <w:rPr>
                      <w:rFonts w:ascii="Times New Roman" w:hAnsi="Times New Roman"/>
                      <w:b/>
                      <w:bCs/>
                      <w:lang w:val="ro-RO"/>
                    </w:rPr>
                    <w:t>830</w:t>
                  </w:r>
                </w:p>
              </w:tc>
            </w:tr>
            <w:tr w:rsidR="00230192" w:rsidRPr="00015248" w14:paraId="756768D8" w14:textId="77777777" w:rsidTr="001F49D3">
              <w:trPr>
                <w:trHeight w:val="315"/>
              </w:trPr>
              <w:tc>
                <w:tcPr>
                  <w:tcW w:w="936" w:type="dxa"/>
                </w:tcPr>
                <w:p w14:paraId="5E3E4FE2" w14:textId="77777777" w:rsidR="00230192" w:rsidRPr="00230192" w:rsidRDefault="00230192" w:rsidP="00230192">
                  <w:pPr>
                    <w:rPr>
                      <w:rFonts w:ascii="Times New Roman" w:hAnsi="Times New Roman"/>
                      <w:lang w:val="ro-RO"/>
                    </w:rPr>
                  </w:pPr>
                </w:p>
              </w:tc>
              <w:tc>
                <w:tcPr>
                  <w:tcW w:w="4184" w:type="dxa"/>
                </w:tcPr>
                <w:p w14:paraId="178B8AA3" w14:textId="77777777" w:rsidR="00230192" w:rsidRPr="00230192" w:rsidRDefault="00230192" w:rsidP="00230192">
                  <w:pPr>
                    <w:rPr>
                      <w:rFonts w:ascii="Times New Roman" w:hAnsi="Times New Roman"/>
                      <w:b/>
                      <w:lang w:val="ro-RO"/>
                    </w:rPr>
                  </w:pPr>
                  <w:r w:rsidRPr="00230192">
                    <w:rPr>
                      <w:rFonts w:ascii="Times New Roman" w:hAnsi="Times New Roman"/>
                      <w:b/>
                      <w:lang w:val="ro-RO"/>
                    </w:rPr>
                    <w:t>Total cost metoda (anual)</w:t>
                  </w:r>
                </w:p>
              </w:tc>
              <w:tc>
                <w:tcPr>
                  <w:tcW w:w="4202" w:type="dxa"/>
                  <w:noWrap/>
                </w:tcPr>
                <w:p w14:paraId="5F525A84" w14:textId="1D779BF5" w:rsidR="00230192" w:rsidRPr="00230192" w:rsidRDefault="00230192" w:rsidP="00230192">
                  <w:pPr>
                    <w:rPr>
                      <w:rFonts w:ascii="Times New Roman" w:hAnsi="Times New Roman"/>
                      <w:b/>
                      <w:bCs/>
                      <w:lang w:val="ro-RO"/>
                    </w:rPr>
                  </w:pPr>
                  <w:r w:rsidRPr="00230192">
                    <w:rPr>
                      <w:rFonts w:ascii="Times New Roman" w:hAnsi="Times New Roman"/>
                      <w:b/>
                      <w:bCs/>
                      <w:lang w:val="ro-RO"/>
                    </w:rPr>
                    <w:t>344</w:t>
                  </w:r>
                  <w:r w:rsidR="00FC58B9">
                    <w:rPr>
                      <w:rFonts w:ascii="Times New Roman" w:hAnsi="Times New Roman"/>
                      <w:b/>
                      <w:bCs/>
                      <w:lang w:val="ro-RO"/>
                    </w:rPr>
                    <w:t>,</w:t>
                  </w:r>
                  <w:r w:rsidRPr="00230192">
                    <w:rPr>
                      <w:rFonts w:ascii="Times New Roman" w:hAnsi="Times New Roman"/>
                      <w:b/>
                      <w:bCs/>
                      <w:lang w:val="ro-RO"/>
                    </w:rPr>
                    <w:t xml:space="preserve">563 </w:t>
                  </w:r>
                  <w:r w:rsidR="00FC58B9">
                    <w:rPr>
                      <w:rFonts w:ascii="Times New Roman" w:hAnsi="Times New Roman"/>
                      <w:b/>
                      <w:bCs/>
                      <w:lang w:val="ro-RO"/>
                    </w:rPr>
                    <w:t>–</w:t>
                  </w:r>
                  <w:r w:rsidRPr="00230192">
                    <w:rPr>
                      <w:rFonts w:ascii="Times New Roman" w:hAnsi="Times New Roman"/>
                      <w:b/>
                      <w:bCs/>
                      <w:lang w:val="ro-RO"/>
                    </w:rPr>
                    <w:t xml:space="preserve"> 556</w:t>
                  </w:r>
                  <w:r w:rsidR="00FC58B9">
                    <w:rPr>
                      <w:rFonts w:ascii="Times New Roman" w:hAnsi="Times New Roman"/>
                      <w:b/>
                      <w:bCs/>
                      <w:lang w:val="ro-RO"/>
                    </w:rPr>
                    <w:t>,</w:t>
                  </w:r>
                  <w:r w:rsidRPr="00230192">
                    <w:rPr>
                      <w:rFonts w:ascii="Times New Roman" w:hAnsi="Times New Roman"/>
                      <w:b/>
                      <w:bCs/>
                      <w:lang w:val="ro-RO"/>
                    </w:rPr>
                    <w:t>980</w:t>
                  </w:r>
                </w:p>
              </w:tc>
            </w:tr>
          </w:tbl>
          <w:p w14:paraId="5391719C" w14:textId="77777777" w:rsidR="00230192" w:rsidRDefault="00230192" w:rsidP="00230192">
            <w:pPr>
              <w:rPr>
                <w:rFonts w:ascii="Times New Roman" w:hAnsi="Times New Roman"/>
                <w:lang w:val="ro-RO"/>
              </w:rPr>
            </w:pPr>
            <w:r>
              <w:rPr>
                <w:rFonts w:ascii="Times New Roman" w:hAnsi="Times New Roman"/>
                <w:lang w:val="ro-RO"/>
              </w:rPr>
              <w:t>Costul de  implementare, validare si acreditare a unei metode depinde de mai mulți factori-</w:t>
            </w:r>
          </w:p>
          <w:p w14:paraId="0DC05F6B" w14:textId="655C48C0" w:rsidR="00230192" w:rsidRDefault="00230192" w:rsidP="00FC58B9">
            <w:pPr>
              <w:pStyle w:val="afb"/>
              <w:numPr>
                <w:ilvl w:val="0"/>
                <w:numId w:val="44"/>
              </w:numPr>
              <w:tabs>
                <w:tab w:val="left" w:pos="306"/>
              </w:tabs>
              <w:spacing w:after="160" w:line="259" w:lineRule="auto"/>
              <w:ind w:left="0" w:firstLine="22"/>
              <w:jc w:val="both"/>
              <w:rPr>
                <w:rFonts w:ascii="Times New Roman" w:hAnsi="Times New Roman"/>
                <w:lang w:val="ro-RO"/>
              </w:rPr>
            </w:pPr>
            <w:r>
              <w:rPr>
                <w:rFonts w:ascii="Times New Roman" w:hAnsi="Times New Roman"/>
                <w:lang w:val="ro-RO"/>
              </w:rPr>
              <w:t>Existența spațiului, echipamentelor și personalului de specialitate – lipsa celor enumerate mărește considerabil costurile de implementare sau face imposibilă</w:t>
            </w:r>
            <w:r w:rsidR="00FC58B9">
              <w:rPr>
                <w:rFonts w:ascii="Times New Roman" w:hAnsi="Times New Roman"/>
                <w:lang w:val="ro-RO"/>
              </w:rPr>
              <w:t>.</w:t>
            </w:r>
          </w:p>
          <w:p w14:paraId="5C62F892" w14:textId="379BA658" w:rsidR="00230192" w:rsidRPr="00230192" w:rsidRDefault="00230192" w:rsidP="00FC58B9">
            <w:pPr>
              <w:pStyle w:val="afb"/>
              <w:numPr>
                <w:ilvl w:val="0"/>
                <w:numId w:val="44"/>
              </w:numPr>
              <w:tabs>
                <w:tab w:val="left" w:pos="306"/>
              </w:tabs>
              <w:spacing w:after="160" w:line="259" w:lineRule="auto"/>
              <w:ind w:left="0" w:firstLine="22"/>
              <w:jc w:val="both"/>
              <w:rPr>
                <w:rFonts w:ascii="Times New Roman" w:hAnsi="Times New Roman"/>
                <w:lang w:val="ro-RO"/>
              </w:rPr>
            </w:pPr>
            <w:r>
              <w:rPr>
                <w:rFonts w:ascii="Times New Roman" w:hAnsi="Times New Roman"/>
                <w:lang w:val="ro-RO"/>
              </w:rPr>
              <w:t>În dependență de dificultatea metodei, de accesibilitatea reactivilor, materialelor de referință și standardelor analitice precum și a metodologiilor standardizate pot varia costurile de implementare, validare și acreditare – aceste variații orientative sunt redate în tabelul de mai sus.</w:t>
            </w:r>
          </w:p>
        </w:tc>
      </w:tr>
      <w:tr w:rsidR="006D3EB7" w:rsidRPr="005535FB" w14:paraId="02E2B551" w14:textId="77777777" w:rsidTr="00230192">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452C6C">
            <w:pPr>
              <w:rPr>
                <w:rFonts w:ascii="Times New Roman" w:hAnsi="Times New Roman"/>
                <w:lang w:val="ro-RO"/>
              </w:rPr>
            </w:pPr>
            <w:r w:rsidRPr="005535FB">
              <w:rPr>
                <w:rFonts w:ascii="Times New Roman" w:hAnsi="Times New Roman"/>
                <w:lang w:val="ro-RO"/>
              </w:rPr>
              <w:lastRenderedPageBreak/>
              <w:t>4.3.</w:t>
            </w:r>
            <w:r w:rsidR="00032B46" w:rsidRPr="005535FB">
              <w:rPr>
                <w:rFonts w:ascii="Times New Roman" w:hAnsi="Times New Roman"/>
                <w:lang w:val="ro-RO"/>
              </w:rPr>
              <w:t xml:space="preserve"> </w:t>
            </w:r>
            <w:r w:rsidRPr="005535FB">
              <w:rPr>
                <w:rFonts w:ascii="Times New Roman" w:hAnsi="Times New Roman"/>
                <w:lang w:val="ro-RO"/>
              </w:rPr>
              <w:t>Impactul</w:t>
            </w:r>
            <w:r w:rsidR="00032B46" w:rsidRPr="005535FB">
              <w:rPr>
                <w:rFonts w:ascii="Times New Roman" w:hAnsi="Times New Roman"/>
                <w:lang w:val="ro-RO"/>
              </w:rPr>
              <w:t xml:space="preserve"> </w:t>
            </w:r>
            <w:r w:rsidR="00CA2822" w:rsidRPr="005535FB">
              <w:rPr>
                <w:rFonts w:ascii="Times New Roman" w:hAnsi="Times New Roman"/>
                <w:lang w:val="ro-RO"/>
              </w:rPr>
              <w:t>asupra</w:t>
            </w:r>
            <w:r w:rsidR="00032B46" w:rsidRPr="005535FB">
              <w:rPr>
                <w:rFonts w:ascii="Times New Roman" w:hAnsi="Times New Roman"/>
                <w:lang w:val="ro-RO"/>
              </w:rPr>
              <w:t xml:space="preserve"> </w:t>
            </w:r>
            <w:r w:rsidR="00CA2822" w:rsidRPr="005535FB">
              <w:rPr>
                <w:rFonts w:ascii="Times New Roman" w:hAnsi="Times New Roman"/>
                <w:lang w:val="ro-RO"/>
              </w:rPr>
              <w:t>sectorului</w:t>
            </w:r>
            <w:r w:rsidR="00032B46" w:rsidRPr="005535FB">
              <w:rPr>
                <w:rFonts w:ascii="Times New Roman" w:hAnsi="Times New Roman"/>
                <w:lang w:val="ro-RO"/>
              </w:rPr>
              <w:t xml:space="preserve"> </w:t>
            </w:r>
            <w:r w:rsidR="00CA2822" w:rsidRPr="005535FB">
              <w:rPr>
                <w:rFonts w:ascii="Times New Roman" w:hAnsi="Times New Roman"/>
                <w:lang w:val="ro-RO"/>
              </w:rPr>
              <w:t>privat</w:t>
            </w:r>
          </w:p>
        </w:tc>
      </w:tr>
      <w:tr w:rsidR="00AB7695" w:rsidRPr="00015248" w14:paraId="30BBC74E" w14:textId="77777777" w:rsidTr="001757DA">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653B586A" w14:textId="2C2ACB04" w:rsidR="00AB7695" w:rsidRPr="00155E7C" w:rsidRDefault="003905C0" w:rsidP="00155E7C">
            <w:pPr>
              <w:jc w:val="both"/>
              <w:rPr>
                <w:rFonts w:ascii="Times New Roman" w:hAnsi="Times New Roman"/>
                <w:lang w:val="ro-RO"/>
              </w:rPr>
            </w:pPr>
            <w:r w:rsidRPr="00155E7C">
              <w:rPr>
                <w:rFonts w:ascii="Times New Roman" w:hAnsi="Times New Roman"/>
                <w:lang w:val="ro-RO"/>
              </w:rPr>
              <w:t xml:space="preserve">Impactul proiectului este asupra laboratoarelor acreditate care vor putea fi desemnate pentru unele metode </w:t>
            </w:r>
            <w:r w:rsidR="00155E7C">
              <w:rPr>
                <w:rFonts w:ascii="Times New Roman" w:hAnsi="Times New Roman"/>
                <w:lang w:val="ro-RO"/>
              </w:rPr>
              <w:t xml:space="preserve">pentru </w:t>
            </w:r>
            <w:r w:rsidRPr="00155E7C">
              <w:rPr>
                <w:rFonts w:ascii="Times New Roman" w:hAnsi="Times New Roman"/>
                <w:lang w:val="ro-RO"/>
              </w:rPr>
              <w:t>care nu dețin acreditare</w:t>
            </w:r>
            <w:r w:rsidR="00155E7C">
              <w:rPr>
                <w:rFonts w:ascii="Times New Roman" w:hAnsi="Times New Roman"/>
                <w:lang w:val="ro-RO"/>
              </w:rPr>
              <w:t>, dar cu deținerea acreditării laboratorului la cerințele ISO17025/2018</w:t>
            </w:r>
            <w:r w:rsidRPr="00155E7C">
              <w:rPr>
                <w:rFonts w:ascii="Times New Roman" w:hAnsi="Times New Roman"/>
                <w:lang w:val="ro-RO"/>
              </w:rPr>
              <w:t xml:space="preserve">. Actualmente Laboratorul implicat în realizarea analizelor de laborator </w:t>
            </w:r>
            <w:r w:rsidR="00155E7C">
              <w:rPr>
                <w:rFonts w:ascii="Times New Roman" w:hAnsi="Times New Roman"/>
                <w:lang w:val="ro-RO"/>
              </w:rPr>
              <w:t xml:space="preserve">în domeniul sănătății plantelor </w:t>
            </w:r>
            <w:r w:rsidRPr="00155E7C">
              <w:rPr>
                <w:rFonts w:ascii="Times New Roman" w:hAnsi="Times New Roman"/>
                <w:lang w:val="ro-RO"/>
              </w:rPr>
              <w:t xml:space="preserve">este parte a  </w:t>
            </w:r>
            <w:r w:rsidR="00155E7C" w:rsidRPr="00155E7C">
              <w:rPr>
                <w:rFonts w:ascii="Times New Roman" w:hAnsi="Times New Roman"/>
                <w:lang w:val="ro-RO"/>
              </w:rPr>
              <w:t>Instituției Publice Centrul Național pentru Sănătatea Animalelor, Plantelor și Siguranța Alimentelor.</w:t>
            </w:r>
          </w:p>
        </w:tc>
      </w:tr>
      <w:tr w:rsidR="006D3EB7" w:rsidRPr="00015248" w14:paraId="7424CF32" w14:textId="77777777" w:rsidTr="001757DA">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41C75" w14:textId="527C94BC" w:rsidR="00CA2822" w:rsidRDefault="006933C3" w:rsidP="00F37ED4">
            <w:pPr>
              <w:rPr>
                <w:rFonts w:ascii="Times New Roman" w:hAnsi="Times New Roman"/>
                <w:lang w:val="ro-RO"/>
              </w:rPr>
            </w:pPr>
            <w:r w:rsidRPr="005535FB">
              <w:rPr>
                <w:rFonts w:ascii="Times New Roman" w:hAnsi="Times New Roman"/>
                <w:lang w:val="ro-RO"/>
              </w:rPr>
              <w:t>4.4</w:t>
            </w:r>
            <w:r w:rsidR="0036135C" w:rsidRPr="005535FB">
              <w:rPr>
                <w:rFonts w:ascii="Times New Roman" w:hAnsi="Times New Roman"/>
                <w:lang w:val="ro-RO"/>
              </w:rPr>
              <w:t>.</w:t>
            </w:r>
            <w:r w:rsidR="00032B46" w:rsidRPr="005535FB">
              <w:rPr>
                <w:rFonts w:ascii="Times New Roman" w:hAnsi="Times New Roman"/>
                <w:lang w:val="ro-RO"/>
              </w:rPr>
              <w:t xml:space="preserve"> </w:t>
            </w:r>
            <w:r w:rsidR="00CA2822" w:rsidRPr="005535FB">
              <w:rPr>
                <w:rFonts w:ascii="Times New Roman" w:hAnsi="Times New Roman"/>
                <w:lang w:val="ro-RO"/>
              </w:rPr>
              <w:t>Impactul</w:t>
            </w:r>
            <w:r w:rsidR="00032B46" w:rsidRPr="005535FB">
              <w:rPr>
                <w:rFonts w:ascii="Times New Roman" w:hAnsi="Times New Roman"/>
                <w:lang w:val="ro-RO"/>
              </w:rPr>
              <w:t xml:space="preserve"> </w:t>
            </w:r>
            <w:r w:rsidR="00CA2822" w:rsidRPr="005535FB">
              <w:rPr>
                <w:rFonts w:ascii="Times New Roman" w:hAnsi="Times New Roman"/>
                <w:lang w:val="ro-RO"/>
              </w:rPr>
              <w:t>social</w:t>
            </w:r>
          </w:p>
          <w:p w14:paraId="3CD3B558" w14:textId="12D5616A" w:rsidR="00155E7C" w:rsidRPr="00155E7C" w:rsidRDefault="00155E7C" w:rsidP="00155E7C">
            <w:pPr>
              <w:jc w:val="both"/>
              <w:rPr>
                <w:rFonts w:ascii="Times New Roman" w:hAnsi="Times New Roman"/>
                <w:lang w:val="ro-RO"/>
              </w:rPr>
            </w:pPr>
            <w:r w:rsidRPr="00155E7C">
              <w:rPr>
                <w:rFonts w:ascii="Times New Roman" w:hAnsi="Times New Roman"/>
                <w:lang w:val="ro-RO"/>
              </w:rPr>
              <w:t>Reglementarea are un impact pozitiv</w:t>
            </w:r>
            <w:r>
              <w:rPr>
                <w:rFonts w:ascii="Times New Roman" w:hAnsi="Times New Roman"/>
                <w:lang w:val="ro-RO"/>
              </w:rPr>
              <w:t xml:space="preserve"> prin extinderea posibilității de monitorizare a indicatorilor în cadrul laboratoarelor care nu dețin acreditare pentru unele metode, astfel contribuind la monitorizarea și identificarea unui număr mai mare de dăunător ai plantelor.</w:t>
            </w:r>
          </w:p>
          <w:p w14:paraId="4E529115" w14:textId="457DE778" w:rsidR="008B4BE6" w:rsidRDefault="00CA2822" w:rsidP="00F37ED4">
            <w:pPr>
              <w:rPr>
                <w:rFonts w:ascii="Times New Roman" w:hAnsi="Times New Roman"/>
                <w:lang w:val="ro-RO"/>
              </w:rPr>
            </w:pPr>
            <w:r w:rsidRPr="005535FB">
              <w:rPr>
                <w:rFonts w:ascii="Times New Roman" w:hAnsi="Times New Roman"/>
                <w:lang w:val="ro-RO"/>
              </w:rPr>
              <w:t>4.4.1.</w:t>
            </w:r>
            <w:r w:rsidR="00032B46" w:rsidRPr="005535FB">
              <w:rPr>
                <w:rFonts w:ascii="Times New Roman" w:hAnsi="Times New Roman"/>
                <w:lang w:val="ro-RO"/>
              </w:rPr>
              <w:t xml:space="preserve"> </w:t>
            </w:r>
            <w:r w:rsidR="006933C3" w:rsidRPr="005535FB">
              <w:rPr>
                <w:rFonts w:ascii="Times New Roman" w:hAnsi="Times New Roman"/>
                <w:lang w:val="ro-RO"/>
              </w:rPr>
              <w:t>Impactul</w:t>
            </w:r>
            <w:r w:rsidR="00032B46" w:rsidRPr="005535FB">
              <w:rPr>
                <w:rFonts w:ascii="Times New Roman" w:hAnsi="Times New Roman"/>
                <w:lang w:val="ro-RO"/>
              </w:rPr>
              <w:t xml:space="preserve"> </w:t>
            </w:r>
            <w:r w:rsidR="006933C3" w:rsidRPr="005535FB">
              <w:rPr>
                <w:rFonts w:ascii="Times New Roman" w:hAnsi="Times New Roman"/>
                <w:lang w:val="ro-RO"/>
              </w:rPr>
              <w:t>asupra</w:t>
            </w:r>
            <w:r w:rsidR="00032B46" w:rsidRPr="005535FB">
              <w:rPr>
                <w:rFonts w:ascii="Times New Roman" w:hAnsi="Times New Roman"/>
                <w:lang w:val="ro-RO"/>
              </w:rPr>
              <w:t xml:space="preserve"> </w:t>
            </w:r>
            <w:r w:rsidR="006933C3" w:rsidRPr="005535FB">
              <w:rPr>
                <w:rFonts w:ascii="Times New Roman" w:hAnsi="Times New Roman"/>
                <w:lang w:val="ro-RO"/>
              </w:rPr>
              <w:t>datelor</w:t>
            </w:r>
            <w:r w:rsidR="00032B46" w:rsidRPr="005535FB">
              <w:rPr>
                <w:rFonts w:ascii="Times New Roman" w:hAnsi="Times New Roman"/>
                <w:lang w:val="ro-RO"/>
              </w:rPr>
              <w:t xml:space="preserve"> </w:t>
            </w:r>
            <w:r w:rsidR="006933C3" w:rsidRPr="005535FB">
              <w:rPr>
                <w:rFonts w:ascii="Times New Roman" w:hAnsi="Times New Roman"/>
                <w:lang w:val="ro-RO"/>
              </w:rPr>
              <w:t>cu</w:t>
            </w:r>
            <w:r w:rsidR="00032B46" w:rsidRPr="005535FB">
              <w:rPr>
                <w:rFonts w:ascii="Times New Roman" w:hAnsi="Times New Roman"/>
                <w:lang w:val="ro-RO"/>
              </w:rPr>
              <w:t xml:space="preserve"> </w:t>
            </w:r>
            <w:r w:rsidR="006933C3" w:rsidRPr="005535FB">
              <w:rPr>
                <w:rFonts w:ascii="Times New Roman" w:hAnsi="Times New Roman"/>
                <w:lang w:val="ro-RO"/>
              </w:rPr>
              <w:t>caracter</w:t>
            </w:r>
            <w:r w:rsidR="00032B46" w:rsidRPr="005535FB">
              <w:rPr>
                <w:rFonts w:ascii="Times New Roman" w:hAnsi="Times New Roman"/>
                <w:lang w:val="ro-RO"/>
              </w:rPr>
              <w:t xml:space="preserve"> </w:t>
            </w:r>
            <w:r w:rsidR="006933C3" w:rsidRPr="005535FB">
              <w:rPr>
                <w:rFonts w:ascii="Times New Roman" w:hAnsi="Times New Roman"/>
                <w:lang w:val="ro-RO"/>
              </w:rPr>
              <w:t>personal</w:t>
            </w:r>
          </w:p>
          <w:p w14:paraId="6493B6D0" w14:textId="52D96911" w:rsidR="00155E7C" w:rsidRPr="005535FB" w:rsidRDefault="00155E7C" w:rsidP="00F37ED4">
            <w:pPr>
              <w:rPr>
                <w:rFonts w:ascii="Times New Roman" w:hAnsi="Times New Roman"/>
                <w:lang w:val="ro-RO"/>
              </w:rPr>
            </w:pPr>
            <w:r>
              <w:rPr>
                <w:rFonts w:ascii="Times New Roman" w:hAnsi="Times New Roman"/>
                <w:lang w:val="ro-RO"/>
              </w:rPr>
              <w:t>Nu prezintă impact.</w:t>
            </w:r>
          </w:p>
          <w:p w14:paraId="42B67B99" w14:textId="77777777" w:rsidR="008B4BE6" w:rsidRDefault="00CA2822" w:rsidP="00452C6C">
            <w:pPr>
              <w:rPr>
                <w:rFonts w:ascii="Times New Roman" w:hAnsi="Times New Roman"/>
                <w:lang w:val="ro-RO"/>
              </w:rPr>
            </w:pPr>
            <w:r w:rsidRPr="005535FB">
              <w:rPr>
                <w:rFonts w:ascii="Times New Roman" w:hAnsi="Times New Roman"/>
                <w:lang w:val="ro-RO"/>
              </w:rPr>
              <w:t>4.4.2.</w:t>
            </w:r>
            <w:r w:rsidR="00032B46" w:rsidRPr="005535FB">
              <w:rPr>
                <w:rFonts w:ascii="Times New Roman" w:hAnsi="Times New Roman"/>
                <w:lang w:val="ro-RO"/>
              </w:rPr>
              <w:t xml:space="preserve"> </w:t>
            </w:r>
            <w:r w:rsidRPr="005535FB">
              <w:rPr>
                <w:rFonts w:ascii="Times New Roman" w:hAnsi="Times New Roman"/>
                <w:lang w:val="ro-RO"/>
              </w:rPr>
              <w:t>Impactul</w:t>
            </w:r>
            <w:r w:rsidR="00032B46" w:rsidRPr="005535FB">
              <w:rPr>
                <w:rFonts w:ascii="Times New Roman" w:hAnsi="Times New Roman"/>
                <w:lang w:val="ro-RO"/>
              </w:rPr>
              <w:t xml:space="preserve"> </w:t>
            </w:r>
            <w:r w:rsidRPr="005535FB">
              <w:rPr>
                <w:rFonts w:ascii="Times New Roman" w:hAnsi="Times New Roman"/>
                <w:lang w:val="ro-RO"/>
              </w:rPr>
              <w:t>asupra</w:t>
            </w:r>
            <w:r w:rsidR="00032B46" w:rsidRPr="005535FB">
              <w:rPr>
                <w:rFonts w:ascii="Times New Roman" w:hAnsi="Times New Roman"/>
                <w:lang w:val="ro-RO"/>
              </w:rPr>
              <w:t xml:space="preserve"> </w:t>
            </w:r>
            <w:r w:rsidRPr="005535FB">
              <w:rPr>
                <w:rFonts w:ascii="Times New Roman" w:hAnsi="Times New Roman"/>
                <w:lang w:val="ro-RO"/>
              </w:rPr>
              <w:t>echită</w:t>
            </w:r>
            <w:r w:rsidR="00863417" w:rsidRPr="005535FB">
              <w:rPr>
                <w:rFonts w:ascii="Times New Roman" w:hAnsi="Times New Roman"/>
                <w:lang w:val="ro-RO"/>
              </w:rPr>
              <w:t>ț</w:t>
            </w:r>
            <w:r w:rsidRPr="005535FB">
              <w:rPr>
                <w:rFonts w:ascii="Times New Roman" w:hAnsi="Times New Roman"/>
                <w:lang w:val="ro-RO"/>
              </w:rPr>
              <w:t>ii</w:t>
            </w:r>
            <w:r w:rsidR="00032B46" w:rsidRPr="005535FB">
              <w:rPr>
                <w:rFonts w:ascii="Times New Roman" w:hAnsi="Times New Roman"/>
                <w:lang w:val="ro-RO"/>
              </w:rPr>
              <w:t xml:space="preserve"> </w:t>
            </w:r>
            <w:r w:rsidR="00863417" w:rsidRPr="005535FB">
              <w:rPr>
                <w:rFonts w:ascii="Times New Roman" w:hAnsi="Times New Roman"/>
                <w:lang w:val="ro-RO"/>
              </w:rPr>
              <w:t>ș</w:t>
            </w:r>
            <w:r w:rsidRPr="005535FB">
              <w:rPr>
                <w:rFonts w:ascii="Times New Roman" w:hAnsi="Times New Roman"/>
                <w:lang w:val="ro-RO"/>
              </w:rPr>
              <w:t>i</w:t>
            </w:r>
            <w:r w:rsidR="00032B46" w:rsidRPr="005535FB">
              <w:rPr>
                <w:rFonts w:ascii="Times New Roman" w:hAnsi="Times New Roman"/>
                <w:lang w:val="ro-RO"/>
              </w:rPr>
              <w:t xml:space="preserve"> </w:t>
            </w:r>
            <w:r w:rsidRPr="005535FB">
              <w:rPr>
                <w:rFonts w:ascii="Times New Roman" w:hAnsi="Times New Roman"/>
                <w:lang w:val="ro-RO"/>
              </w:rPr>
              <w:t>egalită</w:t>
            </w:r>
            <w:r w:rsidR="00863417" w:rsidRPr="005535FB">
              <w:rPr>
                <w:rFonts w:ascii="Times New Roman" w:hAnsi="Times New Roman"/>
                <w:lang w:val="ro-RO"/>
              </w:rPr>
              <w:t>ț</w:t>
            </w:r>
            <w:r w:rsidRPr="005535FB">
              <w:rPr>
                <w:rFonts w:ascii="Times New Roman" w:hAnsi="Times New Roman"/>
                <w:lang w:val="ro-RO"/>
              </w:rPr>
              <w:t>ii</w:t>
            </w:r>
            <w:r w:rsidR="00032B46" w:rsidRPr="005535FB">
              <w:rPr>
                <w:rFonts w:ascii="Times New Roman" w:hAnsi="Times New Roman"/>
                <w:lang w:val="ro-RO"/>
              </w:rPr>
              <w:t xml:space="preserve"> </w:t>
            </w:r>
            <w:r w:rsidRPr="005535FB">
              <w:rPr>
                <w:rFonts w:ascii="Times New Roman" w:hAnsi="Times New Roman"/>
                <w:lang w:val="ro-RO"/>
              </w:rPr>
              <w:t>de</w:t>
            </w:r>
            <w:r w:rsidR="00032B46" w:rsidRPr="005535FB">
              <w:rPr>
                <w:rFonts w:ascii="Times New Roman" w:hAnsi="Times New Roman"/>
                <w:lang w:val="ro-RO"/>
              </w:rPr>
              <w:t xml:space="preserve"> </w:t>
            </w:r>
            <w:r w:rsidRPr="005535FB">
              <w:rPr>
                <w:rFonts w:ascii="Times New Roman" w:hAnsi="Times New Roman"/>
                <w:lang w:val="ro-RO"/>
              </w:rPr>
              <w:t>gen</w:t>
            </w:r>
          </w:p>
          <w:p w14:paraId="5094B65C" w14:textId="6F15E2A3" w:rsidR="00155E7C" w:rsidRPr="005535FB" w:rsidRDefault="00155E7C" w:rsidP="00155E7C">
            <w:pPr>
              <w:rPr>
                <w:rFonts w:ascii="Times New Roman" w:hAnsi="Times New Roman"/>
                <w:lang w:val="ro-RO"/>
              </w:rPr>
            </w:pPr>
            <w:r>
              <w:rPr>
                <w:rFonts w:ascii="Times New Roman" w:hAnsi="Times New Roman"/>
                <w:lang w:val="ro-RO"/>
              </w:rPr>
              <w:t>Nu prezintă impact.</w:t>
            </w:r>
          </w:p>
        </w:tc>
      </w:tr>
      <w:tr w:rsidR="006D3EB7" w:rsidRPr="005535FB" w14:paraId="5A26B0A1" w14:textId="77777777" w:rsidTr="001757DA">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452C6C">
            <w:pPr>
              <w:rPr>
                <w:rFonts w:ascii="Times New Roman" w:hAnsi="Times New Roman"/>
                <w:lang w:val="ro-RO"/>
              </w:rPr>
            </w:pPr>
            <w:r w:rsidRPr="005535FB">
              <w:rPr>
                <w:rFonts w:ascii="Times New Roman" w:hAnsi="Times New Roman"/>
                <w:lang w:val="ro-RO"/>
              </w:rPr>
              <w:t>4.</w:t>
            </w:r>
            <w:r w:rsidR="00CA2822" w:rsidRPr="005535FB">
              <w:rPr>
                <w:rFonts w:ascii="Times New Roman" w:hAnsi="Times New Roman"/>
                <w:lang w:val="ro-RO"/>
              </w:rPr>
              <w:t>5</w:t>
            </w:r>
            <w:r w:rsidRPr="005535FB">
              <w:rPr>
                <w:rFonts w:ascii="Times New Roman" w:hAnsi="Times New Roman"/>
                <w:lang w:val="ro-RO"/>
              </w:rPr>
              <w:t>.</w:t>
            </w:r>
            <w:r w:rsidR="00032B46" w:rsidRPr="005535FB">
              <w:rPr>
                <w:rFonts w:ascii="Times New Roman" w:hAnsi="Times New Roman"/>
                <w:lang w:val="ro-RO"/>
              </w:rPr>
              <w:t xml:space="preserve"> </w:t>
            </w:r>
            <w:r w:rsidRPr="005535FB">
              <w:rPr>
                <w:rFonts w:ascii="Times New Roman" w:hAnsi="Times New Roman"/>
                <w:lang w:val="ro-RO"/>
              </w:rPr>
              <w:t>Impactul</w:t>
            </w:r>
            <w:r w:rsidR="00032B46" w:rsidRPr="005535FB">
              <w:rPr>
                <w:rFonts w:ascii="Times New Roman" w:hAnsi="Times New Roman"/>
                <w:lang w:val="ro-RO"/>
              </w:rPr>
              <w:t xml:space="preserve"> </w:t>
            </w:r>
            <w:r w:rsidRPr="005535FB">
              <w:rPr>
                <w:rFonts w:ascii="Times New Roman" w:hAnsi="Times New Roman"/>
                <w:lang w:val="ro-RO"/>
              </w:rPr>
              <w:t>asupra</w:t>
            </w:r>
            <w:r w:rsidR="00032B46" w:rsidRPr="005535FB">
              <w:rPr>
                <w:rFonts w:ascii="Times New Roman" w:hAnsi="Times New Roman"/>
                <w:lang w:val="ro-RO"/>
              </w:rPr>
              <w:t xml:space="preserve"> </w:t>
            </w:r>
            <w:r w:rsidRPr="005535FB">
              <w:rPr>
                <w:rFonts w:ascii="Times New Roman" w:hAnsi="Times New Roman"/>
                <w:lang w:val="ro-RO"/>
              </w:rPr>
              <w:t>mediului</w:t>
            </w:r>
          </w:p>
        </w:tc>
      </w:tr>
      <w:tr w:rsidR="00AB7695" w:rsidRPr="005535FB" w14:paraId="02838CA4" w14:textId="77777777" w:rsidTr="00CB468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4588216" w14:textId="7ABECA44" w:rsidR="00AB7695" w:rsidRPr="005535FB" w:rsidRDefault="00155E7C" w:rsidP="00452C6C">
            <w:pPr>
              <w:rPr>
                <w:lang w:val="ro-RO"/>
              </w:rPr>
            </w:pPr>
            <w:r>
              <w:rPr>
                <w:rFonts w:ascii="Times New Roman" w:hAnsi="Times New Roman"/>
                <w:lang w:val="ro-RO"/>
              </w:rPr>
              <w:t>Nu prezintă impact.</w:t>
            </w:r>
          </w:p>
        </w:tc>
      </w:tr>
      <w:tr w:rsidR="006D3EB7" w:rsidRPr="00015248" w14:paraId="42A0201F" w14:textId="77777777" w:rsidTr="00CB4683">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lang w:val="ro-RO"/>
              </w:rPr>
            </w:pPr>
            <w:r w:rsidRPr="005535FB">
              <w:rPr>
                <w:rFonts w:ascii="Times New Roman" w:hAnsi="Times New Roman"/>
                <w:lang w:val="ro-RO"/>
              </w:rPr>
              <w:t>4.</w:t>
            </w:r>
            <w:r w:rsidR="00CA2822" w:rsidRPr="005535FB">
              <w:rPr>
                <w:rFonts w:ascii="Times New Roman" w:hAnsi="Times New Roman"/>
                <w:lang w:val="ro-RO"/>
              </w:rPr>
              <w:t>6</w:t>
            </w:r>
            <w:r w:rsidRPr="005535FB">
              <w:rPr>
                <w:rFonts w:ascii="Times New Roman" w:hAnsi="Times New Roman"/>
                <w:lang w:val="ro-RO"/>
              </w:rPr>
              <w:t>.</w:t>
            </w:r>
            <w:r w:rsidR="00032B46" w:rsidRPr="005535FB">
              <w:rPr>
                <w:rFonts w:ascii="Times New Roman" w:hAnsi="Times New Roman"/>
                <w:lang w:val="ro-RO"/>
              </w:rPr>
              <w:t xml:space="preserve"> </w:t>
            </w:r>
            <w:r w:rsidRPr="005535FB">
              <w:rPr>
                <w:rFonts w:ascii="Times New Roman" w:hAnsi="Times New Roman"/>
                <w:lang w:val="ro-RO"/>
              </w:rPr>
              <w:t>Alte</w:t>
            </w:r>
            <w:r w:rsidR="00032B46" w:rsidRPr="005535FB">
              <w:rPr>
                <w:rFonts w:ascii="Times New Roman" w:hAnsi="Times New Roman"/>
                <w:lang w:val="ro-RO"/>
              </w:rPr>
              <w:t xml:space="preserve"> </w:t>
            </w:r>
            <w:r w:rsidRPr="005535FB">
              <w:rPr>
                <w:rFonts w:ascii="Times New Roman" w:hAnsi="Times New Roman"/>
                <w:lang w:val="ro-RO"/>
              </w:rPr>
              <w:t>impacturi</w:t>
            </w:r>
            <w:r w:rsidR="00032B46" w:rsidRPr="005535FB">
              <w:rPr>
                <w:rFonts w:ascii="Times New Roman" w:hAnsi="Times New Roman"/>
                <w:lang w:val="ro-RO"/>
              </w:rPr>
              <w:t xml:space="preserve"> </w:t>
            </w:r>
            <w:r w:rsidR="00863417" w:rsidRPr="005535FB">
              <w:rPr>
                <w:rFonts w:ascii="Times New Roman" w:hAnsi="Times New Roman"/>
                <w:lang w:val="ro-RO"/>
              </w:rPr>
              <w:t>ș</w:t>
            </w:r>
            <w:r w:rsidRPr="005535FB">
              <w:rPr>
                <w:rFonts w:ascii="Times New Roman" w:hAnsi="Times New Roman"/>
                <w:lang w:val="ro-RO"/>
              </w:rPr>
              <w:t>i</w:t>
            </w:r>
            <w:r w:rsidR="00032B46" w:rsidRPr="005535FB">
              <w:rPr>
                <w:rFonts w:ascii="Times New Roman" w:hAnsi="Times New Roman"/>
                <w:lang w:val="ro-RO"/>
              </w:rPr>
              <w:t xml:space="preserve"> </w:t>
            </w:r>
            <w:r w:rsidRPr="005535FB">
              <w:rPr>
                <w:rFonts w:ascii="Times New Roman" w:hAnsi="Times New Roman"/>
                <w:lang w:val="ro-RO"/>
              </w:rPr>
              <w:t>informa</w:t>
            </w:r>
            <w:r w:rsidR="00863417" w:rsidRPr="005535FB">
              <w:rPr>
                <w:rFonts w:ascii="Times New Roman" w:hAnsi="Times New Roman"/>
                <w:lang w:val="ro-RO"/>
              </w:rPr>
              <w:t>ț</w:t>
            </w:r>
            <w:r w:rsidRPr="005535FB">
              <w:rPr>
                <w:rFonts w:ascii="Times New Roman" w:hAnsi="Times New Roman"/>
                <w:lang w:val="ro-RO"/>
              </w:rPr>
              <w:t>ii</w:t>
            </w:r>
            <w:r w:rsidR="00032B46" w:rsidRPr="005535FB">
              <w:rPr>
                <w:rFonts w:ascii="Times New Roman" w:hAnsi="Times New Roman"/>
                <w:lang w:val="ro-RO"/>
              </w:rPr>
              <w:t xml:space="preserve"> </w:t>
            </w:r>
            <w:r w:rsidRPr="005535FB">
              <w:rPr>
                <w:rFonts w:ascii="Times New Roman" w:hAnsi="Times New Roman"/>
                <w:lang w:val="ro-RO"/>
              </w:rPr>
              <w:t>relevante</w:t>
            </w:r>
          </w:p>
        </w:tc>
      </w:tr>
      <w:tr w:rsidR="006D3EB7" w:rsidRPr="00015248" w14:paraId="70A7B0BB" w14:textId="77777777" w:rsidTr="00CB4683">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F1D44" w14:textId="77777777" w:rsidR="00986CBD" w:rsidRPr="00CB64AB" w:rsidRDefault="00032B46" w:rsidP="00155E7C">
            <w:pPr>
              <w:rPr>
                <w:rFonts w:ascii="Times New Roman" w:hAnsi="Times New Roman"/>
                <w:b/>
                <w:bCs/>
                <w:lang w:val="ro-MD"/>
              </w:rPr>
            </w:pPr>
            <w:r w:rsidRPr="00CB64AB">
              <w:rPr>
                <w:rFonts w:ascii="Times New Roman" w:hAnsi="Times New Roman"/>
                <w:lang w:val="ro-MD"/>
              </w:rPr>
              <w:t xml:space="preserve"> </w:t>
            </w:r>
            <w:r w:rsidR="00986CBD" w:rsidRPr="00CB64AB">
              <w:rPr>
                <w:rFonts w:ascii="Times New Roman" w:hAnsi="Times New Roman"/>
                <w:b/>
                <w:bCs/>
                <w:lang w:val="ro-MD"/>
              </w:rPr>
              <w:t>Impact asupra procesului de aderare la Uniunea Europeană:</w:t>
            </w:r>
          </w:p>
          <w:p w14:paraId="13FD1F55" w14:textId="78F7BB1C" w:rsidR="008B4BE6" w:rsidRPr="00CB64AB" w:rsidRDefault="00155E7C" w:rsidP="00155E7C">
            <w:pPr>
              <w:jc w:val="both"/>
              <w:rPr>
                <w:rFonts w:ascii="Times New Roman" w:hAnsi="Times New Roman"/>
                <w:lang w:val="ro-MD"/>
              </w:rPr>
            </w:pPr>
            <w:r w:rsidRPr="00CB64AB">
              <w:rPr>
                <w:rFonts w:ascii="Times New Roman" w:hAnsi="Times New Roman"/>
                <w:lang w:val="ro-MD"/>
              </w:rPr>
              <w:t>Aprobarea</w:t>
            </w:r>
            <w:r w:rsidR="00986CBD" w:rsidRPr="00CB64AB">
              <w:rPr>
                <w:rFonts w:ascii="Times New Roman" w:hAnsi="Times New Roman"/>
                <w:lang w:val="ro-MD"/>
              </w:rPr>
              <w:t xml:space="preserve"> proiectului de ordin reprezintă un pas important în armonizarea legislației naționale cu acquis-ul UE în domeniul </w:t>
            </w:r>
            <w:r w:rsidRPr="00CB64AB">
              <w:rPr>
                <w:rFonts w:ascii="Times New Roman" w:hAnsi="Times New Roman"/>
                <w:lang w:val="ro-MD"/>
              </w:rPr>
              <w:t>sigurnaței alimentelor</w:t>
            </w:r>
            <w:r w:rsidR="00986CBD" w:rsidRPr="00CB64AB">
              <w:rPr>
                <w:rFonts w:ascii="Times New Roman" w:hAnsi="Times New Roman"/>
                <w:lang w:val="ro-MD"/>
              </w:rPr>
              <w:t xml:space="preserve"> și</w:t>
            </w:r>
            <w:r w:rsidRPr="00CB64AB">
              <w:rPr>
                <w:rFonts w:ascii="Times New Roman" w:hAnsi="Times New Roman"/>
                <w:lang w:val="ro-MD"/>
              </w:rPr>
              <w:t xml:space="preserve"> aprobarea cadrului secundar de implementare a prevederilor aprobate prin Legea nr.82/2024</w:t>
            </w:r>
            <w:r w:rsidR="00CB64AB" w:rsidRPr="00CB64AB">
              <w:rPr>
                <w:rFonts w:ascii="Times New Roman" w:hAnsi="Times New Roman"/>
                <w:lang w:val="ro-MD"/>
              </w:rPr>
              <w:t xml:space="preserve"> </w:t>
            </w:r>
            <w:r w:rsidR="00CB64AB" w:rsidRPr="00CB64AB">
              <w:rPr>
                <w:rFonts w:ascii="Times New Roman" w:eastAsia="Times New Roman" w:hAnsi="Times New Roman"/>
                <w:lang w:val="ro-RO"/>
              </w:rPr>
              <w:t>privind controalele oficiale în domeniul agroalimentar</w:t>
            </w:r>
            <w:r w:rsidR="00986CBD" w:rsidRPr="00CB64AB">
              <w:rPr>
                <w:rFonts w:ascii="Times New Roman" w:hAnsi="Times New Roman"/>
                <w:lang w:val="ro-MD"/>
              </w:rPr>
              <w:t>. Aceasta va fi reflectată pozitiv în evaluările de etapă ale procesului de aderare.</w:t>
            </w:r>
          </w:p>
        </w:tc>
      </w:tr>
      <w:tr w:rsidR="006D3EB7" w:rsidRPr="00015248" w14:paraId="3227BD3A" w14:textId="77777777" w:rsidTr="00CB4683">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lang w:val="ro-RO"/>
              </w:rPr>
            </w:pPr>
            <w:r w:rsidRPr="005535FB">
              <w:rPr>
                <w:rFonts w:ascii="Times New Roman" w:hAnsi="Times New Roman"/>
                <w:b/>
                <w:bCs/>
                <w:lang w:val="ro-RO"/>
              </w:rPr>
              <w:t>5.</w:t>
            </w:r>
            <w:r w:rsidR="00032B46" w:rsidRPr="005535FB">
              <w:rPr>
                <w:rFonts w:ascii="Times New Roman" w:hAnsi="Times New Roman"/>
                <w:b/>
                <w:bCs/>
                <w:lang w:val="ro-RO"/>
              </w:rPr>
              <w:t xml:space="preserve"> </w:t>
            </w:r>
            <w:r w:rsidRPr="005535FB">
              <w:rPr>
                <w:rFonts w:ascii="Times New Roman" w:hAnsi="Times New Roman"/>
                <w:b/>
                <w:bCs/>
                <w:lang w:val="ro-RO"/>
              </w:rPr>
              <w:t>Compatibilitatea</w:t>
            </w:r>
            <w:r w:rsidR="00032B46" w:rsidRPr="005535FB">
              <w:rPr>
                <w:rFonts w:ascii="Times New Roman" w:hAnsi="Times New Roman"/>
                <w:b/>
                <w:bCs/>
                <w:lang w:val="ro-RO"/>
              </w:rPr>
              <w:t xml:space="preserve"> </w:t>
            </w:r>
            <w:r w:rsidRPr="005535FB">
              <w:rPr>
                <w:rFonts w:ascii="Times New Roman" w:hAnsi="Times New Roman"/>
                <w:b/>
                <w:bCs/>
                <w:lang w:val="ro-RO"/>
              </w:rPr>
              <w:t>proiectului</w:t>
            </w:r>
            <w:r w:rsidR="00032B46" w:rsidRPr="005535FB">
              <w:rPr>
                <w:rFonts w:ascii="Times New Roman" w:hAnsi="Times New Roman"/>
                <w:b/>
                <w:bCs/>
                <w:lang w:val="ro-RO"/>
              </w:rPr>
              <w:t xml:space="preserve"> </w:t>
            </w:r>
            <w:r w:rsidRPr="005535FB">
              <w:rPr>
                <w:rFonts w:ascii="Times New Roman" w:hAnsi="Times New Roman"/>
                <w:b/>
                <w:bCs/>
                <w:lang w:val="ro-RO"/>
              </w:rPr>
              <w:t>actului</w:t>
            </w:r>
            <w:r w:rsidR="00032B46" w:rsidRPr="005535FB">
              <w:rPr>
                <w:rFonts w:ascii="Times New Roman" w:hAnsi="Times New Roman"/>
                <w:b/>
                <w:bCs/>
                <w:lang w:val="ro-RO"/>
              </w:rPr>
              <w:t xml:space="preserve"> </w:t>
            </w:r>
            <w:r w:rsidRPr="005535FB">
              <w:rPr>
                <w:rFonts w:ascii="Times New Roman" w:hAnsi="Times New Roman"/>
                <w:b/>
                <w:bCs/>
                <w:lang w:val="ro-RO"/>
              </w:rPr>
              <w:t>normativ</w:t>
            </w:r>
            <w:r w:rsidR="00032B46" w:rsidRPr="005535FB">
              <w:rPr>
                <w:rFonts w:ascii="Times New Roman" w:hAnsi="Times New Roman"/>
                <w:b/>
                <w:bCs/>
                <w:lang w:val="ro-RO"/>
              </w:rPr>
              <w:t xml:space="preserve"> </w:t>
            </w:r>
            <w:r w:rsidRPr="005535FB">
              <w:rPr>
                <w:rFonts w:ascii="Times New Roman" w:hAnsi="Times New Roman"/>
                <w:b/>
                <w:bCs/>
                <w:lang w:val="ro-RO"/>
              </w:rPr>
              <w:t>cu</w:t>
            </w:r>
            <w:r w:rsidR="00032B46" w:rsidRPr="005535FB">
              <w:rPr>
                <w:rFonts w:ascii="Times New Roman" w:hAnsi="Times New Roman"/>
                <w:b/>
                <w:bCs/>
                <w:lang w:val="ro-RO"/>
              </w:rPr>
              <w:t xml:space="preserve"> </w:t>
            </w:r>
            <w:r w:rsidRPr="005535FB">
              <w:rPr>
                <w:rFonts w:ascii="Times New Roman" w:hAnsi="Times New Roman"/>
                <w:b/>
                <w:bCs/>
                <w:lang w:val="ro-RO"/>
              </w:rPr>
              <w:t>legisla</w:t>
            </w:r>
            <w:r w:rsidR="00863417" w:rsidRPr="005535FB">
              <w:rPr>
                <w:rFonts w:ascii="Times New Roman" w:hAnsi="Times New Roman"/>
                <w:b/>
                <w:bCs/>
                <w:lang w:val="ro-RO"/>
              </w:rPr>
              <w:t>ț</w:t>
            </w:r>
            <w:r w:rsidRPr="005535FB">
              <w:rPr>
                <w:rFonts w:ascii="Times New Roman" w:hAnsi="Times New Roman"/>
                <w:b/>
                <w:bCs/>
                <w:lang w:val="ro-RO"/>
              </w:rPr>
              <w:t>ia</w:t>
            </w:r>
            <w:r w:rsidR="00032B46" w:rsidRPr="005535FB">
              <w:rPr>
                <w:rFonts w:ascii="Times New Roman" w:hAnsi="Times New Roman"/>
                <w:b/>
                <w:bCs/>
                <w:lang w:val="ro-RO"/>
              </w:rPr>
              <w:t xml:space="preserve"> </w:t>
            </w:r>
            <w:r w:rsidRPr="005535FB">
              <w:rPr>
                <w:rFonts w:ascii="Times New Roman" w:hAnsi="Times New Roman"/>
                <w:b/>
                <w:bCs/>
                <w:lang w:val="ro-RO"/>
              </w:rPr>
              <w:t>UE</w:t>
            </w:r>
            <w:r w:rsidR="00032B46" w:rsidRPr="005535FB">
              <w:rPr>
                <w:rFonts w:ascii="Times New Roman" w:hAnsi="Times New Roman"/>
                <w:b/>
                <w:bCs/>
                <w:lang w:val="ro-RO"/>
              </w:rPr>
              <w:t xml:space="preserve"> </w:t>
            </w:r>
          </w:p>
        </w:tc>
      </w:tr>
      <w:tr w:rsidR="006D3EB7" w:rsidRPr="005535F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9D0B28">
            <w:pPr>
              <w:rPr>
                <w:rFonts w:ascii="Times New Roman" w:hAnsi="Times New Roman"/>
                <w:lang w:val="ro-RO"/>
              </w:rPr>
            </w:pPr>
            <w:r w:rsidRPr="005535FB">
              <w:rPr>
                <w:rFonts w:ascii="Times New Roman" w:hAnsi="Times New Roman"/>
                <w:lang w:val="ro-RO"/>
              </w:rPr>
              <w:t>5.1.</w:t>
            </w:r>
            <w:r w:rsidR="00032B46" w:rsidRPr="005535FB">
              <w:rPr>
                <w:rFonts w:ascii="Times New Roman" w:hAnsi="Times New Roman"/>
                <w:lang w:val="ro-RO"/>
              </w:rPr>
              <w:t xml:space="preserve"> </w:t>
            </w:r>
            <w:r w:rsidRPr="005535FB">
              <w:rPr>
                <w:rFonts w:ascii="Times New Roman" w:hAnsi="Times New Roman"/>
                <w:lang w:val="ro-RO"/>
              </w:rPr>
              <w:t>Măsuri</w:t>
            </w:r>
            <w:r w:rsidR="00032B46" w:rsidRPr="005535FB">
              <w:rPr>
                <w:rFonts w:ascii="Times New Roman" w:hAnsi="Times New Roman"/>
                <w:lang w:val="ro-RO"/>
              </w:rPr>
              <w:t xml:space="preserve"> </w:t>
            </w:r>
            <w:r w:rsidRPr="005535FB">
              <w:rPr>
                <w:rFonts w:ascii="Times New Roman" w:hAnsi="Times New Roman"/>
                <w:lang w:val="ro-RO"/>
              </w:rPr>
              <w:t>normative</w:t>
            </w:r>
            <w:r w:rsidR="00032B46" w:rsidRPr="005535FB">
              <w:rPr>
                <w:rFonts w:ascii="Times New Roman" w:hAnsi="Times New Roman"/>
                <w:lang w:val="ro-RO"/>
              </w:rPr>
              <w:t xml:space="preserve"> </w:t>
            </w:r>
            <w:r w:rsidRPr="005535FB">
              <w:rPr>
                <w:rFonts w:ascii="Times New Roman" w:hAnsi="Times New Roman"/>
                <w:lang w:val="ro-RO"/>
              </w:rPr>
              <w:t>necesare</w:t>
            </w:r>
            <w:r w:rsidR="00032B46" w:rsidRPr="005535FB">
              <w:rPr>
                <w:rFonts w:ascii="Times New Roman" w:hAnsi="Times New Roman"/>
                <w:lang w:val="ro-RO"/>
              </w:rPr>
              <w:t xml:space="preserve"> </w:t>
            </w:r>
            <w:r w:rsidR="006E0A2E" w:rsidRPr="005535FB">
              <w:rPr>
                <w:rFonts w:ascii="Times New Roman" w:hAnsi="Times New Roman"/>
                <w:lang w:val="ro-RO"/>
              </w:rPr>
              <w:t xml:space="preserve">pentru </w:t>
            </w:r>
            <w:r w:rsidRPr="005535FB">
              <w:rPr>
                <w:rFonts w:ascii="Times New Roman" w:hAnsi="Times New Roman"/>
                <w:lang w:val="ro-RO"/>
              </w:rPr>
              <w:t>transpuner</w:t>
            </w:r>
            <w:r w:rsidR="006E0A2E" w:rsidRPr="005535FB">
              <w:rPr>
                <w:rFonts w:ascii="Times New Roman" w:hAnsi="Times New Roman"/>
                <w:lang w:val="ro-RO"/>
              </w:rPr>
              <w:t>ea</w:t>
            </w:r>
            <w:r w:rsidR="00032B46" w:rsidRPr="005535FB">
              <w:rPr>
                <w:rFonts w:ascii="Times New Roman" w:hAnsi="Times New Roman"/>
                <w:lang w:val="ro-RO"/>
              </w:rPr>
              <w:t xml:space="preserve"> </w:t>
            </w:r>
            <w:r w:rsidRPr="005535FB">
              <w:rPr>
                <w:rFonts w:ascii="Times New Roman" w:hAnsi="Times New Roman"/>
                <w:lang w:val="ro-RO"/>
              </w:rPr>
              <w:t>actelor</w:t>
            </w:r>
            <w:r w:rsidR="00032B46" w:rsidRPr="005535FB">
              <w:rPr>
                <w:rFonts w:ascii="Times New Roman" w:hAnsi="Times New Roman"/>
                <w:lang w:val="ro-RO"/>
              </w:rPr>
              <w:t xml:space="preserve"> </w:t>
            </w:r>
            <w:r w:rsidRPr="005535FB">
              <w:rPr>
                <w:rFonts w:ascii="Times New Roman" w:hAnsi="Times New Roman"/>
                <w:lang w:val="ro-RO"/>
              </w:rPr>
              <w:t>juridice</w:t>
            </w:r>
            <w:r w:rsidR="00032B46" w:rsidRPr="005535FB">
              <w:rPr>
                <w:rFonts w:ascii="Times New Roman" w:hAnsi="Times New Roman"/>
                <w:lang w:val="ro-RO"/>
              </w:rPr>
              <w:t xml:space="preserve"> </w:t>
            </w:r>
            <w:r w:rsidRPr="005535FB">
              <w:rPr>
                <w:rFonts w:ascii="Times New Roman" w:hAnsi="Times New Roman"/>
                <w:lang w:val="ro-RO"/>
              </w:rPr>
              <w:t>ale</w:t>
            </w:r>
            <w:r w:rsidR="00032B46" w:rsidRPr="005535FB">
              <w:rPr>
                <w:rFonts w:ascii="Times New Roman" w:hAnsi="Times New Roman"/>
                <w:lang w:val="ro-RO"/>
              </w:rPr>
              <w:t xml:space="preserve"> </w:t>
            </w:r>
            <w:r w:rsidR="007C53A1" w:rsidRPr="005535FB">
              <w:rPr>
                <w:rFonts w:ascii="Times New Roman" w:hAnsi="Times New Roman"/>
                <w:lang w:val="ro-RO"/>
              </w:rPr>
              <w:t>UE</w:t>
            </w:r>
            <w:r w:rsidR="00825DC9" w:rsidRPr="005535FB">
              <w:rPr>
                <w:rFonts w:ascii="Times New Roman" w:hAnsi="Times New Roman"/>
                <w:lang w:val="ro-RO"/>
              </w:rPr>
              <w:t xml:space="preserve"> în legislația națională</w:t>
            </w:r>
          </w:p>
        </w:tc>
      </w:tr>
      <w:tr w:rsidR="00986CBD" w:rsidRPr="003458FF" w14:paraId="66C32924" w14:textId="77777777" w:rsidTr="00986CBD">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0CAFFC6" w14:textId="05B38594" w:rsidR="00986CBD" w:rsidRPr="00155E7C" w:rsidRDefault="00986CBD" w:rsidP="008F37CB">
            <w:pPr>
              <w:jc w:val="both"/>
              <w:rPr>
                <w:rFonts w:ascii="Times New Roman" w:hAnsi="Times New Roman"/>
                <w:lang w:val="ro-RO"/>
              </w:rPr>
            </w:pPr>
            <w:r w:rsidRPr="00155E7C">
              <w:rPr>
                <w:rFonts w:ascii="Times New Roman" w:hAnsi="Times New Roman"/>
                <w:lang w:val="ro-RO"/>
              </w:rPr>
              <w:t xml:space="preserve">Proiectul de </w:t>
            </w:r>
            <w:r w:rsidR="008F37CB">
              <w:rPr>
                <w:rFonts w:ascii="Times New Roman" w:hAnsi="Times New Roman"/>
                <w:lang w:val="ro-RO"/>
              </w:rPr>
              <w:t>o</w:t>
            </w:r>
            <w:r w:rsidRPr="00155E7C">
              <w:rPr>
                <w:rFonts w:ascii="Times New Roman" w:hAnsi="Times New Roman"/>
                <w:lang w:val="ro-RO"/>
              </w:rPr>
              <w:t>rdin vizează armonizarea legislaţiei naţionale cu legislaţia UE</w:t>
            </w:r>
            <w:r w:rsidR="008F37CB">
              <w:rPr>
                <w:rFonts w:ascii="Times New Roman" w:hAnsi="Times New Roman"/>
                <w:lang w:val="ro-RO"/>
              </w:rPr>
              <w:t xml:space="preserve"> și transpune </w:t>
            </w:r>
            <w:r w:rsidR="003458FF">
              <w:rPr>
                <w:rFonts w:ascii="Times New Roman" w:hAnsi="Times New Roman"/>
                <w:lang w:val="ro-RO"/>
              </w:rPr>
              <w:t xml:space="preserve">total </w:t>
            </w:r>
            <w:r w:rsidR="008F37CB">
              <w:rPr>
                <w:rFonts w:ascii="Times New Roman" w:hAnsi="Times New Roman"/>
                <w:lang w:val="ro-RO"/>
              </w:rPr>
              <w:t xml:space="preserve">prevederile Regulamentului </w:t>
            </w:r>
            <w:r w:rsidR="008F37CB" w:rsidRPr="003321EA">
              <w:rPr>
                <w:rFonts w:ascii="Times New Roman" w:hAnsi="Times New Roman"/>
                <w:lang w:val="ro-RO"/>
              </w:rPr>
              <w:t>delegat (UE) 2021/1353 al Comisiei</w:t>
            </w:r>
            <w:r w:rsidR="008F37CB">
              <w:rPr>
                <w:rFonts w:ascii="Times New Roman" w:hAnsi="Times New Roman"/>
                <w:lang w:val="ro-RO"/>
              </w:rPr>
              <w:t>.</w:t>
            </w:r>
          </w:p>
        </w:tc>
      </w:tr>
      <w:tr w:rsidR="006D3EB7" w:rsidRPr="00015248"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lang w:val="ro-RO"/>
              </w:rPr>
            </w:pPr>
            <w:r w:rsidRPr="005535FB">
              <w:rPr>
                <w:rFonts w:ascii="Times New Roman" w:hAnsi="Times New Roman"/>
                <w:lang w:val="ro-RO"/>
              </w:rPr>
              <w:t>5.2.</w:t>
            </w:r>
            <w:r w:rsidR="00032B46" w:rsidRPr="005535FB">
              <w:rPr>
                <w:rFonts w:ascii="Times New Roman" w:hAnsi="Times New Roman"/>
                <w:lang w:val="ro-RO"/>
              </w:rPr>
              <w:t xml:space="preserve"> </w:t>
            </w:r>
            <w:r w:rsidRPr="005535FB">
              <w:rPr>
                <w:rFonts w:ascii="Times New Roman" w:hAnsi="Times New Roman"/>
                <w:lang w:val="ro-RO"/>
              </w:rPr>
              <w:t>Măsuri</w:t>
            </w:r>
            <w:r w:rsidR="00032B46" w:rsidRPr="005535FB">
              <w:rPr>
                <w:rFonts w:ascii="Times New Roman" w:hAnsi="Times New Roman"/>
                <w:lang w:val="ro-RO"/>
              </w:rPr>
              <w:t xml:space="preserve"> </w:t>
            </w:r>
            <w:r w:rsidRPr="005535FB">
              <w:rPr>
                <w:rFonts w:ascii="Times New Roman" w:hAnsi="Times New Roman"/>
                <w:lang w:val="ro-RO"/>
              </w:rPr>
              <w:t>normative</w:t>
            </w:r>
            <w:r w:rsidR="00032B46" w:rsidRPr="005535FB">
              <w:rPr>
                <w:rFonts w:ascii="Times New Roman" w:hAnsi="Times New Roman"/>
                <w:lang w:val="ro-RO"/>
              </w:rPr>
              <w:t xml:space="preserve"> </w:t>
            </w:r>
            <w:r w:rsidRPr="005535FB">
              <w:rPr>
                <w:rFonts w:ascii="Times New Roman" w:hAnsi="Times New Roman"/>
                <w:lang w:val="ro-RO"/>
              </w:rPr>
              <w:t>care</w:t>
            </w:r>
            <w:r w:rsidR="00032B46" w:rsidRPr="005535FB">
              <w:rPr>
                <w:rFonts w:ascii="Times New Roman" w:hAnsi="Times New Roman"/>
                <w:lang w:val="ro-RO"/>
              </w:rPr>
              <w:t xml:space="preserve"> </w:t>
            </w:r>
            <w:r w:rsidRPr="005535FB">
              <w:rPr>
                <w:rFonts w:ascii="Times New Roman" w:hAnsi="Times New Roman"/>
                <w:lang w:val="ro-RO"/>
              </w:rPr>
              <w:t>urmăresc</w:t>
            </w:r>
            <w:r w:rsidR="00032B46" w:rsidRPr="005535FB">
              <w:rPr>
                <w:rFonts w:ascii="Times New Roman" w:hAnsi="Times New Roman"/>
                <w:lang w:val="ro-RO"/>
              </w:rPr>
              <w:t xml:space="preserve"> </w:t>
            </w:r>
            <w:r w:rsidRPr="005535FB">
              <w:rPr>
                <w:rFonts w:ascii="Times New Roman" w:hAnsi="Times New Roman"/>
                <w:lang w:val="ro-RO"/>
              </w:rPr>
              <w:t>crearea</w:t>
            </w:r>
            <w:r w:rsidR="00032B46" w:rsidRPr="005535FB">
              <w:rPr>
                <w:rFonts w:ascii="Times New Roman" w:hAnsi="Times New Roman"/>
                <w:lang w:val="ro-RO"/>
              </w:rPr>
              <w:t xml:space="preserve"> </w:t>
            </w:r>
            <w:r w:rsidRPr="005535FB">
              <w:rPr>
                <w:rFonts w:ascii="Times New Roman" w:hAnsi="Times New Roman"/>
                <w:lang w:val="ro-RO"/>
              </w:rPr>
              <w:t>cadrului</w:t>
            </w:r>
            <w:r w:rsidR="00032B46" w:rsidRPr="005535FB">
              <w:rPr>
                <w:rFonts w:ascii="Times New Roman" w:hAnsi="Times New Roman"/>
                <w:lang w:val="ro-RO"/>
              </w:rPr>
              <w:t xml:space="preserve"> </w:t>
            </w:r>
            <w:r w:rsidRPr="005535FB">
              <w:rPr>
                <w:rFonts w:ascii="Times New Roman" w:hAnsi="Times New Roman"/>
                <w:lang w:val="ro-RO"/>
              </w:rPr>
              <w:t>juridic</w:t>
            </w:r>
            <w:r w:rsidR="00032B46" w:rsidRPr="005535FB">
              <w:rPr>
                <w:rFonts w:ascii="Times New Roman" w:hAnsi="Times New Roman"/>
                <w:lang w:val="ro-RO"/>
              </w:rPr>
              <w:t xml:space="preserve"> </w:t>
            </w:r>
            <w:r w:rsidRPr="005535FB">
              <w:rPr>
                <w:rFonts w:ascii="Times New Roman" w:hAnsi="Times New Roman"/>
                <w:lang w:val="ro-RO"/>
              </w:rPr>
              <w:t>intern</w:t>
            </w:r>
            <w:r w:rsidR="00032B46" w:rsidRPr="005535FB">
              <w:rPr>
                <w:rFonts w:ascii="Times New Roman" w:hAnsi="Times New Roman"/>
                <w:lang w:val="ro-RO"/>
              </w:rPr>
              <w:t xml:space="preserve"> </w:t>
            </w:r>
            <w:r w:rsidRPr="005535FB">
              <w:rPr>
                <w:rFonts w:ascii="Times New Roman" w:hAnsi="Times New Roman"/>
                <w:lang w:val="ro-RO"/>
              </w:rPr>
              <w:t>necesar</w:t>
            </w:r>
            <w:r w:rsidR="00032B46" w:rsidRPr="005535FB">
              <w:rPr>
                <w:rFonts w:ascii="Times New Roman" w:hAnsi="Times New Roman"/>
                <w:lang w:val="ro-RO"/>
              </w:rPr>
              <w:t xml:space="preserve"> </w:t>
            </w:r>
            <w:r w:rsidR="006E0A2E" w:rsidRPr="005535FB">
              <w:rPr>
                <w:rFonts w:ascii="Times New Roman" w:hAnsi="Times New Roman"/>
                <w:lang w:val="ro-RO"/>
              </w:rPr>
              <w:t xml:space="preserve">pentru </w:t>
            </w:r>
            <w:r w:rsidRPr="005535FB">
              <w:rPr>
                <w:rFonts w:ascii="Times New Roman" w:hAnsi="Times New Roman"/>
                <w:lang w:val="ro-RO"/>
              </w:rPr>
              <w:t>implement</w:t>
            </w:r>
            <w:r w:rsidR="006E0A2E" w:rsidRPr="005535FB">
              <w:rPr>
                <w:rFonts w:ascii="Times New Roman" w:hAnsi="Times New Roman"/>
                <w:lang w:val="ro-RO"/>
              </w:rPr>
              <w:t>area</w:t>
            </w:r>
            <w:r w:rsidR="00032B46" w:rsidRPr="005535FB">
              <w:rPr>
                <w:rFonts w:ascii="Times New Roman" w:hAnsi="Times New Roman"/>
                <w:lang w:val="ro-RO"/>
              </w:rPr>
              <w:t xml:space="preserve"> </w:t>
            </w:r>
            <w:r w:rsidRPr="005535FB">
              <w:rPr>
                <w:rFonts w:ascii="Times New Roman" w:hAnsi="Times New Roman"/>
                <w:lang w:val="ro-RO"/>
              </w:rPr>
              <w:t>legisla</w:t>
            </w:r>
            <w:r w:rsidR="00863417" w:rsidRPr="005535FB">
              <w:rPr>
                <w:rFonts w:ascii="Times New Roman" w:hAnsi="Times New Roman"/>
                <w:lang w:val="ro-RO"/>
              </w:rPr>
              <w:t>ț</w:t>
            </w:r>
            <w:r w:rsidRPr="005535FB">
              <w:rPr>
                <w:rFonts w:ascii="Times New Roman" w:hAnsi="Times New Roman"/>
                <w:lang w:val="ro-RO"/>
              </w:rPr>
              <w:t>iei</w:t>
            </w:r>
            <w:r w:rsidR="00032B46" w:rsidRPr="005535FB">
              <w:rPr>
                <w:rFonts w:ascii="Times New Roman" w:hAnsi="Times New Roman"/>
                <w:lang w:val="ro-RO"/>
              </w:rPr>
              <w:t xml:space="preserve"> </w:t>
            </w:r>
            <w:r w:rsidR="007C53A1" w:rsidRPr="005535FB">
              <w:rPr>
                <w:rFonts w:ascii="Times New Roman" w:hAnsi="Times New Roman"/>
                <w:lang w:val="ro-RO"/>
              </w:rPr>
              <w:t>UE</w:t>
            </w:r>
          </w:p>
        </w:tc>
      </w:tr>
      <w:tr w:rsidR="006D3EB7" w:rsidRPr="00015248"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E1378DF" w:rsidR="008B4BE6" w:rsidRPr="00CB64AB" w:rsidRDefault="00986CBD" w:rsidP="008F37CB">
            <w:pPr>
              <w:jc w:val="both"/>
              <w:rPr>
                <w:rFonts w:ascii="Times New Roman" w:hAnsi="Times New Roman"/>
                <w:lang w:val="ro-MD"/>
              </w:rPr>
            </w:pPr>
            <w:r w:rsidRPr="00CB64AB">
              <w:rPr>
                <w:rFonts w:ascii="Times New Roman" w:hAnsi="Times New Roman"/>
                <w:lang w:val="ro-MD"/>
              </w:rPr>
              <w:t xml:space="preserve">Proiectul de </w:t>
            </w:r>
            <w:r w:rsidR="008F37CB" w:rsidRPr="00CB64AB">
              <w:rPr>
                <w:rFonts w:ascii="Times New Roman" w:hAnsi="Times New Roman"/>
                <w:lang w:val="ro-MD"/>
              </w:rPr>
              <w:t>o</w:t>
            </w:r>
            <w:r w:rsidRPr="00CB64AB">
              <w:rPr>
                <w:rFonts w:ascii="Times New Roman" w:hAnsi="Times New Roman"/>
                <w:lang w:val="ro-MD"/>
              </w:rPr>
              <w:t>rdin vizează armonizarea legislaţiei naţionale cu legislaţia UE</w:t>
            </w:r>
            <w:r w:rsidR="008F37CB" w:rsidRPr="00CB64AB">
              <w:rPr>
                <w:rFonts w:ascii="Times New Roman" w:hAnsi="Times New Roman"/>
                <w:lang w:val="ro-MD"/>
              </w:rPr>
              <w:t xml:space="preserve"> și contribuie la implementarea prevederilor </w:t>
            </w:r>
            <w:r w:rsidR="008F37CB" w:rsidRPr="00CB64AB">
              <w:rPr>
                <w:rFonts w:ascii="Times New Roman" w:eastAsia="Times New Roman" w:hAnsi="Times New Roman"/>
                <w:lang w:val="ro-RO"/>
              </w:rPr>
              <w:t xml:space="preserve">Legii nr.82/2024 </w:t>
            </w:r>
            <w:r w:rsidR="00CB64AB" w:rsidRPr="00CB64AB">
              <w:rPr>
                <w:rFonts w:ascii="Times New Roman" w:eastAsia="Times New Roman" w:hAnsi="Times New Roman"/>
                <w:lang w:val="ro-RO"/>
              </w:rPr>
              <w:t xml:space="preserve">privind controalele oficiale în domeniul agroalimentar </w:t>
            </w:r>
            <w:r w:rsidR="008F37CB" w:rsidRPr="00CB64AB">
              <w:rPr>
                <w:rFonts w:ascii="Times New Roman" w:eastAsia="Times New Roman" w:hAnsi="Times New Roman"/>
                <w:lang w:val="ro-RO"/>
              </w:rPr>
              <w:t>care transpune Regulamentul (UE) 2017/625.</w:t>
            </w:r>
          </w:p>
        </w:tc>
      </w:tr>
      <w:tr w:rsidR="006D3EB7" w:rsidRPr="00015248" w14:paraId="338B3440" w14:textId="77777777" w:rsidTr="00015248">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lang w:val="ro-RO"/>
              </w:rPr>
            </w:pPr>
            <w:r w:rsidRPr="005535FB">
              <w:rPr>
                <w:rFonts w:ascii="Times New Roman" w:hAnsi="Times New Roman"/>
                <w:b/>
                <w:bCs/>
                <w:lang w:val="ro-RO"/>
              </w:rPr>
              <w:t>6.</w:t>
            </w:r>
            <w:r w:rsidR="00032B46" w:rsidRPr="005535FB">
              <w:rPr>
                <w:rFonts w:ascii="Times New Roman" w:hAnsi="Times New Roman"/>
                <w:b/>
                <w:bCs/>
                <w:lang w:val="ro-RO"/>
              </w:rPr>
              <w:t xml:space="preserve"> </w:t>
            </w:r>
            <w:r w:rsidRPr="005535FB">
              <w:rPr>
                <w:rFonts w:ascii="Times New Roman" w:hAnsi="Times New Roman"/>
                <w:b/>
                <w:bCs/>
                <w:lang w:val="ro-RO"/>
              </w:rPr>
              <w:t>Avizarea</w:t>
            </w:r>
            <w:r w:rsidR="00032B46" w:rsidRPr="005535FB">
              <w:rPr>
                <w:rFonts w:ascii="Times New Roman" w:hAnsi="Times New Roman"/>
                <w:b/>
                <w:bCs/>
                <w:lang w:val="ro-RO"/>
              </w:rPr>
              <w:t xml:space="preserve"> </w:t>
            </w:r>
            <w:r w:rsidR="00863417" w:rsidRPr="005535FB">
              <w:rPr>
                <w:rFonts w:ascii="Times New Roman" w:hAnsi="Times New Roman"/>
                <w:b/>
                <w:bCs/>
                <w:lang w:val="ro-RO"/>
              </w:rPr>
              <w:t>ș</w:t>
            </w:r>
            <w:r w:rsidRPr="005535FB">
              <w:rPr>
                <w:rFonts w:ascii="Times New Roman" w:hAnsi="Times New Roman"/>
                <w:b/>
                <w:bCs/>
                <w:lang w:val="ro-RO"/>
              </w:rPr>
              <w:t>i</w:t>
            </w:r>
            <w:r w:rsidR="00032B46" w:rsidRPr="005535FB">
              <w:rPr>
                <w:rFonts w:ascii="Times New Roman" w:hAnsi="Times New Roman"/>
                <w:b/>
                <w:bCs/>
                <w:lang w:val="ro-RO"/>
              </w:rPr>
              <w:t xml:space="preserve"> </w:t>
            </w:r>
            <w:r w:rsidRPr="005535FB">
              <w:rPr>
                <w:rFonts w:ascii="Times New Roman" w:hAnsi="Times New Roman"/>
                <w:b/>
                <w:bCs/>
                <w:lang w:val="ro-RO"/>
              </w:rPr>
              <w:t>consultarea</w:t>
            </w:r>
            <w:r w:rsidR="00032B46" w:rsidRPr="005535FB">
              <w:rPr>
                <w:rFonts w:ascii="Times New Roman" w:hAnsi="Times New Roman"/>
                <w:b/>
                <w:bCs/>
                <w:lang w:val="ro-RO"/>
              </w:rPr>
              <w:t xml:space="preserve"> </w:t>
            </w:r>
            <w:r w:rsidRPr="005535FB">
              <w:rPr>
                <w:rFonts w:ascii="Times New Roman" w:hAnsi="Times New Roman"/>
                <w:b/>
                <w:bCs/>
                <w:lang w:val="ro-RO"/>
              </w:rPr>
              <w:t>publică</w:t>
            </w:r>
            <w:r w:rsidR="00032B46" w:rsidRPr="005535FB">
              <w:rPr>
                <w:rFonts w:ascii="Times New Roman" w:hAnsi="Times New Roman"/>
                <w:b/>
                <w:bCs/>
                <w:lang w:val="ro-RO"/>
              </w:rPr>
              <w:t xml:space="preserve"> </w:t>
            </w:r>
            <w:r w:rsidRPr="005535FB">
              <w:rPr>
                <w:rFonts w:ascii="Times New Roman" w:hAnsi="Times New Roman"/>
                <w:b/>
                <w:bCs/>
                <w:lang w:val="ro-RO"/>
              </w:rPr>
              <w:t>a</w:t>
            </w:r>
            <w:r w:rsidR="00032B46" w:rsidRPr="005535FB">
              <w:rPr>
                <w:rFonts w:ascii="Times New Roman" w:hAnsi="Times New Roman"/>
                <w:b/>
                <w:bCs/>
                <w:lang w:val="ro-RO"/>
              </w:rPr>
              <w:t xml:space="preserve"> </w:t>
            </w:r>
            <w:r w:rsidRPr="005535FB">
              <w:rPr>
                <w:rFonts w:ascii="Times New Roman" w:hAnsi="Times New Roman"/>
                <w:b/>
                <w:bCs/>
                <w:lang w:val="ro-RO"/>
              </w:rPr>
              <w:t>proiectului</w:t>
            </w:r>
            <w:r w:rsidR="00032B46" w:rsidRPr="005535FB">
              <w:rPr>
                <w:rFonts w:ascii="Times New Roman" w:hAnsi="Times New Roman"/>
                <w:b/>
                <w:bCs/>
                <w:lang w:val="ro-RO"/>
              </w:rPr>
              <w:t xml:space="preserve"> </w:t>
            </w:r>
            <w:r w:rsidRPr="005535FB">
              <w:rPr>
                <w:rFonts w:ascii="Times New Roman" w:hAnsi="Times New Roman"/>
                <w:b/>
                <w:bCs/>
                <w:lang w:val="ro-RO"/>
              </w:rPr>
              <w:t>actului</w:t>
            </w:r>
            <w:r w:rsidR="00032B46" w:rsidRPr="005535FB">
              <w:rPr>
                <w:rFonts w:ascii="Times New Roman" w:hAnsi="Times New Roman"/>
                <w:b/>
                <w:bCs/>
                <w:lang w:val="ro-RO"/>
              </w:rPr>
              <w:t xml:space="preserve"> </w:t>
            </w:r>
            <w:r w:rsidRPr="005535FB">
              <w:rPr>
                <w:rFonts w:ascii="Times New Roman" w:hAnsi="Times New Roman"/>
                <w:b/>
                <w:bCs/>
                <w:lang w:val="ro-RO"/>
              </w:rPr>
              <w:t>normativ</w:t>
            </w:r>
          </w:p>
        </w:tc>
      </w:tr>
      <w:tr w:rsidR="006D3EB7" w:rsidRPr="00015248" w14:paraId="4E687F27" w14:textId="77777777" w:rsidTr="00015248">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B6973" w14:textId="744511BD" w:rsidR="00986CBD" w:rsidRPr="00986CBD" w:rsidRDefault="00986CBD" w:rsidP="00CB64AB">
            <w:pPr>
              <w:jc w:val="both"/>
              <w:rPr>
                <w:rFonts w:ascii="Times New Roman" w:hAnsi="Times New Roman"/>
                <w:lang w:val="ro-RO"/>
              </w:rPr>
            </w:pPr>
            <w:r w:rsidRPr="00986CBD">
              <w:rPr>
                <w:rFonts w:ascii="Times New Roman" w:hAnsi="Times New Roman"/>
                <w:lang w:val="ro-RO"/>
              </w:rPr>
              <w:t>În conformitate cu prevederile art</w:t>
            </w:r>
            <w:r w:rsidR="00CB64AB">
              <w:rPr>
                <w:rFonts w:ascii="Times New Roman" w:hAnsi="Times New Roman"/>
                <w:lang w:val="ro-RO"/>
              </w:rPr>
              <w:t>icolului</w:t>
            </w:r>
            <w:r w:rsidRPr="00986CBD">
              <w:rPr>
                <w:rFonts w:ascii="Times New Roman" w:hAnsi="Times New Roman"/>
                <w:lang w:val="ro-RO"/>
              </w:rPr>
              <w:t xml:space="preserve"> 8 lit. a) și art</w:t>
            </w:r>
            <w:r w:rsidR="00CB64AB">
              <w:rPr>
                <w:rFonts w:ascii="Times New Roman" w:hAnsi="Times New Roman"/>
                <w:lang w:val="ro-RO"/>
              </w:rPr>
              <w:t>icolul</w:t>
            </w:r>
            <w:r w:rsidRPr="00986CBD">
              <w:rPr>
                <w:rFonts w:ascii="Times New Roman" w:hAnsi="Times New Roman"/>
                <w:lang w:val="ro-RO"/>
              </w:rPr>
              <w:t xml:space="preserve"> 9 alin. (1) și (2) din Legea nr. 239/2008 privind</w:t>
            </w:r>
            <w:r w:rsidR="00155E7C">
              <w:rPr>
                <w:rFonts w:ascii="Times New Roman" w:hAnsi="Times New Roman"/>
                <w:lang w:val="ro-RO"/>
              </w:rPr>
              <w:t xml:space="preserve"> </w:t>
            </w:r>
            <w:r w:rsidRPr="00986CBD">
              <w:rPr>
                <w:rFonts w:ascii="Times New Roman" w:hAnsi="Times New Roman"/>
                <w:lang w:val="ro-RO"/>
              </w:rPr>
              <w:t>transparența în procesul decizional, proiectul urmează a fi supus procedurii de avizare.</w:t>
            </w:r>
            <w:r w:rsidR="00155E7C">
              <w:rPr>
                <w:rFonts w:ascii="Times New Roman" w:hAnsi="Times New Roman"/>
                <w:lang w:val="ro-RO"/>
              </w:rPr>
              <w:t xml:space="preserve"> </w:t>
            </w:r>
            <w:r w:rsidRPr="00986CBD">
              <w:rPr>
                <w:rFonts w:ascii="Times New Roman" w:hAnsi="Times New Roman"/>
                <w:lang w:val="ro-RO"/>
              </w:rPr>
              <w:t xml:space="preserve">Totodată, pentru a respecta prevederile legislative privind transparența în procesul de </w:t>
            </w:r>
            <w:r w:rsidRPr="00986CBD">
              <w:rPr>
                <w:rFonts w:ascii="Times New Roman" w:hAnsi="Times New Roman"/>
                <w:lang w:val="ro-RO"/>
              </w:rPr>
              <w:lastRenderedPageBreak/>
              <w:t>consultare</w:t>
            </w:r>
            <w:r w:rsidR="00155E7C">
              <w:rPr>
                <w:rFonts w:ascii="Times New Roman" w:hAnsi="Times New Roman"/>
                <w:lang w:val="ro-RO"/>
              </w:rPr>
              <w:t xml:space="preserve"> </w:t>
            </w:r>
            <w:r w:rsidRPr="00986CBD">
              <w:rPr>
                <w:rFonts w:ascii="Times New Roman" w:hAnsi="Times New Roman"/>
                <w:lang w:val="ro-RO"/>
              </w:rPr>
              <w:t>publică, a fost plasat anunțul privind inițierea procesului de elaborare a proiectului de ordin și</w:t>
            </w:r>
            <w:r w:rsidR="00155E7C">
              <w:rPr>
                <w:rFonts w:ascii="Times New Roman" w:hAnsi="Times New Roman"/>
                <w:lang w:val="ro-RO"/>
              </w:rPr>
              <w:t xml:space="preserve"> </w:t>
            </w:r>
            <w:r w:rsidRPr="00986CBD">
              <w:rPr>
                <w:rFonts w:ascii="Times New Roman" w:hAnsi="Times New Roman"/>
                <w:lang w:val="ro-RO"/>
              </w:rPr>
              <w:t xml:space="preserve">consultările publice a acestuia, pe pagina web oficială a </w:t>
            </w:r>
            <w:r w:rsidR="00155E7C">
              <w:rPr>
                <w:rFonts w:ascii="Times New Roman" w:hAnsi="Times New Roman"/>
                <w:lang w:val="ro-RO"/>
              </w:rPr>
              <w:t>Angenției Naționale pentru Sigurnața Alimentelor</w:t>
            </w:r>
            <w:r w:rsidRPr="00986CBD">
              <w:rPr>
                <w:rFonts w:ascii="Times New Roman" w:hAnsi="Times New Roman"/>
                <w:lang w:val="ro-RO"/>
              </w:rPr>
              <w:t>, compartimentul</w:t>
            </w:r>
          </w:p>
          <w:p w14:paraId="36493ED0" w14:textId="77777777" w:rsidR="00986CBD" w:rsidRPr="00986CBD" w:rsidRDefault="00986CBD" w:rsidP="00986CBD">
            <w:pPr>
              <w:rPr>
                <w:rFonts w:ascii="Times New Roman" w:hAnsi="Times New Roman"/>
                <w:lang w:val="ro-RO"/>
              </w:rPr>
            </w:pPr>
            <w:r w:rsidRPr="00986CBD">
              <w:rPr>
                <w:rFonts w:ascii="Times New Roman" w:hAnsi="Times New Roman"/>
                <w:lang w:val="ro-RO"/>
              </w:rPr>
              <w:t>„Transparență”, „Proiecte supuse consultărilor publice” și pe portalul guvernamental</w:t>
            </w:r>
          </w:p>
          <w:p w14:paraId="7E6045F3" w14:textId="4B3E18EF" w:rsidR="008B4BE6" w:rsidRPr="005535FB" w:rsidRDefault="00986CBD" w:rsidP="00015248">
            <w:pPr>
              <w:jc w:val="both"/>
              <w:rPr>
                <w:rFonts w:ascii="Times New Roman" w:hAnsi="Times New Roman"/>
                <w:lang w:val="ro-RO"/>
              </w:rPr>
            </w:pPr>
            <w:r w:rsidRPr="00986CBD">
              <w:rPr>
                <w:rFonts w:ascii="Times New Roman" w:hAnsi="Times New Roman"/>
                <w:lang w:val="ro-RO"/>
              </w:rPr>
              <w:t>(www.particip.gov.md) și poate fi accesat la următorul link:</w:t>
            </w:r>
            <w:r w:rsidR="00155E7C">
              <w:rPr>
                <w:rFonts w:ascii="Times New Roman" w:hAnsi="Times New Roman"/>
                <w:lang w:val="ro-RO"/>
              </w:rPr>
              <w:t xml:space="preserve"> </w:t>
            </w:r>
            <w:hyperlink r:id="rId11" w:history="1">
              <w:r w:rsidR="00155E7C" w:rsidRPr="00B53AE9">
                <w:rPr>
                  <w:rStyle w:val="aff3"/>
                  <w:lang w:val="ro-RO"/>
                </w:rPr>
                <w:t>https://particip.gov.md/ro/document/stag</w:t>
              </w:r>
              <w:r w:rsidR="00155E7C" w:rsidRPr="00B53AE9">
                <w:rPr>
                  <w:rStyle w:val="aff3"/>
                  <w:lang w:val="ro-RO"/>
                </w:rPr>
                <w:t>e</w:t>
              </w:r>
              <w:r w:rsidR="00155E7C" w:rsidRPr="00B53AE9">
                <w:rPr>
                  <w:rStyle w:val="aff3"/>
                  <w:lang w:val="ro-RO"/>
                </w:rPr>
                <w:t>s/anunt-privind-initierea-procesului-de-elaborare-a-proiectului-de-ordin-al-agentiei-nationale-pentru-siguranta-alimentelor-cu-privire-la-elaborarea-regulamentului-privind-cazurile-si-conditiile-in-care-agentia-nationala-pentru-siguranta-alimentelor-poate-desemna-drept-laboratoare-oficiale-laboratoarele-care-nu-indeplinesc-conditiile-privind-toate-metodele-pe-care-acestea-le-utilizeaza-pentru-controalele-oficiale-sau-alte-activitati-oficiale/14848</w:t>
              </w:r>
            </w:hyperlink>
            <w:r w:rsidR="00155E7C">
              <w:rPr>
                <w:rFonts w:ascii="Times New Roman" w:hAnsi="Times New Roman"/>
                <w:lang w:val="ro-RO"/>
              </w:rPr>
              <w:t xml:space="preserve"> </w:t>
            </w:r>
          </w:p>
        </w:tc>
      </w:tr>
      <w:tr w:rsidR="006D3EB7" w:rsidRPr="005535FB" w14:paraId="2C469418" w14:textId="77777777" w:rsidTr="00015248">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lang w:val="ro-RO"/>
              </w:rPr>
            </w:pPr>
            <w:r w:rsidRPr="005535FB">
              <w:rPr>
                <w:rFonts w:ascii="Times New Roman" w:hAnsi="Times New Roman"/>
                <w:b/>
                <w:bCs/>
                <w:lang w:val="ro-RO"/>
              </w:rPr>
              <w:lastRenderedPageBreak/>
              <w:t>7.</w:t>
            </w:r>
            <w:r w:rsidR="00032B46" w:rsidRPr="005535FB">
              <w:rPr>
                <w:rFonts w:ascii="Times New Roman" w:hAnsi="Times New Roman"/>
                <w:b/>
                <w:bCs/>
                <w:lang w:val="ro-RO"/>
              </w:rPr>
              <w:t xml:space="preserve"> </w:t>
            </w:r>
            <w:r w:rsidR="00A95A2D" w:rsidRPr="005535FB">
              <w:rPr>
                <w:rFonts w:ascii="Times New Roman" w:hAnsi="Times New Roman"/>
                <w:b/>
                <w:bCs/>
                <w:lang w:val="ro-RO"/>
              </w:rPr>
              <w:t>C</w:t>
            </w:r>
            <w:r w:rsidRPr="005535FB">
              <w:rPr>
                <w:rFonts w:ascii="Times New Roman" w:hAnsi="Times New Roman"/>
                <w:b/>
                <w:bCs/>
                <w:lang w:val="ro-RO"/>
              </w:rPr>
              <w:t>oncluziile</w:t>
            </w:r>
            <w:r w:rsidR="00032B46" w:rsidRPr="005535FB">
              <w:rPr>
                <w:rFonts w:ascii="Times New Roman" w:hAnsi="Times New Roman"/>
                <w:b/>
                <w:bCs/>
                <w:lang w:val="ro-RO"/>
              </w:rPr>
              <w:t xml:space="preserve"> </w:t>
            </w:r>
            <w:r w:rsidRPr="005535FB">
              <w:rPr>
                <w:rFonts w:ascii="Times New Roman" w:hAnsi="Times New Roman"/>
                <w:b/>
                <w:bCs/>
                <w:lang w:val="ro-RO"/>
              </w:rPr>
              <w:t>expertizelor</w:t>
            </w:r>
          </w:p>
        </w:tc>
      </w:tr>
      <w:tr w:rsidR="006D3EB7" w:rsidRPr="00015248"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EF857E6" w:rsidR="008B4BE6" w:rsidRPr="00986CBD" w:rsidRDefault="00986CBD" w:rsidP="00986CBD">
            <w:pPr>
              <w:pStyle w:val="Default"/>
              <w:jc w:val="both"/>
              <w:rPr>
                <w:rFonts w:ascii="Times New Roman" w:hAnsi="Times New Roman"/>
                <w:b/>
                <w:bCs/>
                <w:lang w:val="ro-RO"/>
              </w:rPr>
            </w:pPr>
            <w:r w:rsidRPr="00986CBD">
              <w:rPr>
                <w:rFonts w:ascii="Times New Roman" w:hAnsi="Times New Roman"/>
                <w:lang w:val="ro-RO"/>
              </w:rPr>
              <w:t xml:space="preserve">Proiectul urmează a fi supus expertizei juridice în conformitate cu procedura stabilită în Legea nr. 100/2017 cu privire la actele normative. Implementarea ordinului nu necesită modificarea Legii bugetului și nu generează impact bugetar </w:t>
            </w:r>
            <w:r w:rsidRPr="00986CBD">
              <w:rPr>
                <w:rFonts w:ascii="Times New Roman" w:hAnsi="Times New Roman"/>
                <w:color w:val="auto"/>
                <w:lang w:val="ro-RO"/>
              </w:rPr>
              <w:t>negativ asupra finanțelor publice.</w:t>
            </w:r>
          </w:p>
        </w:tc>
      </w:tr>
      <w:tr w:rsidR="006D3EB7" w:rsidRPr="00015248" w14:paraId="723ACED3" w14:textId="77777777" w:rsidTr="008F37CB">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lang w:val="ro-RO"/>
              </w:rPr>
            </w:pPr>
            <w:r w:rsidRPr="005535FB">
              <w:rPr>
                <w:rFonts w:ascii="Times New Roman" w:hAnsi="Times New Roman"/>
                <w:b/>
                <w:bCs/>
                <w:lang w:val="ro-RO"/>
              </w:rPr>
              <w:t>8.</w:t>
            </w:r>
            <w:r w:rsidR="00032B46" w:rsidRPr="005535FB">
              <w:rPr>
                <w:rFonts w:ascii="Times New Roman" w:hAnsi="Times New Roman"/>
                <w:b/>
                <w:bCs/>
                <w:lang w:val="ro-RO"/>
              </w:rPr>
              <w:t xml:space="preserve"> </w:t>
            </w:r>
            <w:r w:rsidRPr="005535FB">
              <w:rPr>
                <w:rFonts w:ascii="Times New Roman" w:hAnsi="Times New Roman"/>
                <w:b/>
                <w:bCs/>
                <w:lang w:val="ro-RO"/>
              </w:rPr>
              <w:t>Modul</w:t>
            </w:r>
            <w:r w:rsidR="00032B46" w:rsidRPr="005535FB">
              <w:rPr>
                <w:rFonts w:ascii="Times New Roman" w:hAnsi="Times New Roman"/>
                <w:b/>
                <w:bCs/>
                <w:lang w:val="ro-RO"/>
              </w:rPr>
              <w:t xml:space="preserve"> </w:t>
            </w:r>
            <w:r w:rsidRPr="005535FB">
              <w:rPr>
                <w:rFonts w:ascii="Times New Roman" w:hAnsi="Times New Roman"/>
                <w:b/>
                <w:bCs/>
                <w:lang w:val="ro-RO"/>
              </w:rPr>
              <w:t>de</w:t>
            </w:r>
            <w:r w:rsidR="00032B46" w:rsidRPr="005535FB">
              <w:rPr>
                <w:rFonts w:ascii="Times New Roman" w:hAnsi="Times New Roman"/>
                <w:b/>
                <w:bCs/>
                <w:lang w:val="ro-RO"/>
              </w:rPr>
              <w:t xml:space="preserve"> </w:t>
            </w:r>
            <w:r w:rsidRPr="005535FB">
              <w:rPr>
                <w:rFonts w:ascii="Times New Roman" w:hAnsi="Times New Roman"/>
                <w:b/>
                <w:bCs/>
                <w:lang w:val="ro-RO"/>
              </w:rPr>
              <w:t>încorporare</w:t>
            </w:r>
            <w:r w:rsidR="00032B46" w:rsidRPr="005535FB">
              <w:rPr>
                <w:rFonts w:ascii="Times New Roman" w:hAnsi="Times New Roman"/>
                <w:b/>
                <w:bCs/>
                <w:lang w:val="ro-RO"/>
              </w:rPr>
              <w:t xml:space="preserve"> </w:t>
            </w:r>
            <w:r w:rsidRPr="005535FB">
              <w:rPr>
                <w:rFonts w:ascii="Times New Roman" w:hAnsi="Times New Roman"/>
                <w:b/>
                <w:bCs/>
                <w:lang w:val="ro-RO"/>
              </w:rPr>
              <w:t>a</w:t>
            </w:r>
            <w:r w:rsidR="00032B46" w:rsidRPr="005535FB">
              <w:rPr>
                <w:rFonts w:ascii="Times New Roman" w:hAnsi="Times New Roman"/>
                <w:b/>
                <w:bCs/>
                <w:lang w:val="ro-RO"/>
              </w:rPr>
              <w:t xml:space="preserve"> </w:t>
            </w:r>
            <w:r w:rsidRPr="005535FB">
              <w:rPr>
                <w:rFonts w:ascii="Times New Roman" w:hAnsi="Times New Roman"/>
                <w:b/>
                <w:bCs/>
                <w:lang w:val="ro-RO"/>
              </w:rPr>
              <w:t>actului</w:t>
            </w:r>
            <w:r w:rsidR="00032B46" w:rsidRPr="005535FB">
              <w:rPr>
                <w:rFonts w:ascii="Times New Roman" w:hAnsi="Times New Roman"/>
                <w:b/>
                <w:bCs/>
                <w:lang w:val="ro-RO"/>
              </w:rPr>
              <w:t xml:space="preserve"> </w:t>
            </w:r>
            <w:r w:rsidRPr="005535FB">
              <w:rPr>
                <w:rFonts w:ascii="Times New Roman" w:hAnsi="Times New Roman"/>
                <w:b/>
                <w:bCs/>
                <w:lang w:val="ro-RO"/>
              </w:rPr>
              <w:t>în</w:t>
            </w:r>
            <w:r w:rsidR="00032B46" w:rsidRPr="005535FB">
              <w:rPr>
                <w:rFonts w:ascii="Times New Roman" w:hAnsi="Times New Roman"/>
                <w:b/>
                <w:bCs/>
                <w:lang w:val="ro-RO"/>
              </w:rPr>
              <w:t xml:space="preserve"> </w:t>
            </w:r>
            <w:r w:rsidRPr="005535FB">
              <w:rPr>
                <w:rFonts w:ascii="Times New Roman" w:hAnsi="Times New Roman"/>
                <w:b/>
                <w:bCs/>
                <w:lang w:val="ro-RO"/>
              </w:rPr>
              <w:t>cadrul</w:t>
            </w:r>
            <w:r w:rsidR="00032B46" w:rsidRPr="005535FB">
              <w:rPr>
                <w:rFonts w:ascii="Times New Roman" w:hAnsi="Times New Roman"/>
                <w:b/>
                <w:bCs/>
                <w:lang w:val="ro-RO"/>
              </w:rPr>
              <w:t xml:space="preserve"> </w:t>
            </w:r>
            <w:r w:rsidRPr="005535FB">
              <w:rPr>
                <w:rFonts w:ascii="Times New Roman" w:hAnsi="Times New Roman"/>
                <w:b/>
                <w:bCs/>
                <w:lang w:val="ro-RO"/>
              </w:rPr>
              <w:t>normativ</w:t>
            </w:r>
            <w:r w:rsidR="00032B46" w:rsidRPr="005535FB">
              <w:rPr>
                <w:rFonts w:ascii="Times New Roman" w:hAnsi="Times New Roman"/>
                <w:b/>
                <w:bCs/>
                <w:lang w:val="ro-RO"/>
              </w:rPr>
              <w:t xml:space="preserve"> </w:t>
            </w:r>
            <w:r w:rsidR="007C53A1" w:rsidRPr="005535FB">
              <w:rPr>
                <w:rFonts w:ascii="Times New Roman" w:hAnsi="Times New Roman"/>
                <w:b/>
                <w:bCs/>
                <w:lang w:val="ro-RO"/>
              </w:rPr>
              <w:t>existent</w:t>
            </w:r>
          </w:p>
        </w:tc>
      </w:tr>
      <w:tr w:rsidR="006D3EB7" w:rsidRPr="00015248" w14:paraId="627B30F2" w14:textId="77777777" w:rsidTr="008F37CB">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5CBA" w14:textId="4B6BFDEA" w:rsidR="00033375" w:rsidRPr="001351D9" w:rsidRDefault="008F37CB" w:rsidP="001351D9">
            <w:pPr>
              <w:jc w:val="both"/>
              <w:rPr>
                <w:rFonts w:ascii="Times New Roman" w:eastAsia="Times New Roman" w:hAnsi="Times New Roman"/>
                <w:lang w:val="ro-RO"/>
              </w:rPr>
            </w:pPr>
            <w:r w:rsidRPr="009D0B28">
              <w:rPr>
                <w:rFonts w:ascii="Times New Roman" w:hAnsi="Times New Roman"/>
                <w:lang w:val="ro-RO"/>
              </w:rPr>
              <w:t xml:space="preserve">Aprobarea proiectului de ordin se încadrează în procesul de </w:t>
            </w:r>
            <w:bookmarkStart w:id="0" w:name="_Hlk206067619"/>
            <w:r w:rsidRPr="009D0B28">
              <w:rPr>
                <w:rFonts w:ascii="Times New Roman" w:hAnsi="Times New Roman"/>
                <w:lang w:val="ro-RO"/>
              </w:rPr>
              <w:t xml:space="preserve">implementare a acțiunilor din Programul </w:t>
            </w:r>
            <w:r w:rsidRPr="009D0B28">
              <w:rPr>
                <w:rFonts w:ascii="Times New Roman" w:eastAsia="Times New Roman" w:hAnsi="Times New Roman"/>
                <w:lang w:val="ro-RO"/>
              </w:rPr>
              <w:t>național de aderare a Republicii Moldova la Uniunea Europeană pentru anii 2025-2029</w:t>
            </w:r>
            <w:bookmarkEnd w:id="0"/>
            <w:r w:rsidRPr="009D0B28">
              <w:rPr>
                <w:rFonts w:ascii="Times New Roman" w:eastAsia="Times New Roman" w:hAnsi="Times New Roman"/>
                <w:lang w:val="ro-RO"/>
              </w:rPr>
              <w:t xml:space="preserve"> și contribuie la crearea cadrului juridic secundar în vederea implementării Legii nr.82/2024 </w:t>
            </w:r>
            <w:r w:rsidR="009D0B28" w:rsidRPr="009D0B28">
              <w:rPr>
                <w:rFonts w:ascii="Times New Roman" w:eastAsia="Times New Roman" w:hAnsi="Times New Roman"/>
                <w:lang w:val="ro-RO"/>
              </w:rPr>
              <w:t xml:space="preserve">privind controalele oficiale în domeniul agroalimentar </w:t>
            </w:r>
            <w:r w:rsidRPr="009D0B28">
              <w:rPr>
                <w:rFonts w:ascii="Times New Roman" w:eastAsia="Times New Roman" w:hAnsi="Times New Roman"/>
                <w:lang w:val="ro-RO"/>
              </w:rPr>
              <w:t>care transpune Regulamentul (UE) 2017/625.</w:t>
            </w:r>
          </w:p>
        </w:tc>
      </w:tr>
      <w:tr w:rsidR="006D3EB7" w:rsidRPr="005535FB" w14:paraId="5FD6247A" w14:textId="77777777" w:rsidTr="008F37CB">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lang w:val="ro-RO"/>
              </w:rPr>
            </w:pPr>
            <w:r w:rsidRPr="005535FB">
              <w:rPr>
                <w:rFonts w:ascii="Times New Roman" w:hAnsi="Times New Roman"/>
                <w:b/>
                <w:bCs/>
                <w:lang w:val="ro-RO"/>
              </w:rPr>
              <w:t>9.</w:t>
            </w:r>
            <w:r w:rsidR="00032B46" w:rsidRPr="005535FB">
              <w:rPr>
                <w:rFonts w:ascii="Times New Roman" w:hAnsi="Times New Roman"/>
                <w:b/>
                <w:bCs/>
                <w:lang w:val="ro-RO"/>
              </w:rPr>
              <w:t xml:space="preserve"> </w:t>
            </w:r>
            <w:r w:rsidRPr="005535FB">
              <w:rPr>
                <w:rFonts w:ascii="Times New Roman" w:hAnsi="Times New Roman"/>
                <w:b/>
                <w:bCs/>
                <w:lang w:val="ro-RO"/>
              </w:rPr>
              <w:t>Măsuri</w:t>
            </w:r>
            <w:r w:rsidR="0036135C" w:rsidRPr="005535FB">
              <w:rPr>
                <w:rFonts w:ascii="Times New Roman" w:hAnsi="Times New Roman"/>
                <w:b/>
                <w:bCs/>
                <w:lang w:val="ro-RO"/>
              </w:rPr>
              <w:t>le</w:t>
            </w:r>
            <w:r w:rsidR="00032B46" w:rsidRPr="005535FB">
              <w:rPr>
                <w:rFonts w:ascii="Times New Roman" w:hAnsi="Times New Roman"/>
                <w:b/>
                <w:bCs/>
                <w:lang w:val="ro-RO"/>
              </w:rPr>
              <w:t xml:space="preserve"> </w:t>
            </w:r>
            <w:r w:rsidRPr="005535FB">
              <w:rPr>
                <w:rFonts w:ascii="Times New Roman" w:hAnsi="Times New Roman"/>
                <w:b/>
                <w:bCs/>
                <w:lang w:val="ro-RO"/>
              </w:rPr>
              <w:t>necesare</w:t>
            </w:r>
            <w:r w:rsidR="00032B46" w:rsidRPr="005535FB">
              <w:rPr>
                <w:rFonts w:ascii="Times New Roman" w:hAnsi="Times New Roman"/>
                <w:b/>
                <w:bCs/>
                <w:lang w:val="ro-RO"/>
              </w:rPr>
              <w:t xml:space="preserve"> </w:t>
            </w:r>
            <w:r w:rsidRPr="005535FB">
              <w:rPr>
                <w:rFonts w:ascii="Times New Roman" w:hAnsi="Times New Roman"/>
                <w:b/>
                <w:bCs/>
                <w:lang w:val="ro-RO"/>
              </w:rPr>
              <w:t>pentru</w:t>
            </w:r>
            <w:r w:rsidR="00032B46" w:rsidRPr="005535FB">
              <w:rPr>
                <w:rFonts w:ascii="Times New Roman" w:hAnsi="Times New Roman"/>
                <w:b/>
                <w:bCs/>
                <w:lang w:val="ro-RO"/>
              </w:rPr>
              <w:t xml:space="preserve"> </w:t>
            </w:r>
            <w:r w:rsidRPr="005535FB">
              <w:rPr>
                <w:rFonts w:ascii="Times New Roman" w:hAnsi="Times New Roman"/>
                <w:b/>
                <w:bCs/>
                <w:lang w:val="ro-RO"/>
              </w:rPr>
              <w:t>implementarea</w:t>
            </w:r>
            <w:r w:rsidR="00032B46" w:rsidRPr="005535FB">
              <w:rPr>
                <w:rFonts w:ascii="Times New Roman" w:hAnsi="Times New Roman"/>
                <w:b/>
                <w:bCs/>
                <w:lang w:val="ro-RO"/>
              </w:rPr>
              <w:t xml:space="preserve"> </w:t>
            </w:r>
            <w:r w:rsidRPr="005535FB">
              <w:rPr>
                <w:rFonts w:ascii="Times New Roman" w:hAnsi="Times New Roman"/>
                <w:b/>
                <w:bCs/>
                <w:lang w:val="ro-RO"/>
              </w:rPr>
              <w:t>prevederilor</w:t>
            </w:r>
            <w:r w:rsidR="00032B46" w:rsidRPr="005535FB">
              <w:rPr>
                <w:rFonts w:ascii="Times New Roman" w:hAnsi="Times New Roman"/>
                <w:b/>
                <w:bCs/>
                <w:lang w:val="ro-RO"/>
              </w:rPr>
              <w:t xml:space="preserve"> </w:t>
            </w:r>
            <w:r w:rsidRPr="005535FB">
              <w:rPr>
                <w:rFonts w:ascii="Times New Roman" w:hAnsi="Times New Roman"/>
                <w:b/>
                <w:bCs/>
                <w:lang w:val="ro-RO"/>
              </w:rPr>
              <w:t>proiectului</w:t>
            </w:r>
            <w:r w:rsidR="00032B46" w:rsidRPr="005535FB">
              <w:rPr>
                <w:rFonts w:ascii="Times New Roman" w:hAnsi="Times New Roman"/>
                <w:b/>
                <w:bCs/>
                <w:lang w:val="ro-RO"/>
              </w:rPr>
              <w:t xml:space="preserve"> </w:t>
            </w:r>
            <w:r w:rsidRPr="005535FB">
              <w:rPr>
                <w:rFonts w:ascii="Times New Roman" w:hAnsi="Times New Roman"/>
                <w:b/>
                <w:bCs/>
                <w:lang w:val="ro-RO"/>
              </w:rPr>
              <w:t>actului</w:t>
            </w:r>
            <w:r w:rsidR="00032B46" w:rsidRPr="005535FB">
              <w:rPr>
                <w:rFonts w:ascii="Times New Roman" w:hAnsi="Times New Roman"/>
                <w:b/>
                <w:bCs/>
                <w:lang w:val="ro-RO"/>
              </w:rPr>
              <w:t xml:space="preserve"> </w:t>
            </w:r>
            <w:r w:rsidRPr="005535FB">
              <w:rPr>
                <w:rFonts w:ascii="Times New Roman" w:hAnsi="Times New Roman"/>
                <w:b/>
                <w:bCs/>
                <w:lang w:val="ro-RO"/>
              </w:rPr>
              <w:t>normativ</w:t>
            </w:r>
          </w:p>
        </w:tc>
      </w:tr>
      <w:tr w:rsidR="006D3EB7" w:rsidRPr="00015248"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17C3C0D5" w:rsidR="008B4BE6" w:rsidRPr="00986CBD" w:rsidRDefault="00032B46" w:rsidP="001351D9">
            <w:pPr>
              <w:jc w:val="both"/>
              <w:rPr>
                <w:rFonts w:ascii="Times New Roman" w:hAnsi="Times New Roman"/>
                <w:lang w:val="ro-MD"/>
              </w:rPr>
            </w:pPr>
            <w:r w:rsidRPr="00986CBD">
              <w:rPr>
                <w:rFonts w:ascii="Times New Roman" w:hAnsi="Times New Roman"/>
                <w:lang w:val="ro-MD"/>
              </w:rPr>
              <w:t xml:space="preserve"> </w:t>
            </w:r>
            <w:r w:rsidR="00986CBD" w:rsidRPr="00986CBD">
              <w:rPr>
                <w:rFonts w:ascii="Times New Roman" w:hAnsi="Times New Roman"/>
                <w:lang w:val="ro-MD"/>
              </w:rPr>
              <w:t xml:space="preserve">Prezentul proiect de ordin va fi implementat de </w:t>
            </w:r>
            <w:r w:rsidR="008F37CB">
              <w:rPr>
                <w:rFonts w:ascii="Times New Roman" w:hAnsi="Times New Roman"/>
                <w:lang w:val="ro-RO"/>
              </w:rPr>
              <w:t>Angenția Națională pentru Sigurnața Alimentelor</w:t>
            </w:r>
            <w:r w:rsidR="008F37CB" w:rsidRPr="00986CBD">
              <w:rPr>
                <w:rFonts w:ascii="Times New Roman" w:hAnsi="Times New Roman"/>
                <w:lang w:val="ro-MD"/>
              </w:rPr>
              <w:t xml:space="preserve"> </w:t>
            </w:r>
            <w:r w:rsidR="00986CBD" w:rsidRPr="00986CBD">
              <w:rPr>
                <w:rFonts w:ascii="Times New Roman" w:hAnsi="Times New Roman"/>
                <w:lang w:val="ro-MD"/>
              </w:rPr>
              <w:t>în conformitate cu reglementările aprobate.</w:t>
            </w:r>
          </w:p>
        </w:tc>
      </w:tr>
    </w:tbl>
    <w:p w14:paraId="6C5979B8" w14:textId="531831A4"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lang w:val="ro-RO"/>
        </w:rPr>
      </w:pPr>
    </w:p>
    <w:p w14:paraId="5F6C61E8" w14:textId="77777777" w:rsidR="00570495" w:rsidRDefault="00570495" w:rsidP="005535FB">
      <w:pPr>
        <w:pBdr>
          <w:top w:val="none" w:sz="4" w:space="0" w:color="000000"/>
          <w:left w:val="none" w:sz="4" w:space="0" w:color="000000"/>
          <w:bottom w:val="none" w:sz="4" w:space="0" w:color="000000"/>
          <w:right w:val="none" w:sz="4" w:space="0" w:color="000000"/>
        </w:pBdr>
        <w:tabs>
          <w:tab w:val="left" w:pos="884"/>
          <w:tab w:val="left" w:pos="1196"/>
        </w:tabs>
        <w:rPr>
          <w:lang w:val="ro-RO"/>
        </w:rPr>
      </w:pPr>
    </w:p>
    <w:p w14:paraId="657F06C9" w14:textId="77777777" w:rsidR="00570495" w:rsidRPr="001B017D" w:rsidRDefault="00570495" w:rsidP="00570495">
      <w:pPr>
        <w:tabs>
          <w:tab w:val="left" w:pos="7275"/>
        </w:tabs>
        <w:jc w:val="center"/>
        <w:rPr>
          <w:b/>
          <w:bCs/>
          <w:sz w:val="28"/>
          <w:szCs w:val="28"/>
          <w:lang w:val="ro-RO"/>
        </w:rPr>
      </w:pPr>
      <w:r w:rsidRPr="001B017D">
        <w:rPr>
          <w:b/>
          <w:bCs/>
          <w:sz w:val="28"/>
          <w:szCs w:val="28"/>
          <w:lang w:val="ro-RO"/>
        </w:rPr>
        <w:t xml:space="preserve">Director general                                 </w:t>
      </w:r>
      <w:r>
        <w:rPr>
          <w:b/>
          <w:bCs/>
          <w:sz w:val="28"/>
          <w:szCs w:val="28"/>
          <w:lang w:val="ro-RO"/>
        </w:rPr>
        <w:t xml:space="preserve">         </w:t>
      </w:r>
      <w:r w:rsidRPr="001B017D">
        <w:rPr>
          <w:b/>
          <w:bCs/>
          <w:sz w:val="28"/>
          <w:szCs w:val="28"/>
          <w:lang w:val="ro-RO"/>
        </w:rPr>
        <w:t xml:space="preserve">       Radu MUSTEAȚA</w:t>
      </w:r>
    </w:p>
    <w:p w14:paraId="5E72644F" w14:textId="77777777" w:rsidR="00570495" w:rsidRPr="005535FB" w:rsidRDefault="00570495" w:rsidP="005535FB">
      <w:pPr>
        <w:pBdr>
          <w:top w:val="none" w:sz="4" w:space="0" w:color="000000"/>
          <w:left w:val="none" w:sz="4" w:space="0" w:color="000000"/>
          <w:bottom w:val="none" w:sz="4" w:space="0" w:color="000000"/>
          <w:right w:val="none" w:sz="4" w:space="0" w:color="000000"/>
        </w:pBdr>
        <w:tabs>
          <w:tab w:val="left" w:pos="884"/>
          <w:tab w:val="left" w:pos="1196"/>
        </w:tabs>
        <w:rPr>
          <w:lang w:val="ro-RO"/>
        </w:rPr>
      </w:pPr>
    </w:p>
    <w:sectPr w:rsidR="00570495" w:rsidRPr="005535FB"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4F90" w14:textId="77777777" w:rsidR="00CF79F6" w:rsidRDefault="00CF79F6">
      <w:r>
        <w:separator/>
      </w:r>
    </w:p>
  </w:endnote>
  <w:endnote w:type="continuationSeparator" w:id="0">
    <w:p w14:paraId="4E02F25E" w14:textId="77777777" w:rsidR="00CF79F6" w:rsidRDefault="00CF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0188" w14:textId="77777777" w:rsidR="00CF79F6" w:rsidRDefault="00CF79F6">
      <w:r>
        <w:separator/>
      </w:r>
    </w:p>
  </w:footnote>
  <w:footnote w:type="continuationSeparator" w:id="0">
    <w:p w14:paraId="4FCD360C" w14:textId="77777777" w:rsidR="00CF79F6" w:rsidRDefault="00CF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f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84A36"/>
    <w:multiLevelType w:val="hybridMultilevel"/>
    <w:tmpl w:val="2B6053C4"/>
    <w:lvl w:ilvl="0" w:tplc="6C0214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3"/>
  </w:num>
  <w:num w:numId="2" w16cid:durableId="1323851714">
    <w:abstractNumId w:val="35"/>
  </w:num>
  <w:num w:numId="3" w16cid:durableId="594750452">
    <w:abstractNumId w:val="15"/>
  </w:num>
  <w:num w:numId="4" w16cid:durableId="1526989174">
    <w:abstractNumId w:val="28"/>
  </w:num>
  <w:num w:numId="5" w16cid:durableId="925456384">
    <w:abstractNumId w:val="17"/>
  </w:num>
  <w:num w:numId="6" w16cid:durableId="663360110">
    <w:abstractNumId w:val="11"/>
  </w:num>
  <w:num w:numId="7" w16cid:durableId="1853182272">
    <w:abstractNumId w:val="5"/>
  </w:num>
  <w:num w:numId="8" w16cid:durableId="1993874537">
    <w:abstractNumId w:val="6"/>
  </w:num>
  <w:num w:numId="9" w16cid:durableId="1640304103">
    <w:abstractNumId w:val="25"/>
  </w:num>
  <w:num w:numId="10" w16cid:durableId="1302880857">
    <w:abstractNumId w:val="3"/>
  </w:num>
  <w:num w:numId="11" w16cid:durableId="1470592266">
    <w:abstractNumId w:val="24"/>
  </w:num>
  <w:num w:numId="12" w16cid:durableId="457839630">
    <w:abstractNumId w:val="2"/>
  </w:num>
  <w:num w:numId="13" w16cid:durableId="1020930612">
    <w:abstractNumId w:val="37"/>
  </w:num>
  <w:num w:numId="14" w16cid:durableId="1878009290">
    <w:abstractNumId w:val="18"/>
  </w:num>
  <w:num w:numId="15" w16cid:durableId="2117209104">
    <w:abstractNumId w:val="19"/>
  </w:num>
  <w:num w:numId="16" w16cid:durableId="1952779917">
    <w:abstractNumId w:val="32"/>
  </w:num>
  <w:num w:numId="17" w16cid:durableId="1408574950">
    <w:abstractNumId w:val="29"/>
  </w:num>
  <w:num w:numId="18" w16cid:durableId="1968923309">
    <w:abstractNumId w:val="23"/>
  </w:num>
  <w:num w:numId="19" w16cid:durableId="1667633368">
    <w:abstractNumId w:val="20"/>
  </w:num>
  <w:num w:numId="20" w16cid:durableId="8794587">
    <w:abstractNumId w:val="8"/>
  </w:num>
  <w:num w:numId="21" w16cid:durableId="2065106446">
    <w:abstractNumId w:val="31"/>
  </w:num>
  <w:num w:numId="22" w16cid:durableId="1469712425">
    <w:abstractNumId w:val="4"/>
  </w:num>
  <w:num w:numId="23" w16cid:durableId="297998034">
    <w:abstractNumId w:val="13"/>
  </w:num>
  <w:num w:numId="24" w16cid:durableId="1812210843">
    <w:abstractNumId w:val="10"/>
  </w:num>
  <w:num w:numId="25" w16cid:durableId="904296324">
    <w:abstractNumId w:val="21"/>
  </w:num>
  <w:num w:numId="26" w16cid:durableId="1167862662">
    <w:abstractNumId w:val="34"/>
  </w:num>
  <w:num w:numId="27" w16cid:durableId="909340302">
    <w:abstractNumId w:val="26"/>
  </w:num>
  <w:num w:numId="28" w16cid:durableId="1701055366">
    <w:abstractNumId w:val="39"/>
    <w:lvlOverride w:ilvl="0">
      <w:startOverride w:val="1"/>
    </w:lvlOverride>
  </w:num>
  <w:num w:numId="29" w16cid:durableId="1770079760">
    <w:abstractNumId w:val="22"/>
  </w:num>
  <w:num w:numId="30" w16cid:durableId="47340274">
    <w:abstractNumId w:val="7"/>
  </w:num>
  <w:num w:numId="31" w16cid:durableId="1170103769">
    <w:abstractNumId w:val="38"/>
  </w:num>
  <w:num w:numId="32" w16cid:durableId="1871456820">
    <w:abstractNumId w:val="39"/>
  </w:num>
  <w:num w:numId="33" w16cid:durableId="1356421649">
    <w:abstractNumId w:val="12"/>
  </w:num>
  <w:num w:numId="34" w16cid:durableId="1922399981">
    <w:abstractNumId w:val="41"/>
  </w:num>
  <w:num w:numId="35" w16cid:durableId="979916733">
    <w:abstractNumId w:val="40"/>
  </w:num>
  <w:num w:numId="36" w16cid:durableId="297344932">
    <w:abstractNumId w:val="0"/>
  </w:num>
  <w:num w:numId="37" w16cid:durableId="852719779">
    <w:abstractNumId w:val="9"/>
  </w:num>
  <w:num w:numId="38" w16cid:durableId="791940004">
    <w:abstractNumId w:val="30"/>
  </w:num>
  <w:num w:numId="39" w16cid:durableId="2068449498">
    <w:abstractNumId w:val="16"/>
  </w:num>
  <w:num w:numId="40" w16cid:durableId="1771198625">
    <w:abstractNumId w:val="36"/>
  </w:num>
  <w:num w:numId="41" w16cid:durableId="1472093176">
    <w:abstractNumId w:val="27"/>
  </w:num>
  <w:num w:numId="42" w16cid:durableId="1429962546">
    <w:abstractNumId w:val="1"/>
  </w:num>
  <w:num w:numId="43" w16cid:durableId="2093620381">
    <w:abstractNumId w:val="42"/>
  </w:num>
  <w:num w:numId="44" w16cid:durableId="1607079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5248"/>
    <w:rsid w:val="0001747F"/>
    <w:rsid w:val="0002435C"/>
    <w:rsid w:val="00032B46"/>
    <w:rsid w:val="00033375"/>
    <w:rsid w:val="00036DA2"/>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C6748"/>
    <w:rsid w:val="000D5C74"/>
    <w:rsid w:val="000E1D40"/>
    <w:rsid w:val="000E2800"/>
    <w:rsid w:val="000F497A"/>
    <w:rsid w:val="00102AD8"/>
    <w:rsid w:val="00113956"/>
    <w:rsid w:val="00116035"/>
    <w:rsid w:val="001211EA"/>
    <w:rsid w:val="001351D9"/>
    <w:rsid w:val="00136E72"/>
    <w:rsid w:val="00143389"/>
    <w:rsid w:val="00143CC4"/>
    <w:rsid w:val="0015146D"/>
    <w:rsid w:val="00155E7C"/>
    <w:rsid w:val="00157D40"/>
    <w:rsid w:val="00162BE7"/>
    <w:rsid w:val="0017006C"/>
    <w:rsid w:val="00174E20"/>
    <w:rsid w:val="001757DA"/>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49D3"/>
    <w:rsid w:val="002000EB"/>
    <w:rsid w:val="00200223"/>
    <w:rsid w:val="00200516"/>
    <w:rsid w:val="00205100"/>
    <w:rsid w:val="0020794F"/>
    <w:rsid w:val="002164C9"/>
    <w:rsid w:val="002170A5"/>
    <w:rsid w:val="00230192"/>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1F5B"/>
    <w:rsid w:val="0031555D"/>
    <w:rsid w:val="00315655"/>
    <w:rsid w:val="00315B32"/>
    <w:rsid w:val="00315BDC"/>
    <w:rsid w:val="00324559"/>
    <w:rsid w:val="00327C88"/>
    <w:rsid w:val="003321EA"/>
    <w:rsid w:val="00334C0F"/>
    <w:rsid w:val="003358FF"/>
    <w:rsid w:val="003458FF"/>
    <w:rsid w:val="00347B79"/>
    <w:rsid w:val="003509A8"/>
    <w:rsid w:val="00353575"/>
    <w:rsid w:val="00354545"/>
    <w:rsid w:val="0036135C"/>
    <w:rsid w:val="00362D0C"/>
    <w:rsid w:val="0036518F"/>
    <w:rsid w:val="0036768D"/>
    <w:rsid w:val="00374362"/>
    <w:rsid w:val="00377B12"/>
    <w:rsid w:val="00380147"/>
    <w:rsid w:val="003808CD"/>
    <w:rsid w:val="00381C7D"/>
    <w:rsid w:val="00385C9B"/>
    <w:rsid w:val="003872BA"/>
    <w:rsid w:val="00387D77"/>
    <w:rsid w:val="003905C0"/>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6555"/>
    <w:rsid w:val="0052128B"/>
    <w:rsid w:val="005256CF"/>
    <w:rsid w:val="00542C43"/>
    <w:rsid w:val="00551299"/>
    <w:rsid w:val="005535FB"/>
    <w:rsid w:val="00555DF5"/>
    <w:rsid w:val="0056297E"/>
    <w:rsid w:val="0057049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278"/>
    <w:rsid w:val="006933C3"/>
    <w:rsid w:val="006956E6"/>
    <w:rsid w:val="00697045"/>
    <w:rsid w:val="006A27BD"/>
    <w:rsid w:val="006A337B"/>
    <w:rsid w:val="006A4E08"/>
    <w:rsid w:val="006A57D6"/>
    <w:rsid w:val="006A58BC"/>
    <w:rsid w:val="006C40C7"/>
    <w:rsid w:val="006D3EB7"/>
    <w:rsid w:val="006D7B49"/>
    <w:rsid w:val="006E0A2E"/>
    <w:rsid w:val="006E1269"/>
    <w:rsid w:val="006E754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45043"/>
    <w:rsid w:val="008506B1"/>
    <w:rsid w:val="008510CC"/>
    <w:rsid w:val="00854347"/>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37CB"/>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28C9"/>
    <w:rsid w:val="009761DA"/>
    <w:rsid w:val="009858FE"/>
    <w:rsid w:val="009860EA"/>
    <w:rsid w:val="00986CBD"/>
    <w:rsid w:val="00990719"/>
    <w:rsid w:val="0099315C"/>
    <w:rsid w:val="009C02E5"/>
    <w:rsid w:val="009C0E0E"/>
    <w:rsid w:val="009C26E3"/>
    <w:rsid w:val="009C43F0"/>
    <w:rsid w:val="009C6DD1"/>
    <w:rsid w:val="009C7CD6"/>
    <w:rsid w:val="009D0B28"/>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1FA"/>
    <w:rsid w:val="00A954D1"/>
    <w:rsid w:val="00A95A2D"/>
    <w:rsid w:val="00AA34B1"/>
    <w:rsid w:val="00AA719D"/>
    <w:rsid w:val="00AB06B2"/>
    <w:rsid w:val="00AB0923"/>
    <w:rsid w:val="00AB1C3D"/>
    <w:rsid w:val="00AB29A8"/>
    <w:rsid w:val="00AB7695"/>
    <w:rsid w:val="00AB7D22"/>
    <w:rsid w:val="00AC22A5"/>
    <w:rsid w:val="00AC2670"/>
    <w:rsid w:val="00AD12DB"/>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85876"/>
    <w:rsid w:val="00B901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5A52"/>
    <w:rsid w:val="00BF7CF6"/>
    <w:rsid w:val="00C058FB"/>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70123"/>
    <w:rsid w:val="00C71896"/>
    <w:rsid w:val="00C81CDA"/>
    <w:rsid w:val="00C83148"/>
    <w:rsid w:val="00C846A9"/>
    <w:rsid w:val="00C87B56"/>
    <w:rsid w:val="00C97610"/>
    <w:rsid w:val="00CA2822"/>
    <w:rsid w:val="00CB128D"/>
    <w:rsid w:val="00CB4683"/>
    <w:rsid w:val="00CB64AB"/>
    <w:rsid w:val="00CB6841"/>
    <w:rsid w:val="00CC7AC8"/>
    <w:rsid w:val="00CD0459"/>
    <w:rsid w:val="00CD1F68"/>
    <w:rsid w:val="00CD3E6A"/>
    <w:rsid w:val="00CE11D1"/>
    <w:rsid w:val="00CE1C4A"/>
    <w:rsid w:val="00CE224F"/>
    <w:rsid w:val="00CE5E8C"/>
    <w:rsid w:val="00CF1BF6"/>
    <w:rsid w:val="00CF6CCE"/>
    <w:rsid w:val="00CF79F6"/>
    <w:rsid w:val="00D00C36"/>
    <w:rsid w:val="00D0145D"/>
    <w:rsid w:val="00D02424"/>
    <w:rsid w:val="00D07A16"/>
    <w:rsid w:val="00D12DE0"/>
    <w:rsid w:val="00D14E81"/>
    <w:rsid w:val="00D1647F"/>
    <w:rsid w:val="00D16C96"/>
    <w:rsid w:val="00D20F95"/>
    <w:rsid w:val="00D249B7"/>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1DC1"/>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1503A"/>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E4E28"/>
    <w:rsid w:val="00EF0C91"/>
    <w:rsid w:val="00EF2660"/>
    <w:rsid w:val="00EF26A2"/>
    <w:rsid w:val="00F06892"/>
    <w:rsid w:val="00F1668A"/>
    <w:rsid w:val="00F21341"/>
    <w:rsid w:val="00F269DE"/>
    <w:rsid w:val="00F26A4B"/>
    <w:rsid w:val="00F31636"/>
    <w:rsid w:val="00F376E3"/>
    <w:rsid w:val="00F37ED4"/>
    <w:rsid w:val="00F40A46"/>
    <w:rsid w:val="00F41D12"/>
    <w:rsid w:val="00F45235"/>
    <w:rsid w:val="00F50B3C"/>
    <w:rsid w:val="00F5592A"/>
    <w:rsid w:val="00F57E9D"/>
    <w:rsid w:val="00F629ED"/>
    <w:rsid w:val="00F66E1A"/>
    <w:rsid w:val="00F71EBB"/>
    <w:rsid w:val="00F728DA"/>
    <w:rsid w:val="00F8554D"/>
    <w:rsid w:val="00FB4E60"/>
    <w:rsid w:val="00FC4ACC"/>
    <w:rsid w:val="00FC58B9"/>
    <w:rsid w:val="00FD0892"/>
    <w:rsid w:val="00FD6782"/>
    <w:rsid w:val="00FE14D9"/>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03A"/>
    <w:pPr>
      <w:ind w:firstLine="0"/>
      <w:jc w:val="left"/>
    </w:pPr>
    <w:rPr>
      <w:sz w:val="24"/>
      <w:szCs w:val="24"/>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uiPriority w:val="9"/>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pPr>
    <w:rPr>
      <w:rFonts w:ascii="Arial" w:eastAsia="Batang" w:hAnsi="Arial" w:cs="Arial"/>
    </w:rPr>
  </w:style>
  <w:style w:type="paragraph" w:styleId="af5">
    <w:name w:val="Normal (Web)"/>
    <w:basedOn w:val="a"/>
    <w:uiPriority w:val="99"/>
    <w:unhideWhenUsed/>
    <w:pPr>
      <w:ind w:firstLine="567"/>
    </w:pPr>
  </w:style>
  <w:style w:type="paragraph" w:customStyle="1" w:styleId="cn">
    <w:name w:val="cn"/>
    <w:basedOn w:val="a"/>
    <w:pPr>
      <w:jc w:val="center"/>
    </w:pPr>
  </w:style>
  <w:style w:type="paragraph" w:customStyle="1" w:styleId="cb">
    <w:name w:val="cb"/>
    <w:basedOn w:val="a"/>
    <w:uiPriority w:val="99"/>
    <w:semiHidden/>
    <w:pPr>
      <w:jc w:val="center"/>
    </w:pPr>
    <w:rPr>
      <w:b/>
      <w:bCs/>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rPr>
      <w:rFonts w:ascii="Arial" w:hAnsi="Arial" w:cs="Arial"/>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jc w:val="center"/>
    </w:pPr>
    <w:rPr>
      <w:b/>
      <w:bCs/>
    </w:rPr>
  </w:style>
  <w:style w:type="paragraph" w:customStyle="1" w:styleId="CharChar0">
    <w:name w:val="Char Char Знак Знак"/>
    <w:basedOn w:val="a"/>
    <w:pPr>
      <w:spacing w:after="160" w:line="240" w:lineRule="exac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rPr>
      <w:lang w:val="ro-RO"/>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rPr>
  </w:style>
  <w:style w:type="paragraph" w:customStyle="1" w:styleId="Style8">
    <w:name w:val="Style8"/>
    <w:basedOn w:val="a"/>
    <w:uiPriority w:val="99"/>
    <w:pPr>
      <w:widowControl w:val="0"/>
      <w:spacing w:line="317" w:lineRule="exact"/>
    </w:pPr>
    <w:rPr>
      <w:rFonts w:eastAsiaTheme="minorEastAsia"/>
    </w:rPr>
  </w:style>
  <w:style w:type="paragraph" w:customStyle="1" w:styleId="Style9">
    <w:name w:val="Style9"/>
    <w:basedOn w:val="a"/>
    <w:uiPriority w:val="99"/>
    <w:pPr>
      <w:widowControl w:val="0"/>
      <w:spacing w:line="326" w:lineRule="exact"/>
      <w:ind w:firstLine="398"/>
    </w:pPr>
    <w:rPr>
      <w:rFonts w:eastAsiaTheme="minorEastAsia"/>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pPr>
  </w:style>
  <w:style w:type="character" w:customStyle="1" w:styleId="object">
    <w:name w:val="object"/>
    <w:basedOn w:val="a0"/>
  </w:style>
  <w:style w:type="paragraph" w:styleId="HTML">
    <w:name w:val="HTML Preformatted"/>
    <w:basedOn w:val="a"/>
    <w:link w:val="HTML0"/>
    <w:uiPriority w:val="99"/>
    <w:unhideWhenUsed/>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paragraph" w:customStyle="1" w:styleId="oj-normal">
    <w:name w:val="oj-normal"/>
    <w:basedOn w:val="a"/>
    <w:rsid w:val="00D249B7"/>
    <w:pPr>
      <w:spacing w:before="100" w:beforeAutospacing="1" w:after="100" w:afterAutospacing="1"/>
    </w:pPr>
  </w:style>
  <w:style w:type="paragraph" w:customStyle="1" w:styleId="Default">
    <w:name w:val="Default"/>
    <w:rsid w:val="00986CBD"/>
    <w:pPr>
      <w:autoSpaceDE w:val="0"/>
      <w:autoSpaceDN w:val="0"/>
      <w:adjustRightInd w:val="0"/>
      <w:ind w:firstLine="0"/>
      <w:jc w:val="left"/>
    </w:pPr>
    <w:rPr>
      <w:color w:val="000000"/>
      <w:sz w:val="24"/>
      <w:szCs w:val="24"/>
    </w:rPr>
  </w:style>
  <w:style w:type="character" w:styleId="aff7">
    <w:name w:val="FollowedHyperlink"/>
    <w:basedOn w:val="a0"/>
    <w:uiPriority w:val="99"/>
    <w:semiHidden/>
    <w:unhideWhenUsed/>
    <w:rsid w:val="003808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700">
      <w:bodyDiv w:val="1"/>
      <w:marLeft w:val="0"/>
      <w:marRight w:val="0"/>
      <w:marTop w:val="0"/>
      <w:marBottom w:val="0"/>
      <w:divBdr>
        <w:top w:val="none" w:sz="0" w:space="0" w:color="auto"/>
        <w:left w:val="none" w:sz="0" w:space="0" w:color="auto"/>
        <w:bottom w:val="none" w:sz="0" w:space="0" w:color="auto"/>
        <w:right w:val="none" w:sz="0" w:space="0" w:color="auto"/>
      </w:divBdr>
      <w:divsChild>
        <w:div w:id="1502309559">
          <w:marLeft w:val="0"/>
          <w:marRight w:val="0"/>
          <w:marTop w:val="0"/>
          <w:marBottom w:val="0"/>
          <w:divBdr>
            <w:top w:val="none" w:sz="0" w:space="0" w:color="auto"/>
            <w:left w:val="none" w:sz="0" w:space="0" w:color="auto"/>
            <w:bottom w:val="none" w:sz="0" w:space="0" w:color="auto"/>
            <w:right w:val="none" w:sz="0" w:space="0" w:color="auto"/>
          </w:divBdr>
        </w:div>
        <w:div w:id="1397053004">
          <w:marLeft w:val="0"/>
          <w:marRight w:val="0"/>
          <w:marTop w:val="0"/>
          <w:marBottom w:val="0"/>
          <w:divBdr>
            <w:top w:val="none" w:sz="0" w:space="0" w:color="auto"/>
            <w:left w:val="none" w:sz="0" w:space="0" w:color="auto"/>
            <w:bottom w:val="none" w:sz="0" w:space="0" w:color="auto"/>
            <w:right w:val="none" w:sz="0" w:space="0" w:color="auto"/>
          </w:divBdr>
        </w:div>
        <w:div w:id="756558471">
          <w:marLeft w:val="0"/>
          <w:marRight w:val="0"/>
          <w:marTop w:val="0"/>
          <w:marBottom w:val="0"/>
          <w:divBdr>
            <w:top w:val="none" w:sz="0" w:space="0" w:color="auto"/>
            <w:left w:val="none" w:sz="0" w:space="0" w:color="auto"/>
            <w:bottom w:val="none" w:sz="0" w:space="0" w:color="auto"/>
            <w:right w:val="none" w:sz="0" w:space="0" w:color="auto"/>
          </w:divBdr>
        </w:div>
      </w:divsChild>
    </w:div>
    <w:div w:id="282230601">
      <w:bodyDiv w:val="1"/>
      <w:marLeft w:val="0"/>
      <w:marRight w:val="0"/>
      <w:marTop w:val="0"/>
      <w:marBottom w:val="0"/>
      <w:divBdr>
        <w:top w:val="none" w:sz="0" w:space="0" w:color="auto"/>
        <w:left w:val="none" w:sz="0" w:space="0" w:color="auto"/>
        <w:bottom w:val="none" w:sz="0" w:space="0" w:color="auto"/>
        <w:right w:val="none" w:sz="0" w:space="0" w:color="auto"/>
      </w:divBdr>
    </w:div>
    <w:div w:id="512695768">
      <w:bodyDiv w:val="1"/>
      <w:marLeft w:val="0"/>
      <w:marRight w:val="0"/>
      <w:marTop w:val="0"/>
      <w:marBottom w:val="0"/>
      <w:divBdr>
        <w:top w:val="none" w:sz="0" w:space="0" w:color="auto"/>
        <w:left w:val="none" w:sz="0" w:space="0" w:color="auto"/>
        <w:bottom w:val="none" w:sz="0" w:space="0" w:color="auto"/>
        <w:right w:val="none" w:sz="0" w:space="0" w:color="auto"/>
      </w:divBdr>
      <w:divsChild>
        <w:div w:id="2145268410">
          <w:marLeft w:val="0"/>
          <w:marRight w:val="0"/>
          <w:marTop w:val="0"/>
          <w:marBottom w:val="0"/>
          <w:divBdr>
            <w:top w:val="none" w:sz="0" w:space="0" w:color="auto"/>
            <w:left w:val="none" w:sz="0" w:space="0" w:color="auto"/>
            <w:bottom w:val="none" w:sz="0" w:space="0" w:color="auto"/>
            <w:right w:val="none" w:sz="0" w:space="0" w:color="auto"/>
          </w:divBdr>
        </w:div>
        <w:div w:id="932207763">
          <w:marLeft w:val="0"/>
          <w:marRight w:val="0"/>
          <w:marTop w:val="0"/>
          <w:marBottom w:val="0"/>
          <w:divBdr>
            <w:top w:val="none" w:sz="0" w:space="0" w:color="auto"/>
            <w:left w:val="none" w:sz="0" w:space="0" w:color="auto"/>
            <w:bottom w:val="none" w:sz="0" w:space="0" w:color="auto"/>
            <w:right w:val="none" w:sz="0" w:space="0" w:color="auto"/>
          </w:divBdr>
        </w:div>
        <w:div w:id="1652170978">
          <w:marLeft w:val="0"/>
          <w:marRight w:val="0"/>
          <w:marTop w:val="0"/>
          <w:marBottom w:val="0"/>
          <w:divBdr>
            <w:top w:val="none" w:sz="0" w:space="0" w:color="auto"/>
            <w:left w:val="none" w:sz="0" w:space="0" w:color="auto"/>
            <w:bottom w:val="none" w:sz="0" w:space="0" w:color="auto"/>
            <w:right w:val="none" w:sz="0" w:space="0" w:color="auto"/>
          </w:divBdr>
        </w:div>
      </w:divsChild>
    </w:div>
    <w:div w:id="721755915">
      <w:bodyDiv w:val="1"/>
      <w:marLeft w:val="0"/>
      <w:marRight w:val="0"/>
      <w:marTop w:val="0"/>
      <w:marBottom w:val="0"/>
      <w:divBdr>
        <w:top w:val="none" w:sz="0" w:space="0" w:color="auto"/>
        <w:left w:val="none" w:sz="0" w:space="0" w:color="auto"/>
        <w:bottom w:val="none" w:sz="0" w:space="0" w:color="auto"/>
        <w:right w:val="none" w:sz="0" w:space="0" w:color="auto"/>
      </w:divBdr>
    </w:div>
    <w:div w:id="766655892">
      <w:bodyDiv w:val="1"/>
      <w:marLeft w:val="0"/>
      <w:marRight w:val="0"/>
      <w:marTop w:val="0"/>
      <w:marBottom w:val="0"/>
      <w:divBdr>
        <w:top w:val="none" w:sz="0" w:space="0" w:color="auto"/>
        <w:left w:val="none" w:sz="0" w:space="0" w:color="auto"/>
        <w:bottom w:val="none" w:sz="0" w:space="0" w:color="auto"/>
        <w:right w:val="none" w:sz="0" w:space="0" w:color="auto"/>
      </w:divBdr>
    </w:div>
    <w:div w:id="906376908">
      <w:bodyDiv w:val="1"/>
      <w:marLeft w:val="0"/>
      <w:marRight w:val="0"/>
      <w:marTop w:val="0"/>
      <w:marBottom w:val="0"/>
      <w:divBdr>
        <w:top w:val="none" w:sz="0" w:space="0" w:color="auto"/>
        <w:left w:val="none" w:sz="0" w:space="0" w:color="auto"/>
        <w:bottom w:val="none" w:sz="0" w:space="0" w:color="auto"/>
        <w:right w:val="none" w:sz="0" w:space="0" w:color="auto"/>
      </w:divBdr>
    </w:div>
    <w:div w:id="1019746028">
      <w:bodyDiv w:val="1"/>
      <w:marLeft w:val="0"/>
      <w:marRight w:val="0"/>
      <w:marTop w:val="0"/>
      <w:marBottom w:val="0"/>
      <w:divBdr>
        <w:top w:val="none" w:sz="0" w:space="0" w:color="auto"/>
        <w:left w:val="none" w:sz="0" w:space="0" w:color="auto"/>
        <w:bottom w:val="none" w:sz="0" w:space="0" w:color="auto"/>
        <w:right w:val="none" w:sz="0" w:space="0" w:color="auto"/>
      </w:divBdr>
      <w:divsChild>
        <w:div w:id="1184200961">
          <w:marLeft w:val="0"/>
          <w:marRight w:val="0"/>
          <w:marTop w:val="0"/>
          <w:marBottom w:val="0"/>
          <w:divBdr>
            <w:top w:val="none" w:sz="0" w:space="0" w:color="auto"/>
            <w:left w:val="none" w:sz="0" w:space="0" w:color="auto"/>
            <w:bottom w:val="none" w:sz="0" w:space="0" w:color="auto"/>
            <w:right w:val="none" w:sz="0" w:space="0" w:color="auto"/>
          </w:divBdr>
        </w:div>
        <w:div w:id="948582238">
          <w:marLeft w:val="0"/>
          <w:marRight w:val="0"/>
          <w:marTop w:val="0"/>
          <w:marBottom w:val="0"/>
          <w:divBdr>
            <w:top w:val="none" w:sz="0" w:space="0" w:color="auto"/>
            <w:left w:val="none" w:sz="0" w:space="0" w:color="auto"/>
            <w:bottom w:val="none" w:sz="0" w:space="0" w:color="auto"/>
            <w:right w:val="none" w:sz="0" w:space="0" w:color="auto"/>
          </w:divBdr>
        </w:div>
      </w:divsChild>
    </w:div>
    <w:div w:id="1188373056">
      <w:bodyDiv w:val="1"/>
      <w:marLeft w:val="0"/>
      <w:marRight w:val="0"/>
      <w:marTop w:val="0"/>
      <w:marBottom w:val="0"/>
      <w:divBdr>
        <w:top w:val="none" w:sz="0" w:space="0" w:color="auto"/>
        <w:left w:val="none" w:sz="0" w:space="0" w:color="auto"/>
        <w:bottom w:val="none" w:sz="0" w:space="0" w:color="auto"/>
        <w:right w:val="none" w:sz="0" w:space="0" w:color="auto"/>
      </w:divBdr>
    </w:div>
    <w:div w:id="1403453650">
      <w:bodyDiv w:val="1"/>
      <w:marLeft w:val="0"/>
      <w:marRight w:val="0"/>
      <w:marTop w:val="0"/>
      <w:marBottom w:val="0"/>
      <w:divBdr>
        <w:top w:val="none" w:sz="0" w:space="0" w:color="auto"/>
        <w:left w:val="none" w:sz="0" w:space="0" w:color="auto"/>
        <w:bottom w:val="none" w:sz="0" w:space="0" w:color="auto"/>
        <w:right w:val="none" w:sz="0" w:space="0" w:color="auto"/>
      </w:divBdr>
      <w:divsChild>
        <w:div w:id="469712378">
          <w:marLeft w:val="0"/>
          <w:marRight w:val="0"/>
          <w:marTop w:val="0"/>
          <w:marBottom w:val="0"/>
          <w:divBdr>
            <w:top w:val="none" w:sz="0" w:space="0" w:color="auto"/>
            <w:left w:val="none" w:sz="0" w:space="0" w:color="auto"/>
            <w:bottom w:val="none" w:sz="0" w:space="0" w:color="auto"/>
            <w:right w:val="none" w:sz="0" w:space="0" w:color="auto"/>
          </w:divBdr>
        </w:div>
        <w:div w:id="1765879926">
          <w:marLeft w:val="0"/>
          <w:marRight w:val="0"/>
          <w:marTop w:val="0"/>
          <w:marBottom w:val="0"/>
          <w:divBdr>
            <w:top w:val="none" w:sz="0" w:space="0" w:color="auto"/>
            <w:left w:val="none" w:sz="0" w:space="0" w:color="auto"/>
            <w:bottom w:val="none" w:sz="0" w:space="0" w:color="auto"/>
            <w:right w:val="none" w:sz="0" w:space="0" w:color="auto"/>
          </w:divBdr>
        </w:div>
        <w:div w:id="717819734">
          <w:marLeft w:val="0"/>
          <w:marRight w:val="0"/>
          <w:marTop w:val="0"/>
          <w:marBottom w:val="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43537081">
      <w:bodyDiv w:val="1"/>
      <w:marLeft w:val="0"/>
      <w:marRight w:val="0"/>
      <w:marTop w:val="0"/>
      <w:marBottom w:val="0"/>
      <w:divBdr>
        <w:top w:val="none" w:sz="0" w:space="0" w:color="auto"/>
        <w:left w:val="none" w:sz="0" w:space="0" w:color="auto"/>
        <w:bottom w:val="none" w:sz="0" w:space="0" w:color="auto"/>
        <w:right w:val="none" w:sz="0" w:space="0" w:color="auto"/>
      </w:divBdr>
    </w:div>
    <w:div w:id="1673482101">
      <w:bodyDiv w:val="1"/>
      <w:marLeft w:val="0"/>
      <w:marRight w:val="0"/>
      <w:marTop w:val="0"/>
      <w:marBottom w:val="0"/>
      <w:divBdr>
        <w:top w:val="none" w:sz="0" w:space="0" w:color="auto"/>
        <w:left w:val="none" w:sz="0" w:space="0" w:color="auto"/>
        <w:bottom w:val="none" w:sz="0" w:space="0" w:color="auto"/>
        <w:right w:val="none" w:sz="0" w:space="0" w:color="auto"/>
      </w:divBdr>
      <w:divsChild>
        <w:div w:id="166362414">
          <w:marLeft w:val="0"/>
          <w:marRight w:val="0"/>
          <w:marTop w:val="0"/>
          <w:marBottom w:val="0"/>
          <w:divBdr>
            <w:top w:val="none" w:sz="0" w:space="0" w:color="auto"/>
            <w:left w:val="none" w:sz="0" w:space="0" w:color="auto"/>
            <w:bottom w:val="none" w:sz="0" w:space="0" w:color="auto"/>
            <w:right w:val="none" w:sz="0" w:space="0" w:color="auto"/>
          </w:divBdr>
        </w:div>
        <w:div w:id="793913668">
          <w:marLeft w:val="0"/>
          <w:marRight w:val="0"/>
          <w:marTop w:val="0"/>
          <w:marBottom w:val="0"/>
          <w:divBdr>
            <w:top w:val="none" w:sz="0" w:space="0" w:color="auto"/>
            <w:left w:val="none" w:sz="0" w:space="0" w:color="auto"/>
            <w:bottom w:val="none" w:sz="0" w:space="0" w:color="auto"/>
            <w:right w:val="none" w:sz="0" w:space="0" w:color="auto"/>
          </w:divBdr>
        </w:div>
        <w:div w:id="141850378">
          <w:marLeft w:val="0"/>
          <w:marRight w:val="0"/>
          <w:marTop w:val="0"/>
          <w:marBottom w:val="0"/>
          <w:divBdr>
            <w:top w:val="none" w:sz="0" w:space="0" w:color="auto"/>
            <w:left w:val="none" w:sz="0" w:space="0" w:color="auto"/>
            <w:bottom w:val="none" w:sz="0" w:space="0" w:color="auto"/>
            <w:right w:val="none" w:sz="0" w:space="0" w:color="auto"/>
          </w:divBdr>
        </w:div>
      </w:divsChild>
    </w:div>
    <w:div w:id="20538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procesului-de-elaborare-a-proiectului-de-ordin-al-agentiei-nationale-pentru-siguranta-alimentelor-cu-privire-la-elaborarea-regulamentului-privind-cazurile-si-conditiile-in-care-agentia-nationala-pentru-siguranta-alimentelor-poate-desemna-drept-laboratoare-oficiale-laboratoarele-care-nu-indeplinesc-conditiile-privind-toate-metodele-pe-care-acestea-le-utilizeaza-pentru-controalele-oficiale-sau-alte-activitati-oficiale/148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Pages>
  <Words>2428</Words>
  <Characters>13841</Characters>
  <Application>Microsoft Office Word</Application>
  <DocSecurity>0</DocSecurity>
  <Lines>115</Lines>
  <Paragraphs>32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Calionchina Tatiana</cp:lastModifiedBy>
  <cp:revision>12</cp:revision>
  <cp:lastPrinted>2025-08-14T09:32:00Z</cp:lastPrinted>
  <dcterms:created xsi:type="dcterms:W3CDTF">2025-07-16T14:14:00Z</dcterms:created>
  <dcterms:modified xsi:type="dcterms:W3CDTF">2025-08-14T11:45:00Z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