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80F0" w14:textId="4FD82E43" w:rsidR="00F14CB6" w:rsidRDefault="00F14CB6" w:rsidP="00326287">
      <w:pPr>
        <w:tabs>
          <w:tab w:val="left" w:pos="1080"/>
        </w:tabs>
        <w:jc w:val="right"/>
        <w:rPr>
          <w:b/>
          <w:bCs/>
          <w:i/>
          <w:iCs/>
          <w:lang w:val="ro-RO"/>
        </w:rPr>
      </w:pPr>
      <w:r w:rsidRPr="007E15C6">
        <w:rPr>
          <w:b/>
          <w:bCs/>
          <w:i/>
          <w:iCs/>
          <w:lang w:val="ro-RO"/>
        </w:rPr>
        <w:t>,,</w:t>
      </w:r>
      <w:r w:rsidR="00E753EA">
        <w:rPr>
          <w:b/>
          <w:bCs/>
          <w:i/>
          <w:iCs/>
          <w:lang w:val="ro-RO"/>
        </w:rPr>
        <w:t xml:space="preserve">Proiect </w:t>
      </w:r>
      <w:r w:rsidRPr="007E15C6">
        <w:rPr>
          <w:b/>
          <w:bCs/>
          <w:i/>
          <w:iCs/>
          <w:lang w:val="ro-RO"/>
        </w:rPr>
        <w:t>UE”</w:t>
      </w:r>
    </w:p>
    <w:p w14:paraId="77F7DEA5" w14:textId="77777777" w:rsidR="00326287" w:rsidRPr="00F14CB6" w:rsidRDefault="00326287" w:rsidP="00326287">
      <w:pPr>
        <w:tabs>
          <w:tab w:val="left" w:pos="1080"/>
        </w:tabs>
        <w:jc w:val="right"/>
        <w:rPr>
          <w:b/>
          <w:bCs/>
          <w:i/>
          <w:iCs/>
          <w:lang w:val="ro-RO"/>
        </w:rPr>
      </w:pPr>
    </w:p>
    <w:tbl>
      <w:tblPr>
        <w:tblpPr w:leftFromText="180" w:rightFromText="180" w:vertAnchor="text" w:horzAnchor="margin" w:tblpXSpec="center" w:tblpY="56"/>
        <w:tblW w:w="11004" w:type="dxa"/>
        <w:tblBorders>
          <w:bottom w:val="single" w:sz="4" w:space="0" w:color="auto"/>
        </w:tblBorders>
        <w:tblLook w:val="01E0" w:firstRow="1" w:lastRow="1" w:firstColumn="1" w:lastColumn="1" w:noHBand="0" w:noVBand="0"/>
      </w:tblPr>
      <w:tblGrid>
        <w:gridCol w:w="4827"/>
        <w:gridCol w:w="1258"/>
        <w:gridCol w:w="4919"/>
      </w:tblGrid>
      <w:tr w:rsidR="00C65660" w:rsidRPr="009C2350" w14:paraId="6CB90B6E" w14:textId="77777777" w:rsidTr="00C65660">
        <w:trPr>
          <w:cantSplit/>
          <w:trHeight w:val="374"/>
        </w:trPr>
        <w:tc>
          <w:tcPr>
            <w:tcW w:w="4827" w:type="dxa"/>
          </w:tcPr>
          <w:p w14:paraId="379DD4AA" w14:textId="77777777" w:rsidR="00C65660" w:rsidRPr="009C2350" w:rsidRDefault="00C65660" w:rsidP="00C65660">
            <w:pPr>
              <w:ind w:left="-15"/>
              <w:jc w:val="center"/>
              <w:rPr>
                <w:b/>
                <w:bCs/>
                <w:color w:val="000000" w:themeColor="text1"/>
                <w:sz w:val="24"/>
                <w:szCs w:val="24"/>
                <w:lang w:val="ro-RO"/>
              </w:rPr>
            </w:pPr>
            <w:bookmarkStart w:id="0" w:name="_Hlk502124532"/>
            <w:r w:rsidRPr="009C2350">
              <w:rPr>
                <w:b/>
                <w:bCs/>
                <w:color w:val="000000" w:themeColor="text1"/>
                <w:sz w:val="24"/>
                <w:szCs w:val="24"/>
                <w:lang w:val="ro-RO"/>
              </w:rPr>
              <w:t>AGENŢIA NAŢIONALĂ PENTRU</w:t>
            </w:r>
          </w:p>
          <w:p w14:paraId="3CF45E31" w14:textId="77777777" w:rsidR="00C65660" w:rsidRPr="009C2350" w:rsidRDefault="00C65660" w:rsidP="00C65660">
            <w:pPr>
              <w:ind w:left="-15"/>
              <w:jc w:val="center"/>
              <w:rPr>
                <w:color w:val="000000" w:themeColor="text1"/>
                <w:sz w:val="24"/>
                <w:szCs w:val="24"/>
                <w:lang w:val="ro-RO"/>
              </w:rPr>
            </w:pPr>
            <w:r w:rsidRPr="009C2350">
              <w:rPr>
                <w:b/>
                <w:bCs/>
                <w:color w:val="000000" w:themeColor="text1"/>
                <w:sz w:val="24"/>
                <w:szCs w:val="24"/>
                <w:lang w:val="ro-RO"/>
              </w:rPr>
              <w:t>SIGURANŢA ALIMENTELOR</w:t>
            </w:r>
          </w:p>
        </w:tc>
        <w:tc>
          <w:tcPr>
            <w:tcW w:w="1258" w:type="dxa"/>
            <w:vAlign w:val="center"/>
          </w:tcPr>
          <w:p w14:paraId="05CE4EE1" w14:textId="77777777" w:rsidR="00C65660" w:rsidRPr="009C2350" w:rsidRDefault="00C65660" w:rsidP="00C65660">
            <w:pPr>
              <w:jc w:val="center"/>
              <w:rPr>
                <w:color w:val="000000" w:themeColor="text1"/>
                <w:sz w:val="24"/>
                <w:szCs w:val="24"/>
                <w:lang w:val="ro-RO"/>
              </w:rPr>
            </w:pPr>
          </w:p>
        </w:tc>
        <w:tc>
          <w:tcPr>
            <w:tcW w:w="4919" w:type="dxa"/>
          </w:tcPr>
          <w:p w14:paraId="56B4AF61" w14:textId="77777777" w:rsidR="00C65660" w:rsidRPr="009C2350" w:rsidRDefault="00C65660" w:rsidP="00C65660">
            <w:pPr>
              <w:jc w:val="center"/>
              <w:rPr>
                <w:b/>
                <w:bCs/>
                <w:color w:val="000000" w:themeColor="text1"/>
                <w:sz w:val="24"/>
                <w:szCs w:val="24"/>
                <w:lang w:val="ro-RO"/>
              </w:rPr>
            </w:pPr>
            <w:r w:rsidRPr="009C2350">
              <w:rPr>
                <w:b/>
                <w:color w:val="000000" w:themeColor="text1"/>
                <w:sz w:val="24"/>
                <w:szCs w:val="24"/>
                <w:lang w:val="ro-RO"/>
              </w:rPr>
              <w:t>NATIONAL FOOD SAFETY</w:t>
            </w:r>
            <w:r w:rsidRPr="009C2350">
              <w:rPr>
                <w:b/>
                <w:color w:val="000000" w:themeColor="text1"/>
                <w:sz w:val="24"/>
                <w:szCs w:val="24"/>
                <w:lang w:val="ro-RO"/>
              </w:rPr>
              <w:br/>
              <w:t>AGENCY</w:t>
            </w:r>
          </w:p>
        </w:tc>
      </w:tr>
      <w:tr w:rsidR="00C65660" w:rsidRPr="009C2350" w14:paraId="7D1E6DDD" w14:textId="77777777" w:rsidTr="00C65660">
        <w:trPr>
          <w:trHeight w:val="701"/>
        </w:trPr>
        <w:tc>
          <w:tcPr>
            <w:tcW w:w="4827" w:type="dxa"/>
          </w:tcPr>
          <w:p w14:paraId="11F86A15" w14:textId="77777777" w:rsidR="00C65660" w:rsidRPr="009C2350" w:rsidRDefault="00C65660" w:rsidP="00C65660">
            <w:pPr>
              <w:jc w:val="center"/>
              <w:rPr>
                <w:bCs/>
                <w:color w:val="000000" w:themeColor="text1"/>
                <w:sz w:val="20"/>
                <w:szCs w:val="20"/>
                <w:lang w:val="ro-RO"/>
              </w:rPr>
            </w:pPr>
            <w:r w:rsidRPr="009C2350">
              <w:rPr>
                <w:bCs/>
                <w:color w:val="000000" w:themeColor="text1"/>
                <w:sz w:val="20"/>
                <w:szCs w:val="20"/>
                <w:lang w:val="ro-RO"/>
              </w:rPr>
              <w:t>MD-2009, mun. Chișinău, str. M. Kogălniceanu, nr.63</w:t>
            </w:r>
          </w:p>
          <w:p w14:paraId="020A697F" w14:textId="77777777" w:rsidR="00C65660" w:rsidRPr="009C2350" w:rsidRDefault="00C65660" w:rsidP="00C65660">
            <w:pPr>
              <w:jc w:val="center"/>
              <w:rPr>
                <w:bCs/>
                <w:color w:val="000000" w:themeColor="text1"/>
                <w:sz w:val="20"/>
                <w:szCs w:val="20"/>
                <w:lang w:val="ro-RO"/>
              </w:rPr>
            </w:pPr>
            <w:r w:rsidRPr="009C2350">
              <w:rPr>
                <w:bCs/>
                <w:color w:val="000000" w:themeColor="text1"/>
                <w:sz w:val="20"/>
                <w:szCs w:val="20"/>
                <w:lang w:val="ro-RO"/>
              </w:rPr>
              <w:t>Republica Moldova</w:t>
            </w:r>
          </w:p>
          <w:p w14:paraId="647DD3A6" w14:textId="77777777" w:rsidR="00C65660" w:rsidRPr="009C2350" w:rsidRDefault="00C65660" w:rsidP="00C65660">
            <w:pPr>
              <w:jc w:val="center"/>
              <w:rPr>
                <w:bCs/>
                <w:color w:val="000000" w:themeColor="text1"/>
                <w:sz w:val="20"/>
                <w:szCs w:val="20"/>
                <w:lang w:val="ro-RO"/>
              </w:rPr>
            </w:pPr>
            <w:r w:rsidRPr="009C2350">
              <w:rPr>
                <w:bCs/>
                <w:color w:val="000000" w:themeColor="text1"/>
                <w:sz w:val="20"/>
                <w:szCs w:val="20"/>
                <w:lang w:val="ro-RO"/>
              </w:rPr>
              <w:t>Tel.: +(373) 22 264 644, +(373) 22 264 640</w:t>
            </w:r>
          </w:p>
          <w:p w14:paraId="4A2D6F15" w14:textId="77777777" w:rsidR="00C65660" w:rsidRPr="009C2350" w:rsidRDefault="00C65660" w:rsidP="00C65660">
            <w:pPr>
              <w:jc w:val="center"/>
              <w:rPr>
                <w:b/>
                <w:color w:val="000000" w:themeColor="text1"/>
                <w:sz w:val="20"/>
                <w:szCs w:val="20"/>
                <w:lang w:val="ro-RO"/>
              </w:rPr>
            </w:pPr>
          </w:p>
        </w:tc>
        <w:tc>
          <w:tcPr>
            <w:tcW w:w="1258" w:type="dxa"/>
          </w:tcPr>
          <w:p w14:paraId="4C0B5910" w14:textId="77777777" w:rsidR="00C65660" w:rsidRPr="009C2350" w:rsidRDefault="00C65660" w:rsidP="00C65660">
            <w:pPr>
              <w:jc w:val="center"/>
              <w:rPr>
                <w:color w:val="000000" w:themeColor="text1"/>
                <w:sz w:val="24"/>
                <w:szCs w:val="24"/>
                <w:lang w:val="ro-RO"/>
              </w:rPr>
            </w:pPr>
            <w:r w:rsidRPr="009C2350">
              <w:rPr>
                <w:noProof/>
                <w:color w:val="000000" w:themeColor="text1"/>
                <w:sz w:val="24"/>
                <w:szCs w:val="24"/>
              </w:rPr>
              <w:drawing>
                <wp:anchor distT="0" distB="0" distL="114300" distR="114300" simplePos="0" relativeHeight="251659264" behindDoc="0" locked="0" layoutInCell="1" allowOverlap="1" wp14:anchorId="1369A38F" wp14:editId="56B46A8E">
                  <wp:simplePos x="0" y="0"/>
                  <wp:positionH relativeFrom="column">
                    <wp:posOffset>24628</wp:posOffset>
                  </wp:positionH>
                  <wp:positionV relativeFrom="paragraph">
                    <wp:posOffset>-349799</wp:posOffset>
                  </wp:positionV>
                  <wp:extent cx="709295" cy="878205"/>
                  <wp:effectExtent l="0" t="0" r="0" b="0"/>
                  <wp:wrapNone/>
                  <wp:docPr id="1" name="Рисунок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_gerb_b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9295" cy="878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19" w:type="dxa"/>
            <w:vAlign w:val="center"/>
          </w:tcPr>
          <w:p w14:paraId="6A648BE2" w14:textId="77777777" w:rsidR="00C65660" w:rsidRPr="009C2350" w:rsidRDefault="00C65660" w:rsidP="00C65660">
            <w:pPr>
              <w:pStyle w:val="ad"/>
              <w:jc w:val="center"/>
              <w:rPr>
                <w:rFonts w:ascii="Times New Roman" w:hAnsi="Times New Roman"/>
                <w:bCs/>
                <w:color w:val="000000" w:themeColor="text1"/>
                <w:sz w:val="20"/>
                <w:szCs w:val="20"/>
                <w:lang w:val="ro-RO" w:eastAsia="en-US"/>
              </w:rPr>
            </w:pPr>
            <w:r w:rsidRPr="009C2350">
              <w:rPr>
                <w:rFonts w:ascii="Times New Roman" w:hAnsi="Times New Roman"/>
                <w:bCs/>
                <w:color w:val="000000" w:themeColor="text1"/>
                <w:sz w:val="20"/>
                <w:szCs w:val="20"/>
                <w:lang w:val="ro-RO" w:eastAsia="en-US"/>
              </w:rPr>
              <w:t>63  Mihail Kogălniceanu Str., MD-2009, Chișinău</w:t>
            </w:r>
          </w:p>
          <w:p w14:paraId="2E574B79" w14:textId="77777777" w:rsidR="00C65660" w:rsidRPr="009C2350" w:rsidRDefault="00C65660" w:rsidP="00C65660">
            <w:pPr>
              <w:pStyle w:val="ad"/>
              <w:jc w:val="center"/>
              <w:rPr>
                <w:rFonts w:ascii="Times New Roman" w:hAnsi="Times New Roman"/>
                <w:bCs/>
                <w:color w:val="000000" w:themeColor="text1"/>
                <w:sz w:val="20"/>
                <w:szCs w:val="20"/>
                <w:lang w:val="ro-RO" w:eastAsia="en-US"/>
              </w:rPr>
            </w:pPr>
            <w:r w:rsidRPr="009C2350">
              <w:rPr>
                <w:rFonts w:ascii="Times New Roman" w:hAnsi="Times New Roman"/>
                <w:bCs/>
                <w:color w:val="000000" w:themeColor="text1"/>
                <w:sz w:val="20"/>
                <w:szCs w:val="20"/>
                <w:lang w:val="ro-RO" w:eastAsia="en-US"/>
              </w:rPr>
              <w:t>Republic of Moldova</w:t>
            </w:r>
          </w:p>
          <w:p w14:paraId="65F729C9" w14:textId="77777777" w:rsidR="00C65660" w:rsidRPr="009C2350" w:rsidRDefault="00C65660" w:rsidP="00C65660">
            <w:pPr>
              <w:jc w:val="center"/>
              <w:rPr>
                <w:bCs/>
                <w:color w:val="000000" w:themeColor="text1"/>
                <w:sz w:val="20"/>
                <w:szCs w:val="20"/>
                <w:lang w:val="ro-RO"/>
              </w:rPr>
            </w:pPr>
            <w:r w:rsidRPr="009C2350">
              <w:rPr>
                <w:bCs/>
                <w:color w:val="000000" w:themeColor="text1"/>
                <w:sz w:val="20"/>
                <w:szCs w:val="20"/>
                <w:lang w:val="ro-RO"/>
              </w:rPr>
              <w:t>Phone: +(373) 22 264 660, +(373) 22 264 640</w:t>
            </w:r>
          </w:p>
          <w:p w14:paraId="560AF323" w14:textId="77777777" w:rsidR="00C65660" w:rsidRPr="009C2350" w:rsidRDefault="00C65660" w:rsidP="00C65660">
            <w:pPr>
              <w:jc w:val="center"/>
              <w:rPr>
                <w:b/>
                <w:color w:val="000000" w:themeColor="text1"/>
                <w:sz w:val="20"/>
                <w:szCs w:val="20"/>
                <w:lang w:val="ro-RO"/>
              </w:rPr>
            </w:pPr>
          </w:p>
        </w:tc>
      </w:tr>
      <w:bookmarkEnd w:id="0"/>
    </w:tbl>
    <w:p w14:paraId="30625EA6" w14:textId="77777777" w:rsidR="00C65660" w:rsidRPr="009C2350" w:rsidRDefault="00C65660" w:rsidP="00C65660">
      <w:pPr>
        <w:tabs>
          <w:tab w:val="left" w:pos="9720"/>
        </w:tabs>
        <w:ind w:right="26"/>
        <w:rPr>
          <w:b/>
          <w:bCs/>
          <w:color w:val="000000" w:themeColor="text1"/>
          <w:sz w:val="32"/>
          <w:szCs w:val="32"/>
          <w:lang w:val="ro-RO"/>
        </w:rPr>
      </w:pPr>
    </w:p>
    <w:p w14:paraId="51B15E9B" w14:textId="4C41C870" w:rsidR="00C65660" w:rsidRPr="00326287" w:rsidRDefault="00C65660" w:rsidP="00C65660">
      <w:pPr>
        <w:tabs>
          <w:tab w:val="left" w:pos="9720"/>
        </w:tabs>
        <w:ind w:right="26"/>
        <w:jc w:val="center"/>
        <w:rPr>
          <w:b/>
          <w:bCs/>
          <w:color w:val="000000" w:themeColor="text1"/>
          <w:lang w:val="ro-RO"/>
        </w:rPr>
      </w:pPr>
      <w:r w:rsidRPr="00326287">
        <w:rPr>
          <w:b/>
          <w:bCs/>
          <w:color w:val="000000" w:themeColor="text1"/>
          <w:lang w:val="ro-RO"/>
        </w:rPr>
        <w:t>O R D I N U L</w:t>
      </w:r>
    </w:p>
    <w:p w14:paraId="6492755C" w14:textId="1549F7BA" w:rsidR="006133E5" w:rsidRPr="00326287" w:rsidRDefault="006133E5" w:rsidP="006133E5">
      <w:pPr>
        <w:ind w:right="26"/>
        <w:jc w:val="center"/>
        <w:rPr>
          <w:color w:val="000000" w:themeColor="text1"/>
          <w:lang w:val="ro-RO"/>
        </w:rPr>
      </w:pPr>
      <w:r w:rsidRPr="00326287">
        <w:rPr>
          <w:color w:val="000000" w:themeColor="text1"/>
          <w:lang w:val="ro-RO"/>
        </w:rPr>
        <w:t>mun. Chișinău</w:t>
      </w:r>
    </w:p>
    <w:p w14:paraId="61AD24EF" w14:textId="77777777" w:rsidR="006133E5" w:rsidRPr="00326287" w:rsidRDefault="006133E5" w:rsidP="006133E5">
      <w:pPr>
        <w:ind w:right="332"/>
        <w:rPr>
          <w:color w:val="000000" w:themeColor="text1"/>
          <w:lang w:val="ro-RO"/>
        </w:rPr>
      </w:pPr>
    </w:p>
    <w:p w14:paraId="4A6ECED9" w14:textId="2009299A" w:rsidR="006133E5" w:rsidRPr="00326287" w:rsidRDefault="006133E5" w:rsidP="006133E5">
      <w:pPr>
        <w:ind w:right="332"/>
        <w:rPr>
          <w:b/>
          <w:bCs/>
          <w:color w:val="000000" w:themeColor="text1"/>
          <w:lang w:val="ro-RO"/>
        </w:rPr>
      </w:pPr>
      <w:r w:rsidRPr="00326287">
        <w:rPr>
          <w:color w:val="000000" w:themeColor="text1"/>
          <w:lang w:val="ro-RO"/>
        </w:rPr>
        <w:t>” _____” ________________20___</w:t>
      </w:r>
      <w:r w:rsidRPr="00326287">
        <w:rPr>
          <w:color w:val="000000" w:themeColor="text1"/>
          <w:lang w:val="ro-RO"/>
        </w:rPr>
        <w:tab/>
      </w:r>
      <w:r w:rsidRPr="00326287">
        <w:rPr>
          <w:color w:val="000000" w:themeColor="text1"/>
          <w:lang w:val="ro-RO"/>
        </w:rPr>
        <w:tab/>
        <w:t xml:space="preserve">                                  Nr. ________</w:t>
      </w:r>
    </w:p>
    <w:p w14:paraId="7B880A72" w14:textId="4E7F0E1D" w:rsidR="00C65660" w:rsidRPr="009C2350" w:rsidRDefault="006133E5" w:rsidP="00326287">
      <w:pPr>
        <w:jc w:val="both"/>
        <w:rPr>
          <w:b/>
          <w:bCs/>
          <w:color w:val="000000" w:themeColor="text1"/>
          <w:sz w:val="24"/>
          <w:szCs w:val="24"/>
          <w:lang w:val="ro-RO"/>
        </w:rPr>
      </w:pPr>
      <w:r w:rsidRPr="009C2350">
        <w:rPr>
          <w:b/>
          <w:bCs/>
          <w:color w:val="000000" w:themeColor="text1"/>
          <w:sz w:val="24"/>
          <w:szCs w:val="24"/>
          <w:lang w:val="ro-RO"/>
        </w:rPr>
        <w:tab/>
      </w:r>
      <w:r w:rsidRPr="009C2350">
        <w:rPr>
          <w:b/>
          <w:bCs/>
          <w:color w:val="000000" w:themeColor="text1"/>
          <w:sz w:val="24"/>
          <w:szCs w:val="24"/>
          <w:lang w:val="ro-RO"/>
        </w:rPr>
        <w:tab/>
      </w:r>
      <w:r w:rsidRPr="009C2350">
        <w:rPr>
          <w:b/>
          <w:bCs/>
          <w:color w:val="000000" w:themeColor="text1"/>
          <w:sz w:val="24"/>
          <w:szCs w:val="24"/>
          <w:lang w:val="ro-RO"/>
        </w:rPr>
        <w:tab/>
      </w:r>
      <w:r w:rsidRPr="009C2350">
        <w:rPr>
          <w:b/>
          <w:bCs/>
          <w:color w:val="000000" w:themeColor="text1"/>
          <w:sz w:val="24"/>
          <w:szCs w:val="24"/>
          <w:lang w:val="ro-RO"/>
        </w:rPr>
        <w:tab/>
      </w:r>
      <w:r w:rsidRPr="009C2350">
        <w:rPr>
          <w:b/>
          <w:bCs/>
          <w:color w:val="000000" w:themeColor="text1"/>
          <w:sz w:val="24"/>
          <w:szCs w:val="24"/>
          <w:lang w:val="ro-RO"/>
        </w:rPr>
        <w:tab/>
      </w:r>
      <w:r w:rsidR="00C65660" w:rsidRPr="009C2350">
        <w:rPr>
          <w:b/>
          <w:bCs/>
          <w:color w:val="000000" w:themeColor="text1"/>
          <w:sz w:val="24"/>
          <w:szCs w:val="24"/>
          <w:lang w:val="ro-RO"/>
        </w:rPr>
        <w:t xml:space="preserve"> </w:t>
      </w:r>
    </w:p>
    <w:p w14:paraId="3F885E75" w14:textId="77777777" w:rsidR="00170C32" w:rsidRPr="00326287" w:rsidRDefault="00170C32" w:rsidP="00C65660">
      <w:pPr>
        <w:jc w:val="both"/>
        <w:rPr>
          <w:b/>
          <w:bCs/>
          <w:sz w:val="27"/>
          <w:szCs w:val="27"/>
          <w:lang w:val="ro-RO"/>
        </w:rPr>
      </w:pPr>
      <w:r w:rsidRPr="00326287">
        <w:rPr>
          <w:b/>
          <w:bCs/>
          <w:sz w:val="27"/>
          <w:szCs w:val="27"/>
          <w:lang w:val="ro-RO"/>
        </w:rPr>
        <w:t xml:space="preserve">privind cazurile și condițiile în care Agenția </w:t>
      </w:r>
    </w:p>
    <w:p w14:paraId="2AB6F7AA" w14:textId="77777777" w:rsidR="00170C32" w:rsidRPr="00326287" w:rsidRDefault="00170C32" w:rsidP="00C65660">
      <w:pPr>
        <w:jc w:val="both"/>
        <w:rPr>
          <w:b/>
          <w:bCs/>
          <w:sz w:val="27"/>
          <w:szCs w:val="27"/>
          <w:lang w:val="ro-RO"/>
        </w:rPr>
      </w:pPr>
      <w:r w:rsidRPr="00326287">
        <w:rPr>
          <w:b/>
          <w:bCs/>
          <w:sz w:val="27"/>
          <w:szCs w:val="27"/>
          <w:lang w:val="ro-RO"/>
        </w:rPr>
        <w:t xml:space="preserve">Națională pentru Siguranța Alimentelor poate </w:t>
      </w:r>
    </w:p>
    <w:p w14:paraId="0FBB1161" w14:textId="6F3ED932" w:rsidR="00170C32" w:rsidRPr="00326287" w:rsidRDefault="00170C32" w:rsidP="00C65660">
      <w:pPr>
        <w:jc w:val="both"/>
        <w:rPr>
          <w:b/>
          <w:bCs/>
          <w:sz w:val="27"/>
          <w:szCs w:val="27"/>
          <w:lang w:val="ro-RO"/>
        </w:rPr>
      </w:pPr>
      <w:r w:rsidRPr="00326287">
        <w:rPr>
          <w:b/>
          <w:bCs/>
          <w:sz w:val="27"/>
          <w:szCs w:val="27"/>
          <w:lang w:val="ro-RO"/>
        </w:rPr>
        <w:t>desemna drept laboratoare oficiale</w:t>
      </w:r>
      <w:r w:rsidR="00DA30B0">
        <w:rPr>
          <w:b/>
          <w:bCs/>
          <w:sz w:val="27"/>
          <w:szCs w:val="27"/>
          <w:lang w:val="ro-RO"/>
        </w:rPr>
        <w:t>,</w:t>
      </w:r>
      <w:r w:rsidRPr="00326287">
        <w:rPr>
          <w:b/>
          <w:bCs/>
          <w:sz w:val="27"/>
          <w:szCs w:val="27"/>
          <w:lang w:val="ro-RO"/>
        </w:rPr>
        <w:t xml:space="preserve"> laboratoarele</w:t>
      </w:r>
    </w:p>
    <w:p w14:paraId="220972AC" w14:textId="34A449D2" w:rsidR="00170C32" w:rsidRPr="00326287" w:rsidRDefault="00170C32" w:rsidP="00C65660">
      <w:pPr>
        <w:jc w:val="both"/>
        <w:rPr>
          <w:b/>
          <w:bCs/>
          <w:sz w:val="27"/>
          <w:szCs w:val="27"/>
          <w:lang w:val="ro-RO"/>
        </w:rPr>
      </w:pPr>
      <w:r w:rsidRPr="00326287">
        <w:rPr>
          <w:b/>
          <w:bCs/>
          <w:sz w:val="27"/>
          <w:szCs w:val="27"/>
          <w:lang w:val="ro-RO"/>
        </w:rPr>
        <w:t xml:space="preserve">care nu îndeplinesc condițiile privind toate metodele </w:t>
      </w:r>
    </w:p>
    <w:p w14:paraId="73C3ABD7" w14:textId="77777777" w:rsidR="00170C32" w:rsidRPr="00326287" w:rsidRDefault="00170C32" w:rsidP="00C65660">
      <w:pPr>
        <w:jc w:val="both"/>
        <w:rPr>
          <w:b/>
          <w:bCs/>
          <w:sz w:val="27"/>
          <w:szCs w:val="27"/>
          <w:lang w:val="ro-RO"/>
        </w:rPr>
      </w:pPr>
      <w:r w:rsidRPr="00326287">
        <w:rPr>
          <w:b/>
          <w:bCs/>
          <w:sz w:val="27"/>
          <w:szCs w:val="27"/>
          <w:lang w:val="ro-RO"/>
        </w:rPr>
        <w:t>pe care acestea le utilizează pentru controalele oficiale</w:t>
      </w:r>
    </w:p>
    <w:p w14:paraId="74CC39CA" w14:textId="1DB0DABA" w:rsidR="00C65660" w:rsidRPr="00326287" w:rsidRDefault="00170C32" w:rsidP="00C65660">
      <w:pPr>
        <w:jc w:val="both"/>
        <w:rPr>
          <w:b/>
          <w:bCs/>
          <w:i/>
          <w:iCs/>
          <w:sz w:val="27"/>
          <w:szCs w:val="27"/>
          <w:lang w:val="ro-RO"/>
        </w:rPr>
      </w:pPr>
      <w:r w:rsidRPr="00326287">
        <w:rPr>
          <w:b/>
          <w:bCs/>
          <w:sz w:val="27"/>
          <w:szCs w:val="27"/>
          <w:lang w:val="ro-RO"/>
        </w:rPr>
        <w:t>sau alte activități oficiale</w:t>
      </w:r>
    </w:p>
    <w:p w14:paraId="0853AD8A" w14:textId="77777777" w:rsidR="00170C32" w:rsidRPr="00326287" w:rsidRDefault="00170C32" w:rsidP="004F4B02">
      <w:pPr>
        <w:ind w:firstLine="567"/>
        <w:jc w:val="both"/>
        <w:rPr>
          <w:sz w:val="27"/>
          <w:szCs w:val="27"/>
          <w:lang w:val="ro-RO"/>
        </w:rPr>
      </w:pPr>
    </w:p>
    <w:p w14:paraId="59D1DFE9" w14:textId="7F94AE22" w:rsidR="00C65660" w:rsidRPr="00326287" w:rsidRDefault="00C65660" w:rsidP="00C40BE4">
      <w:pPr>
        <w:ind w:firstLine="567"/>
        <w:jc w:val="both"/>
        <w:rPr>
          <w:sz w:val="27"/>
          <w:szCs w:val="27"/>
          <w:lang w:val="ro-RO"/>
        </w:rPr>
      </w:pPr>
      <w:r w:rsidRPr="00326287">
        <w:rPr>
          <w:sz w:val="27"/>
          <w:szCs w:val="27"/>
          <w:lang w:val="ro-RO"/>
        </w:rPr>
        <w:t xml:space="preserve">În temeiul </w:t>
      </w:r>
      <w:r w:rsidR="00170C32" w:rsidRPr="00326287">
        <w:rPr>
          <w:sz w:val="27"/>
          <w:szCs w:val="27"/>
          <w:lang w:val="ro-RO"/>
        </w:rPr>
        <w:t xml:space="preserve">art.18 și </w:t>
      </w:r>
      <w:r w:rsidRPr="00326287">
        <w:rPr>
          <w:sz w:val="27"/>
          <w:szCs w:val="27"/>
          <w:lang w:val="ro-RO"/>
        </w:rPr>
        <w:t>art.</w:t>
      </w:r>
      <w:r w:rsidR="004F4B02" w:rsidRPr="00326287">
        <w:rPr>
          <w:sz w:val="27"/>
          <w:szCs w:val="27"/>
          <w:lang w:val="ro-RO"/>
        </w:rPr>
        <w:t>35 alin. (1) din Legea nr.82/2024 privind controalele oficiale în domeniul agroalimentar</w:t>
      </w:r>
      <w:r w:rsidR="00C40BE4" w:rsidRPr="00326287">
        <w:rPr>
          <w:sz w:val="27"/>
          <w:szCs w:val="27"/>
          <w:lang w:val="ro-RO"/>
        </w:rPr>
        <w:t>, pct.2 din Hotărârea Guvernului nr.306/2025 cu privire la aprobarea Programului național de aderare a Republicii Moldova la Uniunea Europeană pentru anii 2025-2029 și</w:t>
      </w:r>
      <w:r w:rsidR="00170C32" w:rsidRPr="00326287">
        <w:rPr>
          <w:sz w:val="27"/>
          <w:szCs w:val="27"/>
          <w:lang w:val="ro-RO"/>
        </w:rPr>
        <w:t xml:space="preserve"> </w:t>
      </w:r>
      <w:r w:rsidRPr="00326287">
        <w:rPr>
          <w:sz w:val="27"/>
          <w:szCs w:val="27"/>
          <w:lang w:val="ro-RO"/>
        </w:rPr>
        <w:t>pct.14 sbp.16) și pct.19 din Regulamentul cu privire la organizarea și funcționarea Agenției Naționale pentru Siguranța Alimentelor aprobat prin Hotărârea Guvernului nr.14/2023 cu privire la organizarea și funcționarea Agenției Naționale pentru Siguranța Alimentelor,</w:t>
      </w:r>
    </w:p>
    <w:p w14:paraId="0D5F4E9A" w14:textId="77777777" w:rsidR="00D93B0C" w:rsidRPr="00326287" w:rsidRDefault="00D93B0C" w:rsidP="00D93B0C">
      <w:pPr>
        <w:pStyle w:val="oj-doc-ti"/>
        <w:shd w:val="clear" w:color="auto" w:fill="FFFFFF"/>
        <w:spacing w:before="240" w:after="120"/>
        <w:ind w:firstLine="567"/>
        <w:jc w:val="both"/>
        <w:rPr>
          <w:sz w:val="27"/>
          <w:szCs w:val="27"/>
          <w:lang w:val="ro-RO"/>
        </w:rPr>
      </w:pPr>
      <w:r w:rsidRPr="00326287">
        <w:rPr>
          <w:sz w:val="27"/>
          <w:szCs w:val="27"/>
          <w:lang w:val="ro-RO"/>
        </w:rPr>
        <w:t xml:space="preserve">Prezentul ordin transpune Regulamentul delegat (UE) 2021/1353 al Comisiei din 17 mai 2021 de completare a Regulamentului (UE) 2017/625 al Parlamentului European și al Consiliului în ceea ce privește cazurile și condițiile în care autoritățile competente pot desemna drept laboratoare oficiale laboratoarele care nu îndeplinesc condițiile privind toate metodele pe care acestea le utilizează pentru controalele oficiale sau alte activități oficiale, </w:t>
      </w:r>
      <w:r w:rsidRPr="00326287">
        <w:rPr>
          <w:iCs/>
          <w:sz w:val="27"/>
          <w:szCs w:val="27"/>
          <w:lang w:val="ro-RO"/>
        </w:rPr>
        <w:t xml:space="preserve">CELEX: 32022R1644, publicat în Jurnalul Oficial al Naționale Europene  </w:t>
      </w:r>
      <w:r w:rsidRPr="00326287">
        <w:rPr>
          <w:sz w:val="27"/>
          <w:szCs w:val="27"/>
          <w:shd w:val="clear" w:color="auto" w:fill="FFFFFF"/>
          <w:lang w:val="ro-RO"/>
        </w:rPr>
        <w:t>L 291 din 13/08/2021.</w:t>
      </w:r>
    </w:p>
    <w:p w14:paraId="12ECBC7A" w14:textId="77777777" w:rsidR="00170C32" w:rsidRPr="00326287" w:rsidRDefault="00170C32" w:rsidP="00326287">
      <w:pPr>
        <w:jc w:val="both"/>
        <w:rPr>
          <w:sz w:val="27"/>
          <w:szCs w:val="27"/>
          <w:lang w:val="ro-RO"/>
        </w:rPr>
      </w:pPr>
    </w:p>
    <w:p w14:paraId="6387CC47" w14:textId="77777777" w:rsidR="00C65660" w:rsidRPr="00326287" w:rsidRDefault="00C65660" w:rsidP="00C65660">
      <w:pPr>
        <w:jc w:val="center"/>
        <w:rPr>
          <w:b/>
          <w:bCs/>
          <w:sz w:val="27"/>
          <w:szCs w:val="27"/>
          <w:lang w:val="ro-RO"/>
        </w:rPr>
      </w:pPr>
      <w:r w:rsidRPr="00326287">
        <w:rPr>
          <w:b/>
          <w:bCs/>
          <w:sz w:val="27"/>
          <w:szCs w:val="27"/>
          <w:lang w:val="ro-RO"/>
        </w:rPr>
        <w:t>ORDON:</w:t>
      </w:r>
    </w:p>
    <w:p w14:paraId="78CF86F2" w14:textId="77777777" w:rsidR="00170C32" w:rsidRPr="00326287" w:rsidRDefault="00170C32" w:rsidP="00C65660">
      <w:pPr>
        <w:jc w:val="center"/>
        <w:rPr>
          <w:b/>
          <w:bCs/>
          <w:sz w:val="27"/>
          <w:szCs w:val="27"/>
          <w:lang w:val="ro-RO"/>
        </w:rPr>
      </w:pPr>
    </w:p>
    <w:p w14:paraId="6BB4A971" w14:textId="591F42E2" w:rsidR="00C65660" w:rsidRPr="00326287" w:rsidRDefault="00C65660" w:rsidP="00C40BE4">
      <w:pPr>
        <w:tabs>
          <w:tab w:val="left" w:pos="284"/>
          <w:tab w:val="left" w:pos="851"/>
          <w:tab w:val="left" w:pos="993"/>
        </w:tabs>
        <w:jc w:val="both"/>
        <w:rPr>
          <w:sz w:val="27"/>
          <w:szCs w:val="27"/>
          <w:lang w:val="ro-RO"/>
        </w:rPr>
      </w:pPr>
      <w:r w:rsidRPr="00326287">
        <w:rPr>
          <w:b/>
          <w:bCs/>
          <w:sz w:val="27"/>
          <w:szCs w:val="27"/>
          <w:lang w:val="ro-RO"/>
        </w:rPr>
        <w:t>1.</w:t>
      </w:r>
      <w:r w:rsidRPr="00326287">
        <w:rPr>
          <w:sz w:val="27"/>
          <w:szCs w:val="27"/>
          <w:lang w:val="ro-RO"/>
        </w:rPr>
        <w:t xml:space="preserve"> Se aprobă </w:t>
      </w:r>
      <w:r w:rsidR="00170C32" w:rsidRPr="00326287">
        <w:rPr>
          <w:sz w:val="27"/>
          <w:szCs w:val="27"/>
          <w:lang w:val="ro-RO"/>
        </w:rPr>
        <w:t>Regulamentul privind cazurile și condițiile în care Agenția Națională pentru Siguranța Alimentelor poate desemna drept laboratoare oficiale</w:t>
      </w:r>
      <w:r w:rsidR="00DA30B0">
        <w:rPr>
          <w:sz w:val="27"/>
          <w:szCs w:val="27"/>
          <w:lang w:val="ro-RO"/>
        </w:rPr>
        <w:t>,</w:t>
      </w:r>
      <w:r w:rsidR="00170C32" w:rsidRPr="00326287">
        <w:rPr>
          <w:sz w:val="27"/>
          <w:szCs w:val="27"/>
          <w:lang w:val="ro-RO"/>
        </w:rPr>
        <w:t xml:space="preserve"> laboratoarele care nu îndeplinesc condițiile privind toate metodele  pe care acestea le utilizează pentru controalele oficiale</w:t>
      </w:r>
      <w:r w:rsidR="00C40BE4" w:rsidRPr="00326287">
        <w:rPr>
          <w:sz w:val="27"/>
          <w:szCs w:val="27"/>
          <w:lang w:val="ro-RO"/>
        </w:rPr>
        <w:t xml:space="preserve"> </w:t>
      </w:r>
      <w:r w:rsidR="00170C32" w:rsidRPr="00326287">
        <w:rPr>
          <w:sz w:val="27"/>
          <w:szCs w:val="27"/>
          <w:lang w:val="ro-RO"/>
        </w:rPr>
        <w:t>sau alte activități oficiale</w:t>
      </w:r>
      <w:r w:rsidR="00C40BE4" w:rsidRPr="00326287">
        <w:rPr>
          <w:sz w:val="27"/>
          <w:szCs w:val="27"/>
          <w:lang w:val="ro-RO"/>
        </w:rPr>
        <w:t>,</w:t>
      </w:r>
      <w:r w:rsidRPr="00326287">
        <w:rPr>
          <w:sz w:val="27"/>
          <w:szCs w:val="27"/>
          <w:lang w:val="ro-RO"/>
        </w:rPr>
        <w:t xml:space="preserve"> conform anexei</w:t>
      </w:r>
      <w:r w:rsidR="00C40BE4" w:rsidRPr="00326287">
        <w:rPr>
          <w:sz w:val="27"/>
          <w:szCs w:val="27"/>
          <w:lang w:val="ro-RO"/>
        </w:rPr>
        <w:t xml:space="preserve"> la prezentul ordin</w:t>
      </w:r>
      <w:r w:rsidRPr="00326287">
        <w:rPr>
          <w:sz w:val="27"/>
          <w:szCs w:val="27"/>
          <w:lang w:val="ro-RO"/>
        </w:rPr>
        <w:t>.</w:t>
      </w:r>
    </w:p>
    <w:p w14:paraId="0CD5323D" w14:textId="7F4328BE" w:rsidR="00C65660" w:rsidRPr="00326287" w:rsidRDefault="00C65660" w:rsidP="00C65660">
      <w:pPr>
        <w:jc w:val="both"/>
        <w:rPr>
          <w:sz w:val="27"/>
          <w:szCs w:val="27"/>
          <w:lang w:val="ro-RO"/>
        </w:rPr>
      </w:pPr>
      <w:r w:rsidRPr="00326287">
        <w:rPr>
          <w:b/>
          <w:bCs/>
          <w:sz w:val="27"/>
          <w:szCs w:val="27"/>
          <w:lang w:val="ro-RO"/>
        </w:rPr>
        <w:t>3.</w:t>
      </w:r>
      <w:r w:rsidRPr="00326287">
        <w:rPr>
          <w:sz w:val="27"/>
          <w:szCs w:val="27"/>
          <w:lang w:val="ro-RO"/>
        </w:rPr>
        <w:t xml:space="preserve"> Prezentul ordin intră în vigoare </w:t>
      </w:r>
      <w:r w:rsidR="00D16D46" w:rsidRPr="00326287">
        <w:rPr>
          <w:sz w:val="27"/>
          <w:szCs w:val="27"/>
          <w:lang w:val="ro-RO"/>
        </w:rPr>
        <w:t xml:space="preserve">la data intrării în vigoare a </w:t>
      </w:r>
      <w:r w:rsidR="00C40BE4" w:rsidRPr="00326287">
        <w:rPr>
          <w:sz w:val="27"/>
          <w:szCs w:val="27"/>
          <w:lang w:val="ro-RO"/>
        </w:rPr>
        <w:t>L</w:t>
      </w:r>
      <w:r w:rsidR="00D16D46" w:rsidRPr="00326287">
        <w:rPr>
          <w:sz w:val="27"/>
          <w:szCs w:val="27"/>
          <w:lang w:val="ro-RO"/>
        </w:rPr>
        <w:t xml:space="preserve">egii nr.82/2024 privind controalele oficiale în domeniul agroalimentar </w:t>
      </w:r>
      <w:r w:rsidRPr="00326287">
        <w:rPr>
          <w:sz w:val="27"/>
          <w:szCs w:val="27"/>
          <w:lang w:val="ro-RO"/>
        </w:rPr>
        <w:t>și se publică în Monitorul Oficial</w:t>
      </w:r>
      <w:r w:rsidR="00326287" w:rsidRPr="00326287">
        <w:rPr>
          <w:sz w:val="27"/>
          <w:szCs w:val="27"/>
          <w:lang w:val="ro-RO"/>
        </w:rPr>
        <w:t xml:space="preserve"> al Republicii Moldova</w:t>
      </w:r>
      <w:r w:rsidRPr="00326287">
        <w:rPr>
          <w:sz w:val="27"/>
          <w:szCs w:val="27"/>
          <w:lang w:val="ro-RO"/>
        </w:rPr>
        <w:t>.</w:t>
      </w:r>
    </w:p>
    <w:p w14:paraId="69F50E12" w14:textId="59805ED1" w:rsidR="00C65660" w:rsidRPr="00326287" w:rsidRDefault="00C65660" w:rsidP="00C65660">
      <w:pPr>
        <w:jc w:val="both"/>
        <w:rPr>
          <w:sz w:val="27"/>
          <w:szCs w:val="27"/>
          <w:lang w:val="ro-RO"/>
        </w:rPr>
      </w:pPr>
      <w:r w:rsidRPr="00326287">
        <w:rPr>
          <w:b/>
          <w:bCs/>
          <w:sz w:val="27"/>
          <w:szCs w:val="27"/>
          <w:lang w:val="ro-RO"/>
        </w:rPr>
        <w:t>4.</w:t>
      </w:r>
      <w:r w:rsidRPr="00326287">
        <w:rPr>
          <w:sz w:val="27"/>
          <w:szCs w:val="27"/>
          <w:lang w:val="ro-RO"/>
        </w:rPr>
        <w:t xml:space="preserve"> Controlul asupra executării prezentului ordin </w:t>
      </w:r>
      <w:r w:rsidR="00170C32" w:rsidRPr="00326287">
        <w:rPr>
          <w:sz w:val="27"/>
          <w:szCs w:val="27"/>
          <w:lang w:val="ro-RO"/>
        </w:rPr>
        <w:t>îl exercit personal</w:t>
      </w:r>
      <w:r w:rsidRPr="00326287">
        <w:rPr>
          <w:sz w:val="27"/>
          <w:szCs w:val="27"/>
          <w:lang w:val="ro-RO"/>
        </w:rPr>
        <w:t>.</w:t>
      </w:r>
    </w:p>
    <w:p w14:paraId="7929C66A" w14:textId="77777777" w:rsidR="00C65660" w:rsidRPr="009C2350" w:rsidRDefault="00C65660" w:rsidP="00C65660">
      <w:pPr>
        <w:jc w:val="both"/>
        <w:rPr>
          <w:lang w:val="ro-RO"/>
        </w:rPr>
      </w:pPr>
    </w:p>
    <w:p w14:paraId="52ADD6B4" w14:textId="77777777" w:rsidR="00C65660" w:rsidRPr="009C2350" w:rsidRDefault="00C65660" w:rsidP="00C65660">
      <w:pPr>
        <w:jc w:val="both"/>
        <w:rPr>
          <w:lang w:val="ro-RO"/>
        </w:rPr>
      </w:pPr>
    </w:p>
    <w:p w14:paraId="72129D84" w14:textId="77777777" w:rsidR="00C65660" w:rsidRPr="009C2350" w:rsidRDefault="00C65660" w:rsidP="00C65660">
      <w:pPr>
        <w:jc w:val="center"/>
        <w:rPr>
          <w:b/>
          <w:bCs/>
          <w:lang w:val="ro-RO"/>
        </w:rPr>
      </w:pPr>
      <w:r w:rsidRPr="009C2350">
        <w:rPr>
          <w:b/>
          <w:bCs/>
          <w:lang w:val="ro-RO"/>
        </w:rPr>
        <w:t>Director general</w:t>
      </w:r>
      <w:r w:rsidRPr="009C2350">
        <w:rPr>
          <w:b/>
          <w:bCs/>
          <w:lang w:val="ro-RO"/>
        </w:rPr>
        <w:tab/>
      </w:r>
      <w:r w:rsidRPr="009C2350">
        <w:rPr>
          <w:b/>
          <w:bCs/>
          <w:lang w:val="ro-RO"/>
        </w:rPr>
        <w:tab/>
      </w:r>
      <w:r w:rsidRPr="009C2350">
        <w:rPr>
          <w:b/>
          <w:bCs/>
          <w:lang w:val="ro-RO"/>
        </w:rPr>
        <w:tab/>
      </w:r>
      <w:r w:rsidRPr="009C2350">
        <w:rPr>
          <w:b/>
          <w:bCs/>
          <w:lang w:val="ro-RO"/>
        </w:rPr>
        <w:tab/>
        <w:t xml:space="preserve">            </w:t>
      </w:r>
      <w:r w:rsidRPr="009C2350">
        <w:rPr>
          <w:b/>
          <w:bCs/>
          <w:lang w:val="ro-RO"/>
        </w:rPr>
        <w:tab/>
      </w:r>
      <w:r w:rsidRPr="009C2350">
        <w:rPr>
          <w:b/>
          <w:bCs/>
          <w:lang w:val="ro-RO"/>
        </w:rPr>
        <w:tab/>
        <w:t xml:space="preserve">         Radu MUSTEAȚA</w:t>
      </w:r>
    </w:p>
    <w:p w14:paraId="4F31C0E5" w14:textId="77777777" w:rsidR="00C65660" w:rsidRPr="009C2350" w:rsidRDefault="00C65660" w:rsidP="00C65660">
      <w:pPr>
        <w:jc w:val="both"/>
        <w:rPr>
          <w:lang w:val="ro-RO"/>
        </w:rPr>
      </w:pPr>
    </w:p>
    <w:p w14:paraId="38DDAE24" w14:textId="7A318A76" w:rsidR="00170C32" w:rsidRPr="00326287" w:rsidRDefault="00170C32" w:rsidP="00170C32">
      <w:pPr>
        <w:jc w:val="right"/>
        <w:rPr>
          <w:rFonts w:asciiTheme="majorBidi" w:hAnsiTheme="majorBidi" w:cstheme="majorBidi"/>
          <w:b/>
          <w:bCs/>
          <w:color w:val="000000" w:themeColor="text1"/>
          <w:sz w:val="27"/>
          <w:szCs w:val="27"/>
          <w:lang w:val="ro-RO"/>
        </w:rPr>
      </w:pPr>
      <w:r w:rsidRPr="00326287">
        <w:rPr>
          <w:rFonts w:asciiTheme="majorBidi" w:hAnsiTheme="majorBidi" w:cstheme="majorBidi"/>
          <w:b/>
          <w:bCs/>
          <w:color w:val="000000" w:themeColor="text1"/>
          <w:sz w:val="27"/>
          <w:szCs w:val="27"/>
          <w:lang w:val="ro-RO"/>
        </w:rPr>
        <w:t>Anexă</w:t>
      </w:r>
    </w:p>
    <w:p w14:paraId="20FDC6CC" w14:textId="015DB9D7" w:rsidR="00170C32" w:rsidRPr="00326287" w:rsidRDefault="00170C32" w:rsidP="00170C32">
      <w:pPr>
        <w:jc w:val="right"/>
        <w:rPr>
          <w:rFonts w:asciiTheme="majorBidi" w:hAnsiTheme="majorBidi" w:cstheme="majorBidi"/>
          <w:b/>
          <w:bCs/>
          <w:color w:val="000000" w:themeColor="text1"/>
          <w:sz w:val="27"/>
          <w:szCs w:val="27"/>
          <w:lang w:val="ro-RO"/>
        </w:rPr>
      </w:pPr>
      <w:r w:rsidRPr="00326287">
        <w:rPr>
          <w:rFonts w:asciiTheme="majorBidi" w:hAnsiTheme="majorBidi" w:cstheme="majorBidi"/>
          <w:b/>
          <w:bCs/>
          <w:color w:val="000000" w:themeColor="text1"/>
          <w:sz w:val="27"/>
          <w:szCs w:val="27"/>
          <w:lang w:val="ro-RO"/>
        </w:rPr>
        <w:t>la Ordinul nr. _______din___________</w:t>
      </w:r>
    </w:p>
    <w:p w14:paraId="7CC73589" w14:textId="77777777" w:rsidR="00170C32" w:rsidRPr="00326287" w:rsidRDefault="00170C32" w:rsidP="00170C32">
      <w:pPr>
        <w:jc w:val="right"/>
        <w:rPr>
          <w:rFonts w:asciiTheme="majorBidi" w:hAnsiTheme="majorBidi" w:cstheme="majorBidi"/>
          <w:color w:val="000000" w:themeColor="text1"/>
          <w:sz w:val="27"/>
          <w:szCs w:val="27"/>
          <w:lang w:val="ro-RO"/>
        </w:rPr>
      </w:pPr>
    </w:p>
    <w:p w14:paraId="538D32E0" w14:textId="77777777" w:rsidR="00170C32" w:rsidRPr="00326287" w:rsidRDefault="00170C32" w:rsidP="00170C32">
      <w:pPr>
        <w:jc w:val="center"/>
        <w:rPr>
          <w:rFonts w:asciiTheme="majorBidi" w:hAnsiTheme="majorBidi" w:cstheme="majorBidi"/>
          <w:b/>
          <w:bCs/>
          <w:color w:val="000000"/>
          <w:sz w:val="27"/>
          <w:szCs w:val="27"/>
          <w:lang w:val="ro-RO"/>
        </w:rPr>
      </w:pPr>
    </w:p>
    <w:p w14:paraId="19133911" w14:textId="62BEFA17" w:rsidR="00170C32" w:rsidRPr="00326287" w:rsidRDefault="00170C32" w:rsidP="00170C32">
      <w:pPr>
        <w:jc w:val="center"/>
        <w:rPr>
          <w:rFonts w:asciiTheme="majorBidi" w:hAnsiTheme="majorBidi" w:cstheme="majorBidi"/>
          <w:b/>
          <w:bCs/>
          <w:color w:val="000000"/>
          <w:sz w:val="27"/>
          <w:szCs w:val="27"/>
          <w:lang w:val="ro-RO"/>
        </w:rPr>
      </w:pPr>
      <w:r w:rsidRPr="00326287">
        <w:rPr>
          <w:rFonts w:asciiTheme="majorBidi" w:hAnsiTheme="majorBidi" w:cstheme="majorBidi"/>
          <w:b/>
          <w:bCs/>
          <w:color w:val="000000"/>
          <w:sz w:val="27"/>
          <w:szCs w:val="27"/>
          <w:lang w:val="ro-RO"/>
        </w:rPr>
        <w:t>Regulament</w:t>
      </w:r>
    </w:p>
    <w:p w14:paraId="14C891B2" w14:textId="1F55AB59" w:rsidR="00170C32" w:rsidRPr="00326287" w:rsidRDefault="00170C32" w:rsidP="00170C32">
      <w:pPr>
        <w:jc w:val="center"/>
        <w:rPr>
          <w:rFonts w:asciiTheme="majorBidi" w:hAnsiTheme="majorBidi" w:cstheme="majorBidi"/>
          <w:b/>
          <w:bCs/>
          <w:color w:val="000000"/>
          <w:sz w:val="27"/>
          <w:szCs w:val="27"/>
          <w:lang w:val="ro-RO"/>
        </w:rPr>
      </w:pPr>
      <w:r w:rsidRPr="00326287">
        <w:rPr>
          <w:rFonts w:asciiTheme="majorBidi" w:hAnsiTheme="majorBidi" w:cstheme="majorBidi"/>
          <w:b/>
          <w:bCs/>
          <w:color w:val="000000"/>
          <w:sz w:val="27"/>
          <w:szCs w:val="27"/>
          <w:lang w:val="ro-RO"/>
        </w:rPr>
        <w:t>cazurile și condițiile în care Agenția Națională pentru Siguranța Alimentelor poate desemna drept laboratoare oficiale</w:t>
      </w:r>
      <w:r w:rsidR="00DA30B0">
        <w:rPr>
          <w:rFonts w:asciiTheme="majorBidi" w:hAnsiTheme="majorBidi" w:cstheme="majorBidi"/>
          <w:b/>
          <w:bCs/>
          <w:color w:val="000000"/>
          <w:sz w:val="27"/>
          <w:szCs w:val="27"/>
          <w:lang w:val="ro-RO"/>
        </w:rPr>
        <w:t>,</w:t>
      </w:r>
      <w:r w:rsidRPr="00326287">
        <w:rPr>
          <w:rFonts w:asciiTheme="majorBidi" w:hAnsiTheme="majorBidi" w:cstheme="majorBidi"/>
          <w:b/>
          <w:bCs/>
          <w:color w:val="000000"/>
          <w:sz w:val="27"/>
          <w:szCs w:val="27"/>
          <w:lang w:val="ro-RO"/>
        </w:rPr>
        <w:t xml:space="preserve"> laboratoarele care nu îndeplinesc condițiile privind toate metodele pe care acestea le utilizează pentru controalele oficiale sau alte activități oficiale</w:t>
      </w:r>
    </w:p>
    <w:p w14:paraId="1A3987B9" w14:textId="77777777" w:rsidR="00170C32" w:rsidRPr="00326287" w:rsidRDefault="00170C32" w:rsidP="00170C32">
      <w:pPr>
        <w:jc w:val="center"/>
        <w:rPr>
          <w:rFonts w:asciiTheme="majorBidi" w:hAnsiTheme="majorBidi" w:cstheme="majorBidi"/>
          <w:b/>
          <w:bCs/>
          <w:color w:val="000000"/>
          <w:sz w:val="27"/>
          <w:szCs w:val="27"/>
          <w:lang w:val="ro-RO"/>
        </w:rPr>
      </w:pPr>
    </w:p>
    <w:p w14:paraId="50201BDE" w14:textId="428B9260" w:rsidR="00A965BF" w:rsidRPr="00326287" w:rsidRDefault="00A965BF" w:rsidP="00A965BF">
      <w:pPr>
        <w:pStyle w:val="Default"/>
        <w:jc w:val="center"/>
        <w:rPr>
          <w:rFonts w:asciiTheme="majorBidi" w:hAnsiTheme="majorBidi" w:cstheme="majorBidi"/>
          <w:b/>
          <w:bCs/>
          <w:sz w:val="27"/>
          <w:szCs w:val="27"/>
          <w:lang w:val="ro-RO"/>
        </w:rPr>
      </w:pPr>
      <w:r w:rsidRPr="00326287">
        <w:rPr>
          <w:rFonts w:asciiTheme="majorBidi" w:hAnsiTheme="majorBidi" w:cstheme="majorBidi"/>
          <w:b/>
          <w:bCs/>
          <w:sz w:val="27"/>
          <w:szCs w:val="27"/>
          <w:lang w:val="ro-RO"/>
        </w:rPr>
        <w:t xml:space="preserve">Secțiunea </w:t>
      </w:r>
      <w:r w:rsidR="00B15E77" w:rsidRPr="00326287">
        <w:rPr>
          <w:rFonts w:asciiTheme="majorBidi" w:hAnsiTheme="majorBidi" w:cstheme="majorBidi"/>
          <w:b/>
          <w:bCs/>
          <w:sz w:val="27"/>
          <w:szCs w:val="27"/>
          <w:lang w:val="ro-RO"/>
        </w:rPr>
        <w:t>1</w:t>
      </w:r>
    </w:p>
    <w:p w14:paraId="54419EE7" w14:textId="139B83E8" w:rsidR="00B15E77" w:rsidRPr="00326287" w:rsidRDefault="00B15E77" w:rsidP="00A965BF">
      <w:pPr>
        <w:pStyle w:val="Default"/>
        <w:jc w:val="center"/>
        <w:rPr>
          <w:rFonts w:asciiTheme="majorBidi" w:hAnsiTheme="majorBidi" w:cstheme="majorBidi"/>
          <w:b/>
          <w:bCs/>
          <w:sz w:val="27"/>
          <w:szCs w:val="27"/>
          <w:lang w:val="ro-RO"/>
        </w:rPr>
      </w:pPr>
      <w:r w:rsidRPr="00326287">
        <w:rPr>
          <w:rFonts w:asciiTheme="majorBidi" w:hAnsiTheme="majorBidi" w:cstheme="majorBidi"/>
          <w:b/>
          <w:bCs/>
          <w:sz w:val="27"/>
          <w:szCs w:val="27"/>
          <w:lang w:val="ro-RO"/>
        </w:rPr>
        <w:t>Obiect</w:t>
      </w:r>
    </w:p>
    <w:p w14:paraId="443DE905" w14:textId="3E85B631" w:rsidR="00170C32" w:rsidRPr="00326287" w:rsidRDefault="00A965BF" w:rsidP="00A965BF">
      <w:pPr>
        <w:spacing w:after="120"/>
        <w:jc w:val="both"/>
        <w:rPr>
          <w:rFonts w:asciiTheme="majorBidi" w:hAnsiTheme="majorBidi" w:cstheme="majorBidi"/>
          <w:sz w:val="27"/>
          <w:szCs w:val="27"/>
          <w:lang w:val="ro-RO"/>
        </w:rPr>
      </w:pPr>
      <w:bookmarkStart w:id="1" w:name="_Hlk197417261"/>
      <w:r w:rsidRPr="00326287">
        <w:rPr>
          <w:rFonts w:asciiTheme="majorBidi" w:hAnsiTheme="majorBidi" w:cstheme="majorBidi"/>
          <w:b/>
          <w:bCs/>
          <w:sz w:val="27"/>
          <w:szCs w:val="27"/>
          <w:lang w:val="ro-RO"/>
        </w:rPr>
        <w:t>1.</w:t>
      </w:r>
      <w:r w:rsidRPr="00326287">
        <w:rPr>
          <w:rFonts w:asciiTheme="majorBidi" w:hAnsiTheme="majorBidi" w:cstheme="majorBidi"/>
          <w:sz w:val="27"/>
          <w:szCs w:val="27"/>
          <w:lang w:val="ro-RO"/>
        </w:rPr>
        <w:t xml:space="preserve"> </w:t>
      </w:r>
      <w:r w:rsidR="00B15E77" w:rsidRPr="00326287">
        <w:rPr>
          <w:rFonts w:asciiTheme="majorBidi" w:hAnsiTheme="majorBidi" w:cstheme="majorBidi"/>
          <w:sz w:val="27"/>
          <w:szCs w:val="27"/>
          <w:lang w:val="ro-RO"/>
        </w:rPr>
        <w:t xml:space="preserve">Prezentul regulament stabilește cazurile și condițiile în care laboratoarele care nu îndeplinesc condițiile de acreditare prevăzute la </w:t>
      </w:r>
      <w:r w:rsidR="002F64B7" w:rsidRPr="00326287">
        <w:rPr>
          <w:rFonts w:asciiTheme="majorBidi" w:hAnsiTheme="majorBidi" w:cstheme="majorBidi"/>
          <w:sz w:val="27"/>
          <w:szCs w:val="27"/>
          <w:lang w:val="ro-RO"/>
        </w:rPr>
        <w:t>art.</w:t>
      </w:r>
      <w:r w:rsidR="00B15E77" w:rsidRPr="00326287">
        <w:rPr>
          <w:rFonts w:asciiTheme="majorBidi" w:hAnsiTheme="majorBidi" w:cstheme="majorBidi"/>
          <w:sz w:val="27"/>
          <w:szCs w:val="27"/>
          <w:lang w:val="ro-RO"/>
        </w:rPr>
        <w:t xml:space="preserve"> 35 </w:t>
      </w:r>
      <w:r w:rsidR="002F64B7" w:rsidRPr="00326287">
        <w:rPr>
          <w:rFonts w:asciiTheme="majorBidi" w:hAnsiTheme="majorBidi" w:cstheme="majorBidi"/>
          <w:sz w:val="27"/>
          <w:szCs w:val="27"/>
          <w:lang w:val="ro-RO"/>
        </w:rPr>
        <w:t>alin.</w:t>
      </w:r>
      <w:r w:rsidR="00B15E77" w:rsidRPr="00326287">
        <w:rPr>
          <w:rFonts w:asciiTheme="majorBidi" w:hAnsiTheme="majorBidi" w:cstheme="majorBidi"/>
          <w:sz w:val="27"/>
          <w:szCs w:val="27"/>
          <w:lang w:val="ro-RO"/>
        </w:rPr>
        <w:t xml:space="preserve"> (4) </w:t>
      </w:r>
      <w:r w:rsidR="002F64B7" w:rsidRPr="00326287">
        <w:rPr>
          <w:rFonts w:asciiTheme="majorBidi" w:hAnsiTheme="majorBidi" w:cstheme="majorBidi"/>
          <w:sz w:val="27"/>
          <w:szCs w:val="27"/>
          <w:lang w:val="ro-RO"/>
        </w:rPr>
        <w:t>lit.</w:t>
      </w:r>
      <w:r w:rsidR="00B15E77" w:rsidRPr="00326287">
        <w:rPr>
          <w:rFonts w:asciiTheme="majorBidi" w:hAnsiTheme="majorBidi" w:cstheme="majorBidi"/>
          <w:sz w:val="27"/>
          <w:szCs w:val="27"/>
          <w:lang w:val="ro-RO"/>
        </w:rPr>
        <w:t xml:space="preserve"> (e) din Legea </w:t>
      </w:r>
      <w:r w:rsidR="00FB24A6" w:rsidRPr="00326287">
        <w:rPr>
          <w:rFonts w:asciiTheme="majorBidi" w:hAnsiTheme="majorBidi" w:cstheme="majorBidi"/>
          <w:sz w:val="27"/>
          <w:szCs w:val="27"/>
          <w:lang w:val="ro-RO"/>
        </w:rPr>
        <w:t>nr.</w:t>
      </w:r>
      <w:r w:rsidR="00B15E77" w:rsidRPr="00326287">
        <w:rPr>
          <w:rFonts w:asciiTheme="majorBidi" w:hAnsiTheme="majorBidi" w:cstheme="majorBidi"/>
          <w:sz w:val="27"/>
          <w:szCs w:val="27"/>
          <w:lang w:val="ro-RO"/>
        </w:rPr>
        <w:t>82/2024</w:t>
      </w:r>
      <w:r w:rsidR="00CD441F">
        <w:rPr>
          <w:rFonts w:asciiTheme="majorBidi" w:hAnsiTheme="majorBidi" w:cstheme="majorBidi"/>
          <w:sz w:val="27"/>
          <w:szCs w:val="27"/>
          <w:lang w:val="ro-RO"/>
        </w:rPr>
        <w:t xml:space="preserve"> </w:t>
      </w:r>
      <w:r w:rsidR="00CD441F" w:rsidRPr="00326287">
        <w:rPr>
          <w:sz w:val="27"/>
          <w:szCs w:val="27"/>
          <w:lang w:val="ro-RO"/>
        </w:rPr>
        <w:t>privind controalele oficiale în domeniul agroalimentar</w:t>
      </w:r>
      <w:r w:rsidR="00CD441F">
        <w:rPr>
          <w:sz w:val="27"/>
          <w:szCs w:val="27"/>
          <w:lang w:val="ro-RO"/>
        </w:rPr>
        <w:t>,</w:t>
      </w:r>
      <w:r w:rsidR="00B15E77" w:rsidRPr="00326287">
        <w:rPr>
          <w:rFonts w:asciiTheme="majorBidi" w:hAnsiTheme="majorBidi" w:cstheme="majorBidi"/>
          <w:sz w:val="27"/>
          <w:szCs w:val="27"/>
          <w:lang w:val="ro-RO"/>
        </w:rPr>
        <w:t xml:space="preserve">  privind toate metodele pe care le utilizează pentru controalele oficiale sau alte activități oficiale pot fi desemnate drept laboratoare oficiale de către </w:t>
      </w:r>
      <w:bookmarkEnd w:id="1"/>
      <w:r w:rsidR="00B15E77" w:rsidRPr="00326287">
        <w:rPr>
          <w:rFonts w:asciiTheme="majorBidi" w:hAnsiTheme="majorBidi" w:cstheme="majorBidi"/>
          <w:sz w:val="27"/>
          <w:szCs w:val="27"/>
          <w:lang w:val="ro-RO"/>
        </w:rPr>
        <w:t>Agenția Națională pentru Siguranța Alimentelor.</w:t>
      </w:r>
    </w:p>
    <w:p w14:paraId="454B9CC0" w14:textId="0A744868" w:rsidR="00A965BF" w:rsidRPr="00326287" w:rsidRDefault="00A965BF" w:rsidP="00A965BF">
      <w:pPr>
        <w:jc w:val="center"/>
        <w:rPr>
          <w:rFonts w:asciiTheme="majorBidi" w:hAnsiTheme="majorBidi" w:cstheme="majorBidi"/>
          <w:color w:val="000000" w:themeColor="text1"/>
          <w:sz w:val="27"/>
          <w:szCs w:val="27"/>
          <w:lang w:val="ro-RO"/>
        </w:rPr>
      </w:pPr>
      <w:r w:rsidRPr="00326287">
        <w:rPr>
          <w:rFonts w:asciiTheme="majorBidi" w:hAnsiTheme="majorBidi" w:cstheme="majorBidi"/>
          <w:b/>
          <w:bCs/>
          <w:color w:val="000000" w:themeColor="text1"/>
          <w:sz w:val="27"/>
          <w:szCs w:val="27"/>
          <w:lang w:val="ro-RO"/>
        </w:rPr>
        <w:t>Secțiunea</w:t>
      </w:r>
      <w:r w:rsidR="009C2350" w:rsidRPr="00326287">
        <w:rPr>
          <w:rFonts w:asciiTheme="majorBidi" w:hAnsiTheme="majorBidi" w:cstheme="majorBidi"/>
          <w:b/>
          <w:bCs/>
          <w:color w:val="000000" w:themeColor="text1"/>
          <w:sz w:val="27"/>
          <w:szCs w:val="27"/>
          <w:lang w:val="ro-RO"/>
        </w:rPr>
        <w:t xml:space="preserve"> 2</w:t>
      </w:r>
    </w:p>
    <w:p w14:paraId="55B74B09" w14:textId="0B5B36A2" w:rsidR="009C2350" w:rsidRPr="00326287" w:rsidRDefault="009C2350" w:rsidP="00A965BF">
      <w:pPr>
        <w:jc w:val="center"/>
        <w:rPr>
          <w:rFonts w:asciiTheme="majorBidi" w:hAnsiTheme="majorBidi" w:cstheme="majorBidi"/>
          <w:b/>
          <w:bCs/>
          <w:color w:val="000000" w:themeColor="text1"/>
          <w:sz w:val="27"/>
          <w:szCs w:val="27"/>
          <w:lang w:val="ro-RO"/>
        </w:rPr>
      </w:pPr>
      <w:r w:rsidRPr="00326287">
        <w:rPr>
          <w:rFonts w:asciiTheme="majorBidi" w:hAnsiTheme="majorBidi" w:cstheme="majorBidi"/>
          <w:b/>
          <w:bCs/>
          <w:color w:val="000000" w:themeColor="text1"/>
          <w:sz w:val="27"/>
          <w:szCs w:val="27"/>
          <w:lang w:val="ro-RO"/>
        </w:rPr>
        <w:t>Laboratoare oficiale în domeniul materialelor care intră în contact cu produsele alimentare, al aditivilor alimentari, al enzimelor alimentare, al aromelor și al aditivilor furajeri</w:t>
      </w:r>
    </w:p>
    <w:p w14:paraId="73C68DCB" w14:textId="360718E5" w:rsidR="009C2350" w:rsidRPr="00326287" w:rsidRDefault="00A965BF" w:rsidP="009C2350">
      <w:pPr>
        <w:jc w:val="both"/>
        <w:rPr>
          <w:rFonts w:asciiTheme="majorBidi" w:hAnsiTheme="majorBidi" w:cstheme="majorBidi"/>
          <w:color w:val="000000" w:themeColor="text1"/>
          <w:sz w:val="27"/>
          <w:szCs w:val="27"/>
          <w:lang w:val="ro-RO"/>
        </w:rPr>
      </w:pPr>
      <w:r w:rsidRPr="00326287">
        <w:rPr>
          <w:rFonts w:asciiTheme="majorBidi" w:hAnsiTheme="majorBidi" w:cstheme="majorBidi"/>
          <w:b/>
          <w:bCs/>
          <w:color w:val="000000" w:themeColor="text1"/>
          <w:sz w:val="27"/>
          <w:szCs w:val="27"/>
          <w:lang w:val="ro-RO"/>
        </w:rPr>
        <w:t>2.</w:t>
      </w:r>
      <w:r w:rsidRPr="00326287">
        <w:rPr>
          <w:rFonts w:asciiTheme="majorBidi" w:hAnsiTheme="majorBidi" w:cstheme="majorBidi"/>
          <w:color w:val="000000" w:themeColor="text1"/>
          <w:sz w:val="27"/>
          <w:szCs w:val="27"/>
          <w:lang w:val="ro-RO"/>
        </w:rPr>
        <w:t xml:space="preserve"> </w:t>
      </w:r>
      <w:r w:rsidR="009C2350" w:rsidRPr="00326287">
        <w:rPr>
          <w:rFonts w:asciiTheme="majorBidi" w:hAnsiTheme="majorBidi" w:cstheme="majorBidi"/>
          <w:color w:val="000000" w:themeColor="text1"/>
          <w:sz w:val="27"/>
          <w:szCs w:val="27"/>
          <w:lang w:val="ro-RO"/>
        </w:rPr>
        <w:t xml:space="preserve">Agenția Națională pentru Siguranța Alimentelor poate desemna laboratoare care nu îndeplinesc condițiile menționate la </w:t>
      </w:r>
      <w:r w:rsidR="002F64B7" w:rsidRPr="00326287">
        <w:rPr>
          <w:rFonts w:asciiTheme="majorBidi" w:hAnsiTheme="majorBidi" w:cstheme="majorBidi"/>
          <w:color w:val="000000" w:themeColor="text1"/>
          <w:sz w:val="27"/>
          <w:szCs w:val="27"/>
          <w:lang w:val="ro-RO"/>
        </w:rPr>
        <w:t>art.</w:t>
      </w:r>
      <w:r w:rsidR="009C2350" w:rsidRPr="00326287">
        <w:rPr>
          <w:rFonts w:asciiTheme="majorBidi" w:hAnsiTheme="majorBidi" w:cstheme="majorBidi"/>
          <w:color w:val="000000" w:themeColor="text1"/>
          <w:sz w:val="27"/>
          <w:szCs w:val="27"/>
          <w:lang w:val="ro-RO"/>
        </w:rPr>
        <w:t xml:space="preserve"> 35 </w:t>
      </w:r>
      <w:r w:rsidR="002F64B7" w:rsidRPr="00326287">
        <w:rPr>
          <w:rFonts w:asciiTheme="majorBidi" w:hAnsiTheme="majorBidi" w:cstheme="majorBidi"/>
          <w:color w:val="000000" w:themeColor="text1"/>
          <w:sz w:val="27"/>
          <w:szCs w:val="27"/>
          <w:lang w:val="ro-RO"/>
        </w:rPr>
        <w:t>alin.</w:t>
      </w:r>
      <w:r w:rsidR="009C2350" w:rsidRPr="00326287">
        <w:rPr>
          <w:rFonts w:asciiTheme="majorBidi" w:hAnsiTheme="majorBidi" w:cstheme="majorBidi"/>
          <w:color w:val="000000" w:themeColor="text1"/>
          <w:sz w:val="27"/>
          <w:szCs w:val="27"/>
          <w:lang w:val="ro-RO"/>
        </w:rPr>
        <w:t xml:space="preserve"> (4) </w:t>
      </w:r>
      <w:r w:rsidR="002F64B7" w:rsidRPr="00326287">
        <w:rPr>
          <w:rFonts w:asciiTheme="majorBidi" w:hAnsiTheme="majorBidi" w:cstheme="majorBidi"/>
          <w:color w:val="000000" w:themeColor="text1"/>
          <w:sz w:val="27"/>
          <w:szCs w:val="27"/>
          <w:lang w:val="ro-RO"/>
        </w:rPr>
        <w:t>lit.</w:t>
      </w:r>
      <w:r w:rsidR="009C2350" w:rsidRPr="00326287">
        <w:rPr>
          <w:rFonts w:asciiTheme="majorBidi" w:hAnsiTheme="majorBidi" w:cstheme="majorBidi"/>
          <w:color w:val="000000" w:themeColor="text1"/>
          <w:sz w:val="27"/>
          <w:szCs w:val="27"/>
          <w:lang w:val="ro-RO"/>
        </w:rPr>
        <w:t xml:space="preserve"> (e) din Legea </w:t>
      </w:r>
      <w:r w:rsidR="00E870F3" w:rsidRPr="00326287">
        <w:rPr>
          <w:rFonts w:asciiTheme="majorBidi" w:hAnsiTheme="majorBidi" w:cstheme="majorBidi"/>
          <w:sz w:val="27"/>
          <w:szCs w:val="27"/>
          <w:lang w:val="ro-RO"/>
        </w:rPr>
        <w:t>nr.</w:t>
      </w:r>
      <w:r w:rsidR="009C2350" w:rsidRPr="00326287">
        <w:rPr>
          <w:rFonts w:asciiTheme="majorBidi" w:hAnsiTheme="majorBidi" w:cstheme="majorBidi"/>
          <w:color w:val="000000" w:themeColor="text1"/>
          <w:sz w:val="27"/>
          <w:szCs w:val="27"/>
          <w:lang w:val="ro-RO"/>
        </w:rPr>
        <w:t>82/2024  în ceea ce privește toate metodele de analiză, testare sau diagnosticare de laborator pe care le utilizează pentru controalele oficiale sau alte activități oficiale, ca laboratoare oficiale în domeniul materialelor care intră în contact cu produsele alimentare, al aditivilor alimentari, al enzimelor alimentare, al aromelor și al aditivilor furajeri, cu următoarele condiții:</w:t>
      </w:r>
    </w:p>
    <w:p w14:paraId="233A8E19" w14:textId="0E05AD5B" w:rsidR="009C2350" w:rsidRPr="00326287" w:rsidRDefault="00A965BF" w:rsidP="009C2350">
      <w:pPr>
        <w:jc w:val="both"/>
        <w:rPr>
          <w:rFonts w:asciiTheme="majorBidi" w:hAnsiTheme="majorBidi" w:cstheme="majorBidi"/>
          <w:color w:val="000000" w:themeColor="text1"/>
          <w:sz w:val="27"/>
          <w:szCs w:val="27"/>
          <w:lang w:val="ro-RO"/>
        </w:rPr>
      </w:pPr>
      <w:r w:rsidRPr="00326287">
        <w:rPr>
          <w:rFonts w:asciiTheme="majorBidi" w:hAnsiTheme="majorBidi" w:cstheme="majorBidi"/>
          <w:b/>
          <w:bCs/>
          <w:color w:val="000000" w:themeColor="text1"/>
          <w:sz w:val="27"/>
          <w:szCs w:val="27"/>
          <w:lang w:val="ro-RO"/>
        </w:rPr>
        <w:t>2.1.</w:t>
      </w:r>
      <w:r w:rsidR="009C2350" w:rsidRPr="00326287">
        <w:rPr>
          <w:rFonts w:asciiTheme="majorBidi" w:hAnsiTheme="majorBidi" w:cstheme="majorBidi"/>
          <w:b/>
          <w:bCs/>
          <w:color w:val="000000" w:themeColor="text1"/>
          <w:sz w:val="27"/>
          <w:szCs w:val="27"/>
          <w:lang w:val="ro-RO"/>
        </w:rPr>
        <w:tab/>
      </w:r>
      <w:r w:rsidR="009C2350" w:rsidRPr="00326287">
        <w:rPr>
          <w:rFonts w:asciiTheme="majorBidi" w:hAnsiTheme="majorBidi" w:cstheme="majorBidi"/>
          <w:color w:val="000000" w:themeColor="text1"/>
          <w:sz w:val="27"/>
          <w:szCs w:val="27"/>
          <w:lang w:val="ro-RO"/>
        </w:rPr>
        <w:t xml:space="preserve">laboratoarele respective dispun de un sistem </w:t>
      </w:r>
      <w:r w:rsidR="00DA30B0">
        <w:rPr>
          <w:rFonts w:asciiTheme="majorBidi" w:hAnsiTheme="majorBidi" w:cstheme="majorBidi"/>
          <w:color w:val="000000" w:themeColor="text1"/>
          <w:sz w:val="27"/>
          <w:szCs w:val="27"/>
          <w:lang w:val="ro-RO"/>
        </w:rPr>
        <w:t xml:space="preserve">al </w:t>
      </w:r>
      <w:r w:rsidR="009C2350" w:rsidRPr="00326287">
        <w:rPr>
          <w:rFonts w:asciiTheme="majorBidi" w:hAnsiTheme="majorBidi" w:cstheme="majorBidi"/>
          <w:color w:val="000000" w:themeColor="text1"/>
          <w:sz w:val="27"/>
          <w:szCs w:val="27"/>
          <w:lang w:val="ro-RO"/>
        </w:rPr>
        <w:t>calității pentru a asigura obținerea de rezultate fiabile în urma utilizării metodelor de analiză, testare sau diagnosticare de laborator în afara obiectului acreditării lor; și</w:t>
      </w:r>
    </w:p>
    <w:p w14:paraId="6A1F394C" w14:textId="03227126" w:rsidR="00B15E77" w:rsidRPr="00326287" w:rsidRDefault="00A965BF" w:rsidP="009C2350">
      <w:pPr>
        <w:spacing w:after="120"/>
        <w:jc w:val="both"/>
        <w:rPr>
          <w:rFonts w:asciiTheme="majorBidi" w:hAnsiTheme="majorBidi" w:cstheme="majorBidi"/>
          <w:color w:val="000000" w:themeColor="text1"/>
          <w:sz w:val="27"/>
          <w:szCs w:val="27"/>
          <w:lang w:val="ro-RO"/>
        </w:rPr>
      </w:pPr>
      <w:r w:rsidRPr="00326287">
        <w:rPr>
          <w:rFonts w:asciiTheme="majorBidi" w:hAnsiTheme="majorBidi" w:cstheme="majorBidi"/>
          <w:b/>
          <w:bCs/>
          <w:color w:val="000000" w:themeColor="text1"/>
          <w:sz w:val="27"/>
          <w:szCs w:val="27"/>
          <w:lang w:val="ro-RO"/>
        </w:rPr>
        <w:t>2.2.</w:t>
      </w:r>
      <w:r w:rsidR="009C2350" w:rsidRPr="00326287">
        <w:rPr>
          <w:rFonts w:asciiTheme="majorBidi" w:hAnsiTheme="majorBidi" w:cstheme="majorBidi"/>
          <w:b/>
          <w:bCs/>
          <w:color w:val="000000" w:themeColor="text1"/>
          <w:sz w:val="27"/>
          <w:szCs w:val="27"/>
          <w:lang w:val="ro-RO"/>
        </w:rPr>
        <w:tab/>
      </w:r>
      <w:r w:rsidR="009C2350" w:rsidRPr="00326287">
        <w:rPr>
          <w:rFonts w:asciiTheme="majorBidi" w:hAnsiTheme="majorBidi" w:cstheme="majorBidi"/>
          <w:color w:val="000000" w:themeColor="text1"/>
          <w:sz w:val="27"/>
          <w:szCs w:val="27"/>
          <w:lang w:val="ro-RO"/>
        </w:rPr>
        <w:t xml:space="preserve">metodele neacreditate utilizate de laboratoarele respective sunt caracterizate de criterii relevante pentru domeniile reglementate de prezentul articol, stabilite în </w:t>
      </w:r>
      <w:r w:rsidR="00DA30B0">
        <w:rPr>
          <w:rFonts w:asciiTheme="majorBidi" w:hAnsiTheme="majorBidi" w:cstheme="majorBidi"/>
          <w:color w:val="000000" w:themeColor="text1"/>
          <w:sz w:val="27"/>
          <w:szCs w:val="27"/>
          <w:lang w:val="ro-RO"/>
        </w:rPr>
        <w:t>A</w:t>
      </w:r>
      <w:r w:rsidR="009C2350" w:rsidRPr="00326287">
        <w:rPr>
          <w:rFonts w:asciiTheme="majorBidi" w:hAnsiTheme="majorBidi" w:cstheme="majorBidi"/>
          <w:color w:val="000000" w:themeColor="text1"/>
          <w:sz w:val="27"/>
          <w:szCs w:val="27"/>
          <w:lang w:val="ro-RO"/>
        </w:rPr>
        <w:t xml:space="preserve">nexa nr. 2 </w:t>
      </w:r>
      <w:r w:rsidR="00DA30B0">
        <w:rPr>
          <w:rFonts w:asciiTheme="majorBidi" w:hAnsiTheme="majorBidi" w:cstheme="majorBidi"/>
          <w:color w:val="000000" w:themeColor="text1"/>
          <w:sz w:val="27"/>
          <w:szCs w:val="27"/>
          <w:lang w:val="ro-RO"/>
        </w:rPr>
        <w:t>la</w:t>
      </w:r>
      <w:r w:rsidR="009C2350" w:rsidRPr="00326287">
        <w:rPr>
          <w:rFonts w:asciiTheme="majorBidi" w:hAnsiTheme="majorBidi" w:cstheme="majorBidi"/>
          <w:color w:val="000000" w:themeColor="text1"/>
          <w:sz w:val="27"/>
          <w:szCs w:val="27"/>
          <w:lang w:val="ro-RO"/>
        </w:rPr>
        <w:t xml:space="preserve"> Legea</w:t>
      </w:r>
      <w:r w:rsidR="00853A5E" w:rsidRPr="00326287">
        <w:rPr>
          <w:rFonts w:asciiTheme="majorBidi" w:hAnsiTheme="majorBidi" w:cstheme="majorBidi"/>
          <w:color w:val="000000" w:themeColor="text1"/>
          <w:sz w:val="27"/>
          <w:szCs w:val="27"/>
          <w:lang w:val="ro-RO"/>
        </w:rPr>
        <w:t xml:space="preserve"> </w:t>
      </w:r>
      <w:r w:rsidR="00853A5E" w:rsidRPr="00326287">
        <w:rPr>
          <w:rFonts w:asciiTheme="majorBidi" w:hAnsiTheme="majorBidi" w:cstheme="majorBidi"/>
          <w:sz w:val="27"/>
          <w:szCs w:val="27"/>
          <w:lang w:val="ro-RO"/>
        </w:rPr>
        <w:t>nr.</w:t>
      </w:r>
      <w:r w:rsidR="009C2350" w:rsidRPr="00326287">
        <w:rPr>
          <w:rFonts w:asciiTheme="majorBidi" w:hAnsiTheme="majorBidi" w:cstheme="majorBidi"/>
          <w:color w:val="000000" w:themeColor="text1"/>
          <w:sz w:val="27"/>
          <w:szCs w:val="27"/>
          <w:lang w:val="ro-RO"/>
        </w:rPr>
        <w:t>82/2024</w:t>
      </w:r>
      <w:r w:rsidR="00072100">
        <w:rPr>
          <w:rFonts w:asciiTheme="majorBidi" w:hAnsiTheme="majorBidi" w:cstheme="majorBidi"/>
          <w:color w:val="000000" w:themeColor="text1"/>
          <w:sz w:val="27"/>
          <w:szCs w:val="27"/>
          <w:lang w:val="ro-RO"/>
        </w:rPr>
        <w:t xml:space="preserve"> </w:t>
      </w:r>
      <w:r w:rsidR="00072100" w:rsidRPr="00326287">
        <w:rPr>
          <w:sz w:val="27"/>
          <w:szCs w:val="27"/>
          <w:lang w:val="ro-RO"/>
        </w:rPr>
        <w:t>privind controalele oficiale în domeniul agroalimentar</w:t>
      </w:r>
      <w:r w:rsidR="009C2350" w:rsidRPr="00326287">
        <w:rPr>
          <w:rFonts w:asciiTheme="majorBidi" w:hAnsiTheme="majorBidi" w:cstheme="majorBidi"/>
          <w:color w:val="000000" w:themeColor="text1"/>
          <w:sz w:val="27"/>
          <w:szCs w:val="27"/>
          <w:lang w:val="ro-RO"/>
        </w:rPr>
        <w:t>.</w:t>
      </w:r>
    </w:p>
    <w:p w14:paraId="3E26F75B" w14:textId="77777777" w:rsidR="000A267A" w:rsidRPr="00326287" w:rsidRDefault="000A267A" w:rsidP="002F64B7">
      <w:pPr>
        <w:spacing w:after="120"/>
        <w:rPr>
          <w:rFonts w:asciiTheme="majorBidi" w:hAnsiTheme="majorBidi" w:cstheme="majorBidi"/>
          <w:b/>
          <w:bCs/>
          <w:color w:val="000000" w:themeColor="text1"/>
          <w:sz w:val="27"/>
          <w:szCs w:val="27"/>
          <w:lang w:val="ro-RO"/>
        </w:rPr>
      </w:pPr>
    </w:p>
    <w:p w14:paraId="37B80FA2" w14:textId="2F65EAA5" w:rsidR="00A965BF" w:rsidRPr="00326287" w:rsidRDefault="00A965BF" w:rsidP="00A965BF">
      <w:pPr>
        <w:jc w:val="center"/>
        <w:rPr>
          <w:rFonts w:asciiTheme="majorBidi" w:hAnsiTheme="majorBidi" w:cstheme="majorBidi"/>
          <w:b/>
          <w:bCs/>
          <w:color w:val="000000" w:themeColor="text1"/>
          <w:sz w:val="27"/>
          <w:szCs w:val="27"/>
          <w:lang w:val="ro-RO"/>
        </w:rPr>
      </w:pPr>
      <w:r w:rsidRPr="00326287">
        <w:rPr>
          <w:rFonts w:asciiTheme="majorBidi" w:hAnsiTheme="majorBidi" w:cstheme="majorBidi"/>
          <w:b/>
          <w:bCs/>
          <w:color w:val="000000" w:themeColor="text1"/>
          <w:sz w:val="27"/>
          <w:szCs w:val="27"/>
          <w:lang w:val="ro-RO"/>
        </w:rPr>
        <w:t xml:space="preserve">Secțiunea </w:t>
      </w:r>
      <w:r w:rsidR="009C2350" w:rsidRPr="00326287">
        <w:rPr>
          <w:rFonts w:asciiTheme="majorBidi" w:hAnsiTheme="majorBidi" w:cstheme="majorBidi"/>
          <w:b/>
          <w:bCs/>
          <w:color w:val="000000" w:themeColor="text1"/>
          <w:sz w:val="27"/>
          <w:szCs w:val="27"/>
          <w:lang w:val="ro-RO"/>
        </w:rPr>
        <w:t>3</w:t>
      </w:r>
    </w:p>
    <w:p w14:paraId="3013C5B8" w14:textId="06F9C99C" w:rsidR="009C2350" w:rsidRPr="00326287" w:rsidRDefault="009C2350" w:rsidP="00A965BF">
      <w:pPr>
        <w:jc w:val="center"/>
        <w:rPr>
          <w:rFonts w:asciiTheme="majorBidi" w:hAnsiTheme="majorBidi" w:cstheme="majorBidi"/>
          <w:b/>
          <w:bCs/>
          <w:color w:val="000000" w:themeColor="text1"/>
          <w:sz w:val="27"/>
          <w:szCs w:val="27"/>
          <w:lang w:val="ro-RO"/>
        </w:rPr>
      </w:pPr>
      <w:r w:rsidRPr="00326287">
        <w:rPr>
          <w:rFonts w:asciiTheme="majorBidi" w:hAnsiTheme="majorBidi" w:cstheme="majorBidi"/>
          <w:b/>
          <w:bCs/>
          <w:color w:val="000000" w:themeColor="text1"/>
          <w:sz w:val="27"/>
          <w:szCs w:val="27"/>
          <w:lang w:val="ro-RO"/>
        </w:rPr>
        <w:t>Laboratoare oficiale în domeniul sănătății plantelor</w:t>
      </w:r>
    </w:p>
    <w:p w14:paraId="01950315" w14:textId="5C7AA6A9" w:rsidR="009C2350" w:rsidRPr="00326287" w:rsidRDefault="00A965BF" w:rsidP="009C2350">
      <w:pPr>
        <w:jc w:val="both"/>
        <w:rPr>
          <w:rFonts w:asciiTheme="majorBidi" w:hAnsiTheme="majorBidi" w:cstheme="majorBidi"/>
          <w:color w:val="000000" w:themeColor="text1"/>
          <w:sz w:val="27"/>
          <w:szCs w:val="27"/>
          <w:lang w:val="ro-RO"/>
        </w:rPr>
      </w:pPr>
      <w:r w:rsidRPr="00326287">
        <w:rPr>
          <w:rFonts w:asciiTheme="majorBidi" w:hAnsiTheme="majorBidi" w:cstheme="majorBidi"/>
          <w:b/>
          <w:bCs/>
          <w:color w:val="000000" w:themeColor="text1"/>
          <w:sz w:val="27"/>
          <w:szCs w:val="27"/>
          <w:lang w:val="ro-RO"/>
        </w:rPr>
        <w:t>3.</w:t>
      </w:r>
      <w:r w:rsidRPr="00326287">
        <w:rPr>
          <w:rFonts w:asciiTheme="majorBidi" w:hAnsiTheme="majorBidi" w:cstheme="majorBidi"/>
          <w:color w:val="000000" w:themeColor="text1"/>
          <w:sz w:val="27"/>
          <w:szCs w:val="27"/>
          <w:lang w:val="ro-RO"/>
        </w:rPr>
        <w:t xml:space="preserve"> </w:t>
      </w:r>
      <w:r w:rsidR="009C2350" w:rsidRPr="00326287">
        <w:rPr>
          <w:rFonts w:asciiTheme="majorBidi" w:hAnsiTheme="majorBidi" w:cstheme="majorBidi"/>
          <w:color w:val="000000" w:themeColor="text1"/>
          <w:sz w:val="27"/>
          <w:szCs w:val="27"/>
          <w:lang w:val="ro-RO"/>
        </w:rPr>
        <w:t xml:space="preserve">Agenția Națională pentru Siguranța Alimentelor poate desemna laboratoare care nu îndeplinesc condițiile menționate la </w:t>
      </w:r>
      <w:r w:rsidR="002F64B7" w:rsidRPr="00326287">
        <w:rPr>
          <w:rFonts w:asciiTheme="majorBidi" w:hAnsiTheme="majorBidi" w:cstheme="majorBidi"/>
          <w:color w:val="000000" w:themeColor="text1"/>
          <w:sz w:val="27"/>
          <w:szCs w:val="27"/>
          <w:lang w:val="ro-RO"/>
        </w:rPr>
        <w:t>art.</w:t>
      </w:r>
      <w:r w:rsidR="009C2350" w:rsidRPr="00326287">
        <w:rPr>
          <w:rFonts w:asciiTheme="majorBidi" w:hAnsiTheme="majorBidi" w:cstheme="majorBidi"/>
          <w:color w:val="000000" w:themeColor="text1"/>
          <w:sz w:val="27"/>
          <w:szCs w:val="27"/>
          <w:lang w:val="ro-RO"/>
        </w:rPr>
        <w:t xml:space="preserve"> 35 </w:t>
      </w:r>
      <w:r w:rsidR="002F64B7" w:rsidRPr="00326287">
        <w:rPr>
          <w:rFonts w:asciiTheme="majorBidi" w:hAnsiTheme="majorBidi" w:cstheme="majorBidi"/>
          <w:color w:val="000000" w:themeColor="text1"/>
          <w:sz w:val="27"/>
          <w:szCs w:val="27"/>
          <w:lang w:val="ro-RO"/>
        </w:rPr>
        <w:t>alin.</w:t>
      </w:r>
      <w:r w:rsidR="009C2350" w:rsidRPr="00326287">
        <w:rPr>
          <w:rFonts w:asciiTheme="majorBidi" w:hAnsiTheme="majorBidi" w:cstheme="majorBidi"/>
          <w:color w:val="000000" w:themeColor="text1"/>
          <w:sz w:val="27"/>
          <w:szCs w:val="27"/>
          <w:lang w:val="ro-RO"/>
        </w:rPr>
        <w:t xml:space="preserve"> (4) </w:t>
      </w:r>
      <w:r w:rsidR="002F64B7" w:rsidRPr="00326287">
        <w:rPr>
          <w:rFonts w:asciiTheme="majorBidi" w:hAnsiTheme="majorBidi" w:cstheme="majorBidi"/>
          <w:color w:val="000000" w:themeColor="text1"/>
          <w:sz w:val="27"/>
          <w:szCs w:val="27"/>
          <w:lang w:val="ro-RO"/>
        </w:rPr>
        <w:t>lit.</w:t>
      </w:r>
      <w:r w:rsidR="009C2350" w:rsidRPr="00326287">
        <w:rPr>
          <w:rFonts w:asciiTheme="majorBidi" w:hAnsiTheme="majorBidi" w:cstheme="majorBidi"/>
          <w:color w:val="000000" w:themeColor="text1"/>
          <w:sz w:val="27"/>
          <w:szCs w:val="27"/>
          <w:lang w:val="ro-RO"/>
        </w:rPr>
        <w:t xml:space="preserve"> (e) din Legea</w:t>
      </w:r>
      <w:r w:rsidR="00853A5E" w:rsidRPr="00326287">
        <w:rPr>
          <w:rFonts w:asciiTheme="majorBidi" w:hAnsiTheme="majorBidi" w:cstheme="majorBidi"/>
          <w:color w:val="000000" w:themeColor="text1"/>
          <w:sz w:val="27"/>
          <w:szCs w:val="27"/>
          <w:lang w:val="ro-RO"/>
        </w:rPr>
        <w:t xml:space="preserve"> </w:t>
      </w:r>
      <w:r w:rsidR="00853A5E" w:rsidRPr="00326287">
        <w:rPr>
          <w:rFonts w:asciiTheme="majorBidi" w:hAnsiTheme="majorBidi" w:cstheme="majorBidi"/>
          <w:sz w:val="27"/>
          <w:szCs w:val="27"/>
          <w:lang w:val="ro-RO"/>
        </w:rPr>
        <w:t>nr.</w:t>
      </w:r>
      <w:r w:rsidR="009C2350" w:rsidRPr="00326287">
        <w:rPr>
          <w:rFonts w:asciiTheme="majorBidi" w:hAnsiTheme="majorBidi" w:cstheme="majorBidi"/>
          <w:sz w:val="27"/>
          <w:szCs w:val="27"/>
          <w:lang w:val="ro-RO"/>
        </w:rPr>
        <w:t>82</w:t>
      </w:r>
      <w:r w:rsidR="009C2350" w:rsidRPr="00326287">
        <w:rPr>
          <w:rFonts w:asciiTheme="majorBidi" w:hAnsiTheme="majorBidi" w:cstheme="majorBidi"/>
          <w:color w:val="000000" w:themeColor="text1"/>
          <w:sz w:val="27"/>
          <w:szCs w:val="27"/>
          <w:lang w:val="ro-RO"/>
        </w:rPr>
        <w:t>/2024</w:t>
      </w:r>
      <w:r w:rsidR="003F6E76">
        <w:rPr>
          <w:rFonts w:asciiTheme="majorBidi" w:hAnsiTheme="majorBidi" w:cstheme="majorBidi"/>
          <w:color w:val="000000" w:themeColor="text1"/>
          <w:sz w:val="27"/>
          <w:szCs w:val="27"/>
          <w:lang w:val="ro-RO"/>
        </w:rPr>
        <w:t xml:space="preserve"> </w:t>
      </w:r>
      <w:r w:rsidR="003F6E76" w:rsidRPr="00326287">
        <w:rPr>
          <w:sz w:val="27"/>
          <w:szCs w:val="27"/>
          <w:lang w:val="ro-RO"/>
        </w:rPr>
        <w:t>privind controalele oficiale în domeniul agroalimentar</w:t>
      </w:r>
      <w:r w:rsidR="009C2350" w:rsidRPr="00326287">
        <w:rPr>
          <w:rFonts w:asciiTheme="majorBidi" w:hAnsiTheme="majorBidi" w:cstheme="majorBidi"/>
          <w:color w:val="000000" w:themeColor="text1"/>
          <w:sz w:val="27"/>
          <w:szCs w:val="27"/>
          <w:lang w:val="ro-RO"/>
        </w:rPr>
        <w:t xml:space="preserve"> în ceea ce privește toate metodele de analiză, testare sau diagnosticare de laborator pe care le utilizează pentru controalele oficiale sau alte activități oficiale, ca laboratoare oficiale în domeniul sănătății plantelor, cu următoarele condiții:</w:t>
      </w:r>
    </w:p>
    <w:p w14:paraId="4CA3EAEF" w14:textId="284A441C" w:rsidR="009C2350" w:rsidRPr="00326287" w:rsidRDefault="00A965BF" w:rsidP="009C2350">
      <w:pPr>
        <w:jc w:val="both"/>
        <w:rPr>
          <w:rFonts w:asciiTheme="majorBidi" w:hAnsiTheme="majorBidi" w:cstheme="majorBidi"/>
          <w:color w:val="000000" w:themeColor="text1"/>
          <w:sz w:val="27"/>
          <w:szCs w:val="27"/>
          <w:lang w:val="ro-RO"/>
        </w:rPr>
      </w:pPr>
      <w:r w:rsidRPr="00326287">
        <w:rPr>
          <w:rFonts w:asciiTheme="majorBidi" w:hAnsiTheme="majorBidi" w:cstheme="majorBidi"/>
          <w:b/>
          <w:bCs/>
          <w:color w:val="000000" w:themeColor="text1"/>
          <w:sz w:val="27"/>
          <w:szCs w:val="27"/>
          <w:lang w:val="ro-RO"/>
        </w:rPr>
        <w:t>3.1.</w:t>
      </w:r>
      <w:r w:rsidRPr="00326287">
        <w:rPr>
          <w:rFonts w:asciiTheme="majorBidi" w:hAnsiTheme="majorBidi" w:cstheme="majorBidi"/>
          <w:color w:val="000000" w:themeColor="text1"/>
          <w:sz w:val="27"/>
          <w:szCs w:val="27"/>
          <w:lang w:val="ro-RO"/>
        </w:rPr>
        <w:t xml:space="preserve"> </w:t>
      </w:r>
      <w:r w:rsidR="009C2350" w:rsidRPr="00326287">
        <w:rPr>
          <w:rFonts w:asciiTheme="majorBidi" w:hAnsiTheme="majorBidi" w:cstheme="majorBidi"/>
          <w:color w:val="000000" w:themeColor="text1"/>
          <w:sz w:val="27"/>
          <w:szCs w:val="27"/>
          <w:lang w:val="ro-RO"/>
        </w:rPr>
        <w:t xml:space="preserve"> laboratoarele respective dispun de un sistem </w:t>
      </w:r>
      <w:r w:rsidR="00DA30B0">
        <w:rPr>
          <w:rFonts w:asciiTheme="majorBidi" w:hAnsiTheme="majorBidi" w:cstheme="majorBidi"/>
          <w:color w:val="000000" w:themeColor="text1"/>
          <w:sz w:val="27"/>
          <w:szCs w:val="27"/>
          <w:lang w:val="ro-RO"/>
        </w:rPr>
        <w:t>al</w:t>
      </w:r>
      <w:r w:rsidR="009C2350" w:rsidRPr="00326287">
        <w:rPr>
          <w:rFonts w:asciiTheme="majorBidi" w:hAnsiTheme="majorBidi" w:cstheme="majorBidi"/>
          <w:color w:val="000000" w:themeColor="text1"/>
          <w:sz w:val="27"/>
          <w:szCs w:val="27"/>
          <w:lang w:val="ro-RO"/>
        </w:rPr>
        <w:t xml:space="preserve"> calității pentru a asigura obținerea de rezultate fiabile în urma utilizării metodelor de analiză, testare sau diagnosticare de laborator în afara obiectului acreditării lor;</w:t>
      </w:r>
    </w:p>
    <w:p w14:paraId="6C738BE9" w14:textId="77777777" w:rsidR="00326287" w:rsidRDefault="00326287" w:rsidP="009C2350">
      <w:pPr>
        <w:jc w:val="both"/>
        <w:rPr>
          <w:rFonts w:asciiTheme="majorBidi" w:hAnsiTheme="majorBidi" w:cstheme="majorBidi"/>
          <w:b/>
          <w:bCs/>
          <w:color w:val="000000" w:themeColor="text1"/>
          <w:sz w:val="27"/>
          <w:szCs w:val="27"/>
          <w:lang w:val="ro-RO"/>
        </w:rPr>
      </w:pPr>
    </w:p>
    <w:p w14:paraId="3ED41C2B" w14:textId="77777777" w:rsidR="00326287" w:rsidRDefault="00326287" w:rsidP="009C2350">
      <w:pPr>
        <w:jc w:val="both"/>
        <w:rPr>
          <w:rFonts w:asciiTheme="majorBidi" w:hAnsiTheme="majorBidi" w:cstheme="majorBidi"/>
          <w:b/>
          <w:bCs/>
          <w:color w:val="000000" w:themeColor="text1"/>
          <w:sz w:val="27"/>
          <w:szCs w:val="27"/>
          <w:lang w:val="ro-RO"/>
        </w:rPr>
      </w:pPr>
    </w:p>
    <w:p w14:paraId="20DA4BA2" w14:textId="77777777" w:rsidR="00326287" w:rsidRDefault="00326287" w:rsidP="009C2350">
      <w:pPr>
        <w:jc w:val="both"/>
        <w:rPr>
          <w:rFonts w:asciiTheme="majorBidi" w:hAnsiTheme="majorBidi" w:cstheme="majorBidi"/>
          <w:b/>
          <w:bCs/>
          <w:color w:val="000000" w:themeColor="text1"/>
          <w:sz w:val="27"/>
          <w:szCs w:val="27"/>
          <w:lang w:val="ro-RO"/>
        </w:rPr>
      </w:pPr>
    </w:p>
    <w:p w14:paraId="62DD49D8" w14:textId="77777777" w:rsidR="00326287" w:rsidRDefault="00326287" w:rsidP="009C2350">
      <w:pPr>
        <w:jc w:val="both"/>
        <w:rPr>
          <w:rFonts w:asciiTheme="majorBidi" w:hAnsiTheme="majorBidi" w:cstheme="majorBidi"/>
          <w:b/>
          <w:bCs/>
          <w:color w:val="000000" w:themeColor="text1"/>
          <w:sz w:val="27"/>
          <w:szCs w:val="27"/>
          <w:lang w:val="ro-RO"/>
        </w:rPr>
      </w:pPr>
    </w:p>
    <w:p w14:paraId="4778B668" w14:textId="272E8B6F" w:rsidR="009C2350" w:rsidRPr="00326287" w:rsidRDefault="00A965BF" w:rsidP="009C2350">
      <w:pPr>
        <w:jc w:val="both"/>
        <w:rPr>
          <w:rFonts w:asciiTheme="majorBidi" w:hAnsiTheme="majorBidi" w:cstheme="majorBidi"/>
          <w:color w:val="000000" w:themeColor="text1"/>
          <w:sz w:val="27"/>
          <w:szCs w:val="27"/>
          <w:lang w:val="ro-RO"/>
        </w:rPr>
      </w:pPr>
      <w:r w:rsidRPr="00326287">
        <w:rPr>
          <w:rFonts w:asciiTheme="majorBidi" w:hAnsiTheme="majorBidi" w:cstheme="majorBidi"/>
          <w:b/>
          <w:bCs/>
          <w:color w:val="000000" w:themeColor="text1"/>
          <w:sz w:val="27"/>
          <w:szCs w:val="27"/>
          <w:lang w:val="ro-RO"/>
        </w:rPr>
        <w:t>3.2.</w:t>
      </w:r>
      <w:r w:rsidRPr="00326287">
        <w:rPr>
          <w:rFonts w:asciiTheme="majorBidi" w:hAnsiTheme="majorBidi" w:cstheme="majorBidi"/>
          <w:color w:val="000000" w:themeColor="text1"/>
          <w:sz w:val="27"/>
          <w:szCs w:val="27"/>
          <w:lang w:val="ro-RO"/>
        </w:rPr>
        <w:t xml:space="preserve"> </w:t>
      </w:r>
      <w:r w:rsidR="009C2350" w:rsidRPr="00326287">
        <w:rPr>
          <w:rFonts w:asciiTheme="majorBidi" w:hAnsiTheme="majorBidi" w:cstheme="majorBidi"/>
          <w:color w:val="000000" w:themeColor="text1"/>
          <w:sz w:val="27"/>
          <w:szCs w:val="27"/>
          <w:lang w:val="ro-RO"/>
        </w:rPr>
        <w:t xml:space="preserve"> metodele neacreditate utilizate de laboratoarele respective sunt caracterizate de criteriile relevante pentru domeniul sănătății plantelor stabilite în </w:t>
      </w:r>
      <w:r w:rsidR="00DA30B0">
        <w:rPr>
          <w:rFonts w:asciiTheme="majorBidi" w:hAnsiTheme="majorBidi" w:cstheme="majorBidi"/>
          <w:color w:val="000000" w:themeColor="text1"/>
          <w:sz w:val="27"/>
          <w:szCs w:val="27"/>
          <w:lang w:val="ro-RO"/>
        </w:rPr>
        <w:t>A</w:t>
      </w:r>
      <w:r w:rsidR="009C2350" w:rsidRPr="00326287">
        <w:rPr>
          <w:rFonts w:asciiTheme="majorBidi" w:hAnsiTheme="majorBidi" w:cstheme="majorBidi"/>
          <w:color w:val="000000" w:themeColor="text1"/>
          <w:sz w:val="27"/>
          <w:szCs w:val="27"/>
          <w:lang w:val="ro-RO"/>
        </w:rPr>
        <w:t xml:space="preserve">nexa nr. 2 din Legea </w:t>
      </w:r>
      <w:r w:rsidR="00853A5E" w:rsidRPr="00326287">
        <w:rPr>
          <w:rFonts w:asciiTheme="majorBidi" w:hAnsiTheme="majorBidi" w:cstheme="majorBidi"/>
          <w:sz w:val="27"/>
          <w:szCs w:val="27"/>
          <w:lang w:val="ro-RO"/>
        </w:rPr>
        <w:t>nr.</w:t>
      </w:r>
      <w:r w:rsidR="009C2350" w:rsidRPr="00326287">
        <w:rPr>
          <w:rFonts w:asciiTheme="majorBidi" w:hAnsiTheme="majorBidi" w:cstheme="majorBidi"/>
          <w:color w:val="000000" w:themeColor="text1"/>
          <w:sz w:val="27"/>
          <w:szCs w:val="27"/>
          <w:lang w:val="ro-RO"/>
        </w:rPr>
        <w:t>82/2024</w:t>
      </w:r>
      <w:r w:rsidR="00072100">
        <w:rPr>
          <w:rFonts w:asciiTheme="majorBidi" w:hAnsiTheme="majorBidi" w:cstheme="majorBidi"/>
          <w:color w:val="000000" w:themeColor="text1"/>
          <w:sz w:val="27"/>
          <w:szCs w:val="27"/>
          <w:lang w:val="ro-RO"/>
        </w:rPr>
        <w:t xml:space="preserve"> </w:t>
      </w:r>
      <w:r w:rsidR="00072100" w:rsidRPr="00326287">
        <w:rPr>
          <w:sz w:val="27"/>
          <w:szCs w:val="27"/>
          <w:lang w:val="ro-RO"/>
        </w:rPr>
        <w:t>privind controalele oficiale în domeniul agroalimentar</w:t>
      </w:r>
      <w:r w:rsidR="009C2350" w:rsidRPr="00326287">
        <w:rPr>
          <w:rFonts w:asciiTheme="majorBidi" w:hAnsiTheme="majorBidi" w:cstheme="majorBidi"/>
          <w:color w:val="000000" w:themeColor="text1"/>
          <w:sz w:val="27"/>
          <w:szCs w:val="27"/>
          <w:lang w:val="ro-RO"/>
        </w:rPr>
        <w:t xml:space="preserve">; </w:t>
      </w:r>
    </w:p>
    <w:p w14:paraId="7CFA8214" w14:textId="30B1C308" w:rsidR="009C2350" w:rsidRPr="00326287" w:rsidRDefault="00A965BF" w:rsidP="009C2350">
      <w:pPr>
        <w:jc w:val="both"/>
        <w:rPr>
          <w:rFonts w:asciiTheme="majorBidi" w:hAnsiTheme="majorBidi" w:cstheme="majorBidi"/>
          <w:color w:val="000000" w:themeColor="text1"/>
          <w:sz w:val="27"/>
          <w:szCs w:val="27"/>
          <w:lang w:val="ro-RO"/>
        </w:rPr>
      </w:pPr>
      <w:r w:rsidRPr="00326287">
        <w:rPr>
          <w:rFonts w:asciiTheme="majorBidi" w:hAnsiTheme="majorBidi" w:cstheme="majorBidi"/>
          <w:b/>
          <w:bCs/>
          <w:color w:val="000000" w:themeColor="text1"/>
          <w:sz w:val="27"/>
          <w:szCs w:val="27"/>
          <w:lang w:val="ro-RO"/>
        </w:rPr>
        <w:t>3.3.</w:t>
      </w:r>
      <w:r w:rsidRPr="00326287">
        <w:rPr>
          <w:rFonts w:asciiTheme="majorBidi" w:hAnsiTheme="majorBidi" w:cstheme="majorBidi"/>
          <w:color w:val="000000" w:themeColor="text1"/>
          <w:sz w:val="27"/>
          <w:szCs w:val="27"/>
          <w:lang w:val="ro-RO"/>
        </w:rPr>
        <w:t xml:space="preserve"> </w:t>
      </w:r>
      <w:r w:rsidR="009C2350" w:rsidRPr="00326287">
        <w:rPr>
          <w:rFonts w:asciiTheme="majorBidi" w:hAnsiTheme="majorBidi" w:cstheme="majorBidi"/>
          <w:color w:val="000000" w:themeColor="text1"/>
          <w:sz w:val="27"/>
          <w:szCs w:val="27"/>
          <w:lang w:val="ro-RO"/>
        </w:rPr>
        <w:t xml:space="preserve"> laboratorul este deja acreditat pentru cel puțin una dintre metodele enumerate în categoriile menționate în anexă </w:t>
      </w:r>
      <w:r w:rsidR="003807FD" w:rsidRPr="00326287">
        <w:rPr>
          <w:rFonts w:asciiTheme="majorBidi" w:hAnsiTheme="majorBidi" w:cstheme="majorBidi"/>
          <w:color w:val="000000" w:themeColor="text1"/>
          <w:sz w:val="27"/>
          <w:szCs w:val="27"/>
          <w:lang w:val="ro-RO"/>
        </w:rPr>
        <w:t xml:space="preserve">la prezentul Regulament, </w:t>
      </w:r>
      <w:r w:rsidR="009C2350" w:rsidRPr="00326287">
        <w:rPr>
          <w:rFonts w:asciiTheme="majorBidi" w:hAnsiTheme="majorBidi" w:cstheme="majorBidi"/>
          <w:color w:val="000000" w:themeColor="text1"/>
          <w:sz w:val="27"/>
          <w:szCs w:val="27"/>
          <w:lang w:val="ro-RO"/>
        </w:rPr>
        <w:t xml:space="preserve">pentru a fi utilizat pentru un organism dăunător din aceeași grupă de organisme ca organismul dăunător pentru care se utilizează metoda neacreditată. </w:t>
      </w:r>
    </w:p>
    <w:p w14:paraId="3CB7A7D1" w14:textId="2BC6247D" w:rsidR="009C2350" w:rsidRPr="00326287" w:rsidRDefault="00072100" w:rsidP="009C2350">
      <w:pPr>
        <w:jc w:val="both"/>
        <w:rPr>
          <w:rFonts w:asciiTheme="majorBidi" w:hAnsiTheme="majorBidi" w:cstheme="majorBidi"/>
          <w:color w:val="000000" w:themeColor="text1"/>
          <w:sz w:val="27"/>
          <w:szCs w:val="27"/>
          <w:lang w:val="ro-RO"/>
        </w:rPr>
      </w:pPr>
      <w:r>
        <w:rPr>
          <w:rFonts w:asciiTheme="majorBidi" w:hAnsiTheme="majorBidi" w:cstheme="majorBidi"/>
          <w:color w:val="000000" w:themeColor="text1"/>
          <w:sz w:val="27"/>
          <w:szCs w:val="27"/>
          <w:lang w:val="ro-RO"/>
        </w:rPr>
        <w:t xml:space="preserve"> </w:t>
      </w:r>
    </w:p>
    <w:p w14:paraId="42222609" w14:textId="77777777" w:rsidR="00E30382" w:rsidRPr="00326287" w:rsidRDefault="00E30382" w:rsidP="009C2350">
      <w:pPr>
        <w:jc w:val="both"/>
        <w:rPr>
          <w:rFonts w:asciiTheme="majorBidi" w:hAnsiTheme="majorBidi" w:cstheme="majorBidi"/>
          <w:color w:val="000000" w:themeColor="text1"/>
          <w:sz w:val="27"/>
          <w:szCs w:val="27"/>
          <w:lang w:val="ro-RO"/>
        </w:rPr>
      </w:pPr>
    </w:p>
    <w:p w14:paraId="04E92088" w14:textId="77777777" w:rsidR="00E30382" w:rsidRPr="00326287" w:rsidRDefault="00E30382" w:rsidP="009C2350">
      <w:pPr>
        <w:jc w:val="both"/>
        <w:rPr>
          <w:rFonts w:asciiTheme="majorBidi" w:hAnsiTheme="majorBidi" w:cstheme="majorBidi"/>
          <w:color w:val="000000" w:themeColor="text1"/>
          <w:sz w:val="27"/>
          <w:szCs w:val="27"/>
          <w:lang w:val="ro-RO"/>
        </w:rPr>
      </w:pPr>
    </w:p>
    <w:p w14:paraId="38985F78" w14:textId="77777777" w:rsidR="00E30382" w:rsidRPr="00326287" w:rsidRDefault="00E30382" w:rsidP="009C2350">
      <w:pPr>
        <w:jc w:val="both"/>
        <w:rPr>
          <w:rFonts w:asciiTheme="majorBidi" w:hAnsiTheme="majorBidi" w:cstheme="majorBidi"/>
          <w:color w:val="000000" w:themeColor="text1"/>
          <w:sz w:val="27"/>
          <w:szCs w:val="27"/>
          <w:lang w:val="ro-RO"/>
        </w:rPr>
      </w:pPr>
    </w:p>
    <w:p w14:paraId="586C63B8" w14:textId="77777777" w:rsidR="00E30382" w:rsidRPr="00326287" w:rsidRDefault="00E30382" w:rsidP="009C2350">
      <w:pPr>
        <w:jc w:val="both"/>
        <w:rPr>
          <w:rFonts w:asciiTheme="majorBidi" w:hAnsiTheme="majorBidi" w:cstheme="majorBidi"/>
          <w:color w:val="000000" w:themeColor="text1"/>
          <w:sz w:val="27"/>
          <w:szCs w:val="27"/>
          <w:lang w:val="ro-RO"/>
        </w:rPr>
      </w:pPr>
    </w:p>
    <w:p w14:paraId="48B5BABF" w14:textId="77777777" w:rsidR="00E30382" w:rsidRPr="00326287" w:rsidRDefault="00E30382" w:rsidP="009C2350">
      <w:pPr>
        <w:jc w:val="both"/>
        <w:rPr>
          <w:rFonts w:asciiTheme="majorBidi" w:hAnsiTheme="majorBidi" w:cstheme="majorBidi"/>
          <w:color w:val="000000" w:themeColor="text1"/>
          <w:sz w:val="27"/>
          <w:szCs w:val="27"/>
          <w:lang w:val="ro-RO"/>
        </w:rPr>
      </w:pPr>
    </w:p>
    <w:p w14:paraId="26B911C8" w14:textId="77777777" w:rsidR="00E30382" w:rsidRPr="00326287" w:rsidRDefault="00E30382" w:rsidP="009C2350">
      <w:pPr>
        <w:jc w:val="both"/>
        <w:rPr>
          <w:rFonts w:asciiTheme="majorBidi" w:hAnsiTheme="majorBidi" w:cstheme="majorBidi"/>
          <w:color w:val="000000" w:themeColor="text1"/>
          <w:sz w:val="27"/>
          <w:szCs w:val="27"/>
          <w:lang w:val="ro-RO"/>
        </w:rPr>
      </w:pPr>
    </w:p>
    <w:p w14:paraId="08C1AA56" w14:textId="77777777" w:rsidR="00E30382" w:rsidRPr="00326287" w:rsidRDefault="00E30382" w:rsidP="009C2350">
      <w:pPr>
        <w:jc w:val="both"/>
        <w:rPr>
          <w:rFonts w:asciiTheme="majorBidi" w:hAnsiTheme="majorBidi" w:cstheme="majorBidi"/>
          <w:color w:val="000000" w:themeColor="text1"/>
          <w:sz w:val="27"/>
          <w:szCs w:val="27"/>
          <w:lang w:val="ro-RO"/>
        </w:rPr>
      </w:pPr>
    </w:p>
    <w:p w14:paraId="6F2329B4" w14:textId="77777777" w:rsidR="00E30382" w:rsidRPr="00072100" w:rsidRDefault="00E30382" w:rsidP="009C2350">
      <w:pPr>
        <w:jc w:val="both"/>
        <w:rPr>
          <w:rFonts w:asciiTheme="majorBidi" w:hAnsiTheme="majorBidi" w:cstheme="majorBidi"/>
          <w:color w:val="000000" w:themeColor="text1"/>
          <w:sz w:val="27"/>
          <w:szCs w:val="27"/>
          <w:lang w:val="ro-RO"/>
        </w:rPr>
      </w:pPr>
    </w:p>
    <w:p w14:paraId="362EC296" w14:textId="77777777" w:rsidR="00E30382" w:rsidRPr="00326287" w:rsidRDefault="00E30382" w:rsidP="009C2350">
      <w:pPr>
        <w:jc w:val="both"/>
        <w:rPr>
          <w:rFonts w:asciiTheme="majorBidi" w:hAnsiTheme="majorBidi" w:cstheme="majorBidi"/>
          <w:color w:val="000000" w:themeColor="text1"/>
          <w:sz w:val="27"/>
          <w:szCs w:val="27"/>
          <w:lang w:val="ro-RO"/>
        </w:rPr>
      </w:pPr>
    </w:p>
    <w:p w14:paraId="045CF8C9" w14:textId="77777777" w:rsidR="00E30382" w:rsidRPr="00326287" w:rsidRDefault="00E30382" w:rsidP="009C2350">
      <w:pPr>
        <w:jc w:val="both"/>
        <w:rPr>
          <w:rFonts w:asciiTheme="majorBidi" w:hAnsiTheme="majorBidi" w:cstheme="majorBidi"/>
          <w:color w:val="000000" w:themeColor="text1"/>
          <w:sz w:val="27"/>
          <w:szCs w:val="27"/>
          <w:lang w:val="ro-RO"/>
        </w:rPr>
      </w:pPr>
    </w:p>
    <w:p w14:paraId="6E2A2DB6" w14:textId="77777777" w:rsidR="00E30382" w:rsidRPr="00326287" w:rsidRDefault="00E30382" w:rsidP="009C2350">
      <w:pPr>
        <w:jc w:val="both"/>
        <w:rPr>
          <w:rFonts w:asciiTheme="majorBidi" w:hAnsiTheme="majorBidi" w:cstheme="majorBidi"/>
          <w:color w:val="000000" w:themeColor="text1"/>
          <w:sz w:val="27"/>
          <w:szCs w:val="27"/>
          <w:lang w:val="ro-RO"/>
        </w:rPr>
      </w:pPr>
    </w:p>
    <w:p w14:paraId="24530E21" w14:textId="77777777" w:rsidR="00E30382" w:rsidRPr="00326287" w:rsidRDefault="00E30382" w:rsidP="009C2350">
      <w:pPr>
        <w:jc w:val="both"/>
        <w:rPr>
          <w:rFonts w:asciiTheme="majorBidi" w:hAnsiTheme="majorBidi" w:cstheme="majorBidi"/>
          <w:color w:val="000000" w:themeColor="text1"/>
          <w:sz w:val="27"/>
          <w:szCs w:val="27"/>
          <w:lang w:val="ro-RO"/>
        </w:rPr>
      </w:pPr>
    </w:p>
    <w:p w14:paraId="5B998779" w14:textId="77777777" w:rsidR="00E30382" w:rsidRPr="00326287" w:rsidRDefault="00E30382" w:rsidP="009C2350">
      <w:pPr>
        <w:jc w:val="both"/>
        <w:rPr>
          <w:rFonts w:asciiTheme="majorBidi" w:hAnsiTheme="majorBidi" w:cstheme="majorBidi"/>
          <w:color w:val="000000" w:themeColor="text1"/>
          <w:sz w:val="27"/>
          <w:szCs w:val="27"/>
          <w:lang w:val="ro-RO"/>
        </w:rPr>
      </w:pPr>
    </w:p>
    <w:p w14:paraId="0E5455B9" w14:textId="77777777" w:rsidR="00E30382" w:rsidRPr="00326287" w:rsidRDefault="00E30382" w:rsidP="009C2350">
      <w:pPr>
        <w:jc w:val="both"/>
        <w:rPr>
          <w:rFonts w:asciiTheme="majorBidi" w:hAnsiTheme="majorBidi" w:cstheme="majorBidi"/>
          <w:color w:val="000000" w:themeColor="text1"/>
          <w:sz w:val="27"/>
          <w:szCs w:val="27"/>
          <w:lang w:val="ro-RO"/>
        </w:rPr>
      </w:pPr>
    </w:p>
    <w:p w14:paraId="64FBB995" w14:textId="77777777" w:rsidR="00E30382" w:rsidRPr="00326287" w:rsidRDefault="00E30382" w:rsidP="009C2350">
      <w:pPr>
        <w:jc w:val="both"/>
        <w:rPr>
          <w:rFonts w:asciiTheme="majorBidi" w:hAnsiTheme="majorBidi" w:cstheme="majorBidi"/>
          <w:color w:val="000000" w:themeColor="text1"/>
          <w:sz w:val="27"/>
          <w:szCs w:val="27"/>
          <w:lang w:val="ro-RO"/>
        </w:rPr>
      </w:pPr>
    </w:p>
    <w:p w14:paraId="5BF9C68F" w14:textId="77777777" w:rsidR="00E30382" w:rsidRPr="00326287" w:rsidRDefault="00E30382" w:rsidP="009C2350">
      <w:pPr>
        <w:jc w:val="both"/>
        <w:rPr>
          <w:rFonts w:asciiTheme="majorBidi" w:hAnsiTheme="majorBidi" w:cstheme="majorBidi"/>
          <w:color w:val="000000" w:themeColor="text1"/>
          <w:sz w:val="27"/>
          <w:szCs w:val="27"/>
          <w:lang w:val="ro-RO"/>
        </w:rPr>
      </w:pPr>
    </w:p>
    <w:p w14:paraId="69EE4474" w14:textId="77777777" w:rsidR="00E30382" w:rsidRPr="00326287" w:rsidRDefault="00E30382" w:rsidP="009C2350">
      <w:pPr>
        <w:jc w:val="both"/>
        <w:rPr>
          <w:rFonts w:asciiTheme="majorBidi" w:hAnsiTheme="majorBidi" w:cstheme="majorBidi"/>
          <w:color w:val="000000" w:themeColor="text1"/>
          <w:sz w:val="27"/>
          <w:szCs w:val="27"/>
          <w:lang w:val="ro-RO"/>
        </w:rPr>
      </w:pPr>
    </w:p>
    <w:p w14:paraId="42F21973" w14:textId="77777777" w:rsidR="00E30382" w:rsidRPr="00326287" w:rsidRDefault="00E30382" w:rsidP="009C2350">
      <w:pPr>
        <w:jc w:val="both"/>
        <w:rPr>
          <w:rFonts w:asciiTheme="majorBidi" w:hAnsiTheme="majorBidi" w:cstheme="majorBidi"/>
          <w:color w:val="000000" w:themeColor="text1"/>
          <w:sz w:val="27"/>
          <w:szCs w:val="27"/>
          <w:lang w:val="ro-RO"/>
        </w:rPr>
      </w:pPr>
    </w:p>
    <w:p w14:paraId="5FC6408D" w14:textId="77777777" w:rsidR="00E30382" w:rsidRPr="00326287" w:rsidRDefault="00E30382" w:rsidP="009C2350">
      <w:pPr>
        <w:jc w:val="both"/>
        <w:rPr>
          <w:rFonts w:asciiTheme="majorBidi" w:hAnsiTheme="majorBidi" w:cstheme="majorBidi"/>
          <w:color w:val="000000" w:themeColor="text1"/>
          <w:sz w:val="27"/>
          <w:szCs w:val="27"/>
          <w:lang w:val="ro-RO"/>
        </w:rPr>
      </w:pPr>
    </w:p>
    <w:p w14:paraId="54C7C17F" w14:textId="77777777" w:rsidR="00E30382" w:rsidRPr="00326287" w:rsidRDefault="00E30382" w:rsidP="009C2350">
      <w:pPr>
        <w:jc w:val="both"/>
        <w:rPr>
          <w:rFonts w:asciiTheme="majorBidi" w:hAnsiTheme="majorBidi" w:cstheme="majorBidi"/>
          <w:color w:val="000000" w:themeColor="text1"/>
          <w:sz w:val="27"/>
          <w:szCs w:val="27"/>
          <w:lang w:val="ro-RO"/>
        </w:rPr>
      </w:pPr>
    </w:p>
    <w:p w14:paraId="3C077CE8" w14:textId="77777777" w:rsidR="00E30382" w:rsidRPr="00326287" w:rsidRDefault="00E30382" w:rsidP="009C2350">
      <w:pPr>
        <w:jc w:val="both"/>
        <w:rPr>
          <w:rFonts w:asciiTheme="majorBidi" w:hAnsiTheme="majorBidi" w:cstheme="majorBidi"/>
          <w:color w:val="000000" w:themeColor="text1"/>
          <w:sz w:val="27"/>
          <w:szCs w:val="27"/>
          <w:lang w:val="ro-RO"/>
        </w:rPr>
      </w:pPr>
    </w:p>
    <w:p w14:paraId="35AC220F" w14:textId="77777777" w:rsidR="00E30382" w:rsidRPr="00326287" w:rsidRDefault="00E30382" w:rsidP="009C2350">
      <w:pPr>
        <w:jc w:val="both"/>
        <w:rPr>
          <w:rFonts w:asciiTheme="majorBidi" w:hAnsiTheme="majorBidi" w:cstheme="majorBidi"/>
          <w:color w:val="000000" w:themeColor="text1"/>
          <w:sz w:val="27"/>
          <w:szCs w:val="27"/>
          <w:lang w:val="ro-RO"/>
        </w:rPr>
      </w:pPr>
    </w:p>
    <w:p w14:paraId="456525BA" w14:textId="77777777" w:rsidR="00E30382" w:rsidRPr="00326287" w:rsidRDefault="00E30382" w:rsidP="009C2350">
      <w:pPr>
        <w:jc w:val="both"/>
        <w:rPr>
          <w:rFonts w:asciiTheme="majorBidi" w:hAnsiTheme="majorBidi" w:cstheme="majorBidi"/>
          <w:color w:val="000000" w:themeColor="text1"/>
          <w:sz w:val="27"/>
          <w:szCs w:val="27"/>
          <w:lang w:val="ro-RO"/>
        </w:rPr>
      </w:pPr>
    </w:p>
    <w:p w14:paraId="47161B75" w14:textId="77777777" w:rsidR="00E30382" w:rsidRPr="00326287" w:rsidRDefault="00E30382" w:rsidP="009C2350">
      <w:pPr>
        <w:jc w:val="both"/>
        <w:rPr>
          <w:rFonts w:asciiTheme="majorBidi" w:hAnsiTheme="majorBidi" w:cstheme="majorBidi"/>
          <w:color w:val="000000" w:themeColor="text1"/>
          <w:sz w:val="27"/>
          <w:szCs w:val="27"/>
          <w:lang w:val="ro-RO"/>
        </w:rPr>
      </w:pPr>
    </w:p>
    <w:p w14:paraId="3CFFE567" w14:textId="77777777" w:rsidR="00E30382" w:rsidRPr="00326287" w:rsidRDefault="00E30382" w:rsidP="009C2350">
      <w:pPr>
        <w:jc w:val="both"/>
        <w:rPr>
          <w:rFonts w:asciiTheme="majorBidi" w:hAnsiTheme="majorBidi" w:cstheme="majorBidi"/>
          <w:color w:val="000000" w:themeColor="text1"/>
          <w:sz w:val="27"/>
          <w:szCs w:val="27"/>
          <w:lang w:val="ro-RO"/>
        </w:rPr>
      </w:pPr>
    </w:p>
    <w:p w14:paraId="5293CEA2" w14:textId="77777777" w:rsidR="00E30382" w:rsidRPr="00326287" w:rsidRDefault="00E30382" w:rsidP="009C2350">
      <w:pPr>
        <w:jc w:val="both"/>
        <w:rPr>
          <w:rFonts w:asciiTheme="majorBidi" w:hAnsiTheme="majorBidi" w:cstheme="majorBidi"/>
          <w:color w:val="000000" w:themeColor="text1"/>
          <w:sz w:val="27"/>
          <w:szCs w:val="27"/>
          <w:lang w:val="ro-RO"/>
        </w:rPr>
      </w:pPr>
    </w:p>
    <w:p w14:paraId="205043F1" w14:textId="77777777" w:rsidR="00E30382" w:rsidRPr="00326287" w:rsidRDefault="00E30382" w:rsidP="009C2350">
      <w:pPr>
        <w:jc w:val="both"/>
        <w:rPr>
          <w:rFonts w:asciiTheme="majorBidi" w:hAnsiTheme="majorBidi" w:cstheme="majorBidi"/>
          <w:color w:val="000000" w:themeColor="text1"/>
          <w:sz w:val="27"/>
          <w:szCs w:val="27"/>
          <w:lang w:val="ro-RO"/>
        </w:rPr>
      </w:pPr>
    </w:p>
    <w:p w14:paraId="5BAF7F28" w14:textId="77777777" w:rsidR="00E30382" w:rsidRDefault="00E30382" w:rsidP="009C2350">
      <w:pPr>
        <w:jc w:val="both"/>
        <w:rPr>
          <w:rFonts w:asciiTheme="majorBidi" w:hAnsiTheme="majorBidi" w:cstheme="majorBidi"/>
          <w:color w:val="000000" w:themeColor="text1"/>
          <w:sz w:val="27"/>
          <w:szCs w:val="27"/>
          <w:lang w:val="ro-RO"/>
        </w:rPr>
      </w:pPr>
    </w:p>
    <w:p w14:paraId="10DBADBF" w14:textId="77777777" w:rsidR="00326287" w:rsidRPr="00326287" w:rsidRDefault="00326287" w:rsidP="009C2350">
      <w:pPr>
        <w:jc w:val="both"/>
        <w:rPr>
          <w:rFonts w:asciiTheme="majorBidi" w:hAnsiTheme="majorBidi" w:cstheme="majorBidi"/>
          <w:color w:val="000000" w:themeColor="text1"/>
          <w:sz w:val="27"/>
          <w:szCs w:val="27"/>
          <w:lang w:val="ro-RO"/>
        </w:rPr>
      </w:pPr>
    </w:p>
    <w:p w14:paraId="0EB618FA" w14:textId="77777777" w:rsidR="00E30382" w:rsidRPr="00326287" w:rsidRDefault="00E30382" w:rsidP="009C2350">
      <w:pPr>
        <w:jc w:val="both"/>
        <w:rPr>
          <w:rFonts w:asciiTheme="majorBidi" w:hAnsiTheme="majorBidi" w:cstheme="majorBidi"/>
          <w:color w:val="000000" w:themeColor="text1"/>
          <w:sz w:val="27"/>
          <w:szCs w:val="27"/>
          <w:lang w:val="ro-RO"/>
        </w:rPr>
      </w:pPr>
    </w:p>
    <w:p w14:paraId="52BFD4F9" w14:textId="77777777" w:rsidR="00E30382" w:rsidRPr="00326287" w:rsidRDefault="00E30382" w:rsidP="009C2350">
      <w:pPr>
        <w:jc w:val="both"/>
        <w:rPr>
          <w:rFonts w:asciiTheme="majorBidi" w:hAnsiTheme="majorBidi" w:cstheme="majorBidi"/>
          <w:color w:val="000000" w:themeColor="text1"/>
          <w:sz w:val="27"/>
          <w:szCs w:val="27"/>
          <w:lang w:val="ro-RO"/>
        </w:rPr>
      </w:pPr>
    </w:p>
    <w:p w14:paraId="3110FDE8" w14:textId="77777777" w:rsidR="00E30382" w:rsidRPr="00326287" w:rsidRDefault="00E30382" w:rsidP="009C2350">
      <w:pPr>
        <w:jc w:val="both"/>
        <w:rPr>
          <w:rFonts w:asciiTheme="majorBidi" w:hAnsiTheme="majorBidi" w:cstheme="majorBidi"/>
          <w:color w:val="000000" w:themeColor="text1"/>
          <w:sz w:val="27"/>
          <w:szCs w:val="27"/>
          <w:lang w:val="ro-RO"/>
        </w:rPr>
      </w:pPr>
    </w:p>
    <w:p w14:paraId="5DD265E2" w14:textId="77777777" w:rsidR="00E30382" w:rsidRDefault="00E30382" w:rsidP="009C2350">
      <w:pPr>
        <w:jc w:val="both"/>
        <w:rPr>
          <w:rFonts w:asciiTheme="majorBidi" w:hAnsiTheme="majorBidi" w:cstheme="majorBidi"/>
          <w:color w:val="000000" w:themeColor="text1"/>
          <w:sz w:val="27"/>
          <w:szCs w:val="27"/>
          <w:lang w:val="ro-RO"/>
        </w:rPr>
      </w:pPr>
    </w:p>
    <w:p w14:paraId="26C6AC89" w14:textId="77777777" w:rsidR="00326287" w:rsidRDefault="00326287" w:rsidP="009C2350">
      <w:pPr>
        <w:jc w:val="both"/>
        <w:rPr>
          <w:rFonts w:asciiTheme="majorBidi" w:hAnsiTheme="majorBidi" w:cstheme="majorBidi"/>
          <w:color w:val="000000" w:themeColor="text1"/>
          <w:sz w:val="27"/>
          <w:szCs w:val="27"/>
          <w:lang w:val="ro-RO"/>
        </w:rPr>
      </w:pPr>
    </w:p>
    <w:p w14:paraId="5AA3FDDF" w14:textId="77777777" w:rsidR="00326287" w:rsidRDefault="00326287" w:rsidP="009C2350">
      <w:pPr>
        <w:jc w:val="both"/>
        <w:rPr>
          <w:rFonts w:asciiTheme="majorBidi" w:hAnsiTheme="majorBidi" w:cstheme="majorBidi"/>
          <w:color w:val="000000" w:themeColor="text1"/>
          <w:sz w:val="27"/>
          <w:szCs w:val="27"/>
          <w:lang w:val="ro-RO"/>
        </w:rPr>
      </w:pPr>
    </w:p>
    <w:p w14:paraId="5C78C982" w14:textId="77777777" w:rsidR="00326287" w:rsidRDefault="00326287" w:rsidP="009C2350">
      <w:pPr>
        <w:jc w:val="both"/>
        <w:rPr>
          <w:rFonts w:asciiTheme="majorBidi" w:hAnsiTheme="majorBidi" w:cstheme="majorBidi"/>
          <w:color w:val="000000" w:themeColor="text1"/>
          <w:sz w:val="27"/>
          <w:szCs w:val="27"/>
          <w:lang w:val="ro-RO"/>
        </w:rPr>
      </w:pPr>
    </w:p>
    <w:p w14:paraId="0178E669" w14:textId="77777777" w:rsidR="00326287" w:rsidRPr="00326287" w:rsidRDefault="00326287" w:rsidP="009C2350">
      <w:pPr>
        <w:jc w:val="both"/>
        <w:rPr>
          <w:rFonts w:asciiTheme="majorBidi" w:hAnsiTheme="majorBidi" w:cstheme="majorBidi"/>
          <w:color w:val="000000" w:themeColor="text1"/>
          <w:sz w:val="27"/>
          <w:szCs w:val="27"/>
          <w:lang w:val="ro-RO"/>
        </w:rPr>
      </w:pPr>
    </w:p>
    <w:p w14:paraId="48FAFED6" w14:textId="77777777" w:rsidR="00E30382" w:rsidRPr="00326287" w:rsidRDefault="00E30382" w:rsidP="009C2350">
      <w:pPr>
        <w:jc w:val="both"/>
        <w:rPr>
          <w:rFonts w:asciiTheme="majorBidi" w:hAnsiTheme="majorBidi" w:cstheme="majorBidi"/>
          <w:color w:val="000000" w:themeColor="text1"/>
          <w:sz w:val="27"/>
          <w:szCs w:val="27"/>
          <w:lang w:val="ro-RO"/>
        </w:rPr>
      </w:pPr>
    </w:p>
    <w:p w14:paraId="42D3E874" w14:textId="77777777" w:rsidR="00E30382" w:rsidRPr="00326287" w:rsidRDefault="00E30382" w:rsidP="009C2350">
      <w:pPr>
        <w:jc w:val="both"/>
        <w:rPr>
          <w:rFonts w:asciiTheme="majorBidi" w:hAnsiTheme="majorBidi" w:cstheme="majorBidi"/>
          <w:color w:val="000000" w:themeColor="text1"/>
          <w:sz w:val="27"/>
          <w:szCs w:val="27"/>
          <w:lang w:val="ro-RO"/>
        </w:rPr>
      </w:pPr>
    </w:p>
    <w:p w14:paraId="76DDABBB" w14:textId="77777777" w:rsidR="00E30382" w:rsidRPr="00326287" w:rsidRDefault="00E30382" w:rsidP="009C2350">
      <w:pPr>
        <w:jc w:val="both"/>
        <w:rPr>
          <w:rFonts w:asciiTheme="majorBidi" w:hAnsiTheme="majorBidi" w:cstheme="majorBidi"/>
          <w:color w:val="000000" w:themeColor="text1"/>
          <w:sz w:val="27"/>
          <w:szCs w:val="27"/>
          <w:lang w:val="ro-RO"/>
        </w:rPr>
      </w:pPr>
    </w:p>
    <w:p w14:paraId="762B3AE1" w14:textId="2AC53080" w:rsidR="003807FD" w:rsidRPr="00326287" w:rsidRDefault="009425B6" w:rsidP="003807FD">
      <w:pPr>
        <w:ind w:left="4536"/>
        <w:jc w:val="both"/>
        <w:rPr>
          <w:rFonts w:asciiTheme="majorBidi" w:hAnsiTheme="majorBidi" w:cstheme="majorBidi"/>
          <w:sz w:val="20"/>
          <w:szCs w:val="20"/>
          <w:lang w:val="ro-RO"/>
        </w:rPr>
      </w:pPr>
      <w:r w:rsidRPr="00326287">
        <w:rPr>
          <w:rFonts w:asciiTheme="majorBidi" w:hAnsiTheme="majorBidi" w:cstheme="majorBidi"/>
          <w:sz w:val="20"/>
          <w:szCs w:val="20"/>
          <w:lang w:val="ro-RO"/>
        </w:rPr>
        <w:t>Anex</w:t>
      </w:r>
      <w:r w:rsidR="003807FD" w:rsidRPr="00326287">
        <w:rPr>
          <w:rFonts w:asciiTheme="majorBidi" w:hAnsiTheme="majorBidi" w:cstheme="majorBidi"/>
          <w:sz w:val="20"/>
          <w:szCs w:val="20"/>
          <w:lang w:val="ro-RO"/>
        </w:rPr>
        <w:t>ă</w:t>
      </w:r>
      <w:r w:rsidRPr="00326287">
        <w:rPr>
          <w:rFonts w:asciiTheme="majorBidi" w:hAnsiTheme="majorBidi" w:cstheme="majorBidi"/>
          <w:sz w:val="20"/>
          <w:szCs w:val="20"/>
          <w:lang w:val="ro-RO"/>
        </w:rPr>
        <w:t xml:space="preserve"> la </w:t>
      </w:r>
      <w:r w:rsidR="003807FD" w:rsidRPr="00326287">
        <w:rPr>
          <w:rFonts w:asciiTheme="majorBidi" w:hAnsiTheme="majorBidi" w:cstheme="majorBidi"/>
          <w:sz w:val="20"/>
          <w:szCs w:val="20"/>
          <w:lang w:val="ro-RO"/>
        </w:rPr>
        <w:t>Regulamentul privind cazurile și condițiile în care Agenția Națională pentru Siguranța Alimentelor poate desemna drept laboratoare oficiale</w:t>
      </w:r>
      <w:r w:rsidR="005E0132">
        <w:rPr>
          <w:rFonts w:asciiTheme="majorBidi" w:hAnsiTheme="majorBidi" w:cstheme="majorBidi"/>
          <w:sz w:val="20"/>
          <w:szCs w:val="20"/>
          <w:lang w:val="ro-RO"/>
        </w:rPr>
        <w:t>,</w:t>
      </w:r>
      <w:r w:rsidR="003807FD" w:rsidRPr="00326287">
        <w:rPr>
          <w:rFonts w:asciiTheme="majorBidi" w:hAnsiTheme="majorBidi" w:cstheme="majorBidi"/>
          <w:sz w:val="20"/>
          <w:szCs w:val="20"/>
          <w:lang w:val="ro-RO"/>
        </w:rPr>
        <w:t xml:space="preserve"> laboratoarele care nu îndeplinesc condițiile privind toate metodele pe care acestea le utilizează pentru controalele oficiale sau alte activități oficiale</w:t>
      </w:r>
    </w:p>
    <w:p w14:paraId="7628AD5D" w14:textId="737ED1CE" w:rsidR="00E30382" w:rsidRPr="00326287" w:rsidRDefault="00E30382" w:rsidP="009C2350">
      <w:pPr>
        <w:jc w:val="both"/>
        <w:rPr>
          <w:rFonts w:asciiTheme="majorBidi" w:hAnsiTheme="majorBidi" w:cstheme="majorBidi"/>
          <w:color w:val="000000" w:themeColor="text1"/>
          <w:sz w:val="27"/>
          <w:szCs w:val="27"/>
          <w:lang w:val="ro-RO"/>
        </w:rPr>
      </w:pPr>
    </w:p>
    <w:p w14:paraId="5B36252C" w14:textId="08FA1E50" w:rsidR="00E30382" w:rsidRPr="00326287" w:rsidRDefault="009425B6" w:rsidP="009425B6">
      <w:pPr>
        <w:jc w:val="center"/>
        <w:rPr>
          <w:rFonts w:asciiTheme="majorBidi" w:hAnsiTheme="majorBidi" w:cstheme="majorBidi"/>
          <w:b/>
          <w:bCs/>
          <w:color w:val="000000" w:themeColor="text1"/>
          <w:sz w:val="27"/>
          <w:szCs w:val="27"/>
          <w:lang w:val="ro-RO"/>
        </w:rPr>
      </w:pPr>
      <w:r w:rsidRPr="00326287">
        <w:rPr>
          <w:rFonts w:asciiTheme="majorBidi" w:hAnsiTheme="majorBidi" w:cstheme="majorBidi"/>
          <w:b/>
          <w:bCs/>
          <w:color w:val="000000" w:themeColor="text1"/>
          <w:sz w:val="27"/>
          <w:szCs w:val="27"/>
          <w:lang w:val="ro-RO"/>
        </w:rPr>
        <w:t>Categorii de metode utilizate pentru analize, teste și diagnosticări în domeniul</w:t>
      </w:r>
    </w:p>
    <w:p w14:paraId="473D01B2" w14:textId="33062636" w:rsidR="00E30382" w:rsidRPr="00326287" w:rsidRDefault="009425B6" w:rsidP="009425B6">
      <w:pPr>
        <w:jc w:val="center"/>
        <w:rPr>
          <w:rFonts w:asciiTheme="majorBidi" w:hAnsiTheme="majorBidi" w:cstheme="majorBidi"/>
          <w:b/>
          <w:bCs/>
          <w:color w:val="000000" w:themeColor="text1"/>
          <w:sz w:val="27"/>
          <w:szCs w:val="27"/>
          <w:lang w:val="ro-RO"/>
        </w:rPr>
      </w:pPr>
      <w:r w:rsidRPr="00326287">
        <w:rPr>
          <w:rFonts w:asciiTheme="majorBidi" w:hAnsiTheme="majorBidi" w:cstheme="majorBidi"/>
          <w:b/>
          <w:bCs/>
          <w:color w:val="000000" w:themeColor="text1"/>
          <w:sz w:val="27"/>
          <w:szCs w:val="27"/>
          <w:lang w:val="ro-RO"/>
        </w:rPr>
        <w:t>Sănătății plantelor</w:t>
      </w:r>
    </w:p>
    <w:p w14:paraId="0A76D50C" w14:textId="77777777" w:rsidR="00E30382" w:rsidRPr="00326287" w:rsidRDefault="00E30382"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1. Metode bazate pe momeală, izolare și extracție, inclusiv:</w:t>
      </w:r>
    </w:p>
    <w:p w14:paraId="0BD7D680" w14:textId="41B8049C"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Metode de cultivare</w:t>
      </w:r>
      <w:r w:rsidRPr="00326287">
        <w:rPr>
          <w:rFonts w:asciiTheme="majorBidi" w:hAnsiTheme="majorBidi" w:cstheme="majorBidi"/>
          <w:color w:val="000000" w:themeColor="text1"/>
          <w:sz w:val="27"/>
          <w:szCs w:val="27"/>
          <w:lang w:val="ro-RO"/>
        </w:rPr>
        <w:t>,</w:t>
      </w:r>
    </w:p>
    <w:p w14:paraId="724C9542" w14:textId="535FD54D"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Metode de extracție a organismului vizat din matrice</w:t>
      </w:r>
      <w:r w:rsidRPr="00326287">
        <w:rPr>
          <w:rFonts w:asciiTheme="majorBidi" w:hAnsiTheme="majorBidi" w:cstheme="majorBidi"/>
          <w:color w:val="000000" w:themeColor="text1"/>
          <w:sz w:val="27"/>
          <w:szCs w:val="27"/>
          <w:lang w:val="ro-RO"/>
        </w:rPr>
        <w:t>;</w:t>
      </w:r>
    </w:p>
    <w:p w14:paraId="7F06FDFB" w14:textId="2EF0EF27" w:rsidR="00E30382" w:rsidRPr="00326287" w:rsidRDefault="00E30382"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2. Metode morfologice și morfometrice</w:t>
      </w:r>
      <w:r w:rsidR="003807FD" w:rsidRPr="00326287">
        <w:rPr>
          <w:rFonts w:asciiTheme="majorBidi" w:hAnsiTheme="majorBidi" w:cstheme="majorBidi"/>
          <w:color w:val="000000" w:themeColor="text1"/>
          <w:sz w:val="27"/>
          <w:szCs w:val="27"/>
          <w:lang w:val="ro-RO"/>
        </w:rPr>
        <w:t>;</w:t>
      </w:r>
    </w:p>
    <w:p w14:paraId="4A4A93DF" w14:textId="694DD185" w:rsidR="00E30382" w:rsidRPr="00326287" w:rsidRDefault="00E30382"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3. Metode de evaluare a patogenității</w:t>
      </w:r>
      <w:r w:rsidR="003807FD" w:rsidRPr="00326287">
        <w:rPr>
          <w:rFonts w:asciiTheme="majorBidi" w:hAnsiTheme="majorBidi" w:cstheme="majorBidi"/>
          <w:color w:val="000000" w:themeColor="text1"/>
          <w:sz w:val="27"/>
          <w:szCs w:val="27"/>
          <w:lang w:val="ro-RO"/>
        </w:rPr>
        <w:t>;</w:t>
      </w:r>
    </w:p>
    <w:p w14:paraId="2A17BE6F" w14:textId="5BE658FE" w:rsidR="00E30382" w:rsidRPr="00326287" w:rsidRDefault="00E30382"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4. Metode biochimice, inclusiv</w:t>
      </w:r>
      <w:r w:rsidR="003807FD" w:rsidRPr="00326287">
        <w:rPr>
          <w:rFonts w:asciiTheme="majorBidi" w:hAnsiTheme="majorBidi" w:cstheme="majorBidi"/>
          <w:color w:val="000000" w:themeColor="text1"/>
          <w:sz w:val="27"/>
          <w:szCs w:val="27"/>
          <w:lang w:val="ro-RO"/>
        </w:rPr>
        <w:t>:</w:t>
      </w:r>
    </w:p>
    <w:p w14:paraId="6BF17BCB" w14:textId="34A920AF"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Electroforeză enzimatică</w:t>
      </w:r>
      <w:r w:rsidRPr="00326287">
        <w:rPr>
          <w:rFonts w:asciiTheme="majorBidi" w:hAnsiTheme="majorBidi" w:cstheme="majorBidi"/>
          <w:color w:val="000000" w:themeColor="text1"/>
          <w:sz w:val="27"/>
          <w:szCs w:val="27"/>
          <w:lang w:val="ro-RO"/>
        </w:rPr>
        <w:t>,</w:t>
      </w:r>
    </w:p>
    <w:p w14:paraId="2A2701ED" w14:textId="5629AD9E"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Electroforeză inversă în gel de poliacrilamidă (R-PAGE)</w:t>
      </w:r>
      <w:r w:rsidRPr="00326287">
        <w:rPr>
          <w:rFonts w:asciiTheme="majorBidi" w:hAnsiTheme="majorBidi" w:cstheme="majorBidi"/>
          <w:color w:val="000000" w:themeColor="text1"/>
          <w:sz w:val="27"/>
          <w:szCs w:val="27"/>
          <w:lang w:val="ro-RO"/>
        </w:rPr>
        <w:t>;</w:t>
      </w:r>
    </w:p>
    <w:p w14:paraId="35819938" w14:textId="77777777" w:rsidR="00E30382" w:rsidRPr="00326287" w:rsidRDefault="00E30382"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5. Metode bazate pe amprente digitale, inclusiv:</w:t>
      </w:r>
    </w:p>
    <w:p w14:paraId="47DFD50E" w14:textId="612A5D97"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Profilarea proteinelor</w:t>
      </w:r>
      <w:r w:rsidRPr="00326287">
        <w:rPr>
          <w:rFonts w:asciiTheme="majorBidi" w:hAnsiTheme="majorBidi" w:cstheme="majorBidi"/>
          <w:color w:val="000000" w:themeColor="text1"/>
          <w:sz w:val="27"/>
          <w:szCs w:val="27"/>
          <w:lang w:val="ro-RO"/>
        </w:rPr>
        <w:t>,</w:t>
      </w:r>
    </w:p>
    <w:p w14:paraId="70FD6083" w14:textId="3190F8A0"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Profilarea acizilor grași</w:t>
      </w:r>
      <w:r w:rsidRPr="00326287">
        <w:rPr>
          <w:rFonts w:asciiTheme="majorBidi" w:hAnsiTheme="majorBidi" w:cstheme="majorBidi"/>
          <w:color w:val="000000" w:themeColor="text1"/>
          <w:sz w:val="27"/>
          <w:szCs w:val="27"/>
          <w:lang w:val="ro-RO"/>
        </w:rPr>
        <w:t>,</w:t>
      </w:r>
    </w:p>
    <w:p w14:paraId="436C670B" w14:textId="699E2B17"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Profilarea ADN-ului</w:t>
      </w:r>
      <w:r w:rsidRPr="00326287">
        <w:rPr>
          <w:rFonts w:asciiTheme="majorBidi" w:hAnsiTheme="majorBidi" w:cstheme="majorBidi"/>
          <w:color w:val="000000" w:themeColor="text1"/>
          <w:sz w:val="27"/>
          <w:szCs w:val="27"/>
          <w:lang w:val="ro-RO"/>
        </w:rPr>
        <w:t>,</w:t>
      </w:r>
    </w:p>
    <w:p w14:paraId="30B9E8BD" w14:textId="24AC5E07"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Spectrometrie de masă MALDI-TOF</w:t>
      </w:r>
      <w:r w:rsidRPr="00326287">
        <w:rPr>
          <w:rFonts w:asciiTheme="majorBidi" w:hAnsiTheme="majorBidi" w:cstheme="majorBidi"/>
          <w:color w:val="000000" w:themeColor="text1"/>
          <w:sz w:val="27"/>
          <w:szCs w:val="27"/>
          <w:lang w:val="ro-RO"/>
        </w:rPr>
        <w:t>;</w:t>
      </w:r>
    </w:p>
    <w:p w14:paraId="67226908" w14:textId="77777777" w:rsidR="00E30382" w:rsidRPr="00326287" w:rsidRDefault="00E30382"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6. Metode moleculare, inclusiv:</w:t>
      </w:r>
    </w:p>
    <w:p w14:paraId="2E2457F6" w14:textId="286A9DF0"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Reacția în lanț a polimerazei convențională (PCR)</w:t>
      </w:r>
      <w:r w:rsidRPr="00326287">
        <w:rPr>
          <w:rFonts w:asciiTheme="majorBidi" w:hAnsiTheme="majorBidi" w:cstheme="majorBidi"/>
          <w:color w:val="000000" w:themeColor="text1"/>
          <w:sz w:val="27"/>
          <w:szCs w:val="27"/>
          <w:lang w:val="ro-RO"/>
        </w:rPr>
        <w:t>,</w:t>
      </w:r>
    </w:p>
    <w:p w14:paraId="434F3C1A" w14:textId="4DB36421"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Reacția în lanț a polimerazei în timp real (PCR în timp real)</w:t>
      </w:r>
      <w:r w:rsidRPr="00326287">
        <w:rPr>
          <w:rFonts w:asciiTheme="majorBidi" w:hAnsiTheme="majorBidi" w:cstheme="majorBidi"/>
          <w:color w:val="000000" w:themeColor="text1"/>
          <w:sz w:val="27"/>
          <w:szCs w:val="27"/>
          <w:lang w:val="ro-RO"/>
        </w:rPr>
        <w:t>,</w:t>
      </w:r>
    </w:p>
    <w:p w14:paraId="51C19313" w14:textId="2680B683"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Amplificare izotermă mediată prin buclă (LAMP)</w:t>
      </w:r>
      <w:r w:rsidRPr="00326287">
        <w:rPr>
          <w:rFonts w:asciiTheme="majorBidi" w:hAnsiTheme="majorBidi" w:cstheme="majorBidi"/>
          <w:color w:val="000000" w:themeColor="text1"/>
          <w:sz w:val="27"/>
          <w:szCs w:val="27"/>
          <w:lang w:val="ro-RO"/>
        </w:rPr>
        <w:t>,</w:t>
      </w:r>
    </w:p>
    <w:p w14:paraId="0A3433BF" w14:textId="524B71A2"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Amplificarea recombinazei polimerazei (RPA)</w:t>
      </w:r>
      <w:r w:rsidRPr="00326287">
        <w:rPr>
          <w:rFonts w:asciiTheme="majorBidi" w:hAnsiTheme="majorBidi" w:cstheme="majorBidi"/>
          <w:color w:val="000000" w:themeColor="text1"/>
          <w:sz w:val="27"/>
          <w:szCs w:val="27"/>
          <w:lang w:val="ro-RO"/>
        </w:rPr>
        <w:t>,</w:t>
      </w:r>
    </w:p>
    <w:p w14:paraId="0FB1D2D3" w14:textId="1BA1D33B"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Secvențierea de nouă generație (NGS)</w:t>
      </w:r>
      <w:r w:rsidRPr="00326287">
        <w:rPr>
          <w:rFonts w:asciiTheme="majorBidi" w:hAnsiTheme="majorBidi" w:cstheme="majorBidi"/>
          <w:color w:val="000000" w:themeColor="text1"/>
          <w:sz w:val="27"/>
          <w:szCs w:val="27"/>
          <w:lang w:val="ro-RO"/>
        </w:rPr>
        <w:t>,</w:t>
      </w:r>
    </w:p>
    <w:p w14:paraId="33F1911D" w14:textId="3DF276B2"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Utilizarea codurilor de bare ADN</w:t>
      </w:r>
      <w:r w:rsidRPr="00326287">
        <w:rPr>
          <w:rFonts w:asciiTheme="majorBidi" w:hAnsiTheme="majorBidi" w:cstheme="majorBidi"/>
          <w:color w:val="000000" w:themeColor="text1"/>
          <w:sz w:val="27"/>
          <w:szCs w:val="27"/>
          <w:lang w:val="ro-RO"/>
        </w:rPr>
        <w:t>;</w:t>
      </w:r>
    </w:p>
    <w:p w14:paraId="5558E2AC" w14:textId="77777777" w:rsidR="00E30382" w:rsidRPr="00326287" w:rsidRDefault="00E30382"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7. Metode serologice, inclusiv:</w:t>
      </w:r>
    </w:p>
    <w:p w14:paraId="4DFCB1DB" w14:textId="02195A5A"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Imunofluorescență</w:t>
      </w:r>
      <w:r w:rsidRPr="00326287">
        <w:rPr>
          <w:rFonts w:asciiTheme="majorBidi" w:hAnsiTheme="majorBidi" w:cstheme="majorBidi"/>
          <w:color w:val="000000" w:themeColor="text1"/>
          <w:sz w:val="27"/>
          <w:szCs w:val="27"/>
          <w:lang w:val="ro-RO"/>
        </w:rPr>
        <w:t>,</w:t>
      </w:r>
    </w:p>
    <w:p w14:paraId="7240026F" w14:textId="5C71E83D" w:rsidR="00E30382" w:rsidRPr="00326287" w:rsidRDefault="003807FD" w:rsidP="00E30382">
      <w:pPr>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Test de imunoadsorbție cu anticorpi marcați enzimatic (ELISA)</w:t>
      </w:r>
      <w:r w:rsidRPr="00326287">
        <w:rPr>
          <w:rFonts w:asciiTheme="majorBidi" w:hAnsiTheme="majorBidi" w:cstheme="majorBidi"/>
          <w:color w:val="000000" w:themeColor="text1"/>
          <w:sz w:val="27"/>
          <w:szCs w:val="27"/>
          <w:lang w:val="ro-RO"/>
        </w:rPr>
        <w:t>,</w:t>
      </w:r>
    </w:p>
    <w:p w14:paraId="672DE66B" w14:textId="0023E9BF" w:rsidR="00E30382" w:rsidRPr="00326287" w:rsidRDefault="003807FD" w:rsidP="00E30382">
      <w:pPr>
        <w:jc w:val="both"/>
        <w:rPr>
          <w:rFonts w:asciiTheme="majorBidi" w:hAnsiTheme="majorBidi" w:cstheme="majorBidi"/>
          <w:color w:val="000000" w:themeColor="text1"/>
          <w:sz w:val="27"/>
          <w:szCs w:val="27"/>
          <w:lang w:val="ro-RO"/>
        </w:rPr>
      </w:pPr>
      <w:r w:rsidRPr="00326287">
        <w:rPr>
          <w:rFonts w:asciiTheme="majorBidi" w:hAnsiTheme="majorBidi" w:cstheme="majorBidi"/>
          <w:color w:val="000000" w:themeColor="text1"/>
          <w:sz w:val="27"/>
          <w:szCs w:val="27"/>
          <w:lang w:val="ro-RO"/>
        </w:rPr>
        <w:t>-</w:t>
      </w:r>
      <w:r w:rsidR="00E30382" w:rsidRPr="00326287">
        <w:rPr>
          <w:rFonts w:asciiTheme="majorBidi" w:hAnsiTheme="majorBidi" w:cstheme="majorBidi"/>
          <w:color w:val="000000" w:themeColor="text1"/>
          <w:sz w:val="27"/>
          <w:szCs w:val="27"/>
          <w:lang w:val="ro-RO"/>
        </w:rPr>
        <w:t xml:space="preserve"> Microscopie electronică imunoadsorbentă</w:t>
      </w:r>
      <w:r w:rsidRPr="00326287">
        <w:rPr>
          <w:rFonts w:asciiTheme="majorBidi" w:hAnsiTheme="majorBidi" w:cstheme="majorBidi"/>
          <w:color w:val="000000" w:themeColor="text1"/>
          <w:sz w:val="27"/>
          <w:szCs w:val="27"/>
          <w:lang w:val="ro-RO"/>
        </w:rPr>
        <w:t>.</w:t>
      </w:r>
    </w:p>
    <w:sectPr w:rsidR="00E30382" w:rsidRPr="00326287" w:rsidSect="00326287">
      <w:pgSz w:w="11906" w:h="16838"/>
      <w:pgMar w:top="426" w:right="746"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Calibri"/>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07062"/>
    <w:multiLevelType w:val="hybridMultilevel"/>
    <w:tmpl w:val="085AE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050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982"/>
    <w:rsid w:val="00072100"/>
    <w:rsid w:val="00073A71"/>
    <w:rsid w:val="00075A81"/>
    <w:rsid w:val="00095670"/>
    <w:rsid w:val="000A267A"/>
    <w:rsid w:val="000C7D2E"/>
    <w:rsid w:val="000F4E02"/>
    <w:rsid w:val="00142E90"/>
    <w:rsid w:val="00170C32"/>
    <w:rsid w:val="0017337E"/>
    <w:rsid w:val="00193AD6"/>
    <w:rsid w:val="00193B2D"/>
    <w:rsid w:val="00206982"/>
    <w:rsid w:val="002836D4"/>
    <w:rsid w:val="002D3DB8"/>
    <w:rsid w:val="002F64B7"/>
    <w:rsid w:val="00326287"/>
    <w:rsid w:val="003807FD"/>
    <w:rsid w:val="0039613A"/>
    <w:rsid w:val="003C3B61"/>
    <w:rsid w:val="003E6EBF"/>
    <w:rsid w:val="003F6E76"/>
    <w:rsid w:val="00425749"/>
    <w:rsid w:val="0044494D"/>
    <w:rsid w:val="004F4B02"/>
    <w:rsid w:val="00543793"/>
    <w:rsid w:val="00551A19"/>
    <w:rsid w:val="00552A5A"/>
    <w:rsid w:val="005A0DB0"/>
    <w:rsid w:val="005A3228"/>
    <w:rsid w:val="005B1333"/>
    <w:rsid w:val="005E0132"/>
    <w:rsid w:val="005E72AC"/>
    <w:rsid w:val="006133E5"/>
    <w:rsid w:val="00621AEB"/>
    <w:rsid w:val="00642D11"/>
    <w:rsid w:val="006639F1"/>
    <w:rsid w:val="00693278"/>
    <w:rsid w:val="006B5A2D"/>
    <w:rsid w:val="006B714F"/>
    <w:rsid w:val="006C382E"/>
    <w:rsid w:val="006F3032"/>
    <w:rsid w:val="0076390C"/>
    <w:rsid w:val="007E15C6"/>
    <w:rsid w:val="00853A5E"/>
    <w:rsid w:val="009425B6"/>
    <w:rsid w:val="00983C1D"/>
    <w:rsid w:val="009A6343"/>
    <w:rsid w:val="009C2350"/>
    <w:rsid w:val="009C43F0"/>
    <w:rsid w:val="00A24E74"/>
    <w:rsid w:val="00A86C69"/>
    <w:rsid w:val="00A965BF"/>
    <w:rsid w:val="00AA33DE"/>
    <w:rsid w:val="00AB5996"/>
    <w:rsid w:val="00AC7BB8"/>
    <w:rsid w:val="00B15E77"/>
    <w:rsid w:val="00B6010B"/>
    <w:rsid w:val="00BD11DA"/>
    <w:rsid w:val="00C40BE4"/>
    <w:rsid w:val="00C65660"/>
    <w:rsid w:val="00CD441F"/>
    <w:rsid w:val="00CD7FE3"/>
    <w:rsid w:val="00CF6802"/>
    <w:rsid w:val="00D05F3E"/>
    <w:rsid w:val="00D15731"/>
    <w:rsid w:val="00D16D46"/>
    <w:rsid w:val="00D361EF"/>
    <w:rsid w:val="00D93B0C"/>
    <w:rsid w:val="00D94B53"/>
    <w:rsid w:val="00DA30B0"/>
    <w:rsid w:val="00DB1DC1"/>
    <w:rsid w:val="00DC351C"/>
    <w:rsid w:val="00DF5965"/>
    <w:rsid w:val="00E23808"/>
    <w:rsid w:val="00E30382"/>
    <w:rsid w:val="00E57E40"/>
    <w:rsid w:val="00E753EA"/>
    <w:rsid w:val="00E75ECA"/>
    <w:rsid w:val="00E870F3"/>
    <w:rsid w:val="00F14CB6"/>
    <w:rsid w:val="00F26EC9"/>
    <w:rsid w:val="00F372BC"/>
    <w:rsid w:val="00F74366"/>
    <w:rsid w:val="00F75F82"/>
    <w:rsid w:val="00FB24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DFF5"/>
  <w15:docId w15:val="{6C0F0129-3AFA-45F0-B538-8A1DAB85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E5"/>
    <w:pPr>
      <w:spacing w:after="0" w:line="240" w:lineRule="auto"/>
    </w:pPr>
    <w:rPr>
      <w:rFonts w:ascii="Times New Roman" w:eastAsia="Times New Roman" w:hAnsi="Times New Roman" w:cs="Times New Roman"/>
      <w:kern w:val="0"/>
      <w:sz w:val="28"/>
      <w:szCs w:val="28"/>
      <w:lang w:val="en-US"/>
      <w14:ligatures w14:val="none"/>
    </w:rPr>
  </w:style>
  <w:style w:type="paragraph" w:styleId="1">
    <w:name w:val="heading 1"/>
    <w:basedOn w:val="a"/>
    <w:next w:val="a"/>
    <w:link w:val="10"/>
    <w:uiPriority w:val="9"/>
    <w:qFormat/>
    <w:rsid w:val="0020698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2">
    <w:name w:val="heading 2"/>
    <w:basedOn w:val="a"/>
    <w:next w:val="a"/>
    <w:link w:val="20"/>
    <w:uiPriority w:val="9"/>
    <w:semiHidden/>
    <w:unhideWhenUsed/>
    <w:qFormat/>
    <w:rsid w:val="0020698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3">
    <w:name w:val="heading 3"/>
    <w:basedOn w:val="a"/>
    <w:next w:val="a"/>
    <w:link w:val="30"/>
    <w:uiPriority w:val="9"/>
    <w:semiHidden/>
    <w:unhideWhenUsed/>
    <w:qFormat/>
    <w:rsid w:val="00206982"/>
    <w:pPr>
      <w:keepNext/>
      <w:keepLines/>
      <w:spacing w:before="160" w:after="80" w:line="259" w:lineRule="auto"/>
      <w:outlineLvl w:val="2"/>
    </w:pPr>
    <w:rPr>
      <w:rFonts w:asciiTheme="minorHAnsi" w:eastAsiaTheme="majorEastAsia" w:hAnsiTheme="minorHAnsi" w:cstheme="majorBidi"/>
      <w:color w:val="2F5496" w:themeColor="accent1" w:themeShade="BF"/>
      <w:kern w:val="2"/>
      <w:lang w:val="en-GB"/>
      <w14:ligatures w14:val="standardContextual"/>
    </w:rPr>
  </w:style>
  <w:style w:type="paragraph" w:styleId="4">
    <w:name w:val="heading 4"/>
    <w:basedOn w:val="a"/>
    <w:next w:val="a"/>
    <w:link w:val="40"/>
    <w:uiPriority w:val="9"/>
    <w:semiHidden/>
    <w:unhideWhenUsed/>
    <w:qFormat/>
    <w:rsid w:val="0020698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5">
    <w:name w:val="heading 5"/>
    <w:basedOn w:val="a"/>
    <w:next w:val="a"/>
    <w:link w:val="50"/>
    <w:uiPriority w:val="9"/>
    <w:semiHidden/>
    <w:unhideWhenUsed/>
    <w:qFormat/>
    <w:rsid w:val="0020698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6">
    <w:name w:val="heading 6"/>
    <w:basedOn w:val="a"/>
    <w:next w:val="a"/>
    <w:link w:val="60"/>
    <w:uiPriority w:val="9"/>
    <w:semiHidden/>
    <w:unhideWhenUsed/>
    <w:qFormat/>
    <w:rsid w:val="002069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7">
    <w:name w:val="heading 7"/>
    <w:basedOn w:val="a"/>
    <w:next w:val="a"/>
    <w:link w:val="70"/>
    <w:uiPriority w:val="9"/>
    <w:semiHidden/>
    <w:unhideWhenUsed/>
    <w:qFormat/>
    <w:rsid w:val="002069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8">
    <w:name w:val="heading 8"/>
    <w:basedOn w:val="a"/>
    <w:next w:val="a"/>
    <w:link w:val="80"/>
    <w:uiPriority w:val="9"/>
    <w:semiHidden/>
    <w:unhideWhenUsed/>
    <w:qFormat/>
    <w:rsid w:val="002069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9">
    <w:name w:val="heading 9"/>
    <w:basedOn w:val="a"/>
    <w:next w:val="a"/>
    <w:link w:val="90"/>
    <w:uiPriority w:val="9"/>
    <w:semiHidden/>
    <w:unhideWhenUsed/>
    <w:qFormat/>
    <w:rsid w:val="0020698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9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69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69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69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69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69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6982"/>
    <w:rPr>
      <w:rFonts w:eastAsiaTheme="majorEastAsia" w:cstheme="majorBidi"/>
      <w:color w:val="595959" w:themeColor="text1" w:themeTint="A6"/>
    </w:rPr>
  </w:style>
  <w:style w:type="character" w:customStyle="1" w:styleId="80">
    <w:name w:val="Заголовок 8 Знак"/>
    <w:basedOn w:val="a0"/>
    <w:link w:val="8"/>
    <w:uiPriority w:val="9"/>
    <w:semiHidden/>
    <w:rsid w:val="002069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6982"/>
    <w:rPr>
      <w:rFonts w:eastAsiaTheme="majorEastAsia" w:cstheme="majorBidi"/>
      <w:color w:val="272727" w:themeColor="text1" w:themeTint="D8"/>
    </w:rPr>
  </w:style>
  <w:style w:type="paragraph" w:styleId="a3">
    <w:name w:val="Title"/>
    <w:basedOn w:val="a"/>
    <w:next w:val="a"/>
    <w:link w:val="a4"/>
    <w:uiPriority w:val="10"/>
    <w:qFormat/>
    <w:rsid w:val="00206982"/>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a4">
    <w:name w:val="Заголовок Знак"/>
    <w:basedOn w:val="a0"/>
    <w:link w:val="a3"/>
    <w:uiPriority w:val="10"/>
    <w:rsid w:val="00206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982"/>
    <w:pPr>
      <w:numPr>
        <w:ilvl w:val="1"/>
      </w:numPr>
      <w:spacing w:after="160" w:line="259" w:lineRule="auto"/>
    </w:pPr>
    <w:rPr>
      <w:rFonts w:asciiTheme="minorHAnsi" w:eastAsiaTheme="majorEastAsia" w:hAnsiTheme="minorHAnsi" w:cstheme="majorBidi"/>
      <w:color w:val="595959" w:themeColor="text1" w:themeTint="A6"/>
      <w:spacing w:val="15"/>
      <w:kern w:val="2"/>
      <w:lang w:val="en-GB"/>
      <w14:ligatures w14:val="standardContextual"/>
    </w:rPr>
  </w:style>
  <w:style w:type="character" w:customStyle="1" w:styleId="a6">
    <w:name w:val="Подзаголовок Знак"/>
    <w:basedOn w:val="a0"/>
    <w:link w:val="a5"/>
    <w:uiPriority w:val="11"/>
    <w:rsid w:val="002069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69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22">
    <w:name w:val="Цитата 2 Знак"/>
    <w:basedOn w:val="a0"/>
    <w:link w:val="21"/>
    <w:uiPriority w:val="29"/>
    <w:rsid w:val="00206982"/>
    <w:rPr>
      <w:i/>
      <w:iCs/>
      <w:color w:val="404040" w:themeColor="text1" w:themeTint="BF"/>
    </w:rPr>
  </w:style>
  <w:style w:type="paragraph" w:styleId="a7">
    <w:name w:val="List Paragraph"/>
    <w:basedOn w:val="a"/>
    <w:uiPriority w:val="34"/>
    <w:qFormat/>
    <w:rsid w:val="00206982"/>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a8">
    <w:name w:val="Intense Emphasis"/>
    <w:basedOn w:val="a0"/>
    <w:uiPriority w:val="21"/>
    <w:qFormat/>
    <w:rsid w:val="00206982"/>
    <w:rPr>
      <w:i/>
      <w:iCs/>
      <w:color w:val="2F5496" w:themeColor="accent1" w:themeShade="BF"/>
    </w:rPr>
  </w:style>
  <w:style w:type="paragraph" w:styleId="a9">
    <w:name w:val="Intense Quote"/>
    <w:basedOn w:val="a"/>
    <w:next w:val="a"/>
    <w:link w:val="aa"/>
    <w:uiPriority w:val="30"/>
    <w:qFormat/>
    <w:rsid w:val="002069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aa">
    <w:name w:val="Выделенная цитата Знак"/>
    <w:basedOn w:val="a0"/>
    <w:link w:val="a9"/>
    <w:uiPriority w:val="30"/>
    <w:rsid w:val="00206982"/>
    <w:rPr>
      <w:i/>
      <w:iCs/>
      <w:color w:val="2F5496" w:themeColor="accent1" w:themeShade="BF"/>
    </w:rPr>
  </w:style>
  <w:style w:type="character" w:styleId="ab">
    <w:name w:val="Intense Reference"/>
    <w:basedOn w:val="a0"/>
    <w:uiPriority w:val="32"/>
    <w:qFormat/>
    <w:rsid w:val="00206982"/>
    <w:rPr>
      <w:b/>
      <w:bCs/>
      <w:smallCaps/>
      <w:color w:val="2F5496" w:themeColor="accent1" w:themeShade="BF"/>
      <w:spacing w:val="5"/>
    </w:rPr>
  </w:style>
  <w:style w:type="character" w:styleId="ac">
    <w:name w:val="Hyperlink"/>
    <w:basedOn w:val="a0"/>
    <w:uiPriority w:val="99"/>
    <w:unhideWhenUsed/>
    <w:rsid w:val="0039613A"/>
    <w:rPr>
      <w:color w:val="0563C1" w:themeColor="hyperlink"/>
      <w:u w:val="single"/>
    </w:rPr>
  </w:style>
  <w:style w:type="paragraph" w:styleId="ad">
    <w:name w:val="No Spacing"/>
    <w:qFormat/>
    <w:rsid w:val="0039613A"/>
    <w:pPr>
      <w:spacing w:after="0" w:line="240" w:lineRule="auto"/>
    </w:pPr>
    <w:rPr>
      <w:rFonts w:ascii="Calibri" w:eastAsia="PMingLiU" w:hAnsi="Calibri" w:cs="Times New Roman"/>
      <w:kern w:val="0"/>
      <w:lang w:val="en-US" w:eastAsia="zh-CN"/>
      <w14:ligatures w14:val="none"/>
    </w:rPr>
  </w:style>
  <w:style w:type="paragraph" w:customStyle="1" w:styleId="oj-doc-ti">
    <w:name w:val="oj-doc-ti"/>
    <w:basedOn w:val="a"/>
    <w:rsid w:val="00170C32"/>
    <w:pPr>
      <w:autoSpaceDN w:val="0"/>
      <w:spacing w:before="100" w:after="100"/>
    </w:pPr>
    <w:rPr>
      <w:sz w:val="24"/>
      <w:szCs w:val="24"/>
      <w:lang w:val="en-GB" w:eastAsia="en-GB"/>
    </w:rPr>
  </w:style>
  <w:style w:type="paragraph" w:customStyle="1" w:styleId="Default">
    <w:name w:val="Default"/>
    <w:rsid w:val="00B15E77"/>
    <w:pPr>
      <w:autoSpaceDE w:val="0"/>
      <w:autoSpaceDN w:val="0"/>
      <w:spacing w:after="0" w:line="240" w:lineRule="auto"/>
      <w:textAlignment w:val="baseline"/>
    </w:pPr>
    <w:rPr>
      <w:rFonts w:ascii="EUAlbertina" w:eastAsia="Calibri" w:hAnsi="EUAlbertina" w:cs="EUAlberti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8726">
      <w:bodyDiv w:val="1"/>
      <w:marLeft w:val="0"/>
      <w:marRight w:val="0"/>
      <w:marTop w:val="0"/>
      <w:marBottom w:val="0"/>
      <w:divBdr>
        <w:top w:val="none" w:sz="0" w:space="0" w:color="auto"/>
        <w:left w:val="none" w:sz="0" w:space="0" w:color="auto"/>
        <w:bottom w:val="none" w:sz="0" w:space="0" w:color="auto"/>
        <w:right w:val="none" w:sz="0" w:space="0" w:color="auto"/>
      </w:divBdr>
    </w:div>
    <w:div w:id="699473301">
      <w:bodyDiv w:val="1"/>
      <w:marLeft w:val="0"/>
      <w:marRight w:val="0"/>
      <w:marTop w:val="0"/>
      <w:marBottom w:val="0"/>
      <w:divBdr>
        <w:top w:val="none" w:sz="0" w:space="0" w:color="auto"/>
        <w:left w:val="none" w:sz="0" w:space="0" w:color="auto"/>
        <w:bottom w:val="none" w:sz="0" w:space="0" w:color="auto"/>
        <w:right w:val="none" w:sz="0" w:space="0" w:color="auto"/>
      </w:divBdr>
    </w:div>
    <w:div w:id="19512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1085</Words>
  <Characters>6187</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Sineac Nina</dc:creator>
  <cp:lastModifiedBy>Calionchina Tatiana</cp:lastModifiedBy>
  <cp:revision>18</cp:revision>
  <cp:lastPrinted>2025-03-03T07:13:00Z</cp:lastPrinted>
  <dcterms:created xsi:type="dcterms:W3CDTF">2025-05-23T07:49:00Z</dcterms:created>
  <dcterms:modified xsi:type="dcterms:W3CDTF">2025-08-12T12:36:00Z</dcterms:modified>
</cp:coreProperties>
</file>