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1"/>
        <w:tblW w:w="9356" w:type="dxa"/>
        <w:jc w:val="center"/>
        <w:tblLayout w:type="fixed"/>
        <w:tblLook w:val="0400" w:firstRow="0" w:lastRow="0" w:firstColumn="0" w:lastColumn="0" w:noHBand="0" w:noVBand="1"/>
      </w:tblPr>
      <w:tblGrid>
        <w:gridCol w:w="9356"/>
      </w:tblGrid>
      <w:tr w:rsidR="00A210AE" w:rsidRPr="00A210AE" w14:paraId="75E7A125" w14:textId="77777777" w:rsidTr="0016453E">
        <w:trPr>
          <w:jc w:val="center"/>
        </w:trPr>
        <w:tc>
          <w:tcPr>
            <w:tcW w:w="9356" w:type="dxa"/>
            <w:tcBorders>
              <w:top w:val="nil"/>
              <w:left w:val="nil"/>
              <w:bottom w:val="nil"/>
              <w:right w:val="nil"/>
            </w:tcBorders>
            <w:tcMar>
              <w:top w:w="15" w:type="dxa"/>
              <w:left w:w="45" w:type="dxa"/>
              <w:bottom w:w="15" w:type="dxa"/>
              <w:right w:w="45" w:type="dxa"/>
            </w:tcMar>
          </w:tcPr>
          <w:p w14:paraId="60A70BF0" w14:textId="62FBC58C" w:rsidR="00ED1EF1" w:rsidRPr="00A210AE" w:rsidRDefault="00DF2C1D">
            <w:pPr>
              <w:spacing w:after="0" w:line="276" w:lineRule="auto"/>
              <w:ind w:left="0"/>
              <w:jc w:val="center"/>
              <w:rPr>
                <w:rFonts w:ascii="Times New Roman" w:hAnsi="Times New Roman" w:cs="Times New Roman"/>
                <w:b/>
                <w:sz w:val="28"/>
                <w:szCs w:val="28"/>
              </w:rPr>
            </w:pPr>
            <w:r w:rsidRPr="00A210AE">
              <w:rPr>
                <w:rFonts w:ascii="Times New Roman" w:hAnsi="Times New Roman" w:cs="Times New Roman"/>
                <w:b/>
                <w:sz w:val="28"/>
                <w:szCs w:val="28"/>
              </w:rPr>
              <w:t xml:space="preserve">Nota informativă la proiectul de </w:t>
            </w:r>
            <w:r w:rsidR="005A628C" w:rsidRPr="00A210AE">
              <w:rPr>
                <w:rFonts w:ascii="Times New Roman" w:hAnsi="Times New Roman" w:cs="Times New Roman"/>
                <w:b/>
                <w:sz w:val="28"/>
                <w:szCs w:val="28"/>
              </w:rPr>
              <w:t xml:space="preserve">ordin </w:t>
            </w:r>
            <w:r w:rsidRPr="00A210AE">
              <w:rPr>
                <w:rFonts w:ascii="Times New Roman" w:hAnsi="Times New Roman" w:cs="Times New Roman"/>
                <w:b/>
                <w:sz w:val="28"/>
                <w:szCs w:val="28"/>
              </w:rPr>
              <w:t xml:space="preserve">privind </w:t>
            </w:r>
          </w:p>
          <w:p w14:paraId="2A095E14" w14:textId="77777777" w:rsidR="00BE5B75" w:rsidRDefault="00BE5B75" w:rsidP="005C15FE">
            <w:pPr>
              <w:spacing w:after="0" w:line="276" w:lineRule="auto"/>
              <w:ind w:left="0"/>
              <w:jc w:val="center"/>
              <w:rPr>
                <w:rFonts w:ascii="Times New Roman" w:hAnsi="Times New Roman" w:cs="Times New Roman"/>
                <w:b/>
                <w:sz w:val="28"/>
                <w:szCs w:val="28"/>
              </w:rPr>
            </w:pPr>
            <w:r w:rsidRPr="00BE5B75">
              <w:rPr>
                <w:rFonts w:ascii="Times New Roman" w:hAnsi="Times New Roman" w:cs="Times New Roman"/>
                <w:b/>
                <w:sz w:val="28"/>
                <w:szCs w:val="28"/>
              </w:rPr>
              <w:t>modificarea Regulamentului privind ramb</w:t>
            </w:r>
            <w:r>
              <w:rPr>
                <w:rFonts w:ascii="Times New Roman" w:hAnsi="Times New Roman" w:cs="Times New Roman"/>
                <w:b/>
                <w:sz w:val="28"/>
                <w:szCs w:val="28"/>
              </w:rPr>
              <w:t>ursarea TVA pentru producătorii</w:t>
            </w:r>
          </w:p>
          <w:p w14:paraId="20624B18" w14:textId="255ADE28" w:rsidR="00ED1EF1" w:rsidRPr="00A210AE" w:rsidRDefault="00BE5B75" w:rsidP="005C15FE">
            <w:pPr>
              <w:spacing w:after="0" w:line="276" w:lineRule="auto"/>
              <w:ind w:left="0"/>
              <w:jc w:val="center"/>
              <w:rPr>
                <w:rFonts w:ascii="Times New Roman" w:hAnsi="Times New Roman" w:cs="Times New Roman"/>
                <w:b/>
                <w:sz w:val="28"/>
                <w:szCs w:val="28"/>
              </w:rPr>
            </w:pPr>
            <w:r w:rsidRPr="00BE5B75">
              <w:rPr>
                <w:rFonts w:ascii="Times New Roman" w:hAnsi="Times New Roman" w:cs="Times New Roman"/>
                <w:b/>
                <w:sz w:val="28"/>
                <w:szCs w:val="28"/>
              </w:rPr>
              <w:t>agricoli</w:t>
            </w:r>
            <w:r w:rsidR="005C15FE" w:rsidRPr="00A210AE">
              <w:rPr>
                <w:rFonts w:ascii="Times New Roman" w:hAnsi="Times New Roman" w:cs="Times New Roman"/>
                <w:b/>
                <w:sz w:val="28"/>
                <w:szCs w:val="28"/>
              </w:rPr>
              <w:t>.</w:t>
            </w:r>
          </w:p>
        </w:tc>
      </w:tr>
      <w:tr w:rsidR="00A210AE" w:rsidRPr="00A210AE" w14:paraId="6549F32B" w14:textId="77777777" w:rsidTr="0016453E">
        <w:trPr>
          <w:jc w:val="center"/>
        </w:trPr>
        <w:tc>
          <w:tcPr>
            <w:tcW w:w="9356" w:type="dxa"/>
            <w:tcBorders>
              <w:top w:val="single" w:sz="6" w:space="0" w:color="000000"/>
              <w:left w:val="single" w:sz="6" w:space="0" w:color="000000"/>
              <w:bottom w:val="single" w:sz="6" w:space="0" w:color="000000"/>
              <w:right w:val="single" w:sz="6" w:space="0" w:color="000000"/>
            </w:tcBorders>
            <w:shd w:val="clear" w:color="auto" w:fill="B4C6E7"/>
            <w:tcMar>
              <w:top w:w="15" w:type="dxa"/>
              <w:left w:w="45" w:type="dxa"/>
              <w:bottom w:w="15" w:type="dxa"/>
              <w:right w:w="45" w:type="dxa"/>
            </w:tcMar>
          </w:tcPr>
          <w:p w14:paraId="521E08F1" w14:textId="77777777" w:rsidR="00ED1EF1" w:rsidRPr="00A210AE" w:rsidRDefault="00DF2C1D" w:rsidP="00CF59B8">
            <w:pPr>
              <w:pStyle w:val="1"/>
              <w:spacing w:line="276" w:lineRule="auto"/>
              <w:ind w:left="0"/>
              <w:jc w:val="both"/>
              <w:rPr>
                <w:rFonts w:ascii="Times New Roman" w:hAnsi="Times New Roman" w:cs="Times New Roman"/>
                <w:sz w:val="28"/>
                <w:szCs w:val="28"/>
              </w:rPr>
            </w:pPr>
            <w:r w:rsidRPr="00A210AE">
              <w:rPr>
                <w:rFonts w:ascii="Times New Roman" w:hAnsi="Times New Roman" w:cs="Times New Roman"/>
                <w:b/>
                <w:sz w:val="28"/>
                <w:szCs w:val="28"/>
              </w:rPr>
              <w:t xml:space="preserve">1. Denumirea autorului şi, după caz, a participanţilor la elaborarea proiectului </w:t>
            </w:r>
          </w:p>
        </w:tc>
      </w:tr>
      <w:tr w:rsidR="00A210AE" w:rsidRPr="00A210AE" w14:paraId="3EFAF986" w14:textId="77777777" w:rsidTr="0016453E">
        <w:trPr>
          <w:jc w:val="center"/>
        </w:trPr>
        <w:tc>
          <w:tcPr>
            <w:tcW w:w="93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102AEDB" w14:textId="4287F0F0" w:rsidR="00ED1EF1" w:rsidRPr="002D67C2" w:rsidRDefault="002D67C2" w:rsidP="00467B1D">
            <w:pPr>
              <w:shd w:val="clear" w:color="auto" w:fill="FFFFFF"/>
              <w:spacing w:after="0" w:line="276" w:lineRule="auto"/>
              <w:ind w:left="0"/>
              <w:jc w:val="both"/>
              <w:rPr>
                <w:rFonts w:ascii="Times New Roman" w:hAnsi="Times New Roman" w:cs="Times New Roman"/>
                <w:sz w:val="28"/>
                <w:szCs w:val="28"/>
              </w:rPr>
            </w:pPr>
            <w:r w:rsidRPr="002D67C2">
              <w:rPr>
                <w:rFonts w:ascii="Times New Roman" w:hAnsi="Times New Roman" w:cs="Times New Roman"/>
                <w:sz w:val="28"/>
                <w:szCs w:val="28"/>
              </w:rPr>
              <w:t xml:space="preserve">Proiectul </w:t>
            </w:r>
            <w:r>
              <w:rPr>
                <w:rFonts w:ascii="Times New Roman" w:hAnsi="Times New Roman" w:cs="Times New Roman"/>
                <w:sz w:val="28"/>
                <w:szCs w:val="28"/>
              </w:rPr>
              <w:t>de Ordin</w:t>
            </w:r>
            <w:r w:rsidRPr="002D67C2">
              <w:rPr>
                <w:rFonts w:ascii="Times New Roman" w:hAnsi="Times New Roman" w:cs="Times New Roman"/>
                <w:sz w:val="28"/>
                <w:szCs w:val="28"/>
              </w:rPr>
              <w:t xml:space="preserve"> cu privire la modificarea Regulamentului privind rambursarea TVA pentru producătorii agricoli, </w:t>
            </w:r>
            <w:r>
              <w:rPr>
                <w:rFonts w:ascii="Times New Roman" w:hAnsi="Times New Roman" w:cs="Times New Roman"/>
                <w:sz w:val="28"/>
                <w:szCs w:val="28"/>
              </w:rPr>
              <w:t>elaborat de către Ministerul Finanțelor.</w:t>
            </w:r>
          </w:p>
        </w:tc>
      </w:tr>
      <w:tr w:rsidR="00A210AE" w:rsidRPr="00A210AE" w14:paraId="5EE304C0" w14:textId="77777777" w:rsidTr="0016453E">
        <w:trPr>
          <w:jc w:val="center"/>
        </w:trPr>
        <w:tc>
          <w:tcPr>
            <w:tcW w:w="9356" w:type="dxa"/>
            <w:tcBorders>
              <w:top w:val="single" w:sz="6" w:space="0" w:color="000000"/>
              <w:left w:val="single" w:sz="6" w:space="0" w:color="000000"/>
              <w:bottom w:val="single" w:sz="6" w:space="0" w:color="000000"/>
              <w:right w:val="single" w:sz="6" w:space="0" w:color="000000"/>
            </w:tcBorders>
            <w:shd w:val="clear" w:color="auto" w:fill="B4C6E7"/>
            <w:tcMar>
              <w:top w:w="15" w:type="dxa"/>
              <w:left w:w="45" w:type="dxa"/>
              <w:bottom w:w="15" w:type="dxa"/>
              <w:right w:w="45" w:type="dxa"/>
            </w:tcMar>
          </w:tcPr>
          <w:p w14:paraId="3D436E16" w14:textId="77777777" w:rsidR="00ED1EF1" w:rsidRPr="00A210AE" w:rsidRDefault="00DF2C1D" w:rsidP="00CF59B8">
            <w:pPr>
              <w:pStyle w:val="1"/>
              <w:spacing w:line="276" w:lineRule="auto"/>
              <w:ind w:left="0"/>
              <w:jc w:val="both"/>
              <w:rPr>
                <w:rFonts w:ascii="Times New Roman" w:hAnsi="Times New Roman" w:cs="Times New Roman"/>
                <w:sz w:val="28"/>
                <w:szCs w:val="28"/>
              </w:rPr>
            </w:pPr>
            <w:r w:rsidRPr="00A210AE">
              <w:rPr>
                <w:rFonts w:ascii="Times New Roman" w:hAnsi="Times New Roman" w:cs="Times New Roman"/>
                <w:b/>
                <w:sz w:val="28"/>
                <w:szCs w:val="28"/>
              </w:rPr>
              <w:t>2.</w:t>
            </w:r>
            <w:r w:rsidRPr="00A210AE">
              <w:rPr>
                <w:rFonts w:ascii="Times New Roman" w:hAnsi="Times New Roman" w:cs="Times New Roman"/>
                <w:sz w:val="28"/>
                <w:szCs w:val="28"/>
              </w:rPr>
              <w:t xml:space="preserve"> </w:t>
            </w:r>
            <w:r w:rsidRPr="00A210AE">
              <w:rPr>
                <w:rFonts w:ascii="Times New Roman" w:hAnsi="Times New Roman" w:cs="Times New Roman"/>
                <w:b/>
                <w:sz w:val="28"/>
                <w:szCs w:val="28"/>
              </w:rPr>
              <w:t>Condiţiile ce au impus elaborarea proiectului de act normativ şi finalităţile urmărite</w:t>
            </w:r>
            <w:r w:rsidRPr="00A210AE">
              <w:rPr>
                <w:rFonts w:ascii="Times New Roman" w:hAnsi="Times New Roman" w:cs="Times New Roman"/>
                <w:sz w:val="28"/>
                <w:szCs w:val="28"/>
              </w:rPr>
              <w:t xml:space="preserve"> </w:t>
            </w:r>
          </w:p>
        </w:tc>
      </w:tr>
      <w:tr w:rsidR="00A210AE" w:rsidRPr="00A210AE" w14:paraId="41E541CA" w14:textId="77777777" w:rsidTr="0016453E">
        <w:trPr>
          <w:jc w:val="center"/>
        </w:trPr>
        <w:tc>
          <w:tcPr>
            <w:tcW w:w="93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9753D1" w14:textId="13D32AA2" w:rsidR="003354FA" w:rsidRPr="003354FA" w:rsidRDefault="003354FA" w:rsidP="003354FA">
            <w:pPr>
              <w:pBdr>
                <w:top w:val="nil"/>
                <w:left w:val="nil"/>
                <w:bottom w:val="nil"/>
                <w:right w:val="nil"/>
                <w:between w:val="nil"/>
              </w:pBdr>
              <w:shd w:val="clear" w:color="auto" w:fill="FFFFFF"/>
              <w:spacing w:after="0" w:line="276" w:lineRule="auto"/>
              <w:ind w:left="0"/>
              <w:jc w:val="both"/>
              <w:rPr>
                <w:rFonts w:ascii="Times New Roman" w:hAnsi="Times New Roman" w:cs="Times New Roman"/>
                <w:sz w:val="28"/>
                <w:szCs w:val="28"/>
              </w:rPr>
            </w:pPr>
            <w:r w:rsidRPr="003354FA">
              <w:rPr>
                <w:rFonts w:ascii="Times New Roman" w:hAnsi="Times New Roman" w:cs="Times New Roman"/>
                <w:sz w:val="28"/>
                <w:szCs w:val="28"/>
              </w:rPr>
              <w:t>Necesitatea modificării Regulamentului respectiv este determinată de introducerea modificărilor în Legea privind Programul de rambursare a TVA pentru pro</w:t>
            </w:r>
            <w:r>
              <w:rPr>
                <w:rFonts w:ascii="Times New Roman" w:hAnsi="Times New Roman" w:cs="Times New Roman"/>
                <w:sz w:val="28"/>
                <w:szCs w:val="28"/>
              </w:rPr>
              <w:t>ducătorii agricoli nr.337/2022.</w:t>
            </w:r>
          </w:p>
          <w:p w14:paraId="463A33E2" w14:textId="0E777888" w:rsidR="000B3F89" w:rsidRPr="002D67C2" w:rsidRDefault="003354FA" w:rsidP="003354FA">
            <w:pPr>
              <w:pBdr>
                <w:top w:val="nil"/>
                <w:left w:val="nil"/>
                <w:bottom w:val="nil"/>
                <w:right w:val="nil"/>
                <w:between w:val="nil"/>
              </w:pBdr>
              <w:shd w:val="clear" w:color="auto" w:fill="FFFFFF"/>
              <w:spacing w:after="0" w:line="276" w:lineRule="auto"/>
              <w:ind w:left="0"/>
              <w:jc w:val="both"/>
              <w:rPr>
                <w:rFonts w:ascii="Times New Roman" w:hAnsi="Times New Roman" w:cs="Times New Roman"/>
                <w:sz w:val="28"/>
                <w:szCs w:val="28"/>
              </w:rPr>
            </w:pPr>
            <w:r w:rsidRPr="003354FA">
              <w:rPr>
                <w:rFonts w:ascii="Times New Roman" w:hAnsi="Times New Roman" w:cs="Times New Roman"/>
                <w:sz w:val="28"/>
                <w:szCs w:val="28"/>
              </w:rPr>
              <w:t>Noile prevederi, introduse prin Legea pentru modificarea unor acte normative (regimul datoriilor vamale şi penalitățile  aferente  pentru  persoanele  cu  dizabilități locomotorii, reglementări privind primele de asigurare obligatorie de asistență medicală) nr. 146/2025 și Legea pentru modificarea unor acte normative nr.187/2025, vin în sprijinul fermierilor, oferindu-le acces extins și condiții mai favorabile de participare la program.</w:t>
            </w:r>
          </w:p>
        </w:tc>
      </w:tr>
      <w:tr w:rsidR="00A210AE" w:rsidRPr="00A210AE" w14:paraId="5B8D9CF1" w14:textId="77777777" w:rsidTr="0016453E">
        <w:trPr>
          <w:jc w:val="center"/>
        </w:trPr>
        <w:tc>
          <w:tcPr>
            <w:tcW w:w="9356" w:type="dxa"/>
            <w:tcBorders>
              <w:top w:val="single" w:sz="6" w:space="0" w:color="000000"/>
              <w:left w:val="single" w:sz="6" w:space="0" w:color="000000"/>
              <w:bottom w:val="single" w:sz="6" w:space="0" w:color="000000"/>
              <w:right w:val="single" w:sz="6" w:space="0" w:color="000000"/>
            </w:tcBorders>
            <w:shd w:val="clear" w:color="auto" w:fill="B4C6E7"/>
            <w:tcMar>
              <w:top w:w="15" w:type="dxa"/>
              <w:left w:w="45" w:type="dxa"/>
              <w:bottom w:w="15" w:type="dxa"/>
              <w:right w:w="45" w:type="dxa"/>
            </w:tcMar>
          </w:tcPr>
          <w:p w14:paraId="1319B050" w14:textId="77777777" w:rsidR="00ED1EF1" w:rsidRPr="00A210AE" w:rsidRDefault="00DF2C1D" w:rsidP="00CF59B8">
            <w:pPr>
              <w:pStyle w:val="1"/>
              <w:spacing w:line="276" w:lineRule="auto"/>
              <w:ind w:left="0"/>
              <w:jc w:val="both"/>
              <w:rPr>
                <w:rFonts w:ascii="Times New Roman" w:hAnsi="Times New Roman" w:cs="Times New Roman"/>
                <w:sz w:val="28"/>
                <w:szCs w:val="28"/>
              </w:rPr>
            </w:pPr>
            <w:r w:rsidRPr="00A210AE">
              <w:rPr>
                <w:rFonts w:ascii="Times New Roman" w:hAnsi="Times New Roman" w:cs="Times New Roman"/>
                <w:b/>
                <w:sz w:val="28"/>
                <w:szCs w:val="28"/>
              </w:rPr>
              <w:t>3.</w:t>
            </w:r>
            <w:r w:rsidRPr="00A210AE">
              <w:rPr>
                <w:rFonts w:ascii="Times New Roman" w:hAnsi="Times New Roman" w:cs="Times New Roman"/>
                <w:sz w:val="28"/>
                <w:szCs w:val="28"/>
              </w:rPr>
              <w:t xml:space="preserve"> </w:t>
            </w:r>
            <w:r w:rsidRPr="00A210AE">
              <w:rPr>
                <w:rFonts w:ascii="Times New Roman" w:hAnsi="Times New Roman" w:cs="Times New Roman"/>
                <w:b/>
                <w:sz w:val="28"/>
                <w:szCs w:val="28"/>
              </w:rPr>
              <w:t>Descrierea gradului de compatibilitate pentru proiectele care au ca scop armonizarea legislaţiei naţionale cu legislaţia Uniunii Europene</w:t>
            </w:r>
            <w:r w:rsidRPr="00A210AE">
              <w:rPr>
                <w:rFonts w:ascii="Times New Roman" w:hAnsi="Times New Roman" w:cs="Times New Roman"/>
                <w:sz w:val="28"/>
                <w:szCs w:val="28"/>
              </w:rPr>
              <w:t xml:space="preserve"> </w:t>
            </w:r>
          </w:p>
        </w:tc>
      </w:tr>
      <w:tr w:rsidR="00A210AE" w:rsidRPr="00A210AE" w14:paraId="134FA07A" w14:textId="77777777" w:rsidTr="0016453E">
        <w:trPr>
          <w:jc w:val="center"/>
        </w:trPr>
        <w:tc>
          <w:tcPr>
            <w:tcW w:w="93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sdt>
            <w:sdtPr>
              <w:rPr>
                <w:rFonts w:ascii="Times New Roman" w:hAnsi="Times New Roman" w:cs="Times New Roman"/>
                <w:sz w:val="28"/>
                <w:szCs w:val="28"/>
              </w:rPr>
              <w:tag w:val="goog_rdk_0"/>
              <w:id w:val="-1745482509"/>
              <w:showingPlcHdr/>
            </w:sdtPr>
            <w:sdtEndPr/>
            <w:sdtContent>
              <w:p w14:paraId="62CAA603" w14:textId="7783F3C2" w:rsidR="007F11EB" w:rsidRPr="00A210AE" w:rsidRDefault="002D67C2" w:rsidP="002D67C2">
                <w:pPr>
                  <w:spacing w:line="276" w:lineRule="auto"/>
                  <w:ind w:left="0"/>
                  <w:jc w:val="both"/>
                  <w:rPr>
                    <w:rFonts w:ascii="Times New Roman" w:eastAsia="Times New Roman" w:hAnsi="Times New Roman" w:cs="Times New Roman"/>
                    <w:sz w:val="28"/>
                    <w:szCs w:val="28"/>
                    <w:lang w:val="ro-MD"/>
                  </w:rPr>
                </w:pPr>
                <w:r>
                  <w:rPr>
                    <w:rFonts w:ascii="Times New Roman" w:hAnsi="Times New Roman" w:cs="Times New Roman"/>
                    <w:sz w:val="28"/>
                    <w:szCs w:val="28"/>
                  </w:rPr>
                  <w:t xml:space="preserve">     </w:t>
                </w:r>
              </w:p>
            </w:sdtContent>
          </w:sdt>
        </w:tc>
      </w:tr>
      <w:tr w:rsidR="00A210AE" w:rsidRPr="00A210AE" w14:paraId="62A383A6" w14:textId="77777777" w:rsidTr="0016453E">
        <w:trPr>
          <w:jc w:val="center"/>
        </w:trPr>
        <w:tc>
          <w:tcPr>
            <w:tcW w:w="9356" w:type="dxa"/>
            <w:tcBorders>
              <w:top w:val="single" w:sz="6" w:space="0" w:color="000000"/>
              <w:left w:val="single" w:sz="6" w:space="0" w:color="000000"/>
              <w:bottom w:val="single" w:sz="6" w:space="0" w:color="000000"/>
              <w:right w:val="single" w:sz="6" w:space="0" w:color="000000"/>
            </w:tcBorders>
            <w:shd w:val="clear" w:color="auto" w:fill="B4C6E7"/>
            <w:tcMar>
              <w:top w:w="15" w:type="dxa"/>
              <w:left w:w="45" w:type="dxa"/>
              <w:bottom w:w="15" w:type="dxa"/>
              <w:right w:w="45" w:type="dxa"/>
            </w:tcMar>
          </w:tcPr>
          <w:p w14:paraId="70CC248F" w14:textId="77777777" w:rsidR="00ED1EF1" w:rsidRPr="00A210AE" w:rsidRDefault="00DF2C1D" w:rsidP="00416F09">
            <w:pPr>
              <w:pStyle w:val="1"/>
              <w:spacing w:line="276" w:lineRule="auto"/>
              <w:ind w:left="0"/>
              <w:jc w:val="both"/>
              <w:rPr>
                <w:rFonts w:ascii="Times New Roman" w:hAnsi="Times New Roman" w:cs="Times New Roman"/>
                <w:sz w:val="28"/>
                <w:szCs w:val="28"/>
              </w:rPr>
            </w:pPr>
            <w:r w:rsidRPr="00A210AE">
              <w:rPr>
                <w:rFonts w:ascii="Times New Roman" w:hAnsi="Times New Roman" w:cs="Times New Roman"/>
                <w:b/>
                <w:sz w:val="28"/>
                <w:szCs w:val="28"/>
              </w:rPr>
              <w:t>4.</w:t>
            </w:r>
            <w:r w:rsidRPr="00A210AE">
              <w:rPr>
                <w:rFonts w:ascii="Times New Roman" w:hAnsi="Times New Roman" w:cs="Times New Roman"/>
                <w:sz w:val="28"/>
                <w:szCs w:val="28"/>
              </w:rPr>
              <w:t xml:space="preserve"> </w:t>
            </w:r>
            <w:r w:rsidRPr="00A210AE">
              <w:rPr>
                <w:rFonts w:ascii="Times New Roman" w:hAnsi="Times New Roman" w:cs="Times New Roman"/>
                <w:b/>
                <w:sz w:val="28"/>
                <w:szCs w:val="28"/>
              </w:rPr>
              <w:t>Principalele prevederi ale proiectului şi evidenţierea elementelor noi</w:t>
            </w:r>
            <w:r w:rsidRPr="00A210AE">
              <w:rPr>
                <w:rFonts w:ascii="Times New Roman" w:hAnsi="Times New Roman" w:cs="Times New Roman"/>
                <w:sz w:val="28"/>
                <w:szCs w:val="28"/>
              </w:rPr>
              <w:t xml:space="preserve"> </w:t>
            </w:r>
          </w:p>
        </w:tc>
      </w:tr>
      <w:tr w:rsidR="00A210AE" w:rsidRPr="00A210AE" w14:paraId="796C6531" w14:textId="77777777" w:rsidTr="0016453E">
        <w:trPr>
          <w:jc w:val="center"/>
        </w:trPr>
        <w:tc>
          <w:tcPr>
            <w:tcW w:w="93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8E33DB8" w14:textId="77777777" w:rsidR="003354FA" w:rsidRDefault="003354FA" w:rsidP="003354FA">
            <w:pPr>
              <w:pStyle w:val="a5"/>
              <w:numPr>
                <w:ilvl w:val="0"/>
                <w:numId w:val="7"/>
              </w:numPr>
              <w:spacing w:after="0" w:line="276" w:lineRule="auto"/>
              <w:ind w:left="45" w:firstLine="450"/>
              <w:jc w:val="both"/>
              <w:rPr>
                <w:rFonts w:ascii="Times New Roman" w:eastAsia="Times New Roman" w:hAnsi="Times New Roman" w:cs="Times New Roman"/>
                <w:sz w:val="28"/>
                <w:szCs w:val="28"/>
                <w:lang w:val="ro-MD"/>
              </w:rPr>
            </w:pPr>
            <w:r w:rsidRPr="003354FA">
              <w:rPr>
                <w:rFonts w:ascii="Times New Roman" w:eastAsia="Times New Roman" w:hAnsi="Times New Roman" w:cs="Times New Roman"/>
                <w:sz w:val="28"/>
                <w:szCs w:val="28"/>
                <w:lang w:val="ro-MD"/>
              </w:rPr>
              <w:t>limitarea sumei rambursabile la nivelul TVA-ului deductibil declarat pentru luna decembrie 2024 – pentru cazurile de rambursare a TVA ce se referă la perioadele fiscale iulie 2023 – iunie 2026, inclusiv;</w:t>
            </w:r>
          </w:p>
          <w:p w14:paraId="2264E810" w14:textId="77777777" w:rsidR="003354FA" w:rsidRDefault="003354FA" w:rsidP="003354FA">
            <w:pPr>
              <w:pStyle w:val="a5"/>
              <w:numPr>
                <w:ilvl w:val="0"/>
                <w:numId w:val="7"/>
              </w:numPr>
              <w:spacing w:after="0" w:line="276" w:lineRule="auto"/>
              <w:ind w:left="45" w:firstLine="450"/>
              <w:jc w:val="both"/>
              <w:rPr>
                <w:rFonts w:ascii="Times New Roman" w:eastAsia="Times New Roman" w:hAnsi="Times New Roman" w:cs="Times New Roman"/>
                <w:sz w:val="28"/>
                <w:szCs w:val="28"/>
                <w:lang w:val="ro-MD"/>
              </w:rPr>
            </w:pPr>
            <w:r w:rsidRPr="003354FA">
              <w:rPr>
                <w:rFonts w:ascii="Times New Roman" w:eastAsia="Times New Roman" w:hAnsi="Times New Roman" w:cs="Times New Roman"/>
                <w:sz w:val="28"/>
                <w:szCs w:val="28"/>
                <w:lang w:val="ro-MD"/>
              </w:rPr>
              <w:t>reducerea pragului de eligibilitate în scopul beneficierii de rambursarea TVA, de la 95% la 70% a veniturilor obținute în urma activităților cuprinse în grupele 01.1–01.6 din CAEM, permițând participarea unui număr mai mare de beneficiari.</w:t>
            </w:r>
          </w:p>
          <w:p w14:paraId="1F378FD8" w14:textId="77777777" w:rsidR="002D67C2" w:rsidRDefault="002D67C2" w:rsidP="002D67C2">
            <w:pPr>
              <w:spacing w:after="0" w:line="276" w:lineRule="auto"/>
              <w:ind w:left="0" w:firstLine="311"/>
              <w:jc w:val="both"/>
              <w:rPr>
                <w:rFonts w:ascii="Times New Roman" w:eastAsia="Times New Roman" w:hAnsi="Times New Roman" w:cs="Times New Roman"/>
                <w:sz w:val="28"/>
                <w:szCs w:val="28"/>
                <w:lang w:val="ro-MD"/>
              </w:rPr>
            </w:pPr>
            <w:r w:rsidRPr="002D67C2">
              <w:rPr>
                <w:rFonts w:ascii="Times New Roman" w:eastAsia="Times New Roman" w:hAnsi="Times New Roman" w:cs="Times New Roman"/>
                <w:sz w:val="28"/>
                <w:szCs w:val="28"/>
                <w:lang w:val="ro-MD"/>
              </w:rPr>
              <w:t xml:space="preserve">Subiecți ai Programului de rambursare a TVA sunt întreprinderile care activează în domeniul agriculturii, sunt înregistrate în calitate de plătitori ai taxei pe valoarea adăugată și care înregistrează sumele TVA spre deducere </w:t>
            </w:r>
            <w:r>
              <w:rPr>
                <w:rFonts w:ascii="Times New Roman" w:eastAsia="Times New Roman" w:hAnsi="Times New Roman" w:cs="Times New Roman"/>
                <w:sz w:val="28"/>
                <w:szCs w:val="28"/>
                <w:lang w:val="ro-MD"/>
              </w:rPr>
              <w:t>în perioada fiscală ulterioară.</w:t>
            </w:r>
          </w:p>
          <w:p w14:paraId="0AD0C856" w14:textId="4C1D6850" w:rsidR="00C54DAE" w:rsidRPr="00C54DAE" w:rsidRDefault="002D67C2" w:rsidP="002D67C2">
            <w:pPr>
              <w:spacing w:after="0" w:line="276" w:lineRule="auto"/>
              <w:ind w:left="0" w:firstLine="311"/>
              <w:jc w:val="both"/>
              <w:rPr>
                <w:rFonts w:ascii="Times New Roman" w:eastAsia="Times New Roman" w:hAnsi="Times New Roman" w:cs="Times New Roman"/>
                <w:sz w:val="28"/>
                <w:szCs w:val="28"/>
                <w:lang w:val="ro-MD"/>
              </w:rPr>
            </w:pPr>
            <w:r w:rsidRPr="002D67C2">
              <w:rPr>
                <w:rFonts w:ascii="Times New Roman" w:eastAsia="Times New Roman" w:hAnsi="Times New Roman" w:cs="Times New Roman"/>
                <w:sz w:val="28"/>
                <w:szCs w:val="28"/>
                <w:lang w:val="ro-MD"/>
              </w:rPr>
              <w:t>Rambursarea sumei TVA se efectuează de către Serviciul Fiscal de Stat și Trezoreria de Stat în termen de 25 de zile lucrătoare de la data depunerii cererii.</w:t>
            </w:r>
          </w:p>
          <w:p w14:paraId="4B6EEC4F" w14:textId="63835A31" w:rsidR="00ED1EF1" w:rsidRPr="00A210AE" w:rsidRDefault="00ED1EF1" w:rsidP="002D67C2">
            <w:pPr>
              <w:spacing w:after="0" w:line="276" w:lineRule="auto"/>
              <w:ind w:left="0"/>
              <w:jc w:val="both"/>
              <w:rPr>
                <w:rFonts w:ascii="Times New Roman" w:eastAsia="Times New Roman" w:hAnsi="Times New Roman" w:cs="Times New Roman"/>
                <w:sz w:val="28"/>
                <w:szCs w:val="28"/>
                <w:lang w:val="ro-MD"/>
              </w:rPr>
            </w:pPr>
          </w:p>
        </w:tc>
      </w:tr>
      <w:tr w:rsidR="00A210AE" w:rsidRPr="00A210AE" w14:paraId="2E191DF1" w14:textId="77777777" w:rsidTr="0016453E">
        <w:trPr>
          <w:jc w:val="center"/>
        </w:trPr>
        <w:tc>
          <w:tcPr>
            <w:tcW w:w="9356" w:type="dxa"/>
            <w:tcBorders>
              <w:top w:val="single" w:sz="6" w:space="0" w:color="000000"/>
              <w:left w:val="single" w:sz="6" w:space="0" w:color="000000"/>
              <w:bottom w:val="single" w:sz="6" w:space="0" w:color="000000"/>
              <w:right w:val="single" w:sz="6" w:space="0" w:color="000000"/>
            </w:tcBorders>
            <w:shd w:val="clear" w:color="auto" w:fill="B4C6E7"/>
            <w:tcMar>
              <w:top w:w="15" w:type="dxa"/>
              <w:left w:w="45" w:type="dxa"/>
              <w:bottom w:w="15" w:type="dxa"/>
              <w:right w:w="45" w:type="dxa"/>
            </w:tcMar>
          </w:tcPr>
          <w:p w14:paraId="4E73087A" w14:textId="77777777" w:rsidR="00ED1EF1" w:rsidRPr="00A210AE" w:rsidRDefault="00DF2C1D" w:rsidP="00430F4F">
            <w:pPr>
              <w:pStyle w:val="1"/>
              <w:spacing w:line="276" w:lineRule="auto"/>
              <w:ind w:left="0"/>
              <w:rPr>
                <w:rFonts w:ascii="Times New Roman" w:hAnsi="Times New Roman" w:cs="Times New Roman"/>
                <w:sz w:val="28"/>
                <w:szCs w:val="28"/>
              </w:rPr>
            </w:pPr>
            <w:r w:rsidRPr="00A210AE">
              <w:rPr>
                <w:rFonts w:ascii="Times New Roman" w:hAnsi="Times New Roman" w:cs="Times New Roman"/>
                <w:b/>
                <w:sz w:val="28"/>
                <w:szCs w:val="28"/>
              </w:rPr>
              <w:t>5.</w:t>
            </w:r>
            <w:r w:rsidRPr="00A210AE">
              <w:rPr>
                <w:rFonts w:ascii="Times New Roman" w:hAnsi="Times New Roman" w:cs="Times New Roman"/>
                <w:sz w:val="28"/>
                <w:szCs w:val="28"/>
              </w:rPr>
              <w:t xml:space="preserve"> </w:t>
            </w:r>
            <w:r w:rsidRPr="00A210AE">
              <w:rPr>
                <w:rFonts w:ascii="Times New Roman" w:hAnsi="Times New Roman" w:cs="Times New Roman"/>
                <w:b/>
                <w:sz w:val="28"/>
                <w:szCs w:val="28"/>
              </w:rPr>
              <w:t>Fundamentarea economico-financiară</w:t>
            </w:r>
            <w:r w:rsidRPr="00A210AE">
              <w:rPr>
                <w:rFonts w:ascii="Times New Roman" w:hAnsi="Times New Roman" w:cs="Times New Roman"/>
                <w:sz w:val="28"/>
                <w:szCs w:val="28"/>
              </w:rPr>
              <w:t xml:space="preserve"> </w:t>
            </w:r>
          </w:p>
        </w:tc>
      </w:tr>
      <w:tr w:rsidR="00A210AE" w:rsidRPr="00A210AE" w14:paraId="1E31FF34" w14:textId="77777777" w:rsidTr="0016453E">
        <w:trPr>
          <w:jc w:val="center"/>
        </w:trPr>
        <w:tc>
          <w:tcPr>
            <w:tcW w:w="93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A52027E" w14:textId="05E38761" w:rsidR="002D67C2" w:rsidRDefault="00985DA5" w:rsidP="00985DA5">
            <w:pPr>
              <w:spacing w:line="276" w:lineRule="auto"/>
              <w:ind w:left="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lastRenderedPageBreak/>
              <w:t xml:space="preserve">Prin proiectul respectiv </w:t>
            </w:r>
            <w:r w:rsidR="002D67C2">
              <w:rPr>
                <w:rFonts w:ascii="Times New Roman" w:eastAsia="Times New Roman" w:hAnsi="Times New Roman" w:cs="Times New Roman"/>
                <w:sz w:val="28"/>
                <w:szCs w:val="28"/>
                <w:lang w:val="ro-MD"/>
              </w:rPr>
              <w:t xml:space="preserve">se </w:t>
            </w:r>
            <w:r w:rsidR="002D67C2" w:rsidRPr="002D67C2">
              <w:rPr>
                <w:rFonts w:ascii="Times New Roman" w:eastAsia="Times New Roman" w:hAnsi="Times New Roman" w:cs="Times New Roman"/>
                <w:sz w:val="28"/>
                <w:szCs w:val="28"/>
                <w:lang w:val="ro-MD"/>
              </w:rPr>
              <w:t>asigur</w:t>
            </w:r>
            <w:r w:rsidR="002D67C2">
              <w:rPr>
                <w:rFonts w:ascii="Times New Roman" w:eastAsia="Times New Roman" w:hAnsi="Times New Roman" w:cs="Times New Roman"/>
                <w:sz w:val="28"/>
                <w:szCs w:val="28"/>
                <w:lang w:val="ro-MD"/>
              </w:rPr>
              <w:t>ă</w:t>
            </w:r>
            <w:r w:rsidR="002D67C2" w:rsidRPr="002D67C2">
              <w:rPr>
                <w:rFonts w:ascii="Times New Roman" w:eastAsia="Times New Roman" w:hAnsi="Times New Roman" w:cs="Times New Roman"/>
                <w:sz w:val="28"/>
                <w:szCs w:val="28"/>
                <w:lang w:val="ro-MD"/>
              </w:rPr>
              <w:t xml:space="preserve"> o continuare </w:t>
            </w:r>
            <w:r w:rsidR="00BE5B75">
              <w:rPr>
                <w:rFonts w:ascii="Times New Roman" w:eastAsia="Times New Roman" w:hAnsi="Times New Roman" w:cs="Times New Roman"/>
                <w:sz w:val="28"/>
                <w:szCs w:val="28"/>
                <w:lang w:val="ro-MD"/>
              </w:rPr>
              <w:t xml:space="preserve">a suportului pentru agricultori și </w:t>
            </w:r>
            <w:r w:rsidR="00BE5B75" w:rsidRPr="00BE5B75">
              <w:rPr>
                <w:rFonts w:ascii="Times New Roman" w:eastAsia="Times New Roman" w:hAnsi="Times New Roman" w:cs="Times New Roman"/>
                <w:sz w:val="28"/>
                <w:szCs w:val="28"/>
              </w:rPr>
              <w:t>atenue</w:t>
            </w:r>
            <w:r w:rsidR="00BE5B75">
              <w:rPr>
                <w:rFonts w:ascii="Times New Roman" w:eastAsia="Times New Roman" w:hAnsi="Times New Roman" w:cs="Times New Roman"/>
                <w:sz w:val="28"/>
                <w:szCs w:val="28"/>
              </w:rPr>
              <w:t>ază</w:t>
            </w:r>
            <w:r w:rsidR="00BE5B75" w:rsidRPr="00BE5B75">
              <w:rPr>
                <w:rFonts w:ascii="Times New Roman" w:eastAsia="Times New Roman" w:hAnsi="Times New Roman" w:cs="Times New Roman"/>
                <w:sz w:val="28"/>
                <w:szCs w:val="28"/>
              </w:rPr>
              <w:t xml:space="preserve"> efectele multiplelor crize asupra sectorului agricol.</w:t>
            </w:r>
          </w:p>
          <w:p w14:paraId="149E766D" w14:textId="2416FA93" w:rsidR="002469CF" w:rsidRPr="003A558A" w:rsidRDefault="00BE5B75" w:rsidP="00BE5B75">
            <w:pPr>
              <w:spacing w:line="276" w:lineRule="auto"/>
              <w:ind w:left="0"/>
              <w:jc w:val="both"/>
              <w:rPr>
                <w:rFonts w:ascii="Times New Roman" w:eastAsia="Times New Roman" w:hAnsi="Times New Roman" w:cs="Times New Roman"/>
                <w:sz w:val="28"/>
                <w:szCs w:val="28"/>
                <w:highlight w:val="yellow"/>
                <w:lang w:val="ro-MD"/>
              </w:rPr>
            </w:pPr>
            <w:r w:rsidRPr="00BE5B75">
              <w:rPr>
                <w:rFonts w:ascii="Times New Roman" w:eastAsia="Times New Roman" w:hAnsi="Times New Roman" w:cs="Times New Roman"/>
                <w:sz w:val="28"/>
                <w:szCs w:val="28"/>
                <w:lang w:val="ro-MD"/>
              </w:rPr>
              <w:t>Pentru an</w:t>
            </w:r>
            <w:r>
              <w:rPr>
                <w:rFonts w:ascii="Times New Roman" w:eastAsia="Times New Roman" w:hAnsi="Times New Roman" w:cs="Times New Roman"/>
                <w:sz w:val="28"/>
                <w:szCs w:val="28"/>
                <w:lang w:val="ro-MD"/>
              </w:rPr>
              <w:t>ul 2025</w:t>
            </w:r>
            <w:r w:rsidRPr="00BE5B75">
              <w:rPr>
                <w:rFonts w:ascii="Times New Roman" w:eastAsia="Times New Roman" w:hAnsi="Times New Roman" w:cs="Times New Roman"/>
                <w:sz w:val="28"/>
                <w:szCs w:val="28"/>
                <w:lang w:val="ro-MD"/>
              </w:rPr>
              <w:t xml:space="preserve"> sunt estimate rambursări a impozitului funciar din TVA-ul acumulat în cont în valoare de circa 46,8 milioane de lei. În total, în anul 2024 suma rambursărilor TVA a constituit circa 400 milioane de lei.</w:t>
            </w:r>
          </w:p>
        </w:tc>
      </w:tr>
      <w:tr w:rsidR="00A210AE" w:rsidRPr="00A210AE" w14:paraId="5D5A3295" w14:textId="77777777" w:rsidTr="0016453E">
        <w:trPr>
          <w:jc w:val="center"/>
        </w:trPr>
        <w:tc>
          <w:tcPr>
            <w:tcW w:w="9356" w:type="dxa"/>
            <w:tcBorders>
              <w:top w:val="single" w:sz="6" w:space="0" w:color="000000"/>
              <w:left w:val="single" w:sz="6" w:space="0" w:color="000000"/>
              <w:bottom w:val="single" w:sz="6" w:space="0" w:color="000000"/>
              <w:right w:val="single" w:sz="6" w:space="0" w:color="000000"/>
            </w:tcBorders>
            <w:shd w:val="clear" w:color="auto" w:fill="B4C6E7"/>
            <w:tcMar>
              <w:top w:w="15" w:type="dxa"/>
              <w:left w:w="45" w:type="dxa"/>
              <w:bottom w:w="15" w:type="dxa"/>
              <w:right w:w="45" w:type="dxa"/>
            </w:tcMar>
          </w:tcPr>
          <w:p w14:paraId="7F182BED" w14:textId="77777777" w:rsidR="00ED1EF1" w:rsidRPr="00A210AE" w:rsidRDefault="00DF2C1D" w:rsidP="003B38E7">
            <w:pPr>
              <w:pStyle w:val="1"/>
              <w:spacing w:line="276" w:lineRule="auto"/>
              <w:ind w:left="0"/>
              <w:rPr>
                <w:rFonts w:ascii="Times New Roman" w:hAnsi="Times New Roman" w:cs="Times New Roman"/>
                <w:sz w:val="28"/>
                <w:szCs w:val="28"/>
              </w:rPr>
            </w:pPr>
            <w:r w:rsidRPr="00A210AE">
              <w:rPr>
                <w:rFonts w:ascii="Times New Roman" w:hAnsi="Times New Roman" w:cs="Times New Roman"/>
                <w:b/>
                <w:sz w:val="28"/>
                <w:szCs w:val="28"/>
              </w:rPr>
              <w:t>6.</w:t>
            </w:r>
            <w:r w:rsidRPr="00A210AE">
              <w:rPr>
                <w:rFonts w:ascii="Times New Roman" w:hAnsi="Times New Roman" w:cs="Times New Roman"/>
                <w:sz w:val="28"/>
                <w:szCs w:val="28"/>
              </w:rPr>
              <w:t xml:space="preserve"> </w:t>
            </w:r>
            <w:r w:rsidRPr="00A210AE">
              <w:rPr>
                <w:rFonts w:ascii="Times New Roman" w:hAnsi="Times New Roman" w:cs="Times New Roman"/>
                <w:b/>
                <w:sz w:val="28"/>
                <w:szCs w:val="28"/>
              </w:rPr>
              <w:t>Modul de încorporare a actului în cadrul normativ în vigoare</w:t>
            </w:r>
            <w:r w:rsidRPr="00A210AE">
              <w:rPr>
                <w:rFonts w:ascii="Times New Roman" w:hAnsi="Times New Roman" w:cs="Times New Roman"/>
                <w:sz w:val="28"/>
                <w:szCs w:val="28"/>
              </w:rPr>
              <w:t xml:space="preserve"> </w:t>
            </w:r>
          </w:p>
        </w:tc>
      </w:tr>
      <w:tr w:rsidR="00A210AE" w:rsidRPr="00A210AE" w14:paraId="653C5EE5" w14:textId="77777777" w:rsidTr="0016453E">
        <w:trPr>
          <w:jc w:val="center"/>
        </w:trPr>
        <w:tc>
          <w:tcPr>
            <w:tcW w:w="93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8537856" w14:textId="301CFA84" w:rsidR="00610A30" w:rsidRPr="00A210AE" w:rsidRDefault="00610A30" w:rsidP="00A210AE">
            <w:pPr>
              <w:tabs>
                <w:tab w:val="left" w:pos="317"/>
              </w:tabs>
              <w:spacing w:line="276" w:lineRule="auto"/>
              <w:ind w:left="0"/>
              <w:jc w:val="both"/>
              <w:rPr>
                <w:rFonts w:ascii="Times New Roman" w:hAnsi="Times New Roman" w:cs="Times New Roman"/>
                <w:sz w:val="28"/>
                <w:szCs w:val="28"/>
              </w:rPr>
            </w:pPr>
          </w:p>
        </w:tc>
      </w:tr>
      <w:tr w:rsidR="00A210AE" w:rsidRPr="00A210AE" w14:paraId="2EB70B0A" w14:textId="77777777" w:rsidTr="0016453E">
        <w:trPr>
          <w:jc w:val="center"/>
        </w:trPr>
        <w:tc>
          <w:tcPr>
            <w:tcW w:w="9356" w:type="dxa"/>
            <w:tcBorders>
              <w:top w:val="single" w:sz="6" w:space="0" w:color="000000"/>
              <w:left w:val="single" w:sz="6" w:space="0" w:color="000000"/>
              <w:bottom w:val="single" w:sz="6" w:space="0" w:color="000000"/>
              <w:right w:val="single" w:sz="6" w:space="0" w:color="000000"/>
            </w:tcBorders>
            <w:shd w:val="clear" w:color="auto" w:fill="B4C6E7"/>
            <w:tcMar>
              <w:top w:w="15" w:type="dxa"/>
              <w:left w:w="45" w:type="dxa"/>
              <w:bottom w:w="15" w:type="dxa"/>
              <w:right w:w="45" w:type="dxa"/>
            </w:tcMar>
          </w:tcPr>
          <w:p w14:paraId="5811675C" w14:textId="77777777" w:rsidR="00ED1EF1" w:rsidRPr="00A210AE" w:rsidRDefault="00DF2C1D" w:rsidP="003B38E7">
            <w:pPr>
              <w:pStyle w:val="1"/>
              <w:spacing w:line="276" w:lineRule="auto"/>
              <w:ind w:left="0"/>
              <w:rPr>
                <w:rFonts w:ascii="Times New Roman" w:hAnsi="Times New Roman" w:cs="Times New Roman"/>
                <w:sz w:val="28"/>
                <w:szCs w:val="28"/>
              </w:rPr>
            </w:pPr>
            <w:r w:rsidRPr="00A210AE">
              <w:rPr>
                <w:rFonts w:ascii="Times New Roman" w:hAnsi="Times New Roman" w:cs="Times New Roman"/>
                <w:b/>
                <w:sz w:val="28"/>
                <w:szCs w:val="28"/>
              </w:rPr>
              <w:t>7.</w:t>
            </w:r>
            <w:r w:rsidRPr="00A210AE">
              <w:rPr>
                <w:rFonts w:ascii="Times New Roman" w:hAnsi="Times New Roman" w:cs="Times New Roman"/>
                <w:sz w:val="28"/>
                <w:szCs w:val="28"/>
              </w:rPr>
              <w:t xml:space="preserve"> </w:t>
            </w:r>
            <w:r w:rsidRPr="00A210AE">
              <w:rPr>
                <w:rFonts w:ascii="Times New Roman" w:hAnsi="Times New Roman" w:cs="Times New Roman"/>
                <w:b/>
                <w:sz w:val="28"/>
                <w:szCs w:val="28"/>
              </w:rPr>
              <w:t>Avizarea şi consultarea publică a proiectului</w:t>
            </w:r>
            <w:r w:rsidRPr="00A210AE">
              <w:rPr>
                <w:rFonts w:ascii="Times New Roman" w:hAnsi="Times New Roman" w:cs="Times New Roman"/>
                <w:sz w:val="28"/>
                <w:szCs w:val="28"/>
              </w:rPr>
              <w:t xml:space="preserve"> </w:t>
            </w:r>
          </w:p>
        </w:tc>
      </w:tr>
      <w:tr w:rsidR="00A210AE" w:rsidRPr="00A210AE" w14:paraId="163F6D2F" w14:textId="77777777" w:rsidTr="0016453E">
        <w:trPr>
          <w:jc w:val="center"/>
        </w:trPr>
        <w:tc>
          <w:tcPr>
            <w:tcW w:w="93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2F5793" w14:textId="71B9F237" w:rsidR="00ED1EF1" w:rsidRPr="00A210AE" w:rsidRDefault="00DF2C1D" w:rsidP="00D97CF6">
            <w:pPr>
              <w:tabs>
                <w:tab w:val="left" w:pos="317"/>
              </w:tabs>
              <w:spacing w:line="276" w:lineRule="auto"/>
              <w:ind w:left="0"/>
              <w:jc w:val="both"/>
              <w:rPr>
                <w:rFonts w:ascii="Times New Roman" w:hAnsi="Times New Roman" w:cs="Times New Roman"/>
                <w:sz w:val="28"/>
                <w:szCs w:val="28"/>
              </w:rPr>
            </w:pPr>
            <w:r w:rsidRPr="00A210AE">
              <w:rPr>
                <w:rFonts w:ascii="Times New Roman" w:hAnsi="Times New Roman" w:cs="Times New Roman"/>
                <w:sz w:val="28"/>
                <w:szCs w:val="28"/>
              </w:rPr>
              <w:t>În scopul respectării prevederilor Legii nr. 239/2008 privind transparența în pro</w:t>
            </w:r>
            <w:r w:rsidR="00D97CF6" w:rsidRPr="00A210AE">
              <w:rPr>
                <w:rFonts w:ascii="Times New Roman" w:hAnsi="Times New Roman" w:cs="Times New Roman"/>
                <w:sz w:val="28"/>
                <w:szCs w:val="28"/>
              </w:rPr>
              <w:t>cesul decizional, proiectul de ordin</w:t>
            </w:r>
            <w:r w:rsidRPr="00A210AE">
              <w:rPr>
                <w:rFonts w:ascii="Times New Roman" w:hAnsi="Times New Roman" w:cs="Times New Roman"/>
                <w:sz w:val="28"/>
                <w:szCs w:val="28"/>
              </w:rPr>
              <w:t xml:space="preserve"> urmează a fi supus consultărilor publice în conformitate cu prevederile legale.</w:t>
            </w:r>
          </w:p>
        </w:tc>
      </w:tr>
      <w:tr w:rsidR="00A210AE" w:rsidRPr="00A210AE" w14:paraId="7F5FBB87" w14:textId="77777777" w:rsidTr="0016453E">
        <w:trPr>
          <w:jc w:val="center"/>
        </w:trPr>
        <w:tc>
          <w:tcPr>
            <w:tcW w:w="9356" w:type="dxa"/>
            <w:tcBorders>
              <w:top w:val="single" w:sz="6" w:space="0" w:color="000000"/>
              <w:left w:val="single" w:sz="6" w:space="0" w:color="000000"/>
              <w:bottom w:val="single" w:sz="6" w:space="0" w:color="000000"/>
              <w:right w:val="single" w:sz="6" w:space="0" w:color="000000"/>
            </w:tcBorders>
            <w:shd w:val="clear" w:color="auto" w:fill="B4C6E7"/>
            <w:tcMar>
              <w:top w:w="15" w:type="dxa"/>
              <w:left w:w="45" w:type="dxa"/>
              <w:bottom w:w="15" w:type="dxa"/>
              <w:right w:w="45" w:type="dxa"/>
            </w:tcMar>
          </w:tcPr>
          <w:p w14:paraId="1A4C6231" w14:textId="77777777" w:rsidR="00ED1EF1" w:rsidRPr="00A210AE" w:rsidRDefault="00DF2C1D" w:rsidP="003B38E7">
            <w:pPr>
              <w:pStyle w:val="1"/>
              <w:spacing w:line="276" w:lineRule="auto"/>
              <w:ind w:left="0"/>
              <w:rPr>
                <w:rFonts w:ascii="Times New Roman" w:hAnsi="Times New Roman" w:cs="Times New Roman"/>
                <w:sz w:val="28"/>
                <w:szCs w:val="28"/>
              </w:rPr>
            </w:pPr>
            <w:r w:rsidRPr="00A210AE">
              <w:rPr>
                <w:rFonts w:ascii="Times New Roman" w:hAnsi="Times New Roman" w:cs="Times New Roman"/>
                <w:b/>
                <w:sz w:val="28"/>
                <w:szCs w:val="28"/>
              </w:rPr>
              <w:t>8.</w:t>
            </w:r>
            <w:r w:rsidRPr="00A210AE">
              <w:rPr>
                <w:rFonts w:ascii="Times New Roman" w:hAnsi="Times New Roman" w:cs="Times New Roman"/>
                <w:sz w:val="28"/>
                <w:szCs w:val="28"/>
              </w:rPr>
              <w:t xml:space="preserve"> </w:t>
            </w:r>
            <w:r w:rsidRPr="00A210AE">
              <w:rPr>
                <w:rFonts w:ascii="Times New Roman" w:hAnsi="Times New Roman" w:cs="Times New Roman"/>
                <w:b/>
                <w:sz w:val="28"/>
                <w:szCs w:val="28"/>
              </w:rPr>
              <w:t>Constatările expertizei anticorupţie</w:t>
            </w:r>
            <w:r w:rsidRPr="00A210AE">
              <w:rPr>
                <w:rFonts w:ascii="Times New Roman" w:hAnsi="Times New Roman" w:cs="Times New Roman"/>
                <w:sz w:val="28"/>
                <w:szCs w:val="28"/>
              </w:rPr>
              <w:t xml:space="preserve"> </w:t>
            </w:r>
          </w:p>
        </w:tc>
      </w:tr>
      <w:tr w:rsidR="00A210AE" w:rsidRPr="00A210AE" w14:paraId="6D3BDA14" w14:textId="77777777" w:rsidTr="0016453E">
        <w:trPr>
          <w:jc w:val="center"/>
        </w:trPr>
        <w:tc>
          <w:tcPr>
            <w:tcW w:w="93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9C9639" w14:textId="4856FFCE" w:rsidR="00ED1EF1" w:rsidRPr="00A210AE" w:rsidRDefault="00A210AE" w:rsidP="00915B0C">
            <w:pPr>
              <w:tabs>
                <w:tab w:val="left" w:pos="317"/>
              </w:tabs>
              <w:spacing w:line="276" w:lineRule="auto"/>
              <w:ind w:left="0"/>
              <w:jc w:val="both"/>
              <w:rPr>
                <w:rFonts w:ascii="Times New Roman" w:hAnsi="Times New Roman" w:cs="Times New Roman"/>
                <w:sz w:val="28"/>
                <w:szCs w:val="28"/>
              </w:rPr>
            </w:pPr>
            <w:r w:rsidRPr="00A210AE">
              <w:rPr>
                <w:rFonts w:ascii="Times New Roman" w:hAnsi="Times New Roman" w:cs="Times New Roman"/>
                <w:sz w:val="28"/>
                <w:szCs w:val="28"/>
              </w:rPr>
              <w:t>R</w:t>
            </w:r>
            <w:r w:rsidR="00C54DAE">
              <w:rPr>
                <w:rFonts w:ascii="Times New Roman" w:hAnsi="Times New Roman" w:cs="Times New Roman"/>
                <w:sz w:val="28"/>
                <w:szCs w:val="28"/>
              </w:rPr>
              <w:t>e</w:t>
            </w:r>
            <w:r w:rsidRPr="00A210AE">
              <w:rPr>
                <w:rFonts w:ascii="Times New Roman" w:hAnsi="Times New Roman" w:cs="Times New Roman"/>
                <w:sz w:val="28"/>
                <w:szCs w:val="28"/>
              </w:rPr>
              <w:t>ieșind din condiţiile ce au impus elaborarea proiectului de act normativ p</w:t>
            </w:r>
            <w:r w:rsidR="00DF2C1D" w:rsidRPr="00A210AE">
              <w:rPr>
                <w:rFonts w:ascii="Times New Roman" w:hAnsi="Times New Roman" w:cs="Times New Roman"/>
                <w:sz w:val="28"/>
                <w:szCs w:val="28"/>
              </w:rPr>
              <w:t xml:space="preserve">roiectul </w:t>
            </w:r>
            <w:r w:rsidRPr="00A210AE">
              <w:rPr>
                <w:rFonts w:ascii="Times New Roman" w:hAnsi="Times New Roman" w:cs="Times New Roman"/>
                <w:sz w:val="28"/>
                <w:szCs w:val="28"/>
              </w:rPr>
              <w:t xml:space="preserve">de ordin nu urmează a </w:t>
            </w:r>
            <w:r w:rsidR="00DF2C1D" w:rsidRPr="00A210AE">
              <w:rPr>
                <w:rFonts w:ascii="Times New Roman" w:hAnsi="Times New Roman" w:cs="Times New Roman"/>
                <w:sz w:val="28"/>
                <w:szCs w:val="28"/>
              </w:rPr>
              <w:t>fi supus expertizei anticorupție în conformitate cu art. 35 din Legea cu privire la actele normative nr. 100/2017</w:t>
            </w:r>
            <w:r w:rsidR="00915B0C">
              <w:rPr>
                <w:rFonts w:ascii="Times New Roman" w:hAnsi="Times New Roman" w:cs="Times New Roman"/>
                <w:sz w:val="28"/>
                <w:szCs w:val="28"/>
              </w:rPr>
              <w:t>.</w:t>
            </w:r>
            <w:bookmarkStart w:id="0" w:name="_GoBack"/>
            <w:bookmarkEnd w:id="0"/>
            <w:r w:rsidR="00DF2C1D" w:rsidRPr="00A210AE">
              <w:rPr>
                <w:rFonts w:ascii="Times New Roman" w:hAnsi="Times New Roman" w:cs="Times New Roman"/>
                <w:sz w:val="28"/>
                <w:szCs w:val="28"/>
              </w:rPr>
              <w:t xml:space="preserve"> </w:t>
            </w:r>
          </w:p>
        </w:tc>
      </w:tr>
      <w:tr w:rsidR="00A210AE" w:rsidRPr="00A210AE" w14:paraId="657A0B39" w14:textId="77777777" w:rsidTr="0016453E">
        <w:trPr>
          <w:jc w:val="center"/>
        </w:trPr>
        <w:tc>
          <w:tcPr>
            <w:tcW w:w="9356" w:type="dxa"/>
            <w:tcBorders>
              <w:top w:val="single" w:sz="6" w:space="0" w:color="000000"/>
              <w:left w:val="single" w:sz="6" w:space="0" w:color="000000"/>
              <w:bottom w:val="single" w:sz="6" w:space="0" w:color="000000"/>
              <w:right w:val="single" w:sz="6" w:space="0" w:color="000000"/>
            </w:tcBorders>
            <w:shd w:val="clear" w:color="auto" w:fill="B4C6E7"/>
            <w:tcMar>
              <w:top w:w="15" w:type="dxa"/>
              <w:left w:w="45" w:type="dxa"/>
              <w:bottom w:w="15" w:type="dxa"/>
              <w:right w:w="45" w:type="dxa"/>
            </w:tcMar>
          </w:tcPr>
          <w:p w14:paraId="2C2A1526" w14:textId="77777777" w:rsidR="00ED1EF1" w:rsidRPr="00A210AE" w:rsidRDefault="00DF2C1D">
            <w:pPr>
              <w:pStyle w:val="1"/>
              <w:spacing w:line="276" w:lineRule="auto"/>
              <w:rPr>
                <w:rFonts w:ascii="Times New Roman" w:hAnsi="Times New Roman" w:cs="Times New Roman"/>
                <w:sz w:val="28"/>
                <w:szCs w:val="28"/>
              </w:rPr>
            </w:pPr>
            <w:r w:rsidRPr="00A210AE">
              <w:rPr>
                <w:rFonts w:ascii="Times New Roman" w:hAnsi="Times New Roman" w:cs="Times New Roman"/>
                <w:b/>
                <w:sz w:val="28"/>
                <w:szCs w:val="28"/>
              </w:rPr>
              <w:t>9.</w:t>
            </w:r>
            <w:r w:rsidRPr="00A210AE">
              <w:rPr>
                <w:rFonts w:ascii="Times New Roman" w:hAnsi="Times New Roman" w:cs="Times New Roman"/>
                <w:sz w:val="28"/>
                <w:szCs w:val="28"/>
              </w:rPr>
              <w:t xml:space="preserve"> </w:t>
            </w:r>
            <w:r w:rsidRPr="00A210AE">
              <w:rPr>
                <w:rFonts w:ascii="Times New Roman" w:hAnsi="Times New Roman" w:cs="Times New Roman"/>
                <w:b/>
                <w:sz w:val="28"/>
                <w:szCs w:val="28"/>
              </w:rPr>
              <w:t>Constatările expertizei de compatibilitate</w:t>
            </w:r>
            <w:r w:rsidRPr="00A210AE">
              <w:rPr>
                <w:rFonts w:ascii="Times New Roman" w:hAnsi="Times New Roman" w:cs="Times New Roman"/>
                <w:sz w:val="28"/>
                <w:szCs w:val="28"/>
              </w:rPr>
              <w:t xml:space="preserve"> </w:t>
            </w:r>
          </w:p>
        </w:tc>
      </w:tr>
      <w:tr w:rsidR="00A210AE" w:rsidRPr="00A210AE" w14:paraId="1F25F031" w14:textId="77777777" w:rsidTr="0016453E">
        <w:trPr>
          <w:jc w:val="center"/>
        </w:trPr>
        <w:tc>
          <w:tcPr>
            <w:tcW w:w="93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60D814C" w14:textId="1DA1BD15" w:rsidR="00ED1EF1" w:rsidRPr="00A210AE" w:rsidRDefault="00025CE9" w:rsidP="005924BA">
            <w:pPr>
              <w:pStyle w:val="1"/>
              <w:spacing w:line="276" w:lineRule="auto"/>
              <w:ind w:left="0"/>
              <w:jc w:val="both"/>
              <w:rPr>
                <w:rFonts w:ascii="Times New Roman" w:hAnsi="Times New Roman" w:cs="Times New Roman"/>
                <w:sz w:val="28"/>
                <w:szCs w:val="28"/>
              </w:rPr>
            </w:pPr>
            <w:sdt>
              <w:sdtPr>
                <w:rPr>
                  <w:rFonts w:ascii="Times New Roman" w:hAnsi="Times New Roman" w:cs="Times New Roman"/>
                  <w:sz w:val="28"/>
                  <w:szCs w:val="28"/>
                </w:rPr>
                <w:tag w:val="goog_rdk_1"/>
                <w:id w:val="472878568"/>
                <w:showingPlcHdr/>
              </w:sdtPr>
              <w:sdtEndPr/>
              <w:sdtContent>
                <w:r w:rsidR="00160B64" w:rsidRPr="00A210AE">
                  <w:rPr>
                    <w:rFonts w:ascii="Times New Roman" w:hAnsi="Times New Roman" w:cs="Times New Roman"/>
                    <w:sz w:val="28"/>
                    <w:szCs w:val="28"/>
                  </w:rPr>
                  <w:t xml:space="preserve">     </w:t>
                </w:r>
              </w:sdtContent>
            </w:sdt>
          </w:p>
        </w:tc>
      </w:tr>
      <w:tr w:rsidR="00A210AE" w:rsidRPr="00A210AE" w14:paraId="73F1EDD4" w14:textId="77777777" w:rsidTr="0016453E">
        <w:trPr>
          <w:jc w:val="center"/>
        </w:trPr>
        <w:tc>
          <w:tcPr>
            <w:tcW w:w="9356" w:type="dxa"/>
            <w:tcBorders>
              <w:top w:val="single" w:sz="6" w:space="0" w:color="000000"/>
              <w:left w:val="single" w:sz="6" w:space="0" w:color="000000"/>
              <w:bottom w:val="single" w:sz="6" w:space="0" w:color="000000"/>
              <w:right w:val="single" w:sz="6" w:space="0" w:color="000000"/>
            </w:tcBorders>
            <w:shd w:val="clear" w:color="auto" w:fill="B4C6E7"/>
            <w:tcMar>
              <w:top w:w="15" w:type="dxa"/>
              <w:left w:w="45" w:type="dxa"/>
              <w:bottom w:w="15" w:type="dxa"/>
              <w:right w:w="45" w:type="dxa"/>
            </w:tcMar>
          </w:tcPr>
          <w:p w14:paraId="0D7C4864" w14:textId="77777777" w:rsidR="00ED1EF1" w:rsidRPr="00A210AE" w:rsidRDefault="00DF2C1D">
            <w:pPr>
              <w:pStyle w:val="1"/>
              <w:spacing w:line="276" w:lineRule="auto"/>
              <w:rPr>
                <w:rFonts w:ascii="Times New Roman" w:hAnsi="Times New Roman" w:cs="Times New Roman"/>
                <w:sz w:val="28"/>
                <w:szCs w:val="28"/>
              </w:rPr>
            </w:pPr>
            <w:r w:rsidRPr="00A210AE">
              <w:rPr>
                <w:rFonts w:ascii="Times New Roman" w:hAnsi="Times New Roman" w:cs="Times New Roman"/>
                <w:b/>
                <w:sz w:val="28"/>
                <w:szCs w:val="28"/>
              </w:rPr>
              <w:t>10.</w:t>
            </w:r>
            <w:r w:rsidRPr="00A210AE">
              <w:rPr>
                <w:rFonts w:ascii="Times New Roman" w:hAnsi="Times New Roman" w:cs="Times New Roman"/>
                <w:sz w:val="28"/>
                <w:szCs w:val="28"/>
              </w:rPr>
              <w:t xml:space="preserve"> </w:t>
            </w:r>
            <w:r w:rsidRPr="00A210AE">
              <w:rPr>
                <w:rFonts w:ascii="Times New Roman" w:hAnsi="Times New Roman" w:cs="Times New Roman"/>
                <w:b/>
                <w:sz w:val="28"/>
                <w:szCs w:val="28"/>
              </w:rPr>
              <w:t>Constatările expertizei juridice</w:t>
            </w:r>
            <w:r w:rsidRPr="00A210AE">
              <w:rPr>
                <w:rFonts w:ascii="Times New Roman" w:hAnsi="Times New Roman" w:cs="Times New Roman"/>
                <w:sz w:val="28"/>
                <w:szCs w:val="28"/>
              </w:rPr>
              <w:t xml:space="preserve"> </w:t>
            </w:r>
          </w:p>
        </w:tc>
      </w:tr>
      <w:tr w:rsidR="00A210AE" w:rsidRPr="00A210AE" w14:paraId="1899AF79" w14:textId="77777777" w:rsidTr="0016453E">
        <w:trPr>
          <w:jc w:val="center"/>
        </w:trPr>
        <w:tc>
          <w:tcPr>
            <w:tcW w:w="93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33DE57D" w14:textId="2F6B0751" w:rsidR="00ED1EF1" w:rsidRPr="00A210AE" w:rsidRDefault="00ED1EF1" w:rsidP="00D97CF6">
            <w:pPr>
              <w:tabs>
                <w:tab w:val="left" w:pos="317"/>
              </w:tabs>
              <w:spacing w:line="276" w:lineRule="auto"/>
              <w:ind w:left="0"/>
              <w:jc w:val="both"/>
              <w:rPr>
                <w:rFonts w:ascii="Times New Roman" w:hAnsi="Times New Roman" w:cs="Times New Roman"/>
                <w:sz w:val="28"/>
                <w:szCs w:val="28"/>
              </w:rPr>
            </w:pPr>
          </w:p>
        </w:tc>
      </w:tr>
      <w:tr w:rsidR="00A210AE" w:rsidRPr="00A210AE" w14:paraId="6410B65C" w14:textId="77777777" w:rsidTr="0016453E">
        <w:trPr>
          <w:jc w:val="center"/>
        </w:trPr>
        <w:tc>
          <w:tcPr>
            <w:tcW w:w="9356" w:type="dxa"/>
            <w:tcBorders>
              <w:top w:val="single" w:sz="6" w:space="0" w:color="000000"/>
              <w:left w:val="single" w:sz="6" w:space="0" w:color="000000"/>
              <w:bottom w:val="single" w:sz="6" w:space="0" w:color="000000"/>
              <w:right w:val="single" w:sz="6" w:space="0" w:color="000000"/>
            </w:tcBorders>
            <w:shd w:val="clear" w:color="auto" w:fill="B4C6E7"/>
            <w:tcMar>
              <w:top w:w="15" w:type="dxa"/>
              <w:left w:w="45" w:type="dxa"/>
              <w:bottom w:w="15" w:type="dxa"/>
              <w:right w:w="45" w:type="dxa"/>
            </w:tcMar>
          </w:tcPr>
          <w:p w14:paraId="5AED7E3C" w14:textId="77777777" w:rsidR="00ED1EF1" w:rsidRPr="00A210AE" w:rsidRDefault="00DF2C1D">
            <w:pPr>
              <w:pStyle w:val="1"/>
              <w:spacing w:line="276" w:lineRule="auto"/>
              <w:rPr>
                <w:rFonts w:ascii="Times New Roman" w:hAnsi="Times New Roman" w:cs="Times New Roman"/>
                <w:sz w:val="28"/>
                <w:szCs w:val="28"/>
              </w:rPr>
            </w:pPr>
            <w:r w:rsidRPr="00A210AE">
              <w:rPr>
                <w:rFonts w:ascii="Times New Roman" w:hAnsi="Times New Roman" w:cs="Times New Roman"/>
                <w:b/>
                <w:sz w:val="28"/>
                <w:szCs w:val="28"/>
              </w:rPr>
              <w:t>11.</w:t>
            </w:r>
            <w:r w:rsidRPr="00A210AE">
              <w:rPr>
                <w:rFonts w:ascii="Times New Roman" w:hAnsi="Times New Roman" w:cs="Times New Roman"/>
                <w:sz w:val="28"/>
                <w:szCs w:val="28"/>
              </w:rPr>
              <w:t xml:space="preserve"> </w:t>
            </w:r>
            <w:r w:rsidRPr="00A210AE">
              <w:rPr>
                <w:rFonts w:ascii="Times New Roman" w:hAnsi="Times New Roman" w:cs="Times New Roman"/>
                <w:b/>
                <w:sz w:val="28"/>
                <w:szCs w:val="28"/>
              </w:rPr>
              <w:t>Constatările altor expertize</w:t>
            </w:r>
            <w:r w:rsidRPr="00A210AE">
              <w:rPr>
                <w:rFonts w:ascii="Times New Roman" w:hAnsi="Times New Roman" w:cs="Times New Roman"/>
                <w:sz w:val="28"/>
                <w:szCs w:val="28"/>
              </w:rPr>
              <w:t xml:space="preserve"> </w:t>
            </w:r>
          </w:p>
        </w:tc>
      </w:tr>
      <w:tr w:rsidR="00A210AE" w:rsidRPr="00A210AE" w14:paraId="1DA328C7" w14:textId="77777777" w:rsidTr="0016453E">
        <w:trPr>
          <w:jc w:val="center"/>
        </w:trPr>
        <w:tc>
          <w:tcPr>
            <w:tcW w:w="93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030DD35" w14:textId="3D81FE80" w:rsidR="00ED1EF1" w:rsidRPr="00A210AE" w:rsidRDefault="00DF2C1D" w:rsidP="00D97CF6">
            <w:pPr>
              <w:spacing w:line="276" w:lineRule="auto"/>
              <w:ind w:left="0"/>
              <w:jc w:val="both"/>
              <w:rPr>
                <w:rFonts w:ascii="Times New Roman" w:hAnsi="Times New Roman" w:cs="Times New Roman"/>
                <w:sz w:val="28"/>
                <w:szCs w:val="28"/>
              </w:rPr>
            </w:pPr>
            <w:r w:rsidRPr="00A210AE">
              <w:rPr>
                <w:rFonts w:ascii="Times New Roman" w:hAnsi="Times New Roman" w:cs="Times New Roman"/>
                <w:sz w:val="28"/>
                <w:szCs w:val="28"/>
              </w:rPr>
              <w:t xml:space="preserve"> Proiectul de </w:t>
            </w:r>
            <w:r w:rsidR="00D97CF6" w:rsidRPr="00A210AE">
              <w:rPr>
                <w:rFonts w:ascii="Times New Roman" w:hAnsi="Times New Roman" w:cs="Times New Roman"/>
                <w:sz w:val="28"/>
                <w:szCs w:val="28"/>
              </w:rPr>
              <w:t>ordin</w:t>
            </w:r>
            <w:r w:rsidRPr="00A210AE">
              <w:rPr>
                <w:rFonts w:ascii="Times New Roman" w:hAnsi="Times New Roman" w:cs="Times New Roman"/>
                <w:sz w:val="28"/>
                <w:szCs w:val="28"/>
              </w:rPr>
              <w:t xml:space="preserve"> nu necesită alte expertize specializate. </w:t>
            </w:r>
          </w:p>
        </w:tc>
      </w:tr>
    </w:tbl>
    <w:p w14:paraId="6741E056" w14:textId="55C41DAF" w:rsidR="00ED1EF1" w:rsidRPr="00A210AE" w:rsidRDefault="00ED1EF1" w:rsidP="006C77CC">
      <w:pPr>
        <w:pStyle w:val="1"/>
        <w:spacing w:line="276" w:lineRule="auto"/>
        <w:rPr>
          <w:rFonts w:ascii="Times New Roman" w:hAnsi="Times New Roman" w:cs="Times New Roman"/>
          <w:b/>
          <w:sz w:val="28"/>
          <w:szCs w:val="28"/>
        </w:rPr>
      </w:pPr>
    </w:p>
    <w:sectPr w:rsidR="00ED1EF1" w:rsidRPr="00A210AE" w:rsidSect="000B3F89">
      <w:footerReference w:type="default" r:id="rId8"/>
      <w:pgSz w:w="11906" w:h="16838"/>
      <w:pgMar w:top="270" w:right="850" w:bottom="1134" w:left="1701"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E67A6" w14:textId="77777777" w:rsidR="00025CE9" w:rsidRDefault="00025CE9">
      <w:pPr>
        <w:spacing w:after="0" w:line="240" w:lineRule="auto"/>
      </w:pPr>
      <w:r>
        <w:separator/>
      </w:r>
    </w:p>
  </w:endnote>
  <w:endnote w:type="continuationSeparator" w:id="0">
    <w:p w14:paraId="1DA651AE" w14:textId="77777777" w:rsidR="00025CE9" w:rsidRDefault="00025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Noto Sans Symbols">
    <w:altName w:val="Calibri"/>
    <w:charset w:val="00"/>
    <w:family w:val="auto"/>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1A42F" w14:textId="75B8C571" w:rsidR="00ED1EF1" w:rsidRDefault="00DF2C1D">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15B0C">
      <w:rPr>
        <w:noProof/>
        <w:color w:val="000000"/>
      </w:rPr>
      <w:t>1</w:t>
    </w:r>
    <w:r>
      <w:rPr>
        <w:color w:val="000000"/>
      </w:rPr>
      <w:fldChar w:fldCharType="end"/>
    </w:r>
  </w:p>
  <w:p w14:paraId="7C247337" w14:textId="77777777" w:rsidR="00ED1EF1" w:rsidRDefault="00ED1EF1">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B9978" w14:textId="77777777" w:rsidR="00025CE9" w:rsidRDefault="00025CE9">
      <w:pPr>
        <w:spacing w:after="0" w:line="240" w:lineRule="auto"/>
      </w:pPr>
      <w:r>
        <w:separator/>
      </w:r>
    </w:p>
  </w:footnote>
  <w:footnote w:type="continuationSeparator" w:id="0">
    <w:p w14:paraId="09B744BE" w14:textId="77777777" w:rsidR="00025CE9" w:rsidRDefault="00025C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E1FB5"/>
    <w:multiLevelType w:val="hybridMultilevel"/>
    <w:tmpl w:val="338CFAF2"/>
    <w:lvl w:ilvl="0" w:tplc="08180001">
      <w:start w:val="1"/>
      <w:numFmt w:val="bullet"/>
      <w:lvlText w:val=""/>
      <w:lvlJc w:val="left"/>
      <w:pPr>
        <w:ind w:left="1287" w:hanging="360"/>
      </w:pPr>
      <w:rPr>
        <w:rFonts w:ascii="Symbol" w:hAnsi="Symbol" w:hint="default"/>
      </w:rPr>
    </w:lvl>
    <w:lvl w:ilvl="1" w:tplc="08180003" w:tentative="1">
      <w:start w:val="1"/>
      <w:numFmt w:val="bullet"/>
      <w:lvlText w:val="o"/>
      <w:lvlJc w:val="left"/>
      <w:pPr>
        <w:ind w:left="2007" w:hanging="360"/>
      </w:pPr>
      <w:rPr>
        <w:rFonts w:ascii="Courier New" w:hAnsi="Courier New" w:cs="Courier New" w:hint="default"/>
      </w:rPr>
    </w:lvl>
    <w:lvl w:ilvl="2" w:tplc="08180005" w:tentative="1">
      <w:start w:val="1"/>
      <w:numFmt w:val="bullet"/>
      <w:lvlText w:val=""/>
      <w:lvlJc w:val="left"/>
      <w:pPr>
        <w:ind w:left="2727" w:hanging="360"/>
      </w:pPr>
      <w:rPr>
        <w:rFonts w:ascii="Wingdings" w:hAnsi="Wingdings" w:hint="default"/>
      </w:rPr>
    </w:lvl>
    <w:lvl w:ilvl="3" w:tplc="08180001" w:tentative="1">
      <w:start w:val="1"/>
      <w:numFmt w:val="bullet"/>
      <w:lvlText w:val=""/>
      <w:lvlJc w:val="left"/>
      <w:pPr>
        <w:ind w:left="3447" w:hanging="360"/>
      </w:pPr>
      <w:rPr>
        <w:rFonts w:ascii="Symbol" w:hAnsi="Symbol" w:hint="default"/>
      </w:rPr>
    </w:lvl>
    <w:lvl w:ilvl="4" w:tplc="08180003" w:tentative="1">
      <w:start w:val="1"/>
      <w:numFmt w:val="bullet"/>
      <w:lvlText w:val="o"/>
      <w:lvlJc w:val="left"/>
      <w:pPr>
        <w:ind w:left="4167" w:hanging="360"/>
      </w:pPr>
      <w:rPr>
        <w:rFonts w:ascii="Courier New" w:hAnsi="Courier New" w:cs="Courier New" w:hint="default"/>
      </w:rPr>
    </w:lvl>
    <w:lvl w:ilvl="5" w:tplc="08180005" w:tentative="1">
      <w:start w:val="1"/>
      <w:numFmt w:val="bullet"/>
      <w:lvlText w:val=""/>
      <w:lvlJc w:val="left"/>
      <w:pPr>
        <w:ind w:left="4887" w:hanging="360"/>
      </w:pPr>
      <w:rPr>
        <w:rFonts w:ascii="Wingdings" w:hAnsi="Wingdings" w:hint="default"/>
      </w:rPr>
    </w:lvl>
    <w:lvl w:ilvl="6" w:tplc="08180001" w:tentative="1">
      <w:start w:val="1"/>
      <w:numFmt w:val="bullet"/>
      <w:lvlText w:val=""/>
      <w:lvlJc w:val="left"/>
      <w:pPr>
        <w:ind w:left="5607" w:hanging="360"/>
      </w:pPr>
      <w:rPr>
        <w:rFonts w:ascii="Symbol" w:hAnsi="Symbol" w:hint="default"/>
      </w:rPr>
    </w:lvl>
    <w:lvl w:ilvl="7" w:tplc="08180003" w:tentative="1">
      <w:start w:val="1"/>
      <w:numFmt w:val="bullet"/>
      <w:lvlText w:val="o"/>
      <w:lvlJc w:val="left"/>
      <w:pPr>
        <w:ind w:left="6327" w:hanging="360"/>
      </w:pPr>
      <w:rPr>
        <w:rFonts w:ascii="Courier New" w:hAnsi="Courier New" w:cs="Courier New" w:hint="default"/>
      </w:rPr>
    </w:lvl>
    <w:lvl w:ilvl="8" w:tplc="08180005" w:tentative="1">
      <w:start w:val="1"/>
      <w:numFmt w:val="bullet"/>
      <w:lvlText w:val=""/>
      <w:lvlJc w:val="left"/>
      <w:pPr>
        <w:ind w:left="7047" w:hanging="360"/>
      </w:pPr>
      <w:rPr>
        <w:rFonts w:ascii="Wingdings" w:hAnsi="Wingdings" w:hint="default"/>
      </w:rPr>
    </w:lvl>
  </w:abstractNum>
  <w:abstractNum w:abstractNumId="1" w15:restartNumberingAfterBreak="0">
    <w:nsid w:val="2C766D92"/>
    <w:multiLevelType w:val="hybridMultilevel"/>
    <w:tmpl w:val="AFB41D8A"/>
    <w:lvl w:ilvl="0" w:tplc="980C8A4A">
      <w:start w:val="1"/>
      <w:numFmt w:val="bullet"/>
      <w:lvlText w:val="-"/>
      <w:lvlJc w:val="left"/>
      <w:pPr>
        <w:ind w:left="761" w:hanging="360"/>
      </w:pPr>
      <w:rPr>
        <w:rFonts w:ascii="Times New Roman" w:eastAsia="Georgia" w:hAnsi="Times New Roman" w:cs="Times New Roman"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2" w15:restartNumberingAfterBreak="0">
    <w:nsid w:val="377F431B"/>
    <w:multiLevelType w:val="hybridMultilevel"/>
    <w:tmpl w:val="4C104ED4"/>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 w15:restartNumberingAfterBreak="0">
    <w:nsid w:val="420152D5"/>
    <w:multiLevelType w:val="multilevel"/>
    <w:tmpl w:val="D9A89780"/>
    <w:lvl w:ilvl="0">
      <w:start w:val="10"/>
      <w:numFmt w:val="bullet"/>
      <w:lvlText w:val="-"/>
      <w:lvlJc w:val="left"/>
      <w:pPr>
        <w:ind w:left="720" w:hanging="360"/>
      </w:pPr>
      <w:rPr>
        <w:rFonts w:ascii="Georgia" w:eastAsia="Georgia" w:hAnsi="Georgia" w:cs="Georg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56C61CF"/>
    <w:multiLevelType w:val="hybridMultilevel"/>
    <w:tmpl w:val="34BA404C"/>
    <w:lvl w:ilvl="0" w:tplc="0419000D">
      <w:start w:val="1"/>
      <w:numFmt w:val="bullet"/>
      <w:lvlText w:val=""/>
      <w:lvlJc w:val="left"/>
      <w:pPr>
        <w:ind w:left="1095" w:hanging="360"/>
      </w:pPr>
      <w:rPr>
        <w:rFonts w:ascii="Wingdings" w:hAnsi="Wingdings"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5" w15:restartNumberingAfterBreak="0">
    <w:nsid w:val="65B64211"/>
    <w:multiLevelType w:val="hybridMultilevel"/>
    <w:tmpl w:val="4B464AA4"/>
    <w:lvl w:ilvl="0" w:tplc="44805CBE">
      <w:start w:val="3"/>
      <w:numFmt w:val="bullet"/>
      <w:lvlText w:val="-"/>
      <w:lvlJc w:val="left"/>
      <w:pPr>
        <w:ind w:left="1080" w:hanging="360"/>
      </w:pPr>
      <w:rPr>
        <w:rFonts w:ascii="Georgia" w:eastAsia="Times New Roman" w:hAnsi="Georgia" w:cs="Times New Roman" w:hint="default"/>
        <w:color w:val="FF000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6A3F30C7"/>
    <w:multiLevelType w:val="hybridMultilevel"/>
    <w:tmpl w:val="0C00A9B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EF1"/>
    <w:rsid w:val="00025CE9"/>
    <w:rsid w:val="00055840"/>
    <w:rsid w:val="00070C80"/>
    <w:rsid w:val="000721E1"/>
    <w:rsid w:val="000B3F89"/>
    <w:rsid w:val="000B6ED9"/>
    <w:rsid w:val="000E5D1C"/>
    <w:rsid w:val="00146432"/>
    <w:rsid w:val="00160B64"/>
    <w:rsid w:val="0016453E"/>
    <w:rsid w:val="0018583A"/>
    <w:rsid w:val="00185902"/>
    <w:rsid w:val="00191B48"/>
    <w:rsid w:val="002117CE"/>
    <w:rsid w:val="00223BE0"/>
    <w:rsid w:val="002354B0"/>
    <w:rsid w:val="002469CF"/>
    <w:rsid w:val="002B2E60"/>
    <w:rsid w:val="002D67C2"/>
    <w:rsid w:val="002D67FA"/>
    <w:rsid w:val="002F24B0"/>
    <w:rsid w:val="00307F6B"/>
    <w:rsid w:val="00315C35"/>
    <w:rsid w:val="003354FA"/>
    <w:rsid w:val="003A558A"/>
    <w:rsid w:val="003B38E7"/>
    <w:rsid w:val="003F1ACB"/>
    <w:rsid w:val="00416F09"/>
    <w:rsid w:val="00430F4F"/>
    <w:rsid w:val="0044684B"/>
    <w:rsid w:val="00455CAB"/>
    <w:rsid w:val="00467B1D"/>
    <w:rsid w:val="00495CBF"/>
    <w:rsid w:val="004A461F"/>
    <w:rsid w:val="004C2521"/>
    <w:rsid w:val="005924BA"/>
    <w:rsid w:val="005A628C"/>
    <w:rsid w:val="005C15FE"/>
    <w:rsid w:val="005E4DCB"/>
    <w:rsid w:val="00610A30"/>
    <w:rsid w:val="00645136"/>
    <w:rsid w:val="00650649"/>
    <w:rsid w:val="00677CED"/>
    <w:rsid w:val="006C77CC"/>
    <w:rsid w:val="006D1DF3"/>
    <w:rsid w:val="00766A79"/>
    <w:rsid w:val="007C1310"/>
    <w:rsid w:val="007C1FE5"/>
    <w:rsid w:val="007F11EB"/>
    <w:rsid w:val="00837F7E"/>
    <w:rsid w:val="008462A1"/>
    <w:rsid w:val="008870E1"/>
    <w:rsid w:val="008E0B0A"/>
    <w:rsid w:val="00907E9B"/>
    <w:rsid w:val="00915B0C"/>
    <w:rsid w:val="00927F16"/>
    <w:rsid w:val="00936CFD"/>
    <w:rsid w:val="00947789"/>
    <w:rsid w:val="00985DA5"/>
    <w:rsid w:val="009B12D1"/>
    <w:rsid w:val="00A01F58"/>
    <w:rsid w:val="00A210AE"/>
    <w:rsid w:val="00A254BD"/>
    <w:rsid w:val="00A60522"/>
    <w:rsid w:val="00A97E65"/>
    <w:rsid w:val="00AA2E30"/>
    <w:rsid w:val="00AC115A"/>
    <w:rsid w:val="00AD5BBE"/>
    <w:rsid w:val="00AE36CC"/>
    <w:rsid w:val="00BC49C2"/>
    <w:rsid w:val="00BE5B75"/>
    <w:rsid w:val="00C16D16"/>
    <w:rsid w:val="00C54DAE"/>
    <w:rsid w:val="00C668E8"/>
    <w:rsid w:val="00C76464"/>
    <w:rsid w:val="00CA1E9A"/>
    <w:rsid w:val="00CB5DCC"/>
    <w:rsid w:val="00CC6499"/>
    <w:rsid w:val="00CF59B8"/>
    <w:rsid w:val="00D329A9"/>
    <w:rsid w:val="00D33D29"/>
    <w:rsid w:val="00D4476E"/>
    <w:rsid w:val="00D97CF6"/>
    <w:rsid w:val="00DC1B41"/>
    <w:rsid w:val="00DC2EEE"/>
    <w:rsid w:val="00DF2C1D"/>
    <w:rsid w:val="00E32D66"/>
    <w:rsid w:val="00E34A38"/>
    <w:rsid w:val="00EC070A"/>
    <w:rsid w:val="00ED1EF1"/>
    <w:rsid w:val="00F23D96"/>
    <w:rsid w:val="00FF0E8D"/>
    <w:rsid w:val="00FF2322"/>
  </w:rsids>
  <m:mathPr>
    <m:mathFont m:val="Cambria Math"/>
    <m:brkBin m:val="before"/>
    <m:brkBinSub m:val="--"/>
    <m:smallFrac m:val="0"/>
    <m:dispDef/>
    <m:lMargin m:val="0"/>
    <m:rMargin m:val="0"/>
    <m:defJc m:val="centerGroup"/>
    <m:wrapIndent m:val="1440"/>
    <m:intLim m:val="subSup"/>
    <m:naryLim m:val="undOvr"/>
  </m:mathPr>
  <w:themeFontLang w:val="ro-MD"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E0F7A"/>
  <w15:docId w15:val="{6FCA81B5-DB07-4B5C-A9E9-64B55209B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Georgia" w:hAnsi="Georgia" w:cs="Georgia"/>
        <w:sz w:val="24"/>
        <w:szCs w:val="24"/>
        <w:lang w:val="ro" w:eastAsia="ro-MD" w:bidi="ar-SA"/>
      </w:rPr>
    </w:rPrDefault>
    <w:pPrDefault>
      <w:pPr>
        <w:spacing w:after="120" w:line="360" w:lineRule="auto"/>
        <w:ind w:left="85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CFB"/>
    <w:rPr>
      <w:lang w:val="ro-RO"/>
    </w:rPr>
  </w:style>
  <w:style w:type="paragraph" w:styleId="1">
    <w:name w:val="heading 1"/>
    <w:next w:val="a"/>
    <w:link w:val="10"/>
    <w:uiPriority w:val="9"/>
    <w:qFormat/>
    <w:rsid w:val="00126CFB"/>
    <w:pPr>
      <w:outlineLvl w:val="0"/>
    </w:pPr>
    <w:rPr>
      <w:lang w:val="ro-RO"/>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pPr>
    <w:rPr>
      <w:b/>
      <w:sz w:val="72"/>
      <w:szCs w:val="72"/>
    </w:rPr>
  </w:style>
  <w:style w:type="paragraph" w:styleId="a4">
    <w:name w:val="No Spacing"/>
    <w:uiPriority w:val="1"/>
    <w:qFormat/>
    <w:rsid w:val="00126CFB"/>
    <w:pPr>
      <w:spacing w:after="0" w:line="240" w:lineRule="auto"/>
    </w:pPr>
  </w:style>
  <w:style w:type="character" w:customStyle="1" w:styleId="10">
    <w:name w:val="Заголовок 1 Знак"/>
    <w:basedOn w:val="a0"/>
    <w:link w:val="1"/>
    <w:uiPriority w:val="9"/>
    <w:rsid w:val="00126CFB"/>
    <w:rPr>
      <w:rFonts w:ascii="Georgia" w:hAnsi="Georgia"/>
      <w:sz w:val="24"/>
      <w:szCs w:val="24"/>
      <w:lang w:val="ro-RO"/>
    </w:rPr>
  </w:style>
  <w:style w:type="paragraph" w:styleId="a5">
    <w:name w:val="List Paragraph"/>
    <w:aliases w:val="Numbered paragraph,Bullet Points,Liste Paragraf,Liststycke SKL,Normal bullet 2,Bullet list,List Paragraph1,Table of contents numbered,b1,Colorful List - Accent 11,Number_1,List bullets,Citation List,Resume Title,Heading 2_sj,body 2"/>
    <w:basedOn w:val="a"/>
    <w:link w:val="a6"/>
    <w:uiPriority w:val="34"/>
    <w:qFormat/>
    <w:rsid w:val="00624385"/>
    <w:pPr>
      <w:ind w:left="720"/>
      <w:contextualSpacing/>
    </w:pPr>
  </w:style>
  <w:style w:type="paragraph" w:styleId="a7">
    <w:name w:val="header"/>
    <w:basedOn w:val="a"/>
    <w:link w:val="a8"/>
    <w:uiPriority w:val="99"/>
    <w:unhideWhenUsed/>
    <w:rsid w:val="0035188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51883"/>
    <w:rPr>
      <w:rFonts w:ascii="Georgia" w:hAnsi="Georgia"/>
      <w:sz w:val="24"/>
      <w:szCs w:val="24"/>
      <w:lang w:val="ro-RO"/>
    </w:rPr>
  </w:style>
  <w:style w:type="paragraph" w:styleId="a9">
    <w:name w:val="footer"/>
    <w:basedOn w:val="a"/>
    <w:link w:val="aa"/>
    <w:uiPriority w:val="99"/>
    <w:unhideWhenUsed/>
    <w:rsid w:val="0035188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51883"/>
    <w:rPr>
      <w:rFonts w:ascii="Georgia" w:hAnsi="Georgia"/>
      <w:sz w:val="24"/>
      <w:szCs w:val="24"/>
      <w:lang w:val="ro-RO"/>
    </w:rPr>
  </w:style>
  <w:style w:type="paragraph" w:styleId="ab">
    <w:name w:val="Subtitle"/>
    <w:basedOn w:val="a"/>
    <w:next w:val="a"/>
    <w:uiPriority w:val="11"/>
    <w:qFormat/>
    <w:pPr>
      <w:keepNext/>
      <w:keepLines/>
      <w:spacing w:before="360" w:after="80"/>
    </w:pPr>
    <w:rPr>
      <w:i/>
      <w:color w:val="666666"/>
      <w:sz w:val="48"/>
      <w:szCs w:val="48"/>
    </w:rPr>
  </w:style>
  <w:style w:type="table" w:customStyle="1" w:styleId="11">
    <w:name w:val="1"/>
    <w:basedOn w:val="a1"/>
    <w:tblPr>
      <w:tblStyleRowBandSize w:val="1"/>
      <w:tblStyleColBandSize w:val="1"/>
      <w:tblCellMar>
        <w:top w:w="15" w:type="dxa"/>
        <w:left w:w="15" w:type="dxa"/>
        <w:bottom w:w="15" w:type="dxa"/>
        <w:right w:w="15" w:type="dxa"/>
      </w:tblCellMar>
    </w:tblPr>
  </w:style>
  <w:style w:type="character" w:customStyle="1" w:styleId="a6">
    <w:name w:val="Абзац списка Знак"/>
    <w:aliases w:val="Numbered paragraph Знак,Bullet Points Знак,Liste Paragraf Знак,Liststycke SKL Знак,Normal bullet 2 Знак,Bullet list Знак,List Paragraph1 Знак,Table of contents numbered Знак,b1 Знак,Colorful List - Accent 11 Знак,Number_1 Знак"/>
    <w:link w:val="a5"/>
    <w:uiPriority w:val="34"/>
    <w:qFormat/>
    <w:locked/>
    <w:rsid w:val="0018583A"/>
    <w:rPr>
      <w:lang w:val="ro-RO"/>
    </w:rPr>
  </w:style>
  <w:style w:type="paragraph" w:styleId="ac">
    <w:name w:val="Normal (Web)"/>
    <w:basedOn w:val="a"/>
    <w:uiPriority w:val="99"/>
    <w:rsid w:val="005A628C"/>
    <w:pPr>
      <w:spacing w:after="0" w:line="240" w:lineRule="auto"/>
      <w:ind w:left="0"/>
    </w:pPr>
    <w:rPr>
      <w:rFonts w:ascii="Times New Roman" w:eastAsia="Times New Roman" w:hAnsi="Times New Roman" w:cs="Times New Roman"/>
      <w:lang w:val="ru-RU" w:eastAsia="ru-RU"/>
    </w:rPr>
  </w:style>
  <w:style w:type="character" w:styleId="ad">
    <w:name w:val="Hyperlink"/>
    <w:basedOn w:val="a0"/>
    <w:uiPriority w:val="99"/>
    <w:unhideWhenUsed/>
    <w:rsid w:val="005A628C"/>
    <w:rPr>
      <w:color w:val="0000FF"/>
      <w:u w:val="single"/>
    </w:rPr>
  </w:style>
  <w:style w:type="paragraph" w:customStyle="1" w:styleId="tt">
    <w:name w:val="tt"/>
    <w:basedOn w:val="a"/>
    <w:rsid w:val="005A628C"/>
    <w:pPr>
      <w:spacing w:before="100" w:beforeAutospacing="1" w:after="100" w:afterAutospacing="1" w:line="240" w:lineRule="auto"/>
      <w:ind w:left="0"/>
    </w:pPr>
    <w:rPr>
      <w:rFonts w:ascii="Times New Roman" w:eastAsia="Times New Roman" w:hAnsi="Times New Roman" w:cs="Times New Roman"/>
      <w:lang w:val="ru-RU" w:eastAsia="ru-RU"/>
    </w:rPr>
  </w:style>
  <w:style w:type="paragraph" w:styleId="ae">
    <w:name w:val="Balloon Text"/>
    <w:basedOn w:val="a"/>
    <w:link w:val="af"/>
    <w:uiPriority w:val="99"/>
    <w:semiHidden/>
    <w:unhideWhenUsed/>
    <w:rsid w:val="00495CB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495CBF"/>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4448">
      <w:bodyDiv w:val="1"/>
      <w:marLeft w:val="0"/>
      <w:marRight w:val="0"/>
      <w:marTop w:val="0"/>
      <w:marBottom w:val="0"/>
      <w:divBdr>
        <w:top w:val="none" w:sz="0" w:space="0" w:color="auto"/>
        <w:left w:val="none" w:sz="0" w:space="0" w:color="auto"/>
        <w:bottom w:val="none" w:sz="0" w:space="0" w:color="auto"/>
        <w:right w:val="none" w:sz="0" w:space="0" w:color="auto"/>
      </w:divBdr>
      <w:divsChild>
        <w:div w:id="1285387365">
          <w:marLeft w:val="0"/>
          <w:marRight w:val="0"/>
          <w:marTop w:val="0"/>
          <w:marBottom w:val="0"/>
          <w:divBdr>
            <w:top w:val="none" w:sz="0" w:space="0" w:color="auto"/>
            <w:left w:val="none" w:sz="0" w:space="0" w:color="auto"/>
            <w:bottom w:val="none" w:sz="0" w:space="0" w:color="auto"/>
            <w:right w:val="none" w:sz="0" w:space="0" w:color="auto"/>
          </w:divBdr>
        </w:div>
      </w:divsChild>
    </w:div>
    <w:div w:id="1410537412">
      <w:bodyDiv w:val="1"/>
      <w:marLeft w:val="0"/>
      <w:marRight w:val="0"/>
      <w:marTop w:val="0"/>
      <w:marBottom w:val="0"/>
      <w:divBdr>
        <w:top w:val="none" w:sz="0" w:space="0" w:color="auto"/>
        <w:left w:val="none" w:sz="0" w:space="0" w:color="auto"/>
        <w:bottom w:val="none" w:sz="0" w:space="0" w:color="auto"/>
        <w:right w:val="none" w:sz="0" w:space="0" w:color="auto"/>
      </w:divBdr>
      <w:divsChild>
        <w:div w:id="5159958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AfpN8ji7bOmjlEcm1J7EfyFhcpg==">AMUW2mWYppnhkCm4goATIdkJH9tziXJnab1Df+jeESicwrEpYt6m1Xx+/pePL8E8YvXOm0/TGWhNCq3Bz2cM2jRy66s2fuTF4zbVdohz1pzl5KO8MAWylowxNaPd1FXkA85dUYQXR92F0Cd2HfI53ItgaPq+C7lGt6C5mHvXOBoY6yfqATmAUiE2FyTGHEUjPjlNbHTbKo1w8YYT8eR+LQxyTsewLOxyOQ==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495</Words>
  <Characters>2872</Characters>
  <Application>Microsoft Office Word</Application>
  <DocSecurity>0</DocSecurity>
  <Lines>23</Lines>
  <Paragraphs>6</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 Barbăscumpă</dc:creator>
  <cp:keywords/>
  <dc:description/>
  <cp:lastModifiedBy>Nichiforciuc Artur</cp:lastModifiedBy>
  <cp:revision>4</cp:revision>
  <cp:lastPrinted>2025-04-29T10:44:00Z</cp:lastPrinted>
  <dcterms:created xsi:type="dcterms:W3CDTF">2025-07-31T07:34:00Z</dcterms:created>
  <dcterms:modified xsi:type="dcterms:W3CDTF">2025-07-31T07:55:00Z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ef5c281c64d6d827e22a3db53921f83d7082e2b499d05c804497affd1acec44e</vt:lpwstr>
  </property>
</Properties>
</file>