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1CF8" w14:textId="1964F1B2" w:rsidR="00927776" w:rsidRPr="00927776" w:rsidRDefault="00927776" w:rsidP="009E65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  <w:r w:rsidR="009E654D" w:rsidRPr="009E654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>Proiect</w:t>
      </w:r>
    </w:p>
    <w:p w14:paraId="2FC81975" w14:textId="4A8968CC" w:rsid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</w:p>
    <w:p w14:paraId="7AE889EE" w14:textId="77777777" w:rsidR="007F4A40" w:rsidRPr="00927776" w:rsidRDefault="007F4A40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</w:p>
    <w:p w14:paraId="2A855C4C" w14:textId="77777777" w:rsidR="00927776" w:rsidRP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GUVERNUL REPUBLICII MOLDOVA</w:t>
      </w:r>
    </w:p>
    <w:p w14:paraId="59328B53" w14:textId="77777777" w:rsidR="00927776" w:rsidRPr="00927776" w:rsidRDefault="0092777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</w:p>
    <w:p w14:paraId="0317E671" w14:textId="5022835E" w:rsid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H O T Ă R </w:t>
      </w:r>
      <w:r w:rsidR="0015269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Â</w:t>
      </w:r>
      <w:r w:rsidR="00152695"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R E</w:t>
      </w:r>
      <w:r w:rsidR="00AE2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nr. ___</w:t>
      </w:r>
    </w:p>
    <w:p w14:paraId="6A6D82C2" w14:textId="0E9455A5" w:rsidR="00AE2FEC" w:rsidRPr="00927776" w:rsidRDefault="00AE2FEC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din ___ __________ 2025 </w:t>
      </w:r>
    </w:p>
    <w:p w14:paraId="46F0371F" w14:textId="77777777" w:rsidR="00927776" w:rsidRP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pentru aprobarea Regulamentului privind modul de transmitere</w:t>
      </w:r>
    </w:p>
    <w:p w14:paraId="087F7157" w14:textId="260DA6A8" w:rsidR="00927776" w:rsidRP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 a  costurilor  investi</w:t>
      </w:r>
      <w:r w:rsidR="00AE2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ionale, formate  în urma  achizi</w:t>
      </w:r>
      <w:r w:rsidR="00AE2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ionării de</w:t>
      </w:r>
    </w:p>
    <w:p w14:paraId="300D42D2" w14:textId="5840A64D" w:rsidR="00927776" w:rsidRPr="00927776" w:rsidRDefault="00927776" w:rsidP="00497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bunuri, </w:t>
      </w:r>
      <w:r w:rsidR="00497A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lucrări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497A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și servicii 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din contul mijloacelor Fondului </w:t>
      </w:r>
      <w:r w:rsidR="00AE2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pentru eficiență energetică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şi din alte surse</w:t>
      </w:r>
    </w:p>
    <w:p w14:paraId="4F9DD7D2" w14:textId="66F2C6D7" w:rsidR="00927776" w:rsidRPr="00927776" w:rsidRDefault="00927776" w:rsidP="00AE2F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 </w:t>
      </w:r>
    </w:p>
    <w:p w14:paraId="12324EC4" w14:textId="2DB69D80" w:rsidR="00927776" w:rsidRPr="00927776" w:rsidRDefault="00927776" w:rsidP="009E65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 </w:t>
      </w:r>
    </w:p>
    <w:p w14:paraId="2F047FAF" w14:textId="74BBF269" w:rsidR="00927776" w:rsidRPr="00927776" w:rsidRDefault="00927776" w:rsidP="00503D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În 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temeiul art. 8 alin. (12</w:t>
      </w:r>
      <w:r w:rsidR="00AE2FEC" w:rsidRP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val="ro-RO"/>
          <w14:ligatures w14:val="none"/>
        </w:rPr>
        <w:t>1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) </w:t>
      </w:r>
      <w:r w:rsidR="00760D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din </w:t>
      </w:r>
      <w:r w:rsidR="00503D76" w:rsidRP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Leg</w:t>
      </w:r>
      <w:r w:rsidR="00760D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ea</w:t>
      </w:r>
      <w:r w:rsidR="00503D76" w:rsidRP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nr. 139/2018 cu privire la eficiența energetică (Monitorul oficial al Republicii Moldova, 2018, nr. 309-320, art. 476)</w:t>
      </w:r>
      <w:r w:rsid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cu modificările ulterioare, Guvernul</w:t>
      </w:r>
    </w:p>
    <w:p w14:paraId="56F82634" w14:textId="77777777" w:rsidR="00AE2FEC" w:rsidRDefault="00AE2FEC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</w:p>
    <w:p w14:paraId="5AA3252E" w14:textId="2E1E2EDA" w:rsid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HOTĂRĂŞTE:</w:t>
      </w:r>
    </w:p>
    <w:p w14:paraId="5A908E56" w14:textId="77777777" w:rsidR="00AE2FEC" w:rsidRPr="00927776" w:rsidRDefault="00AE2FEC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</w:p>
    <w:p w14:paraId="3FD62FED" w14:textId="73681CF7" w:rsidR="00927776" w:rsidRPr="00927776" w:rsidRDefault="00927776" w:rsidP="00503D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1.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Se aprobă Regulamentul</w:t>
      </w:r>
      <w:r w:rsid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503D76" w:rsidRP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privind modul de transmitere a</w:t>
      </w:r>
      <w:r w:rsidR="005779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503D76" w:rsidRP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costurilor investiționale, formate în</w:t>
      </w:r>
      <w:r w:rsidR="00760D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503D76" w:rsidRP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urma achiziționării de</w:t>
      </w:r>
      <w:r w:rsid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503D76" w:rsidRP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bunuri,</w:t>
      </w:r>
      <w:r w:rsidR="00497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lucrări</w:t>
      </w:r>
      <w:r w:rsidR="002158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și servicii</w:t>
      </w:r>
      <w:r w:rsidR="00497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503D76" w:rsidRPr="00503D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din contul mijloacelor </w:t>
      </w:r>
      <w:r w:rsidR="00503D76"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Fondului pentru eficiență energetică şi din alte surse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(se anexează).</w:t>
      </w:r>
    </w:p>
    <w:p w14:paraId="16F96540" w14:textId="4DEBA6D9" w:rsidR="00927776" w:rsidRPr="00927776" w:rsidRDefault="0092777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2.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  <w:r w:rsidR="005779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Se împuternicește </w:t>
      </w:r>
      <w:r w:rsidR="00773F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Instituția Publică </w:t>
      </w:r>
      <w:r w:rsidR="00903A4F" w:rsidRPr="00903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Centrul Național pentru Energie Durabilă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să semneze documentele primare şi actele de predare-primire a setului de documente care atestă valoarea costurilor investi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ionale formate în urma achizi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ionării de bunuri, </w:t>
      </w:r>
      <w:r w:rsidR="002158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lucrări și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servicii</w:t>
      </w:r>
      <w:r w:rsidR="00497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din contul mijloacelor </w:t>
      </w:r>
      <w:r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Fondului </w:t>
      </w:r>
      <w:r w:rsidR="00903A4F"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pentru eficiență energetică</w:t>
      </w:r>
      <w:r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şi din alte surse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şi să transmită setul de documente beneficiari</w:t>
      </w:r>
      <w:r w:rsidR="00903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lor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proiectelor respective.</w:t>
      </w:r>
    </w:p>
    <w:p w14:paraId="225D3F36" w14:textId="77777777" w:rsidR="0051399F" w:rsidRDefault="00927776" w:rsidP="0049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3.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 Transmiterea </w:t>
      </w:r>
      <w:r w:rsidR="00DE63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către beneficiari a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costurilor investi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ionale, formate în urma achizi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ionării de bunuri, </w:t>
      </w:r>
      <w:r w:rsidR="002158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lucrări și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servicii</w:t>
      </w:r>
      <w:r w:rsid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din contul mijloacelor </w:t>
      </w:r>
      <w:r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Fondului </w:t>
      </w:r>
      <w:r w:rsidR="00903A4F"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pentru eficiență energetică</w:t>
      </w:r>
      <w:r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şi din alte surse</w:t>
      </w:r>
      <w:r w:rsidR="00C273E6"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se efectuează, cu titlu gratuit, în baza</w:t>
      </w:r>
      <w:r w:rsidR="005139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:</w:t>
      </w:r>
    </w:p>
    <w:p w14:paraId="5DF18E55" w14:textId="646CAAA5" w:rsidR="0051399F" w:rsidRDefault="0051399F" w:rsidP="0049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51399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3.1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deciziei</w:t>
      </w:r>
      <w:r w:rsidR="000C1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Comitetului de finanțare și risc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0C1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din cadrul</w:t>
      </w:r>
      <w:r w:rsidR="000C1612" w:rsidRPr="00903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773F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Instituției Publice </w:t>
      </w:r>
      <w:r w:rsidR="000C1612" w:rsidRPr="00903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Centrul Național pentru Energie Durabilă</w:t>
      </w:r>
      <w:r w:rsidR="000C1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privind aprobarea finanțării proiect</w:t>
      </w:r>
      <w:r w:rsidR="00C27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elor</w:t>
      </w:r>
      <w:r w:rsidR="000C1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investiționale </w:t>
      </w:r>
      <w:r w:rsidR="000C1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respectiv</w:t>
      </w:r>
      <w:r w:rsidR="00C273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e</w:t>
      </w:r>
      <w:r w:rsidR="009D7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</w:t>
      </w:r>
      <w:r w:rsidR="000C1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din contul mijloacelor </w:t>
      </w:r>
      <w:r w:rsidR="000C1612"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Fondului pentru eficiență energetică</w:t>
      </w:r>
      <w:r w:rsidR="00DE6373"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sau din alte surse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;</w:t>
      </w:r>
    </w:p>
    <w:p w14:paraId="22CDC5E6" w14:textId="45D949B1" w:rsidR="0051399F" w:rsidRDefault="0051399F" w:rsidP="0049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51399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3.2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</w:t>
      </w:r>
      <w:r w:rsidR="000C1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ontractului de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f</w:t>
      </w:r>
      <w:r w:rsidR="000C1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inanțare</w:t>
      </w:r>
      <w:r w:rsidR="009D7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încheiat între </w:t>
      </w:r>
      <w:r w:rsidR="00773F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Instituția Publică </w:t>
      </w:r>
      <w:r w:rsidR="0011157B" w:rsidRPr="00903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Centrul Național pentru Energie Durabilă</w:t>
      </w:r>
      <w:r w:rsidR="001115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D7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și beneficiar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;</w:t>
      </w:r>
    </w:p>
    <w:p w14:paraId="156BDD3E" w14:textId="37DB77A6" w:rsidR="00927776" w:rsidRPr="00927776" w:rsidRDefault="0051399F" w:rsidP="0049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51399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3.3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4B39E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ordinului Directorului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773F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Instituției Publice </w:t>
      </w:r>
      <w:r w:rsidR="000C1612" w:rsidRPr="00903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Centrul Național pentru Energie Durabilă</w:t>
      </w:r>
      <w:r w:rsidR="000C1612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privind transmiterea costurilor investi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ionale formate</w:t>
      </w:r>
      <w:r w:rsidR="009D7E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beneficiari</w:t>
      </w:r>
      <w:r w:rsidR="000C16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lor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în cauză.</w:t>
      </w:r>
    </w:p>
    <w:p w14:paraId="66134E57" w14:textId="5987201B" w:rsidR="00927776" w:rsidRDefault="00F24889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4</w:t>
      </w:r>
      <w:r w:rsidR="00927776"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 Controlul asupra executării prezentei </w:t>
      </w:r>
      <w:r w:rsidR="00152695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hotăr</w:t>
      </w:r>
      <w:r w:rsidR="001526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â</w:t>
      </w:r>
      <w:r w:rsidR="00152695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ri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se pune în sarcina Ministerului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Energiei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.</w:t>
      </w:r>
    </w:p>
    <w:p w14:paraId="100957E4" w14:textId="28A513BD" w:rsidR="00540955" w:rsidRPr="00540955" w:rsidRDefault="00540955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pt-BR"/>
          <w14:ligatures w14:val="none"/>
        </w:rPr>
      </w:pPr>
      <w:r w:rsidRPr="00D84C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5. </w:t>
      </w:r>
      <w:r w:rsidRPr="00D84C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Prezenta hotărâre intră în vigoare în termen de o lună de la data publicării în Monitorul Oficial al Republicii Moldova.</w:t>
      </w:r>
    </w:p>
    <w:tbl>
      <w:tblPr>
        <w:tblW w:w="0" w:type="auto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2110"/>
      </w:tblGrid>
      <w:tr w:rsidR="00927776" w:rsidRPr="00927776" w14:paraId="2134B7DD" w14:textId="77777777" w:rsidTr="0092777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DB15000" w14:textId="77777777" w:rsidR="00927776" w:rsidRPr="00927776" w:rsidRDefault="00927776" w:rsidP="00927776">
            <w:pPr>
              <w:spacing w:before="336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56D528" w14:textId="2F35B8A4" w:rsidR="00927776" w:rsidRPr="00927776" w:rsidRDefault="00F24889" w:rsidP="00927776">
            <w:pPr>
              <w:spacing w:before="336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  <w:t>Dorin Recean</w:t>
            </w:r>
          </w:p>
          <w:p w14:paraId="2C3C5279" w14:textId="77777777" w:rsidR="00927776" w:rsidRPr="00927776" w:rsidRDefault="00927776" w:rsidP="0092777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  <w:lastRenderedPageBreak/>
              <w:t> </w:t>
            </w:r>
          </w:p>
        </w:tc>
      </w:tr>
      <w:tr w:rsidR="00927776" w:rsidRPr="00927776" w14:paraId="686E32F1" w14:textId="77777777" w:rsidTr="0092777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7E7E4CD5" w14:textId="77777777" w:rsidR="00927776" w:rsidRPr="00927776" w:rsidRDefault="00927776" w:rsidP="00927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  <w:lastRenderedPageBreak/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568662" w14:textId="77777777" w:rsidR="00927776" w:rsidRPr="00927776" w:rsidRDefault="00927776" w:rsidP="00927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</w:tr>
      <w:tr w:rsidR="00927776" w:rsidRPr="00927776" w14:paraId="54F19253" w14:textId="77777777" w:rsidTr="0092777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27EA114A" w14:textId="3687F360" w:rsidR="00927776" w:rsidRPr="00927776" w:rsidRDefault="00927776" w:rsidP="00927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  <w:t xml:space="preserve">Ministrul </w:t>
            </w:r>
            <w:r w:rsidR="00F248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  <w:t>Energiei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A61E9F" w14:textId="1C6F2110" w:rsidR="00927776" w:rsidRPr="00927776" w:rsidRDefault="00F24889" w:rsidP="00927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o-RO"/>
                <w14:ligatures w14:val="none"/>
              </w:rPr>
              <w:t>Dorin Junghietu</w:t>
            </w:r>
          </w:p>
        </w:tc>
      </w:tr>
    </w:tbl>
    <w:p w14:paraId="0E8892FF" w14:textId="345987D0" w:rsidR="00927776" w:rsidRPr="00927776" w:rsidRDefault="0092777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</w:p>
    <w:p w14:paraId="287BF144" w14:textId="77777777" w:rsidR="00927776" w:rsidRPr="00927776" w:rsidRDefault="00927776" w:rsidP="009277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Aprobat</w:t>
      </w:r>
    </w:p>
    <w:p w14:paraId="35E3931F" w14:textId="1856302E" w:rsidR="00927776" w:rsidRPr="00927776" w:rsidRDefault="00927776" w:rsidP="009277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prin </w:t>
      </w:r>
      <w:r w:rsidR="00152695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Hotăr</w:t>
      </w:r>
      <w:r w:rsidR="001526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â</w:t>
      </w:r>
      <w:r w:rsidR="00152695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rea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Guvernului</w:t>
      </w:r>
    </w:p>
    <w:p w14:paraId="768FE8CC" w14:textId="3252DD33" w:rsidR="00927776" w:rsidRPr="00927776" w:rsidRDefault="00927776" w:rsidP="009277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nr.</w:t>
      </w:r>
      <w:r w:rsidR="00F248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___ /______</w:t>
      </w:r>
    </w:p>
    <w:p w14:paraId="09E2C077" w14:textId="77777777" w:rsidR="00927776" w:rsidRPr="00927776" w:rsidRDefault="0092777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</w:p>
    <w:p w14:paraId="5AFE4D5A" w14:textId="77777777" w:rsidR="00927776" w:rsidRP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REGULAMENT</w:t>
      </w:r>
    </w:p>
    <w:p w14:paraId="68EA5168" w14:textId="7895E3E1" w:rsidR="00927776" w:rsidRP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privind modul de transmitere a costurilor investi</w:t>
      </w:r>
      <w:r w:rsidR="00AE2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ionale, formate în</w:t>
      </w:r>
    </w:p>
    <w:p w14:paraId="0041E936" w14:textId="5A94C3D6" w:rsidR="00497ABC" w:rsidRPr="00927776" w:rsidRDefault="00927776" w:rsidP="00497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urma achizi</w:t>
      </w:r>
      <w:r w:rsidR="00AE2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ionării de bunuri,</w:t>
      </w:r>
      <w:r w:rsidR="00497A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lucrări</w:t>
      </w:r>
      <w:r w:rsidR="002158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și servicii</w:t>
      </w:r>
    </w:p>
    <w:p w14:paraId="7B9C7BB4" w14:textId="49FD592B" w:rsidR="00927776" w:rsidRPr="003B017D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din contul mijloacelor </w:t>
      </w:r>
      <w:r w:rsidRPr="003B01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Fondului</w:t>
      </w:r>
    </w:p>
    <w:p w14:paraId="3D42A659" w14:textId="5DA910B1" w:rsidR="00927776" w:rsidRP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3B01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pentru </w:t>
      </w:r>
      <w:r w:rsidR="00F24889" w:rsidRPr="003B01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eficiență energetică</w:t>
      </w:r>
      <w:r w:rsidRPr="003B017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şi din alte surse</w:t>
      </w:r>
    </w:p>
    <w:p w14:paraId="40F47315" w14:textId="77777777" w:rsidR="00927776" w:rsidRPr="00927776" w:rsidRDefault="0092777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</w:p>
    <w:p w14:paraId="7CEFC2CB" w14:textId="029C65D3" w:rsidR="00927776" w:rsidRP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I. DISPOZI</w:t>
      </w:r>
      <w:r w:rsidR="00AE2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II GENERALE</w:t>
      </w:r>
    </w:p>
    <w:p w14:paraId="1510E19B" w14:textId="67B23564" w:rsidR="00927776" w:rsidRPr="00927776" w:rsidRDefault="00927776" w:rsidP="008D6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1.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Regulamentul privind modul de transmitere a costurilor investi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ionale, formate în urma achizi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ionării de bunuri</w:t>
      </w:r>
      <w:r w:rsidR="002158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</w:t>
      </w:r>
      <w:r w:rsidR="00497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lucrări</w:t>
      </w:r>
      <w:r w:rsidR="002158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și servicii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din contul mijloacelor </w:t>
      </w:r>
      <w:r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Fondului </w:t>
      </w:r>
      <w:r w:rsidR="00B160EE"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pentru eficiență energetică </w:t>
      </w:r>
      <w:r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şi din alte surse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(în continuare </w:t>
      </w:r>
      <w:r w:rsidRPr="0051399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>– Regulament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) </w:t>
      </w:r>
      <w:r w:rsidR="007B5193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stabilește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temeiurile şi modul de transmitere </w:t>
      </w:r>
      <w:r w:rsidR="009E24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către beneficiari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 costurilor investi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ionale, formate în urma achizi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ionării de bunuri, </w:t>
      </w:r>
      <w:r w:rsidR="00497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lucrări</w:t>
      </w:r>
      <w:r w:rsidR="002158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și servicii din</w:t>
      </w:r>
      <w:r w:rsidR="00497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contul mijloacelor </w:t>
      </w:r>
      <w:r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Fondului </w:t>
      </w:r>
      <w:r w:rsidR="00B160EE" w:rsidRPr="003B0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pentru eficiență energetică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(în continuare – </w:t>
      </w:r>
      <w:r w:rsidRPr="00AE349A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>Fond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) şi din alte surse. </w:t>
      </w:r>
    </w:p>
    <w:p w14:paraId="7640A6EC" w14:textId="411FFF13" w:rsidR="00927776" w:rsidRPr="00927776" w:rsidRDefault="0021588A" w:rsidP="009C47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</w:t>
      </w:r>
      <w:r w:rsidR="00927776"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  <w:r w:rsidRPr="002158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În sensul prezentului Regulament se aplică noțiunile definite în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Programul de finanțare „Fondul pentru eficiență Energetică în sectorul rezidențial din Republica Moldova” aprobat prin </w:t>
      </w:r>
      <w:r w:rsidR="001526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Hotărârea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Guvernului nr. 251/2024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.</w:t>
      </w:r>
    </w:p>
    <w:p w14:paraId="3866B67F" w14:textId="77777777" w:rsidR="009C4708" w:rsidRDefault="009C4708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</w:p>
    <w:p w14:paraId="190D4189" w14:textId="77777777" w:rsidR="009C4708" w:rsidRDefault="009C4708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</w:p>
    <w:p w14:paraId="2D17A5DA" w14:textId="29DED092" w:rsidR="0091366A" w:rsidRPr="00750878" w:rsidRDefault="00927776" w:rsidP="0075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II. MODUL DE TRANSMITERE </w:t>
      </w:r>
      <w:r w:rsidR="002158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CĂTRE BENEFICIARI 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A COSTURILOR INVESTI</w:t>
      </w:r>
      <w:r w:rsidR="00AE2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IONALE FORMATE</w:t>
      </w:r>
      <w:r w:rsidR="002158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ÎN URMA ACHIZI</w:t>
      </w:r>
      <w:r w:rsidR="00AE2F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IONĂRII DE BUNURI, </w:t>
      </w:r>
      <w:r w:rsidR="002158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LUCRĂRI ȘI SERVICII 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DIN CONTUL</w:t>
      </w:r>
      <w:r w:rsidR="0021588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MIJLOACELOR FONDULUI ŞI DIN ALTE SURSE </w:t>
      </w:r>
    </w:p>
    <w:p w14:paraId="4CB70508" w14:textId="5DEF0620" w:rsidR="00927776" w:rsidRPr="00927776" w:rsidRDefault="00750878" w:rsidP="006930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3</w:t>
      </w:r>
      <w:r w:rsidR="00473C88" w:rsidRPr="00473C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473C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Transmiterea </w:t>
      </w:r>
      <w:r w:rsidR="009E243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către beneficiari a </w:t>
      </w:r>
      <w:r w:rsidR="00927776" w:rsidRPr="00354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costurilor investi</w:t>
      </w:r>
      <w:r w:rsidR="00AE2FEC" w:rsidRPr="00354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354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ionale</w:t>
      </w:r>
      <w:r w:rsidR="00F35E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formate în urma achiziționării de bunuri, lucrări și servicii din contul mijloacelor Fondului și din alte surse (în continuare – </w:t>
      </w:r>
      <w:r w:rsidR="00F35E03" w:rsidRPr="00A563D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>costuri investiționale</w:t>
      </w:r>
      <w:r w:rsidR="00F35E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se efectuează în temeiul </w:t>
      </w:r>
      <w:r w:rsidR="00473C8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ordinului Directorului</w:t>
      </w:r>
      <w:r w:rsidR="005A0A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DD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</w:t>
      </w:r>
      <w:r w:rsidR="00C567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nstituției </w:t>
      </w:r>
      <w:r w:rsidR="00DD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</w:t>
      </w:r>
      <w:r w:rsidR="00C567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ulice</w:t>
      </w:r>
      <w:r w:rsidR="00DD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C567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Centrul pentru Energie Durabilă (în continuare – </w:t>
      </w:r>
      <w:r w:rsidR="00C5676F" w:rsidRPr="00760D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>IP</w:t>
      </w:r>
      <w:r w:rsidR="00C5676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AE349A" w:rsidRPr="00760D0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>CNED</w:t>
      </w:r>
      <w:r w:rsidR="00C567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>)</w:t>
      </w:r>
      <w:r w:rsidR="00AE34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privind transmiterea </w:t>
      </w:r>
      <w:r w:rsidR="00A27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costurilor investiționale respective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emis în baza </w:t>
      </w:r>
      <w:r w:rsidR="004922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prezentei hotărâri, a </w:t>
      </w:r>
      <w:r w:rsidR="00363E9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deciziei</w:t>
      </w:r>
      <w:r w:rsidR="0036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Comitetului de finanțare și risc</w:t>
      </w:r>
      <w:r w:rsidR="00363E9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36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al </w:t>
      </w:r>
      <w:r w:rsidR="00A91C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 w:rsidR="0036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CNED privind aprobarea finanțării proiectului respectiv din contul mijloacelor </w:t>
      </w:r>
      <w:r w:rsidR="00363E96" w:rsidRPr="00AE34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Fondului </w:t>
      </w:r>
      <w:r w:rsidR="00A27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și</w:t>
      </w:r>
      <w:r w:rsidR="00363E96" w:rsidRPr="00AE34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din alte surse</w:t>
      </w:r>
      <w:r w:rsidR="004922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și a</w:t>
      </w:r>
      <w:r w:rsidR="00363E9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363E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Contractului de Finanțare</w:t>
      </w:r>
      <w:r w:rsidR="00BD64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încheiat între </w:t>
      </w:r>
      <w:r w:rsidR="00A91C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 w:rsidR="00BD64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CNED și beneficiari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.</w:t>
      </w:r>
    </w:p>
    <w:p w14:paraId="66D2B0C5" w14:textId="21EC1ABF" w:rsidR="00492236" w:rsidRDefault="00750878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4</w:t>
      </w:r>
      <w:r w:rsidR="00927776"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  <w:r w:rsidR="00927776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Transmiterea </w:t>
      </w:r>
      <w:r w:rsidR="00492236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către beneficiari a </w:t>
      </w:r>
      <w:r w:rsidR="00927776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costurilor investi</w:t>
      </w:r>
      <w:r w:rsidR="00AE2FEC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ionale</w:t>
      </w:r>
      <w:r w:rsidR="00AE349A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se efectuează după recep</w:t>
      </w:r>
      <w:r w:rsidR="00AE2FEC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ia </w:t>
      </w:r>
      <w:r w:rsidR="00EF23C9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la terminarea lucrărilor aferente costurilor investiționale respective</w:t>
      </w:r>
      <w:r w:rsidR="00927776" w:rsidRPr="00A563D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.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</w:p>
    <w:p w14:paraId="04A54B1B" w14:textId="119031E0" w:rsidR="006B06CF" w:rsidRDefault="00750878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5</w:t>
      </w:r>
      <w:r w:rsidR="00492236" w:rsidRPr="004922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4922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Recep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ia </w:t>
      </w:r>
      <w:r w:rsidR="0045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construcțiilor, inclusiv a instalațiilor aferente acestora</w:t>
      </w:r>
      <w:r w:rsidR="00A27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</w:t>
      </w:r>
      <w:r w:rsidR="006E1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achiziționate din contul mijloacelor </w:t>
      </w:r>
      <w:r w:rsidR="00A27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F</w:t>
      </w:r>
      <w:r w:rsidR="006E1F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ondului și din alte surse</w:t>
      </w:r>
      <w:r w:rsidR="0045021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se realizează în conformitate cu prevederile </w:t>
      </w:r>
      <w:r w:rsidR="006B06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Cărții a treia, Capitolul IV a Codului urbanismului și construcțiilor nr. 434</w:t>
      </w:r>
      <w:r w:rsidR="00AE34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/</w:t>
      </w:r>
      <w:r w:rsidR="006B06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2023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. </w:t>
      </w:r>
    </w:p>
    <w:p w14:paraId="07992F45" w14:textId="7989F0DF" w:rsidR="00EC5E19" w:rsidRDefault="00750878" w:rsidP="007E6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lastRenderedPageBreak/>
        <w:t>6</w:t>
      </w:r>
      <w:r w:rsidR="006B06CF" w:rsidRPr="006B06C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6B06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625D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Actul de predare-primire se elaborează în baza procesului-verbal</w:t>
      </w:r>
      <w:r w:rsidR="007E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7E6E3A" w:rsidRPr="007E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de recepție la terminarea lucrărilor</w:t>
      </w:r>
      <w:r w:rsidR="007E6E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și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atestă formarea costurilor investi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ionale totale. </w:t>
      </w:r>
    </w:p>
    <w:p w14:paraId="6B092136" w14:textId="3F939219" w:rsidR="00EC5E19" w:rsidRDefault="00750878" w:rsidP="00BD6F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7</w:t>
      </w:r>
      <w:r w:rsidR="00EC5E19" w:rsidRPr="00EC5E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EC5E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În baza actului de </w:t>
      </w:r>
      <w:r w:rsidR="005C0A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predare-primire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 bunurilor</w:t>
      </w:r>
      <w:r w:rsidR="00A25E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 lucrărilor și serviciilor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A27A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se </w:t>
      </w:r>
      <w:r w:rsidR="00C052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întocmește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C052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și eliberează beneficiarului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factura. </w:t>
      </w:r>
    </w:p>
    <w:p w14:paraId="0AF691C6" w14:textId="7F2DCAC2" w:rsidR="00927776" w:rsidRPr="00927776" w:rsidRDefault="00750878" w:rsidP="00EC5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8</w:t>
      </w:r>
      <w:r w:rsidR="00EC5E19" w:rsidRPr="00EC5E1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EC5E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Documentele primare (actul de </w:t>
      </w:r>
      <w:r w:rsidR="001526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predare-primire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şi factura) se semnează de conducător sau de persoana împuternicită, conform prevederilor Legii contabilită</w:t>
      </w:r>
      <w:r w:rsidR="00AE2FEC" w:rsidRPr="00EC5E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ii </w:t>
      </w:r>
      <w:r w:rsidR="00A91C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și raportării financiare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nr.</w:t>
      </w:r>
      <w:r w:rsidR="001526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A91C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287</w:t>
      </w:r>
      <w:r w:rsidR="00EC5E19" w:rsidRPr="00EC5E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/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20</w:t>
      </w:r>
      <w:r w:rsidR="00A91C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1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7. </w:t>
      </w:r>
    </w:p>
    <w:p w14:paraId="454CA1AB" w14:textId="1AC87ECC" w:rsidR="00927776" w:rsidRPr="00927776" w:rsidRDefault="00750878" w:rsidP="00EC5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9</w:t>
      </w:r>
      <w:r w:rsidR="00927776"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 Transmiterea </w:t>
      </w:r>
      <w:r w:rsidR="00EC5E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către beneficiari a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costurilor investi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ionale</w:t>
      </w:r>
      <w:r w:rsidR="00AE349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se efectuează în baza actului de predare-primire, semnat de către directorul </w:t>
      </w:r>
      <w:r w:rsidR="00773F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 w:rsidR="00EC5E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CNED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şi</w:t>
      </w:r>
      <w:r w:rsidR="00EC5E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beneficiar</w:t>
      </w:r>
      <w:r w:rsidR="009028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 întocmit potrivit modelului indicat în anex</w:t>
      </w:r>
      <w:r w:rsidR="00B24C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</w:t>
      </w:r>
      <w:r w:rsidR="00EC03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028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la prezentul Regulament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. </w:t>
      </w:r>
    </w:p>
    <w:p w14:paraId="14638A8E" w14:textId="6C30D7F4" w:rsidR="00927776" w:rsidRPr="00927776" w:rsidRDefault="0092777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B24C1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0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Setul de documente transmis prin actul de predare-primire include toate actele ce formează costul total al investi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iei, inclusiv </w:t>
      </w:r>
      <w:r w:rsidR="00A67010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documentele primare, contractele şi alte documente aferente bunurilor, lucrărilor</w:t>
      </w:r>
      <w:r w:rsidR="00A67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și</w:t>
      </w:r>
      <w:r w:rsidR="00A67010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serviciilor finan</w:t>
      </w:r>
      <w:r w:rsidR="00A67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A67010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ate în cadrul proiectului respectiv</w:t>
      </w:r>
      <w:r w:rsidR="00A67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precum și, după caz, </w:t>
      </w:r>
      <w:r w:rsidR="009028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raportul de audit energetic,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documenta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ia tehnică, de proiectare şi deviz,</w:t>
      </w:r>
      <w:r w:rsidR="00236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raportul de expertiză tehnică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.</w:t>
      </w:r>
    </w:p>
    <w:p w14:paraId="503CC234" w14:textId="41015675" w:rsidR="00927776" w:rsidRPr="00927776" w:rsidRDefault="00927776" w:rsidP="004F2C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B24C1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 Dreptul de administrare al </w:t>
      </w:r>
      <w:r w:rsidR="00773F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 w:rsidR="0090284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CNED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asupra bunurilor</w:t>
      </w:r>
      <w:r w:rsidR="00C340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 lucrărilor și serviciilor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achizi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ionate </w:t>
      </w:r>
      <w:r w:rsidR="00A67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din 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sursele alocate din Fond şi alte surse încetează cu data întocmirii şi semnării documentelor primare, indicate la p</w:t>
      </w:r>
      <w:r w:rsidR="004F5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ct.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4F5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8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 iar în cazul bunurilor imobile</w:t>
      </w:r>
      <w:r w:rsidR="00A67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-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la data înscrierii lor în registrul bunurilor imobile. </w:t>
      </w:r>
    </w:p>
    <w:p w14:paraId="45F32878" w14:textId="410AA562" w:rsidR="00927776" w:rsidRPr="00927776" w:rsidRDefault="0092777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4F5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În func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ie de particularită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ile proiectului</w:t>
      </w:r>
      <w:r w:rsidR="00236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investițional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actul de </w:t>
      </w:r>
      <w:r w:rsidR="00BC69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predare-primire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8029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stipulează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4F2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următoarele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:</w:t>
      </w:r>
    </w:p>
    <w:p w14:paraId="1C646CCC" w14:textId="5CE8F036" w:rsidR="00927776" w:rsidRDefault="004F2CC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4F2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4F5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</w:t>
      </w:r>
      <w:r w:rsidRPr="004F2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angajamentul beneficiarului de a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asigura integrit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atea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bunurilor</w:t>
      </w:r>
      <w:r w:rsidR="002369B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și lucrărilor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primite;</w:t>
      </w:r>
    </w:p>
    <w:p w14:paraId="13ED3F4E" w14:textId="31E1BED8" w:rsidR="00197842" w:rsidRPr="00197842" w:rsidRDefault="00197842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760D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12.2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după caz, angajamentul beneficiarului de a asigura mentenanța echipamentelor, sistemelor și a altor bunuri primite, în conformitate cu recomandările producătorilor și/sau normativele și bunele practici din domeniu, asigurând exploatarea acestora cu diligența unui bun proprietar;</w:t>
      </w:r>
    </w:p>
    <w:p w14:paraId="53AE827C" w14:textId="6B5EA775" w:rsidR="00927776" w:rsidRPr="00927776" w:rsidRDefault="004F2CC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4F2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4F5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</w:t>
      </w:r>
      <w:r w:rsidRPr="004F2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1978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angajamentul beneficiarului de a se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ab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ine de la folosirea şi/sau exploatarea</w:t>
      </w:r>
      <w:r w:rsidR="00A41DDE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bunurilor primite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contrar destina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iei şi specifica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iilor tehnice</w:t>
      </w:r>
      <w:r w:rsidR="00A4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ale acestora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;</w:t>
      </w:r>
    </w:p>
    <w:p w14:paraId="405F489A" w14:textId="294B355B" w:rsidR="004F2CC6" w:rsidRDefault="004F2CC6" w:rsidP="004F2C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4F2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4F5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</w:t>
      </w:r>
      <w:r w:rsidRPr="004F2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1978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4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transmiterea către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beneficiar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 drepturilor şi a obliga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iilor prevăzute de </w:t>
      </w:r>
      <w:r w:rsidR="00A4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legislație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 inclusiv a drepturilor de a înainta reclama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ii şi ac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iuni judiciare privind defectele bunurilor achizi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ionate;</w:t>
      </w:r>
    </w:p>
    <w:p w14:paraId="27BB0056" w14:textId="454AB5A8" w:rsidR="00927776" w:rsidRPr="00927776" w:rsidRDefault="004F2CC6" w:rsidP="004F2C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4F2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4F5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</w:t>
      </w:r>
      <w:r w:rsidRPr="004F2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1978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trecerea </w:t>
      </w:r>
      <w:r w:rsidR="00A41DDE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către beneficiar </w:t>
      </w:r>
      <w:r w:rsidR="00A4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a 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riscurilor de pieire fortuită a bunurilor transmise.</w:t>
      </w:r>
    </w:p>
    <w:p w14:paraId="555108F0" w14:textId="73AB0508" w:rsidR="00C052BF" w:rsidRDefault="00927776" w:rsidP="00C05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4F58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3</w:t>
      </w: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  </w:t>
      </w:r>
      <w:r w:rsidR="00A25E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Beneficiarii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80650D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își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exercită dreptul de proprietate asupra </w:t>
      </w:r>
      <w:r w:rsidR="00A25E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bunurilor achiziționate, reconstruite sau îmbunătățite din mijloacele Fondului și din alte surse,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în condi</w:t>
      </w:r>
      <w:r w:rsidR="00AE2F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iile stabilite de lege, cu respectarea angajamentelor asumate prin documentele depuse la etapa de aplicare pentru proiectul </w:t>
      </w:r>
      <w:r w:rsidR="00A25E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investițional </w:t>
      </w:r>
      <w:r w:rsidR="00566F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respectiv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</w:t>
      </w:r>
      <w:r w:rsidR="00566F8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Contractul de finanțare</w:t>
      </w:r>
      <w:r w:rsidR="001520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și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actele de predare-primire a bunurilor. </w:t>
      </w:r>
    </w:p>
    <w:p w14:paraId="51A22BD6" w14:textId="69B367D1" w:rsidR="003C765E" w:rsidRDefault="00927776" w:rsidP="003C7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  <w:r w:rsidR="003C765E" w:rsidRPr="008972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1B28C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4</w:t>
      </w:r>
      <w:r w:rsidR="003C765E" w:rsidRPr="008972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. </w:t>
      </w:r>
      <w:r w:rsidR="003C765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Refuzul </w:t>
      </w:r>
      <w:r w:rsidR="003C76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beneficiarilor</w:t>
      </w:r>
      <w:r w:rsidR="003C765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de a semna </w:t>
      </w:r>
      <w:r w:rsidR="00FC7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actul de predare-primire și factura</w:t>
      </w:r>
      <w:r w:rsidR="003C765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FC7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în vederea transmiterii costurilor investiționale, precum</w:t>
      </w:r>
      <w:r w:rsidR="003C765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şi </w:t>
      </w:r>
      <w:r w:rsidR="00FC7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refuzul beneficiarilor </w:t>
      </w:r>
      <w:r w:rsidR="003C765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de a intra în posesie şi </w:t>
      </w:r>
      <w:r w:rsidR="00FC7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de </w:t>
      </w:r>
      <w:r w:rsidR="0080298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 pune</w:t>
      </w:r>
      <w:r w:rsidR="003C765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în uz</w:t>
      </w:r>
      <w:r w:rsidR="00FC7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bunuril</w:t>
      </w:r>
      <w:r w:rsidR="001A15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e</w:t>
      </w:r>
      <w:r w:rsidR="00FC7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achiziționate, construite, reconstruite sau îmbunătățite din contul mijloacelor Fondului și din alte surse gestionate de </w:t>
      </w:r>
      <w:r w:rsidR="00FD55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 w:rsidR="00FC70C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CNED</w:t>
      </w:r>
      <w:r w:rsidR="003C765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poate fi contestat în </w:t>
      </w:r>
      <w:r w:rsidR="00B41BD4" w:rsidRPr="00B41B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instanțele</w:t>
      </w:r>
      <w:r w:rsidR="003C765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B41BD4" w:rsidRPr="00B41B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judecătorești</w:t>
      </w:r>
      <w:r w:rsidR="003C765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abilitate.</w:t>
      </w:r>
    </w:p>
    <w:p w14:paraId="6116E6C4" w14:textId="04D09C2C" w:rsidR="00FD5510" w:rsidRDefault="00FD5510" w:rsidP="00FD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760D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15.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În cazul nerespectării de către beneficiari a angajamentelor specificate la pct. 12 și a condițiilor menționate la pct. 13, </w:t>
      </w:r>
      <w:r w:rsidR="00A67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CNED solicită remedierea neajunsurilor.</w:t>
      </w:r>
    </w:p>
    <w:p w14:paraId="27C5AF40" w14:textId="1A3240D8" w:rsidR="00FD5510" w:rsidRPr="00760D07" w:rsidRDefault="00FD5510" w:rsidP="00FD55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760D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lastRenderedPageBreak/>
        <w:t>16.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Dacă beneficiarul nu dă curs solicitării de a remedia neajunsurile sau dacă remedierea nu este posibilă, IP CNED poate iniția măsuri de recuperare a costurilor investiționale suportate din </w:t>
      </w:r>
      <w:r w:rsidR="00A670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contul </w:t>
      </w:r>
      <w:r w:rsidR="003542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mijloacelor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Fondului și altor surse gestionate de acesta.</w:t>
      </w:r>
    </w:p>
    <w:p w14:paraId="7FC93DED" w14:textId="77777777" w:rsidR="003C765E" w:rsidRPr="00897258" w:rsidRDefault="003C765E" w:rsidP="003C76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</w:p>
    <w:p w14:paraId="26695D4E" w14:textId="21F1E188" w:rsidR="00927776" w:rsidRPr="00927776" w:rsidRDefault="00927776" w:rsidP="00927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 xml:space="preserve">III. </w:t>
      </w:r>
      <w:r w:rsidR="00B16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ALTE ASPECTE PROCEDURALE</w:t>
      </w:r>
    </w:p>
    <w:p w14:paraId="057222ED" w14:textId="5E27C073" w:rsidR="00B24C16" w:rsidRDefault="000F4845" w:rsidP="0010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FD551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7</w:t>
      </w:r>
      <w:r w:rsidR="00927776" w:rsidRPr="009277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92777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Contract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ele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de achizi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ii publice de bunuri,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lucrări sau servicii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necesare pentru implementarea proiectelor investiționale finanțate din contul mijloacelor Fondului și din alte surse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se încheie 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de către </w:t>
      </w:r>
      <w:r w:rsidR="00773F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CNED 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cu operator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ii economici câștigători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 conform prevederilor Leg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ii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nr.131</w:t>
      </w:r>
      <w:r w:rsidR="00B16CC6" w:rsidRPr="00F53C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/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2015 privind achizi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iile publice</w:t>
      </w:r>
      <w:r w:rsid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sau conform procedurilor și mecanismelor convenite cu partenerii de dezvoltare, după caz</w:t>
      </w:r>
      <w:r w:rsidR="00B24C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.</w:t>
      </w:r>
    </w:p>
    <w:p w14:paraId="784E5B7A" w14:textId="2B6456E2" w:rsidR="00B16CC6" w:rsidRDefault="00B24C16" w:rsidP="0010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B24C1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773F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8</w:t>
      </w:r>
      <w:r w:rsidRPr="00B24C1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Semnarea contractelor de achiziții publice conform pct. 1</w:t>
      </w:r>
      <w:r w:rsidR="00FD55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7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are loc</w:t>
      </w:r>
      <w:r w:rsidR="00B16CC6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cu aplicarea </w:t>
      </w:r>
      <w:r w:rsidR="00B16CC6" w:rsidRP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prevederilor articolelor 1096-1099 din Codul civil al Republicii Moldova nr. 1107/2002, cu privire la contractul în folosul unui terț, cu indicarea în contract a beneficiarilor proiectelor investiționale în calitate de beneficiari ai bunurilor, lucrărilor și serviciilor achiziționate pentru implementarea proiectelor date</w:t>
      </w:r>
      <w:r w:rsidR="004F5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conform contractelor de finanțare semnate între </w:t>
      </w:r>
      <w:r w:rsidR="00FD55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 w:rsidR="004F58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CNED și beneficiari</w:t>
      </w:r>
      <w:r w:rsidR="00B16CC6" w:rsidRPr="00B16C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.</w:t>
      </w:r>
    </w:p>
    <w:p w14:paraId="3E2110CD" w14:textId="4365EB4D" w:rsidR="00450217" w:rsidRDefault="00B16CC6" w:rsidP="00104D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B16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1</w:t>
      </w:r>
      <w:r w:rsidR="00773F2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9</w:t>
      </w:r>
      <w:r w:rsidRPr="00B16C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A94B68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Contabilitatea mijloacelor Fondului </w:t>
      </w:r>
      <w:r w:rsidR="0010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gestionate de</w:t>
      </w:r>
      <w:r w:rsidR="00A94B68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FD55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 w:rsid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CNED</w:t>
      </w:r>
      <w:r w:rsidR="00A94B68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în scopul </w:t>
      </w:r>
      <w:r w:rsidR="00104DDE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finanțării</w:t>
      </w:r>
      <w:r w:rsidR="00A94B68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proiectelor </w:t>
      </w:r>
      <w:r w:rsid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investiționale</w:t>
      </w:r>
      <w:r w:rsidR="00A94B68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precum şi </w:t>
      </w:r>
      <w:r w:rsidR="00104DDE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circulația</w:t>
      </w:r>
      <w:r w:rsidR="00A94B68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acestora în procesul implementării proiect</w:t>
      </w:r>
      <w:r w:rsidR="00104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elor respective</w:t>
      </w:r>
      <w:r w:rsidR="00A94B68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se efectuează în conformitate cu </w:t>
      </w:r>
      <w:r w:rsidR="00104DDE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exigențele</w:t>
      </w:r>
      <w:r w:rsidR="00A94B68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stabilite de actele normative care reglementează domeniul </w:t>
      </w:r>
      <w:r w:rsidR="00104DDE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contabilității</w:t>
      </w:r>
      <w:r w:rsidR="00A94B68" w:rsidRPr="00A94B6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.</w:t>
      </w:r>
    </w:p>
    <w:p w14:paraId="4B4103A8" w14:textId="1035D7A0" w:rsidR="00E433FE" w:rsidRDefault="00773F2E" w:rsidP="00E4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20</w:t>
      </w:r>
      <w:r w:rsidR="00B41BD4" w:rsidRPr="008972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B41B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="00E433FE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Beneficiarii bunurilor sau serviciilor achizi</w:t>
      </w:r>
      <w:r w:rsidR="00E433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E433FE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ionate, construite, reconstruite sau îmbunătă</w:t>
      </w:r>
      <w:r w:rsidR="00E433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E433FE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ite din </w:t>
      </w:r>
      <w:r w:rsidR="00E433FE" w:rsidRPr="008972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Fond şi din alte surse</w:t>
      </w:r>
      <w:r w:rsidR="00E433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, care se încadrează în una din categoriile prevăzute la art. 2 al Legii contabilității și raportării financiare nr. 287/2017 ț</w:t>
      </w:r>
      <w:r w:rsidR="00E433FE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in contabilitatea bunurilor reconstruite sau îmbunătă</w:t>
      </w:r>
      <w:r w:rsidR="00E433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E433FE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ite, </w:t>
      </w:r>
      <w:r w:rsidR="002B47E3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av</w:t>
      </w:r>
      <w:r w:rsidR="002B47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â</w:t>
      </w:r>
      <w:r w:rsidR="002B47E3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nd </w:t>
      </w:r>
      <w:r w:rsidR="00E433FE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în vedere plusvaloarea adusă indicată în actul de predare-primire, în conformitate cu prevederile legisla</w:t>
      </w:r>
      <w:r w:rsidR="00E433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ț</w:t>
      </w:r>
      <w:r w:rsidR="00E433FE"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iei în vigoare.</w:t>
      </w:r>
    </w:p>
    <w:p w14:paraId="1D2662FF" w14:textId="4DEE990E" w:rsidR="00E433FE" w:rsidRPr="00927776" w:rsidRDefault="00773F2E" w:rsidP="00E4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21</w:t>
      </w:r>
      <w:r w:rsidR="00E433FE" w:rsidRPr="00E433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o-RO"/>
          <w14:ligatures w14:val="none"/>
        </w:rPr>
        <w:t>.</w:t>
      </w:r>
      <w:r w:rsidR="00A94B68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 w:rsidR="001F522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După transmiterea și, respectiv, recepționarea costurilor investiționale, b</w:t>
      </w:r>
      <w:r w:rsidR="001F5227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eneficiarul este obligat să păstreze </w:t>
      </w:r>
      <w:r w:rsidR="00CB2D2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pentru o perioadă de cel puțin 6 ani </w:t>
      </w:r>
      <w:r w:rsidR="001F5227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şi să pună la dispozi</w:t>
      </w:r>
      <w:r w:rsidR="001F522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="001F5227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ia </w:t>
      </w:r>
      <w:r w:rsidR="00FD5510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IP </w:t>
      </w:r>
      <w:r w:rsidR="001F522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CNED </w:t>
      </w:r>
      <w:r w:rsidR="001F5227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şi a oricărei alte autorită</w:t>
      </w:r>
      <w:r w:rsidR="001F522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="001F5227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 abilitate cu func</w:t>
      </w:r>
      <w:r w:rsidR="001F522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="001F5227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ii de reglementare, supraveghere sau control toate documentele aferente proiectului</w:t>
      </w:r>
      <w:r w:rsidR="001F5227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investițional de care a beneficiat</w:t>
      </w:r>
      <w:r w:rsidR="001F5227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</w:p>
    <w:p w14:paraId="188E0038" w14:textId="64B084B6" w:rsidR="00E433FE" w:rsidRPr="00927776" w:rsidRDefault="00E433FE" w:rsidP="00E43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</w:p>
    <w:p w14:paraId="6D43BBFA" w14:textId="653FBD4E" w:rsidR="00092ACA" w:rsidRDefault="00927776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 </w:t>
      </w:r>
    </w:p>
    <w:p w14:paraId="5E1950EA" w14:textId="77777777" w:rsidR="00E153E3" w:rsidRPr="00927776" w:rsidRDefault="00E153E3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Anexă</w:t>
      </w:r>
    </w:p>
    <w:p w14:paraId="0C421A3F" w14:textId="77777777" w:rsidR="00E153E3" w:rsidRPr="00927776" w:rsidRDefault="00E153E3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la Regulamentul privind modul de transmitere</w:t>
      </w:r>
    </w:p>
    <w:p w14:paraId="5EF59251" w14:textId="77777777" w:rsidR="00E153E3" w:rsidRPr="00927776" w:rsidRDefault="00E153E3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 costurilor  investi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ionale, formate  în  urma</w:t>
      </w:r>
    </w:p>
    <w:p w14:paraId="0DFB0672" w14:textId="77777777" w:rsidR="00E153E3" w:rsidRDefault="00E153E3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achizi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ionării de  bunuri,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lucrări și servicii 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din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</w:p>
    <w:p w14:paraId="7232EECB" w14:textId="77777777" w:rsidR="00E153E3" w:rsidRPr="008B4128" w:rsidRDefault="00E153E3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contul mijloacelor </w:t>
      </w:r>
      <w:r w:rsidRPr="008B4128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Fondului pentru eficiență </w:t>
      </w:r>
    </w:p>
    <w:p w14:paraId="26FFE878" w14:textId="77777777" w:rsidR="00E153E3" w:rsidRPr="00927776" w:rsidRDefault="00E153E3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B4128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energetică şi din alte surse</w:t>
      </w:r>
    </w:p>
    <w:p w14:paraId="42860DB3" w14:textId="77777777" w:rsidR="00E153E3" w:rsidRPr="00927776" w:rsidRDefault="00E153E3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 </w:t>
      </w:r>
    </w:p>
    <w:p w14:paraId="324D9B9B" w14:textId="77777777" w:rsidR="00D10FA8" w:rsidRDefault="00D10FA8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657573B" w14:textId="77777777" w:rsidR="00D10FA8" w:rsidRDefault="00D10FA8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FBA6F0A" w14:textId="77777777" w:rsidR="00D10FA8" w:rsidRDefault="00D10FA8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E42AF18" w14:textId="77777777" w:rsidR="00D10FA8" w:rsidRDefault="00D10FA8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2BC85828" w14:textId="77777777" w:rsidR="00E153E3" w:rsidRPr="00927776" w:rsidRDefault="00E153E3" w:rsidP="00E153E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lastRenderedPageBreak/>
        <w:t> </w:t>
      </w:r>
    </w:p>
    <w:p w14:paraId="3FEABEFD" w14:textId="77777777" w:rsidR="00E153E3" w:rsidRPr="00927776" w:rsidRDefault="00E153E3" w:rsidP="00E153E3">
      <w:pPr>
        <w:tabs>
          <w:tab w:val="left" w:pos="3484"/>
          <w:tab w:val="right" w:pos="1043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 </w:t>
      </w:r>
    </w:p>
    <w:p w14:paraId="2BADBC30" w14:textId="77777777" w:rsidR="00E153E3" w:rsidRPr="00927776" w:rsidRDefault="00E153E3" w:rsidP="00E153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ACT</w:t>
      </w:r>
    </w:p>
    <w:p w14:paraId="431953D4" w14:textId="77777777" w:rsidR="00E153E3" w:rsidRPr="00927776" w:rsidRDefault="00E153E3" w:rsidP="00E153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de predare-primire a setului de documente care atestă costul</w:t>
      </w:r>
    </w:p>
    <w:p w14:paraId="3DB1D66A" w14:textId="77777777" w:rsidR="00E153E3" w:rsidRPr="00927776" w:rsidRDefault="00E153E3" w:rsidP="00E15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investi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ional al bunurilor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, lucrărilor</w:t>
      </w: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şi serviciilor achizi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ionate</w:t>
      </w:r>
    </w:p>
    <w:p w14:paraId="6A7B77A6" w14:textId="77777777" w:rsidR="00E153E3" w:rsidRPr="008B4128" w:rsidRDefault="00E153E3" w:rsidP="00E153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din contul mijloacelor </w:t>
      </w:r>
      <w:r w:rsidRPr="008B41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Fondului</w:t>
      </w:r>
    </w:p>
    <w:p w14:paraId="1DA9FEA9" w14:textId="77777777" w:rsidR="00E153E3" w:rsidRPr="00927776" w:rsidRDefault="00E153E3" w:rsidP="00E153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8B41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pentru eficiență energetică și din alte surse</w:t>
      </w:r>
    </w:p>
    <w:p w14:paraId="1D9B6DB1" w14:textId="77777777" w:rsidR="00E153E3" w:rsidRPr="00927776" w:rsidRDefault="00E153E3" w:rsidP="00E15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 </w:t>
      </w:r>
    </w:p>
    <w:p w14:paraId="6ECBE009" w14:textId="77777777" w:rsidR="00E153E3" w:rsidRPr="00927776" w:rsidRDefault="00E153E3" w:rsidP="00E15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Localitatea____________________</w:t>
      </w:r>
    </w:p>
    <w:p w14:paraId="1E5EB714" w14:textId="77777777" w:rsidR="00E153E3" w:rsidRPr="00927776" w:rsidRDefault="00E153E3" w:rsidP="00E15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"____"____________________20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_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_</w:t>
      </w:r>
    </w:p>
    <w:p w14:paraId="32A22CD8" w14:textId="77777777" w:rsidR="00E153E3" w:rsidRPr="00927776" w:rsidRDefault="00E153E3" w:rsidP="00E15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 </w:t>
      </w:r>
    </w:p>
    <w:p w14:paraId="129F2540" w14:textId="0C0AC6B4" w:rsidR="00E153E3" w:rsidRPr="00927776" w:rsidRDefault="00FD5510" w:rsidP="00E153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Instituția Publică </w:t>
      </w:r>
      <w:r w:rsidR="00E153E3" w:rsidRPr="00903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Centrul Național pentru Energie Durabilă</w:t>
      </w:r>
      <w:r w:rsidR="00E153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(în continuare – </w:t>
      </w:r>
      <w:r w:rsidR="00B656AB" w:rsidRPr="004D576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 w:rsidR="00E153E3" w:rsidRPr="001B4978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>CNED</w:t>
      </w:r>
      <w:r w:rsidR="00E153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)</w:t>
      </w:r>
      <w:r w:rsidR="00E153E3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, reprezentat de </w:t>
      </w:r>
      <w:r w:rsidR="00E153E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directorul </w:t>
      </w:r>
      <w:r w:rsidR="00E153E3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__________</w:t>
      </w:r>
      <w:r w:rsidR="00E153E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__________________</w:t>
      </w:r>
      <w:r w:rsidR="004D576F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_____________________</w:t>
      </w:r>
      <w:r w:rsidR="00E153E3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şi </w:t>
      </w:r>
      <w:r w:rsidR="00E153E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_______________</w:t>
      </w:r>
      <w:r w:rsidR="00E153E3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_______________</w:t>
      </w:r>
      <w:r w:rsidR="00E153E3">
        <w:rPr>
          <w:rStyle w:val="FootnoteReference"/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footnoteReference w:id="1"/>
      </w:r>
      <w:r w:rsidR="00E153E3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, (în continuare – </w:t>
      </w:r>
      <w:r w:rsidR="00E153E3" w:rsidRPr="009277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/>
          <w14:ligatures w14:val="none"/>
        </w:rPr>
        <w:t>Beneficiar</w:t>
      </w:r>
      <w:r w:rsidR="00E153E3"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), au semnat prezentul Act de predare-primire privind următoarele:</w:t>
      </w:r>
    </w:p>
    <w:p w14:paraId="7E64C65D" w14:textId="7E0C9605" w:rsidR="00E153E3" w:rsidRDefault="00E153E3" w:rsidP="00E15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1.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 </w:t>
      </w:r>
      <w:r w:rsidR="00FD5510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IP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CNED transmite, iar Beneficiarul primește, s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etul de documente care atestă costul investi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ional total al bunurilor, lucrărilor</w:t>
      </w:r>
      <w:r w:rsidR="00FC70C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și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serviciilor finan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ate din contul mijloacelor </w:t>
      </w:r>
      <w:r w:rsidRPr="008B4128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Fondului pentru eficiență energetică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(în continuare - </w:t>
      </w:r>
      <w:r w:rsidRPr="00A1007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o-RO"/>
          <w14:ligatures w14:val="none"/>
        </w:rPr>
        <w:t>Fond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)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și din alte surse, în conformitate cu decizia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Comitetului de finanțare și risc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din cadrul </w:t>
      </w:r>
      <w:r w:rsidR="00FD55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IP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CNED (în continuare - </w:t>
      </w:r>
      <w:r w:rsidRPr="003079F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o-RO"/>
          <w14:ligatures w14:val="none"/>
        </w:rPr>
        <w:t>Comitet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) privind aprobarea finanțării proiectului investițional respectiv</w:t>
      </w:r>
      <w:r w:rsidRPr="009277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şi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contractul de finanțare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încheiat între </w:t>
      </w:r>
      <w:r w:rsidR="00FD5510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IP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CNED și Beneficiar. </w:t>
      </w:r>
    </w:p>
    <w:p w14:paraId="7B1ACDE0" w14:textId="6D48F04A" w:rsidR="00E153E3" w:rsidRPr="00927776" w:rsidRDefault="00E153E3" w:rsidP="00E15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A100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Costurile investiționale, în valoare totală de ___________</w:t>
      </w:r>
      <w:r w:rsidR="004D576F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___________________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______________________ (suma în cifre și cu litere), formate în urma achiziționării de bunuri, lucrări și servicii din  contul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mijloacelor Fondului și din alte surse, în conformitate cu decizia Comitetului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>privind aprobarea finanțării proiectului investițional respectiv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și </w:t>
      </w:r>
      <w:r w:rsidR="00846BD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ontractul de </w:t>
      </w:r>
      <w:r w:rsidR="00846BD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inanțare, 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se transmit în mod gratuit la balan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 Beneficiarului.</w:t>
      </w:r>
    </w:p>
    <w:p w14:paraId="4E590063" w14:textId="0BD1FE36" w:rsidR="00E153E3" w:rsidRPr="00927776" w:rsidRDefault="00E153E3" w:rsidP="00E15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3</w:t>
      </w: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.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 Costul investi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ional al bunurilor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, lucrărilor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şi serviciilor achizi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ionate din contul mijloacelor </w:t>
      </w:r>
      <w:r w:rsidRPr="008B4128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Fondului şi din alte surse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urmează a fi reflectate în contabilitatea Beneficiarului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 care se încadrează în una din categoriile prevăzute la art. 2 al Legii contabilității și raportării financiare nr. 287/2017,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în corespundere cu cerin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ele actelor normative care reglementează domeniul contabilită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ii.</w:t>
      </w:r>
    </w:p>
    <w:p w14:paraId="4770B31A" w14:textId="4C85A37C" w:rsidR="00E153E3" w:rsidRDefault="00E153E3" w:rsidP="00E153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4</w:t>
      </w:r>
      <w:r w:rsidRPr="009277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.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 De la data semnării prezentului Act asupra Beneficiarului trec riscurile pieirii fortuite a bunurilor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, lucrărilor și serviciilor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achizi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ionate din contul mijloacelor financiare ale </w:t>
      </w:r>
      <w:r w:rsidRPr="00EB24B8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Fondului şi din alte surse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, precum şi obliga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ia Beneficiarului de a asigura integritatea acestora şi de a le folosi conform destina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iei.</w:t>
      </w:r>
    </w:p>
    <w:p w14:paraId="2069ECA4" w14:textId="099ACD9E" w:rsidR="001F5227" w:rsidRDefault="00E153E3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5</w:t>
      </w:r>
      <w:r w:rsidRPr="001F52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După transmiterea și, respectiv, recepționarea costurilor investiționale, b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eneficiarul este obligat să păstreze </w:t>
      </w:r>
      <w:r w:rsidR="00CB2D21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pentru o perioadă de cel puțin 6 ani 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şi să pună la dispozi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ia </w:t>
      </w:r>
      <w:r w:rsidR="00A67010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IP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CNED 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şi a oricărei alte autorită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 abilitate cu func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ii de reglementare, supraveghere sau control toate documentele aferente proiectului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investițional de care a beneficiat</w:t>
      </w:r>
      <w:r w:rsidRPr="00927776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</w:p>
    <w:p w14:paraId="71DB11A0" w14:textId="77777777" w:rsidR="00EB24B8" w:rsidRPr="00927776" w:rsidRDefault="00EB24B8" w:rsidP="00927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</w:p>
    <w:tbl>
      <w:tblPr>
        <w:tblW w:w="973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2476"/>
        <w:gridCol w:w="112"/>
        <w:gridCol w:w="2476"/>
        <w:gridCol w:w="2476"/>
      </w:tblGrid>
      <w:tr w:rsidR="00E153E3" w:rsidRPr="00927776" w14:paraId="0458D0B9" w14:textId="77777777" w:rsidTr="00E153E3">
        <w:trPr>
          <w:jc w:val="center"/>
        </w:trPr>
        <w:tc>
          <w:tcPr>
            <w:tcW w:w="4390" w:type="dxa"/>
            <w:gridSpan w:val="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D96D9" w14:textId="64DD6BEE" w:rsidR="00E153E3" w:rsidRPr="00927776" w:rsidRDefault="00FD5510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 xml:space="preserve">IP </w:t>
            </w:r>
            <w:r w:rsidR="00E153E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CNED:</w:t>
            </w:r>
          </w:p>
        </w:tc>
        <w:tc>
          <w:tcPr>
            <w:tcW w:w="394" w:type="dxa"/>
          </w:tcPr>
          <w:p w14:paraId="6EAC4BB8" w14:textId="75EB8873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 xml:space="preserve">      </w:t>
            </w:r>
          </w:p>
        </w:tc>
        <w:tc>
          <w:tcPr>
            <w:tcW w:w="4952" w:type="dxa"/>
            <w:gridSpan w:val="2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60B050" w14:textId="4B43449E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o-RO"/>
                <w14:ligatures w14:val="none"/>
              </w:rPr>
              <w:t>Beneficiarul:</w:t>
            </w:r>
          </w:p>
        </w:tc>
      </w:tr>
      <w:tr w:rsidR="00E153E3" w:rsidRPr="00927776" w14:paraId="4A8AEC80" w14:textId="77777777" w:rsidTr="00E153E3">
        <w:trPr>
          <w:jc w:val="center"/>
        </w:trPr>
        <w:tc>
          <w:tcPr>
            <w:tcW w:w="2196" w:type="dx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4BECA6" w14:textId="5ED49E4A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_______________</w:t>
            </w:r>
          </w:p>
          <w:p w14:paraId="21C272ED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(semnătura)</w:t>
            </w:r>
          </w:p>
          <w:p w14:paraId="3BBFA0AD" w14:textId="4C881529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_______________</w:t>
            </w:r>
          </w:p>
          <w:p w14:paraId="4183D7A0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semnătura)</w:t>
            </w:r>
          </w:p>
        </w:tc>
        <w:tc>
          <w:tcPr>
            <w:tcW w:w="2194" w:type="dx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3F99A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_________________</w:t>
            </w:r>
          </w:p>
          <w:p w14:paraId="1FBB790A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(numele, prenumele)</w:t>
            </w:r>
          </w:p>
          <w:p w14:paraId="761F4447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_________________</w:t>
            </w:r>
          </w:p>
          <w:p w14:paraId="288B5B38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(numele, prenumele)</w:t>
            </w:r>
          </w:p>
        </w:tc>
        <w:tc>
          <w:tcPr>
            <w:tcW w:w="394" w:type="dxa"/>
          </w:tcPr>
          <w:p w14:paraId="0AD118B8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</w:p>
        </w:tc>
        <w:tc>
          <w:tcPr>
            <w:tcW w:w="2476" w:type="dx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373DC0" w14:textId="62E1C861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_________________</w:t>
            </w:r>
          </w:p>
          <w:p w14:paraId="3348B063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(semnătura)</w:t>
            </w:r>
          </w:p>
          <w:p w14:paraId="06A3A44E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_________________</w:t>
            </w:r>
          </w:p>
          <w:p w14:paraId="4EE2EBBF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semnătura)</w:t>
            </w:r>
          </w:p>
        </w:tc>
        <w:tc>
          <w:tcPr>
            <w:tcW w:w="2476" w:type="dxa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7AED0E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_________________</w:t>
            </w:r>
          </w:p>
          <w:p w14:paraId="70E516C9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(numele, prenumele)</w:t>
            </w:r>
          </w:p>
          <w:p w14:paraId="1FA82205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_________________</w:t>
            </w:r>
          </w:p>
          <w:p w14:paraId="102DDD2E" w14:textId="77777777" w:rsidR="00E153E3" w:rsidRPr="00927776" w:rsidRDefault="00E153E3" w:rsidP="00927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</w:pPr>
            <w:r w:rsidRPr="0092777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o-RO"/>
                <w14:ligatures w14:val="none"/>
              </w:rPr>
              <w:t>(numele, prenumele)</w:t>
            </w:r>
          </w:p>
        </w:tc>
      </w:tr>
    </w:tbl>
    <w:p w14:paraId="032F7F9C" w14:textId="5D39F147" w:rsidR="00927776" w:rsidRPr="00927776" w:rsidRDefault="00927776" w:rsidP="00651D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</w:pPr>
    </w:p>
    <w:sectPr w:rsidR="00927776" w:rsidRPr="00927776" w:rsidSect="006A51E5">
      <w:footerReference w:type="even" r:id="rId6"/>
      <w:footerReference w:type="default" r:id="rId7"/>
      <w:pgSz w:w="11901" w:h="16840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3A46" w14:textId="77777777" w:rsidR="001E6F33" w:rsidRDefault="001E6F33" w:rsidP="0048362E">
      <w:pPr>
        <w:spacing w:after="0" w:line="240" w:lineRule="auto"/>
      </w:pPr>
      <w:r>
        <w:separator/>
      </w:r>
    </w:p>
  </w:endnote>
  <w:endnote w:type="continuationSeparator" w:id="0">
    <w:p w14:paraId="78B7C80B" w14:textId="77777777" w:rsidR="001E6F33" w:rsidRDefault="001E6F33" w:rsidP="0048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4861024"/>
      <w:docPartObj>
        <w:docPartGallery w:val="Page Numbers (Bottom of Page)"/>
        <w:docPartUnique/>
      </w:docPartObj>
    </w:sdtPr>
    <w:sdtContent>
      <w:p w14:paraId="12C8B6F5" w14:textId="08C6B3BD" w:rsidR="0048362E" w:rsidRDefault="0048362E" w:rsidP="00CD7B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9A695B" w14:textId="77777777" w:rsidR="0048362E" w:rsidRDefault="0048362E" w:rsidP="004836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636763"/>
      <w:docPartObj>
        <w:docPartGallery w:val="Page Numbers (Bottom of Page)"/>
        <w:docPartUnique/>
      </w:docPartObj>
    </w:sdtPr>
    <w:sdtContent>
      <w:p w14:paraId="7B903EAA" w14:textId="3855E6C1" w:rsidR="0048362E" w:rsidRDefault="0048362E" w:rsidP="00CD7B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10FA8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033AA31D" w14:textId="77777777" w:rsidR="0048362E" w:rsidRDefault="0048362E" w:rsidP="004836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77B6" w14:textId="77777777" w:rsidR="001E6F33" w:rsidRDefault="001E6F33" w:rsidP="0048362E">
      <w:pPr>
        <w:spacing w:after="0" w:line="240" w:lineRule="auto"/>
      </w:pPr>
      <w:r>
        <w:separator/>
      </w:r>
    </w:p>
  </w:footnote>
  <w:footnote w:type="continuationSeparator" w:id="0">
    <w:p w14:paraId="2CD4D933" w14:textId="77777777" w:rsidR="001E6F33" w:rsidRDefault="001E6F33" w:rsidP="0048362E">
      <w:pPr>
        <w:spacing w:after="0" w:line="240" w:lineRule="auto"/>
      </w:pPr>
      <w:r>
        <w:continuationSeparator/>
      </w:r>
    </w:p>
  </w:footnote>
  <w:footnote w:id="1">
    <w:p w14:paraId="64A1638B" w14:textId="77777777" w:rsidR="00E153E3" w:rsidRPr="00752E94" w:rsidRDefault="00E153E3" w:rsidP="00E153E3">
      <w:pPr>
        <w:pStyle w:val="FootnoteText"/>
        <w:rPr>
          <w:rFonts w:ascii="Times New Roman" w:hAnsi="Times New Roman" w:cs="Times New Roman"/>
          <w:lang w:val="ro-RO"/>
        </w:rPr>
      </w:pPr>
      <w:r>
        <w:rPr>
          <w:rStyle w:val="FootnoteReference"/>
        </w:rPr>
        <w:footnoteRef/>
      </w:r>
      <w:r w:rsidRPr="009D7E2E">
        <w:rPr>
          <w:lang w:val="it-IT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În cazul beneficiarilor persoane fizice se indică: numele și prenumele persoanei, identificat prin________________ (act de identitate), data expirării și codul personal. În cazul beneficiarilor persoane juridice se indică: denumirea persoanei juridice, reprezentată de________________________ (numele, prenumele și funcția), în baza ___________________ (procură sau alt document de reprezentare).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776"/>
    <w:rsid w:val="00026C47"/>
    <w:rsid w:val="000321EA"/>
    <w:rsid w:val="0003382C"/>
    <w:rsid w:val="00055DF8"/>
    <w:rsid w:val="000577AE"/>
    <w:rsid w:val="0006582F"/>
    <w:rsid w:val="00067246"/>
    <w:rsid w:val="00092ACA"/>
    <w:rsid w:val="000B000B"/>
    <w:rsid w:val="000C1612"/>
    <w:rsid w:val="000D0BE8"/>
    <w:rsid w:val="000E16DE"/>
    <w:rsid w:val="000E2DDA"/>
    <w:rsid w:val="000E2F79"/>
    <w:rsid w:val="000F3D9C"/>
    <w:rsid w:val="000F4845"/>
    <w:rsid w:val="000F62EA"/>
    <w:rsid w:val="00104DDE"/>
    <w:rsid w:val="0011157B"/>
    <w:rsid w:val="0012750D"/>
    <w:rsid w:val="00137D5B"/>
    <w:rsid w:val="0015204D"/>
    <w:rsid w:val="00152695"/>
    <w:rsid w:val="00173F39"/>
    <w:rsid w:val="00197842"/>
    <w:rsid w:val="001A1572"/>
    <w:rsid w:val="001B28C7"/>
    <w:rsid w:val="001B4978"/>
    <w:rsid w:val="001B5074"/>
    <w:rsid w:val="001D022F"/>
    <w:rsid w:val="001D0374"/>
    <w:rsid w:val="001E6062"/>
    <w:rsid w:val="001E6F33"/>
    <w:rsid w:val="001F5227"/>
    <w:rsid w:val="00201F4D"/>
    <w:rsid w:val="00211DCE"/>
    <w:rsid w:val="0021588A"/>
    <w:rsid w:val="00226885"/>
    <w:rsid w:val="002369B2"/>
    <w:rsid w:val="002A6DB7"/>
    <w:rsid w:val="002B47E3"/>
    <w:rsid w:val="002E7272"/>
    <w:rsid w:val="002F71A2"/>
    <w:rsid w:val="003012D4"/>
    <w:rsid w:val="003079FC"/>
    <w:rsid w:val="00354250"/>
    <w:rsid w:val="00363E96"/>
    <w:rsid w:val="00376BE9"/>
    <w:rsid w:val="00377A11"/>
    <w:rsid w:val="00392B98"/>
    <w:rsid w:val="0039437B"/>
    <w:rsid w:val="00394843"/>
    <w:rsid w:val="00397A2B"/>
    <w:rsid w:val="003A64AD"/>
    <w:rsid w:val="003B017D"/>
    <w:rsid w:val="003C765E"/>
    <w:rsid w:val="00436D80"/>
    <w:rsid w:val="00437DCB"/>
    <w:rsid w:val="00450217"/>
    <w:rsid w:val="00451978"/>
    <w:rsid w:val="00467983"/>
    <w:rsid w:val="00473C88"/>
    <w:rsid w:val="0048362E"/>
    <w:rsid w:val="00492236"/>
    <w:rsid w:val="00497ABC"/>
    <w:rsid w:val="004B39E9"/>
    <w:rsid w:val="004D576F"/>
    <w:rsid w:val="004F2CC6"/>
    <w:rsid w:val="004F5827"/>
    <w:rsid w:val="00503D76"/>
    <w:rsid w:val="00513960"/>
    <w:rsid w:val="0051399F"/>
    <w:rsid w:val="0052476A"/>
    <w:rsid w:val="00531A3C"/>
    <w:rsid w:val="00540955"/>
    <w:rsid w:val="00540FFD"/>
    <w:rsid w:val="00566F80"/>
    <w:rsid w:val="00572818"/>
    <w:rsid w:val="00573EA4"/>
    <w:rsid w:val="00574E2A"/>
    <w:rsid w:val="00577912"/>
    <w:rsid w:val="005828B9"/>
    <w:rsid w:val="00591FC5"/>
    <w:rsid w:val="00593B5F"/>
    <w:rsid w:val="005A0A38"/>
    <w:rsid w:val="005A2D55"/>
    <w:rsid w:val="005C0AC1"/>
    <w:rsid w:val="005C7E5D"/>
    <w:rsid w:val="005E015F"/>
    <w:rsid w:val="00620609"/>
    <w:rsid w:val="00625D69"/>
    <w:rsid w:val="00651DCB"/>
    <w:rsid w:val="00655B98"/>
    <w:rsid w:val="00693041"/>
    <w:rsid w:val="006A0D70"/>
    <w:rsid w:val="006A3D36"/>
    <w:rsid w:val="006A51E5"/>
    <w:rsid w:val="006A66A3"/>
    <w:rsid w:val="006B06CF"/>
    <w:rsid w:val="006B7A0C"/>
    <w:rsid w:val="006E1F9C"/>
    <w:rsid w:val="006F12FE"/>
    <w:rsid w:val="007134ED"/>
    <w:rsid w:val="0071485C"/>
    <w:rsid w:val="00726B38"/>
    <w:rsid w:val="007358C7"/>
    <w:rsid w:val="00737FF0"/>
    <w:rsid w:val="0074659E"/>
    <w:rsid w:val="00750878"/>
    <w:rsid w:val="00752E94"/>
    <w:rsid w:val="00760D07"/>
    <w:rsid w:val="00761C0F"/>
    <w:rsid w:val="00773F2E"/>
    <w:rsid w:val="007907C9"/>
    <w:rsid w:val="007960F5"/>
    <w:rsid w:val="007A5E47"/>
    <w:rsid w:val="007B5193"/>
    <w:rsid w:val="007E6E3A"/>
    <w:rsid w:val="007F4A40"/>
    <w:rsid w:val="007F4FCF"/>
    <w:rsid w:val="0080298A"/>
    <w:rsid w:val="0080650D"/>
    <w:rsid w:val="00837A1F"/>
    <w:rsid w:val="00846BD5"/>
    <w:rsid w:val="008766C7"/>
    <w:rsid w:val="00892993"/>
    <w:rsid w:val="00897258"/>
    <w:rsid w:val="008A04C4"/>
    <w:rsid w:val="008A347D"/>
    <w:rsid w:val="008B4128"/>
    <w:rsid w:val="008D5637"/>
    <w:rsid w:val="008D6635"/>
    <w:rsid w:val="008E56EF"/>
    <w:rsid w:val="0090284B"/>
    <w:rsid w:val="00903A4F"/>
    <w:rsid w:val="0090746F"/>
    <w:rsid w:val="0091366A"/>
    <w:rsid w:val="00924E53"/>
    <w:rsid w:val="00927776"/>
    <w:rsid w:val="00932155"/>
    <w:rsid w:val="00947EEF"/>
    <w:rsid w:val="0095397C"/>
    <w:rsid w:val="00970823"/>
    <w:rsid w:val="00982BA0"/>
    <w:rsid w:val="0098653C"/>
    <w:rsid w:val="009959FE"/>
    <w:rsid w:val="009C4708"/>
    <w:rsid w:val="009D7E2E"/>
    <w:rsid w:val="009E243E"/>
    <w:rsid w:val="009E654D"/>
    <w:rsid w:val="00A1007C"/>
    <w:rsid w:val="00A23C29"/>
    <w:rsid w:val="00A25E40"/>
    <w:rsid w:val="00A27A13"/>
    <w:rsid w:val="00A41DDE"/>
    <w:rsid w:val="00A43F9A"/>
    <w:rsid w:val="00A563DC"/>
    <w:rsid w:val="00A63A2A"/>
    <w:rsid w:val="00A67010"/>
    <w:rsid w:val="00A82A10"/>
    <w:rsid w:val="00A83543"/>
    <w:rsid w:val="00A91CFB"/>
    <w:rsid w:val="00A94B68"/>
    <w:rsid w:val="00A97AF2"/>
    <w:rsid w:val="00A97E66"/>
    <w:rsid w:val="00AA0759"/>
    <w:rsid w:val="00AD7B2E"/>
    <w:rsid w:val="00AE2FEC"/>
    <w:rsid w:val="00AE349A"/>
    <w:rsid w:val="00AF0191"/>
    <w:rsid w:val="00B160EE"/>
    <w:rsid w:val="00B16CC6"/>
    <w:rsid w:val="00B24C16"/>
    <w:rsid w:val="00B407BD"/>
    <w:rsid w:val="00B41BD4"/>
    <w:rsid w:val="00B45240"/>
    <w:rsid w:val="00B656AB"/>
    <w:rsid w:val="00B77692"/>
    <w:rsid w:val="00B820E8"/>
    <w:rsid w:val="00B931A2"/>
    <w:rsid w:val="00BA1EFA"/>
    <w:rsid w:val="00BA3A96"/>
    <w:rsid w:val="00BA468B"/>
    <w:rsid w:val="00BB3D4C"/>
    <w:rsid w:val="00BC69BC"/>
    <w:rsid w:val="00BD26D9"/>
    <w:rsid w:val="00BD64B5"/>
    <w:rsid w:val="00BD6F63"/>
    <w:rsid w:val="00BE58EE"/>
    <w:rsid w:val="00C052BF"/>
    <w:rsid w:val="00C05D17"/>
    <w:rsid w:val="00C15552"/>
    <w:rsid w:val="00C20B32"/>
    <w:rsid w:val="00C273E6"/>
    <w:rsid w:val="00C340EE"/>
    <w:rsid w:val="00C50018"/>
    <w:rsid w:val="00C5676F"/>
    <w:rsid w:val="00C926B8"/>
    <w:rsid w:val="00C935C5"/>
    <w:rsid w:val="00CA21E8"/>
    <w:rsid w:val="00CA32F1"/>
    <w:rsid w:val="00CB2D21"/>
    <w:rsid w:val="00CB31AA"/>
    <w:rsid w:val="00CB3481"/>
    <w:rsid w:val="00CC4101"/>
    <w:rsid w:val="00CD3471"/>
    <w:rsid w:val="00CE17F9"/>
    <w:rsid w:val="00CF693F"/>
    <w:rsid w:val="00D0179C"/>
    <w:rsid w:val="00D10FA8"/>
    <w:rsid w:val="00D32B2E"/>
    <w:rsid w:val="00D56895"/>
    <w:rsid w:val="00D84C5D"/>
    <w:rsid w:val="00D927E7"/>
    <w:rsid w:val="00DA6EE3"/>
    <w:rsid w:val="00DA7750"/>
    <w:rsid w:val="00DA7A80"/>
    <w:rsid w:val="00DC5835"/>
    <w:rsid w:val="00DD1957"/>
    <w:rsid w:val="00DD201A"/>
    <w:rsid w:val="00DE3CDE"/>
    <w:rsid w:val="00DE6373"/>
    <w:rsid w:val="00DF6CD4"/>
    <w:rsid w:val="00E10903"/>
    <w:rsid w:val="00E10F8D"/>
    <w:rsid w:val="00E153E3"/>
    <w:rsid w:val="00E433FE"/>
    <w:rsid w:val="00E45DD3"/>
    <w:rsid w:val="00E47FDD"/>
    <w:rsid w:val="00E75B0B"/>
    <w:rsid w:val="00E914E7"/>
    <w:rsid w:val="00EA4951"/>
    <w:rsid w:val="00EB24B8"/>
    <w:rsid w:val="00EC0308"/>
    <w:rsid w:val="00EC23A4"/>
    <w:rsid w:val="00EC4732"/>
    <w:rsid w:val="00EC5E19"/>
    <w:rsid w:val="00EF23C9"/>
    <w:rsid w:val="00EF2B68"/>
    <w:rsid w:val="00F02FAF"/>
    <w:rsid w:val="00F12AFA"/>
    <w:rsid w:val="00F24889"/>
    <w:rsid w:val="00F27F95"/>
    <w:rsid w:val="00F35E03"/>
    <w:rsid w:val="00F53976"/>
    <w:rsid w:val="00F53C7B"/>
    <w:rsid w:val="00F5600F"/>
    <w:rsid w:val="00F736ED"/>
    <w:rsid w:val="00F746A2"/>
    <w:rsid w:val="00F92AEE"/>
    <w:rsid w:val="00F96147"/>
    <w:rsid w:val="00FA19FD"/>
    <w:rsid w:val="00FC70CB"/>
    <w:rsid w:val="00FD0921"/>
    <w:rsid w:val="00FD5510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A5B08"/>
  <w15:docId w15:val="{CED63409-CA34-4B51-9F84-6E582D8A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7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7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7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2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27776"/>
  </w:style>
  <w:style w:type="character" w:styleId="Hyperlink">
    <w:name w:val="Hyperlink"/>
    <w:basedOn w:val="DefaultParagraphFont"/>
    <w:uiPriority w:val="99"/>
    <w:unhideWhenUsed/>
    <w:rsid w:val="0092777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0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A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A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3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62E"/>
  </w:style>
  <w:style w:type="character" w:styleId="PageNumber">
    <w:name w:val="page number"/>
    <w:basedOn w:val="DefaultParagraphFont"/>
    <w:uiPriority w:val="99"/>
    <w:semiHidden/>
    <w:unhideWhenUsed/>
    <w:rsid w:val="0048362E"/>
  </w:style>
  <w:style w:type="paragraph" w:styleId="FootnoteText">
    <w:name w:val="footnote text"/>
    <w:basedOn w:val="Normal"/>
    <w:link w:val="FootnoteTextChar"/>
    <w:uiPriority w:val="99"/>
    <w:semiHidden/>
    <w:unhideWhenUsed/>
    <w:rsid w:val="00752E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E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E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A9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7A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E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A04C4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1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1987</Words>
  <Characters>11327</Characters>
  <Application>Microsoft Office Word</Application>
  <DocSecurity>0</DocSecurity>
  <Lines>94</Lines>
  <Paragraphs>26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Beschieru</dc:creator>
  <cp:lastModifiedBy>Direcția eficiență energetică</cp:lastModifiedBy>
  <cp:revision>8</cp:revision>
  <cp:lastPrinted>2025-06-15T19:33:00Z</cp:lastPrinted>
  <dcterms:created xsi:type="dcterms:W3CDTF">2025-06-17T13:08:00Z</dcterms:created>
  <dcterms:modified xsi:type="dcterms:W3CDTF">2025-07-11T07:56:00Z</dcterms:modified>
</cp:coreProperties>
</file>