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6F6C3" w14:textId="7778EF5B" w:rsidR="008B4BE6" w:rsidRPr="00B035BC" w:rsidRDefault="008B4BE6" w:rsidP="004F59D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00A55B7A" w14:textId="5B414911" w:rsidR="008B4BE6" w:rsidRPr="00B035B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r w:rsidR="004F59D8">
        <w:rPr>
          <w:b/>
          <w:sz w:val="24"/>
          <w:szCs w:val="24"/>
          <w:lang w:val="ro-RO"/>
        </w:rPr>
        <w:t xml:space="preserve"> </w:t>
      </w:r>
    </w:p>
    <w:p w14:paraId="62B3197B" w14:textId="2E2C01AB" w:rsidR="008B4BE6" w:rsidRPr="004F5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u w:val="single"/>
          <w:lang w:val="ro-RO"/>
        </w:rPr>
      </w:pPr>
      <w:r w:rsidRPr="004F59D8">
        <w:rPr>
          <w:b/>
          <w:sz w:val="24"/>
          <w:szCs w:val="24"/>
          <w:u w:val="single"/>
          <w:lang w:val="ro-RO"/>
        </w:rPr>
        <w:t>la</w:t>
      </w:r>
      <w:r w:rsidR="00032B46" w:rsidRPr="004F59D8">
        <w:rPr>
          <w:b/>
          <w:sz w:val="24"/>
          <w:szCs w:val="24"/>
          <w:u w:val="single"/>
          <w:lang w:val="ro-RO"/>
        </w:rPr>
        <w:t xml:space="preserve"> </w:t>
      </w:r>
      <w:r w:rsidRPr="004F59D8">
        <w:rPr>
          <w:b/>
          <w:sz w:val="24"/>
          <w:szCs w:val="24"/>
          <w:u w:val="single"/>
          <w:lang w:val="ro-RO"/>
        </w:rPr>
        <w:t>proiectul</w:t>
      </w:r>
      <w:r w:rsidR="004F59D8" w:rsidRPr="004F59D8">
        <w:rPr>
          <w:b/>
          <w:sz w:val="24"/>
          <w:szCs w:val="24"/>
          <w:u w:val="single"/>
          <w:lang w:val="ro-RO"/>
        </w:rPr>
        <w:t xml:space="preserve"> hotărârii Guvernului cu privire la </w:t>
      </w:r>
      <w:r w:rsidR="00016429">
        <w:rPr>
          <w:b/>
          <w:sz w:val="24"/>
          <w:szCs w:val="24"/>
          <w:u w:val="single"/>
          <w:lang w:val="ro-RO"/>
        </w:rPr>
        <w:t>modificarea Documentului unic de program pentru anii 2025-2027, aprobat prin Hotărârea Guvernului nr. 160/2025</w:t>
      </w:r>
    </w:p>
    <w:p w14:paraId="49B38077" w14:textId="7A9D9D27" w:rsidR="004F59D8" w:rsidRPr="004F59D8" w:rsidRDefault="00016429"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u w:val="single"/>
          <w:lang w:val="ro-RO"/>
        </w:rPr>
      </w:pPr>
      <w:r>
        <w:rPr>
          <w:b/>
          <w:sz w:val="24"/>
          <w:szCs w:val="24"/>
          <w:u w:val="single"/>
          <w:lang w:val="ro-RO"/>
        </w:rPr>
        <w:t>(număr unic 542</w:t>
      </w:r>
      <w:r w:rsidR="004F59D8" w:rsidRPr="004F59D8">
        <w:rPr>
          <w:b/>
          <w:sz w:val="24"/>
          <w:szCs w:val="24"/>
          <w:u w:val="single"/>
          <w:lang w:val="ro-RO"/>
        </w:rPr>
        <w:t>MIDR/2025 )</w:t>
      </w:r>
    </w:p>
    <w:p w14:paraId="7B7DC114" w14:textId="729CF102" w:rsidR="008B4BE6" w:rsidRPr="004F59D8" w:rsidRDefault="009D4C0F" w:rsidP="004F59D8">
      <w:pPr>
        <w:tabs>
          <w:tab w:val="left" w:pos="884"/>
          <w:tab w:val="left" w:pos="1196"/>
        </w:tabs>
        <w:rPr>
          <w:sz w:val="24"/>
          <w:szCs w:val="24"/>
          <w:u w:val="single"/>
          <w:lang w:val="ro-RO"/>
        </w:rPr>
      </w:pPr>
      <w:r w:rsidRPr="004F59D8">
        <w:rPr>
          <w:sz w:val="24"/>
          <w:szCs w:val="24"/>
          <w:u w:val="single"/>
          <w:lang w:val="ro-RO"/>
        </w:rPr>
        <w:t xml:space="preserve">  </w:t>
      </w:r>
    </w:p>
    <w:p w14:paraId="2265058B" w14:textId="7FDE63ED" w:rsidR="008B4BE6" w:rsidRPr="00B035BC" w:rsidRDefault="00032B4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B035BC">
        <w:rPr>
          <w:b/>
          <w:sz w:val="24"/>
          <w:szCs w:val="24"/>
          <w:lang w:val="ro-RO"/>
        </w:rPr>
        <w:t xml:space="preserve"> </w:t>
      </w:r>
    </w:p>
    <w:tbl>
      <w:tblPr>
        <w:tblStyle w:val="Tabelgril"/>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1134"/>
        <w:gridCol w:w="6946"/>
        <w:gridCol w:w="3842"/>
      </w:tblGrid>
      <w:tr w:rsidR="006D3EB7" w:rsidRPr="00202B1A" w14:paraId="165C98F0" w14:textId="77777777" w:rsidTr="00202B1A">
        <w:trPr>
          <w:trHeight w:val="1107"/>
        </w:trPr>
        <w:tc>
          <w:tcPr>
            <w:tcW w:w="2825" w:type="dxa"/>
            <w:tcMar>
              <w:top w:w="0" w:type="dxa"/>
              <w:left w:w="108" w:type="dxa"/>
              <w:bottom w:w="0" w:type="dxa"/>
              <w:right w:w="108" w:type="dxa"/>
            </w:tcMar>
          </w:tcPr>
          <w:p w14:paraId="189260EB" w14:textId="76935528"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Participantul</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la</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avizare,</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consultare</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publică,</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expertizare</w:t>
            </w:r>
          </w:p>
        </w:tc>
        <w:tc>
          <w:tcPr>
            <w:tcW w:w="1134" w:type="dxa"/>
            <w:tcMar>
              <w:top w:w="0" w:type="dxa"/>
              <w:left w:w="108" w:type="dxa"/>
              <w:bottom w:w="0" w:type="dxa"/>
              <w:right w:w="108" w:type="dxa"/>
            </w:tcMar>
          </w:tcPr>
          <w:p w14:paraId="429CCC6C" w14:textId="0ADC1BF2"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Nr.</w:t>
            </w:r>
            <w:r w:rsidR="00032B46" w:rsidRPr="00202B1A">
              <w:rPr>
                <w:rFonts w:ascii="Times New Roman" w:hAnsi="Times New Roman"/>
                <w:b/>
                <w:sz w:val="24"/>
                <w:szCs w:val="24"/>
                <w:lang w:val="ro-RO"/>
              </w:rPr>
              <w:t xml:space="preserve"> </w:t>
            </w:r>
            <w:r w:rsidR="00BA5B5B" w:rsidRPr="00202B1A">
              <w:rPr>
                <w:rFonts w:ascii="Times New Roman" w:hAnsi="Times New Roman"/>
                <w:b/>
                <w:sz w:val="24"/>
                <w:szCs w:val="24"/>
                <w:lang w:val="ro-RO"/>
              </w:rPr>
              <w:t>crt.</w:t>
            </w:r>
          </w:p>
        </w:tc>
        <w:tc>
          <w:tcPr>
            <w:tcW w:w="6946" w:type="dxa"/>
            <w:tcMar>
              <w:top w:w="0" w:type="dxa"/>
              <w:left w:w="108" w:type="dxa"/>
              <w:bottom w:w="0" w:type="dxa"/>
              <w:right w:w="108" w:type="dxa"/>
            </w:tcMar>
          </w:tcPr>
          <w:p w14:paraId="145B15CB" w14:textId="6F43B9FC" w:rsidR="008B4BE6" w:rsidRPr="00202B1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02B1A">
              <w:rPr>
                <w:rFonts w:ascii="Times New Roman" w:hAnsi="Times New Roman"/>
                <w:b/>
                <w:sz w:val="24"/>
                <w:szCs w:val="24"/>
                <w:lang w:val="ro-RO"/>
              </w:rPr>
              <w:t>Con</w:t>
            </w:r>
            <w:r w:rsidR="00863417" w:rsidRPr="00202B1A">
              <w:rPr>
                <w:rFonts w:ascii="Times New Roman" w:hAnsi="Times New Roman"/>
                <w:b/>
                <w:sz w:val="24"/>
                <w:szCs w:val="24"/>
                <w:lang w:val="ro-RO"/>
              </w:rPr>
              <w:t>ț</w:t>
            </w:r>
            <w:r w:rsidRPr="00202B1A">
              <w:rPr>
                <w:rFonts w:ascii="Times New Roman" w:hAnsi="Times New Roman"/>
                <w:b/>
                <w:sz w:val="24"/>
                <w:szCs w:val="24"/>
                <w:lang w:val="ro-RO"/>
              </w:rPr>
              <w:t>inutul</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obiec</w:t>
            </w:r>
            <w:r w:rsidR="00863417" w:rsidRPr="00202B1A">
              <w:rPr>
                <w:rFonts w:ascii="Times New Roman" w:hAnsi="Times New Roman"/>
                <w:b/>
                <w:sz w:val="24"/>
                <w:szCs w:val="24"/>
                <w:lang w:val="ro-RO"/>
              </w:rPr>
              <w:t>ț</w:t>
            </w:r>
            <w:r w:rsidRPr="00202B1A">
              <w:rPr>
                <w:rFonts w:ascii="Times New Roman" w:hAnsi="Times New Roman"/>
                <w:b/>
                <w:sz w:val="24"/>
                <w:szCs w:val="24"/>
                <w:lang w:val="ro-RO"/>
              </w:rPr>
              <w:t>iei,</w:t>
            </w:r>
          </w:p>
          <w:p w14:paraId="055FB5F6" w14:textId="56D3CBFA"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propunerii,</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recomandării,</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concluziei</w:t>
            </w:r>
          </w:p>
        </w:tc>
        <w:tc>
          <w:tcPr>
            <w:tcW w:w="3842" w:type="dxa"/>
            <w:tcMar>
              <w:top w:w="0" w:type="dxa"/>
              <w:left w:w="108" w:type="dxa"/>
              <w:bottom w:w="0" w:type="dxa"/>
              <w:right w:w="108" w:type="dxa"/>
            </w:tcMar>
          </w:tcPr>
          <w:p w14:paraId="43D44E19" w14:textId="04D0A080" w:rsidR="008B4BE6" w:rsidRPr="00202B1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02B1A">
              <w:rPr>
                <w:rFonts w:ascii="Times New Roman" w:hAnsi="Times New Roman"/>
                <w:b/>
                <w:sz w:val="24"/>
                <w:szCs w:val="24"/>
                <w:lang w:val="ro-RO"/>
              </w:rPr>
              <w:t>Argumentarea</w:t>
            </w:r>
          </w:p>
          <w:p w14:paraId="42C4E39B" w14:textId="729BF662"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hAnsi="Times New Roman"/>
                <w:b/>
                <w:sz w:val="24"/>
                <w:szCs w:val="24"/>
                <w:lang w:val="ro-RO"/>
              </w:rPr>
              <w:t>autorului</w:t>
            </w:r>
            <w:r w:rsidR="00032B46" w:rsidRPr="00202B1A">
              <w:rPr>
                <w:rFonts w:ascii="Times New Roman" w:hAnsi="Times New Roman"/>
                <w:b/>
                <w:sz w:val="24"/>
                <w:szCs w:val="24"/>
                <w:lang w:val="ro-RO"/>
              </w:rPr>
              <w:t xml:space="preserve"> </w:t>
            </w:r>
            <w:r w:rsidRPr="00202B1A">
              <w:rPr>
                <w:rFonts w:ascii="Times New Roman" w:hAnsi="Times New Roman"/>
                <w:b/>
                <w:sz w:val="24"/>
                <w:szCs w:val="24"/>
                <w:lang w:val="ro-RO"/>
              </w:rPr>
              <w:t>proiectului</w:t>
            </w:r>
          </w:p>
        </w:tc>
      </w:tr>
      <w:tr w:rsidR="006D3EB7" w:rsidRPr="00202B1A" w14:paraId="092EF798" w14:textId="77777777" w:rsidTr="00202B1A">
        <w:trPr>
          <w:trHeight w:val="356"/>
        </w:trPr>
        <w:tc>
          <w:tcPr>
            <w:tcW w:w="14747" w:type="dxa"/>
            <w:gridSpan w:val="4"/>
            <w:tcMar>
              <w:top w:w="0" w:type="dxa"/>
              <w:left w:w="108" w:type="dxa"/>
              <w:bottom w:w="0" w:type="dxa"/>
              <w:right w:w="108" w:type="dxa"/>
            </w:tcMar>
          </w:tcPr>
          <w:p w14:paraId="7963EAAD" w14:textId="3FFD1402"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eastAsia="Times New Roman" w:hAnsi="Times New Roman"/>
                <w:sz w:val="24"/>
                <w:szCs w:val="24"/>
                <w:lang w:val="ro-RO"/>
              </w:rPr>
              <w:t>Avizare</w:t>
            </w:r>
            <w:r w:rsidR="00032B46" w:rsidRPr="00202B1A">
              <w:rPr>
                <w:rFonts w:ascii="Times New Roman" w:eastAsia="Times New Roman" w:hAnsi="Times New Roman"/>
                <w:sz w:val="24"/>
                <w:szCs w:val="24"/>
                <w:lang w:val="ro-RO"/>
              </w:rPr>
              <w:t xml:space="preserve"> </w:t>
            </w:r>
            <w:r w:rsidR="00863417" w:rsidRPr="00202B1A">
              <w:rPr>
                <w:rFonts w:ascii="Times New Roman" w:hAnsi="Times New Roman"/>
                <w:sz w:val="24"/>
                <w:szCs w:val="24"/>
                <w:lang w:val="ro-RO"/>
              </w:rPr>
              <w:t>ș</w:t>
            </w:r>
            <w:r w:rsidRPr="00202B1A">
              <w:rPr>
                <w:rFonts w:ascii="Times New Roman" w:hAnsi="Times New Roman"/>
                <w:sz w:val="24"/>
                <w:szCs w:val="24"/>
                <w:lang w:val="ro-RO"/>
              </w:rPr>
              <w:t>i</w:t>
            </w:r>
            <w:r w:rsidR="00032B46" w:rsidRPr="00202B1A">
              <w:rPr>
                <w:rFonts w:ascii="Times New Roman" w:hAnsi="Times New Roman"/>
                <w:sz w:val="24"/>
                <w:szCs w:val="24"/>
                <w:lang w:val="ro-RO"/>
              </w:rPr>
              <w:t xml:space="preserve"> </w:t>
            </w:r>
            <w:r w:rsidRPr="00202B1A">
              <w:rPr>
                <w:rFonts w:ascii="Times New Roman" w:hAnsi="Times New Roman"/>
                <w:sz w:val="24"/>
                <w:szCs w:val="24"/>
                <w:lang w:val="ro-RO"/>
              </w:rPr>
              <w:t>consultare</w:t>
            </w:r>
            <w:r w:rsidR="00032B46" w:rsidRPr="00202B1A">
              <w:rPr>
                <w:rFonts w:ascii="Times New Roman" w:hAnsi="Times New Roman"/>
                <w:sz w:val="24"/>
                <w:szCs w:val="24"/>
                <w:lang w:val="ro-RO"/>
              </w:rPr>
              <w:t xml:space="preserve"> </w:t>
            </w:r>
            <w:r w:rsidRPr="00202B1A">
              <w:rPr>
                <w:rFonts w:ascii="Times New Roman" w:hAnsi="Times New Roman"/>
                <w:sz w:val="24"/>
                <w:szCs w:val="24"/>
                <w:lang w:val="ro-RO"/>
              </w:rPr>
              <w:t>publică</w:t>
            </w:r>
          </w:p>
        </w:tc>
      </w:tr>
      <w:tr w:rsidR="006D3EB7" w:rsidRPr="00194ACF" w14:paraId="615D72BE" w14:textId="77777777" w:rsidTr="00202B1A">
        <w:trPr>
          <w:trHeight w:val="375"/>
        </w:trPr>
        <w:tc>
          <w:tcPr>
            <w:tcW w:w="2825" w:type="dxa"/>
            <w:tcMar>
              <w:top w:w="0" w:type="dxa"/>
              <w:left w:w="108" w:type="dxa"/>
              <w:bottom w:w="0" w:type="dxa"/>
              <w:right w:w="108" w:type="dxa"/>
            </w:tcMar>
          </w:tcPr>
          <w:p w14:paraId="2624AC1C" w14:textId="77777777" w:rsidR="008B4BE6" w:rsidRPr="00202B1A" w:rsidRDefault="00032B46" w:rsidP="004F59D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202B1A">
              <w:rPr>
                <w:rFonts w:ascii="Times New Roman" w:eastAsia="Times New Roman" w:hAnsi="Times New Roman"/>
                <w:sz w:val="24"/>
                <w:szCs w:val="24"/>
                <w:lang w:val="ro-RO"/>
              </w:rPr>
              <w:t xml:space="preserve"> </w:t>
            </w:r>
            <w:r w:rsidR="00422AF0" w:rsidRPr="00202B1A">
              <w:rPr>
                <w:rFonts w:ascii="Times New Roman" w:eastAsia="Times New Roman" w:hAnsi="Times New Roman"/>
                <w:sz w:val="24"/>
                <w:szCs w:val="24"/>
                <w:lang w:val="ro-RO"/>
              </w:rPr>
              <w:t>CALM</w:t>
            </w:r>
          </w:p>
          <w:p w14:paraId="69DD48B9" w14:textId="395ED0C9" w:rsidR="00880F02" w:rsidRPr="00202B1A" w:rsidRDefault="00880F02" w:rsidP="004F59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eastAsia="Times New Roman" w:hAnsi="Times New Roman"/>
                <w:sz w:val="24"/>
                <w:szCs w:val="24"/>
                <w:lang w:val="ro-RO"/>
              </w:rPr>
              <w:t>(nr. 200 din 04 iulie 2025)</w:t>
            </w:r>
          </w:p>
        </w:tc>
        <w:tc>
          <w:tcPr>
            <w:tcW w:w="1134" w:type="dxa"/>
            <w:tcMar>
              <w:top w:w="0" w:type="dxa"/>
              <w:left w:w="108" w:type="dxa"/>
              <w:bottom w:w="0" w:type="dxa"/>
              <w:right w:w="108" w:type="dxa"/>
            </w:tcMar>
          </w:tcPr>
          <w:p w14:paraId="693BDE7C" w14:textId="28241E5E" w:rsidR="008B4BE6" w:rsidRPr="00202B1A" w:rsidRDefault="00032B46"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02B1A">
              <w:rPr>
                <w:rFonts w:ascii="Times New Roman" w:hAnsi="Times New Roman"/>
                <w:sz w:val="24"/>
                <w:szCs w:val="24"/>
                <w:lang w:val="ro-RO"/>
              </w:rPr>
              <w:t xml:space="preserve"> </w:t>
            </w:r>
          </w:p>
        </w:tc>
        <w:tc>
          <w:tcPr>
            <w:tcW w:w="6946" w:type="dxa"/>
            <w:tcMar>
              <w:top w:w="0" w:type="dxa"/>
              <w:left w:w="108" w:type="dxa"/>
              <w:bottom w:w="0" w:type="dxa"/>
              <w:right w:w="108" w:type="dxa"/>
            </w:tcMar>
          </w:tcPr>
          <w:p w14:paraId="5D9D7202" w14:textId="5740ED08"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Congresul Autorităților Locale din Moldova (CALM) a examinat adresarea Cancelariei</w:t>
            </w:r>
            <w:r w:rsidR="00E02095" w:rsidRPr="00202B1A">
              <w:rPr>
                <w:rFonts w:ascii="Times New Roman" w:hAnsi="Times New Roman"/>
                <w:sz w:val="24"/>
                <w:szCs w:val="24"/>
                <w:lang w:val="ro-RO"/>
              </w:rPr>
              <w:t xml:space="preserve"> de Stat a Republicii </w:t>
            </w:r>
            <w:r w:rsidRPr="00202B1A">
              <w:rPr>
                <w:rFonts w:ascii="Times New Roman" w:hAnsi="Times New Roman"/>
                <w:sz w:val="24"/>
                <w:szCs w:val="24"/>
                <w:lang w:val="ro-RO"/>
              </w:rPr>
              <w:t>Moldova nr. 18-69-7067 din 01.07.2025, privind avizarea proiectului de hotărâre a Guvernului pentru modificarea</w:t>
            </w:r>
          </w:p>
          <w:p w14:paraId="2ED73688" w14:textId="72EEF787"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Documentului unic de program pentru anii 2025-2027, aprobat prin Hotărârea Guve</w:t>
            </w:r>
            <w:r w:rsidR="00E02095" w:rsidRPr="00202B1A">
              <w:rPr>
                <w:rFonts w:ascii="Times New Roman" w:hAnsi="Times New Roman"/>
                <w:sz w:val="24"/>
                <w:szCs w:val="24"/>
                <w:lang w:val="ro-RO"/>
              </w:rPr>
              <w:t xml:space="preserve">rnului nr. 160/2025 (număr unic </w:t>
            </w:r>
            <w:r w:rsidRPr="00202B1A">
              <w:rPr>
                <w:rFonts w:ascii="Times New Roman" w:hAnsi="Times New Roman"/>
                <w:sz w:val="24"/>
                <w:szCs w:val="24"/>
                <w:lang w:val="ro-RO"/>
              </w:rPr>
              <w:t>542/MIDR/2025) și menționează următoarele:</w:t>
            </w:r>
          </w:p>
          <w:p w14:paraId="53E84F6D" w14:textId="45430928"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1. CALM salută, de principiu, includerea construcției și reparației drumului în lis</w:t>
            </w:r>
            <w:r w:rsidR="00E02095" w:rsidRPr="00202B1A">
              <w:rPr>
                <w:rFonts w:ascii="Times New Roman" w:hAnsi="Times New Roman"/>
                <w:sz w:val="24"/>
                <w:szCs w:val="24"/>
                <w:lang w:val="ro-RO"/>
              </w:rPr>
              <w:t xml:space="preserve">ta domeniilor prioritare pentru </w:t>
            </w:r>
            <w:r w:rsidRPr="00202B1A">
              <w:rPr>
                <w:rFonts w:ascii="Times New Roman" w:hAnsi="Times New Roman"/>
                <w:sz w:val="24"/>
                <w:szCs w:val="24"/>
                <w:lang w:val="ro-RO"/>
              </w:rPr>
              <w:t>finanțare în cadrul Programului Satul European. Căile de acces și drumurile constituind un element esențial și</w:t>
            </w:r>
          </w:p>
          <w:p w14:paraId="123BF193" w14:textId="77777777"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convingător de schimbare la față și europenizare a colectivităților locale din Moldova.</w:t>
            </w:r>
          </w:p>
          <w:p w14:paraId="5C3D2CAC" w14:textId="4EDFBF2C"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2. CALM salută si susține declarațiile și promisiunile oficiale ale Guvernului și a c</w:t>
            </w:r>
            <w:r w:rsidR="00E02095" w:rsidRPr="00202B1A">
              <w:rPr>
                <w:rFonts w:ascii="Times New Roman" w:hAnsi="Times New Roman"/>
                <w:sz w:val="24"/>
                <w:szCs w:val="24"/>
                <w:lang w:val="ro-RO"/>
              </w:rPr>
              <w:t xml:space="preserve">onducerii MIDR, potrivit cărora </w:t>
            </w:r>
            <w:r w:rsidRPr="00202B1A">
              <w:rPr>
                <w:rFonts w:ascii="Times New Roman" w:hAnsi="Times New Roman"/>
                <w:sz w:val="24"/>
                <w:szCs w:val="24"/>
                <w:lang w:val="ro-RO"/>
              </w:rPr>
              <w:t xml:space="preserve">absolut toate din cele 579 de proiecte declarate eligibile, vor fi asigurate </w:t>
            </w:r>
            <w:r w:rsidR="00E02095" w:rsidRPr="00202B1A">
              <w:rPr>
                <w:rFonts w:ascii="Times New Roman" w:hAnsi="Times New Roman"/>
                <w:sz w:val="24"/>
                <w:szCs w:val="24"/>
                <w:lang w:val="ro-RO"/>
              </w:rPr>
              <w:t xml:space="preserve">cu finanțare corespunzătoare în </w:t>
            </w:r>
            <w:r w:rsidRPr="00202B1A">
              <w:rPr>
                <w:rFonts w:ascii="Times New Roman" w:hAnsi="Times New Roman"/>
                <w:sz w:val="24"/>
                <w:szCs w:val="24"/>
                <w:lang w:val="ro-RO"/>
              </w:rPr>
              <w:t>perioada anilor 2025-2026. O astfel de abordare este corectă, în spiritul sta</w:t>
            </w:r>
            <w:r w:rsidR="00E02095" w:rsidRPr="00202B1A">
              <w:rPr>
                <w:rFonts w:ascii="Times New Roman" w:hAnsi="Times New Roman"/>
                <w:sz w:val="24"/>
                <w:szCs w:val="24"/>
                <w:lang w:val="ro-RO"/>
              </w:rPr>
              <w:t xml:space="preserve">ndardelor și valorilor europene </w:t>
            </w:r>
            <w:r w:rsidRPr="00202B1A">
              <w:rPr>
                <w:rFonts w:ascii="Times New Roman" w:hAnsi="Times New Roman"/>
                <w:sz w:val="24"/>
                <w:szCs w:val="24"/>
                <w:lang w:val="ro-RO"/>
              </w:rPr>
              <w:t>autentice, dar și celor constituționale, potrivit cărora toți cetățenii beneficiază de drepturi egale și acces egal la</w:t>
            </w:r>
          </w:p>
          <w:p w14:paraId="31E7B8CC" w14:textId="77777777"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fonduri și servicii publice. Fără discriminare.</w:t>
            </w:r>
          </w:p>
          <w:p w14:paraId="72C9F24A" w14:textId="454A8BD2"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3. CALM atrage atenție asupra faptului că în ultimii 4-5 ani, datorită schimbări radic</w:t>
            </w:r>
            <w:r w:rsidR="00E02095" w:rsidRPr="00202B1A">
              <w:rPr>
                <w:rFonts w:ascii="Times New Roman" w:hAnsi="Times New Roman"/>
                <w:sz w:val="24"/>
                <w:szCs w:val="24"/>
                <w:lang w:val="ro-RO"/>
              </w:rPr>
              <w:t xml:space="preserve">ale de abordare și abandonării, </w:t>
            </w:r>
            <w:r w:rsidRPr="00202B1A">
              <w:rPr>
                <w:rFonts w:ascii="Times New Roman" w:hAnsi="Times New Roman"/>
                <w:sz w:val="24"/>
                <w:szCs w:val="24"/>
                <w:lang w:val="ro-RO"/>
              </w:rPr>
              <w:t xml:space="preserve">în mare parte, a </w:t>
            </w:r>
            <w:r w:rsidRPr="00202B1A">
              <w:rPr>
                <w:rFonts w:ascii="Times New Roman" w:hAnsi="Times New Roman"/>
                <w:sz w:val="24"/>
                <w:szCs w:val="24"/>
                <w:lang w:val="ro-RO"/>
              </w:rPr>
              <w:lastRenderedPageBreak/>
              <w:t>practicilor de distribuire a resurselor financiare publice, pe criterii strict politice și netransparente, prin programele Satul European 1 și 2, a crescut enorm încrederea din partea APL în autoritățile centrale și în faptul că distribuția fondurilor se face corect și obiectiv. Această încredere fiind foarte greu de câștigat și având o valoare deosebită, în condițiile Republicii Moldova.</w:t>
            </w:r>
          </w:p>
          <w:p w14:paraId="0225B19B" w14:textId="3920C908"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4. Totodată, luând in considerație cele menționate mai sus și faptul că la această etapă au fost selectate pentru includerea în Documentul unic de program doar 132 proiecte din totalul celor 579 proiecte depuse, atragem atenția asupra faptului că marea majoritatea APL care nu s-au regăsit în lista respectivă, manifestă o îngrijorare rezonabilă privind finanțarea proiectelor pe care le-au depus. Deoarece, încrederea în corectitudine și obiectivitate, a făcut ca toate aceste APL-uri să investească resurse financ</w:t>
            </w:r>
            <w:r w:rsidR="00E02095" w:rsidRPr="00202B1A">
              <w:rPr>
                <w:rFonts w:ascii="Times New Roman" w:hAnsi="Times New Roman"/>
                <w:sz w:val="24"/>
                <w:szCs w:val="24"/>
                <w:lang w:val="ro-RO"/>
              </w:rPr>
              <w:t xml:space="preserve">iare și umane, considerabile în </w:t>
            </w:r>
            <w:r w:rsidRPr="00202B1A">
              <w:rPr>
                <w:rFonts w:ascii="Times New Roman" w:hAnsi="Times New Roman"/>
                <w:sz w:val="24"/>
                <w:szCs w:val="24"/>
                <w:lang w:val="ro-RO"/>
              </w:rPr>
              <w:t>pregătirea proiectelor. Nemaivorbind de faptul că au fost organizate consultări publice cu cetățenii cărora li s-a insuflat speranțe mari.</w:t>
            </w:r>
          </w:p>
          <w:p w14:paraId="7B1B4AAA" w14:textId="2EB47EA2"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5. Această neîncredere și îngrijorare, este alimentată de următoarele fapte și considerente:</w:t>
            </w:r>
          </w:p>
          <w:p w14:paraId="33E2E197" w14:textId="20690EC5"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Segoe UI Symbol" w:hAnsi="Segoe UI Symbol" w:cs="Segoe UI Symbol"/>
                <w:sz w:val="24"/>
                <w:szCs w:val="24"/>
                <w:lang w:val="ro-RO"/>
              </w:rPr>
              <w:t>✓</w:t>
            </w:r>
            <w:r w:rsidRPr="00202B1A">
              <w:rPr>
                <w:rFonts w:ascii="Times New Roman" w:hAnsi="Times New Roman"/>
                <w:sz w:val="24"/>
                <w:szCs w:val="24"/>
                <w:lang w:val="ro-RO"/>
              </w:rPr>
              <w:t xml:space="preserve"> Experiența anterioară (anul 2019, când sute de proiecte promise din domeniul drumurilor, așa si nu au fost finanțate);</w:t>
            </w:r>
          </w:p>
          <w:p w14:paraId="3EDAE3B4" w14:textId="04C4736F"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Segoe UI Symbol" w:hAnsi="Segoe UI Symbol" w:cs="Segoe UI Symbol"/>
                <w:sz w:val="24"/>
                <w:szCs w:val="24"/>
                <w:lang w:val="ro-RO"/>
              </w:rPr>
              <w:t>✓</w:t>
            </w:r>
            <w:r w:rsidRPr="00202B1A">
              <w:rPr>
                <w:rFonts w:ascii="Times New Roman" w:hAnsi="Times New Roman"/>
                <w:sz w:val="24"/>
                <w:szCs w:val="24"/>
                <w:lang w:val="ro-RO"/>
              </w:rPr>
              <w:t xml:space="preserve"> Folosirea în textul proiectului HG a sintagmei/termenului de ” proiecte prioritare”, ceea ce insuflă ideea că celalte nu sunt prioritare. O astfel de apreciere fiind extrem de relativă și subiectivă, mai ales in domeniul drumurilor, unde toate proiectele în fond sunt prioritare.</w:t>
            </w:r>
          </w:p>
          <w:p w14:paraId="5C8AD18C" w14:textId="0B52F7CC"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Segoe UI Symbol" w:hAnsi="Segoe UI Symbol" w:cs="Segoe UI Symbol"/>
                <w:sz w:val="24"/>
                <w:szCs w:val="24"/>
                <w:lang w:val="ro-RO"/>
              </w:rPr>
              <w:t>✓</w:t>
            </w:r>
            <w:r w:rsidRPr="00202B1A">
              <w:rPr>
                <w:rFonts w:ascii="Times New Roman" w:hAnsi="Times New Roman"/>
                <w:sz w:val="24"/>
                <w:szCs w:val="24"/>
                <w:lang w:val="ro-RO"/>
              </w:rPr>
              <w:t xml:space="preserve"> Neincluderea tuturor proiectelor declarate drept eligibile/selectate în programul unic (doar a celor 132). Includerea expresă a tuturor 579 de proiecte în programul unic, fiind una din cele mai importante confirmări a celor declarate.</w:t>
            </w:r>
          </w:p>
          <w:p w14:paraId="5495C1EC" w14:textId="55F9C7BD"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Mai mult ca atât, atragem atenție si asupra faptului că și in scrisorile expediate deja primăriilor, observăm folosirea</w:t>
            </w:r>
          </w:p>
          <w:p w14:paraId="10DBCCB5" w14:textId="249C8709"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unor termeni care generează și amplifică confuzia și incertitudinea. De: ”vor fi precăutate”..., ”vor fi depuse...”, ”...o eventuală lansare...”, ” de a menține proiectul în stare pregătită???? etc. Dep</w:t>
            </w:r>
            <w:r w:rsidR="00E02095" w:rsidRPr="00202B1A">
              <w:rPr>
                <w:rFonts w:ascii="Times New Roman" w:hAnsi="Times New Roman"/>
                <w:sz w:val="24"/>
                <w:szCs w:val="24"/>
                <w:lang w:val="ro-RO"/>
              </w:rPr>
              <w:t xml:space="preserve">use, precăutate din nou, o nouă </w:t>
            </w:r>
            <w:r w:rsidRPr="00202B1A">
              <w:rPr>
                <w:rFonts w:ascii="Times New Roman" w:hAnsi="Times New Roman"/>
                <w:sz w:val="24"/>
                <w:szCs w:val="24"/>
                <w:lang w:val="ro-RO"/>
              </w:rPr>
              <w:t>lansare...? După ce au fost declarate drept eligibile și câștigătoare toate ?!</w:t>
            </w:r>
          </w:p>
          <w:p w14:paraId="48FA4F64" w14:textId="0E6F658E"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lastRenderedPageBreak/>
              <w:t xml:space="preserve">Prin urmare, pentru a elimina orice neîncredere și suspiciuni privind finanțarea tuturor proiectelor </w:t>
            </w:r>
            <w:r w:rsidR="00E02095" w:rsidRPr="00202B1A">
              <w:rPr>
                <w:rFonts w:ascii="Times New Roman" w:hAnsi="Times New Roman"/>
                <w:sz w:val="24"/>
                <w:szCs w:val="24"/>
                <w:lang w:val="ro-RO"/>
              </w:rPr>
              <w:t xml:space="preserve">din cadrul </w:t>
            </w:r>
            <w:r w:rsidRPr="00202B1A">
              <w:rPr>
                <w:rFonts w:ascii="Times New Roman" w:hAnsi="Times New Roman"/>
                <w:sz w:val="24"/>
                <w:szCs w:val="24"/>
                <w:lang w:val="ro-RO"/>
              </w:rPr>
              <w:t>programului Europa mai aproape și suplimentar la declarațiile și promisiunile oficiale lansate, pe care CALM le susține</w:t>
            </w:r>
            <w:r w:rsidR="00E02095" w:rsidRPr="00202B1A">
              <w:rPr>
                <w:rFonts w:ascii="Times New Roman" w:hAnsi="Times New Roman"/>
                <w:sz w:val="24"/>
                <w:szCs w:val="24"/>
                <w:lang w:val="ro-RO"/>
              </w:rPr>
              <w:t xml:space="preserve"> </w:t>
            </w:r>
            <w:r w:rsidRPr="00202B1A">
              <w:rPr>
                <w:rFonts w:ascii="Times New Roman" w:hAnsi="Times New Roman"/>
                <w:sz w:val="24"/>
                <w:szCs w:val="24"/>
                <w:lang w:val="ro-RO"/>
              </w:rPr>
              <w:t>integral, considerăm necesar de acțiuni concrete cu caracter normativ (de ordin juridic) și/sau administrativ (de corectare/eliminare a formulărilor confuze menționate mai sus), care să servească drept garanție juridică, că toate proiectele depuse vor fi tratate egal și vor obține finanțare, chiar dacă și etapizat.</w:t>
            </w:r>
          </w:p>
          <w:p w14:paraId="45C49681" w14:textId="1F7643E9"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În acest context, CALM propune următoarele modificări și completări la proiect:</w:t>
            </w:r>
          </w:p>
          <w:p w14:paraId="63A49B51"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1739F2D" w14:textId="46EC47B3"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1. Declararea expresă drept câștigătoare a tuturor 579 de proiecte declarat</w:t>
            </w:r>
            <w:r w:rsidR="00007C41" w:rsidRPr="00202B1A">
              <w:rPr>
                <w:rFonts w:ascii="Times New Roman" w:hAnsi="Times New Roman"/>
                <w:sz w:val="24"/>
                <w:szCs w:val="24"/>
                <w:lang w:val="ro-RO"/>
              </w:rPr>
              <w:t xml:space="preserve">e eligibile. Termenul eligibile </w:t>
            </w:r>
            <w:r w:rsidRPr="00202B1A">
              <w:rPr>
                <w:rFonts w:ascii="Times New Roman" w:hAnsi="Times New Roman"/>
                <w:sz w:val="24"/>
                <w:szCs w:val="24"/>
                <w:lang w:val="ro-RO"/>
              </w:rPr>
              <w:t>fiind unul interpretativ. Eligibil, nu înseamnă că va fi neparat finanțat.</w:t>
            </w:r>
          </w:p>
          <w:p w14:paraId="6C06DBE9"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C518F62"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FF67FE3"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E9506C6"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631B590"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C0F5B22"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428111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023EB22"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D003A09"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CBF5E6F"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496A936"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2E62AC5"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27A555F"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271F917" w14:textId="77777777" w:rsidR="00E5225D" w:rsidRPr="00202B1A" w:rsidRDefault="00E5225D"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1A909B7"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297AAF0" w14:textId="77777777" w:rsidR="00E02095" w:rsidRPr="00202B1A" w:rsidRDefault="00E02095"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3DE2DE"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7AE577D" w14:textId="3D468DD6"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2. Includerea tuturor celor 579 de proiect în Documentul unic de program</w:t>
            </w:r>
            <w:r w:rsidR="00007C41" w:rsidRPr="00202B1A">
              <w:rPr>
                <w:rFonts w:ascii="Times New Roman" w:hAnsi="Times New Roman"/>
                <w:sz w:val="24"/>
                <w:szCs w:val="24"/>
                <w:lang w:val="ro-RO"/>
              </w:rPr>
              <w:t xml:space="preserve"> (nu doar a celora care sunt în </w:t>
            </w:r>
            <w:r w:rsidRPr="00202B1A">
              <w:rPr>
                <w:rFonts w:ascii="Times New Roman" w:hAnsi="Times New Roman"/>
                <w:sz w:val="24"/>
                <w:szCs w:val="24"/>
                <w:lang w:val="ro-RO"/>
              </w:rPr>
              <w:t>varianta actuală a proiectului).</w:t>
            </w:r>
          </w:p>
          <w:p w14:paraId="24350F3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2950C58"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B074643"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11F5E51"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B722B6E"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5F90B47"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E328758"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37F3207"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1AF2882"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AAE9DC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7E74B2E"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F3C21E3"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0ECFD2C"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EB956A0"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73D2992"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07079AA"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5F84E5F"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1E33D4C"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5B35B96"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CCD4E33"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9D3D6B5"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2C9EF3E" w14:textId="05DB291B"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3. Excluderea cuvântului „prioritare” din denumirea anexei cu listele de proiecte selectate și înlocuirea</w:t>
            </w:r>
            <w:r w:rsidR="00007C41" w:rsidRPr="00202B1A">
              <w:rPr>
                <w:rFonts w:ascii="Times New Roman" w:hAnsi="Times New Roman"/>
                <w:sz w:val="24"/>
                <w:szCs w:val="24"/>
                <w:lang w:val="ro-RO"/>
              </w:rPr>
              <w:t xml:space="preserve"> cu </w:t>
            </w:r>
            <w:r w:rsidRPr="00202B1A">
              <w:rPr>
                <w:rFonts w:ascii="Times New Roman" w:hAnsi="Times New Roman"/>
                <w:sz w:val="24"/>
                <w:szCs w:val="24"/>
                <w:lang w:val="ro-RO"/>
              </w:rPr>
              <w:t>proiectele selectate (spre finanțare) în ordinea punctajului acumulat, pe măsura aloc</w:t>
            </w:r>
            <w:r w:rsidR="00007C41" w:rsidRPr="00202B1A">
              <w:rPr>
                <w:rFonts w:ascii="Times New Roman" w:hAnsi="Times New Roman"/>
                <w:sz w:val="24"/>
                <w:szCs w:val="24"/>
                <w:lang w:val="ro-RO"/>
              </w:rPr>
              <w:t xml:space="preserve">ării resurselor necesare. Toate </w:t>
            </w:r>
            <w:r w:rsidRPr="00202B1A">
              <w:rPr>
                <w:rFonts w:ascii="Times New Roman" w:hAnsi="Times New Roman"/>
                <w:sz w:val="24"/>
                <w:szCs w:val="24"/>
                <w:lang w:val="ro-RO"/>
              </w:rPr>
              <w:t>sunt prioritare și merită finanțare, chiar și dacă etapizat.</w:t>
            </w:r>
          </w:p>
          <w:p w14:paraId="625B2F39"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F2F7F7D"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C3AB9D3"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3F79E35"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D7D26D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547691D"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9825B3"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AEB054B"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536C9BE"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1E63A0A"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84D7E6E"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FF811E9"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AD3EA38"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ECD204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E5B93D7"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DFF310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3ACE5F5" w14:textId="63878F61" w:rsidR="00853656"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4. Separarea proiectelor pe etape de finanțare și anii în care vor fi finanț</w:t>
            </w:r>
            <w:r w:rsidR="00853656" w:rsidRPr="00202B1A">
              <w:rPr>
                <w:rFonts w:ascii="Times New Roman" w:hAnsi="Times New Roman"/>
                <w:sz w:val="24"/>
                <w:szCs w:val="24"/>
                <w:lang w:val="ro-RO"/>
              </w:rPr>
              <w:t xml:space="preserve">ate (2025-2026), în special că </w:t>
            </w:r>
            <w:r w:rsidRPr="00202B1A">
              <w:rPr>
                <w:rFonts w:ascii="Times New Roman" w:hAnsi="Times New Roman"/>
                <w:sz w:val="24"/>
                <w:szCs w:val="24"/>
                <w:lang w:val="ro-RO"/>
              </w:rPr>
              <w:t>programul anume această perioadă și are ca obiectiv de realizare.</w:t>
            </w:r>
          </w:p>
          <w:p w14:paraId="76733209" w14:textId="6798E31F"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5. Menționarea/consemnarea expres că toate proiectele eligibile de</w:t>
            </w:r>
            <w:r w:rsidR="00853656" w:rsidRPr="00202B1A">
              <w:rPr>
                <w:rFonts w:ascii="Times New Roman" w:hAnsi="Times New Roman"/>
                <w:sz w:val="24"/>
                <w:szCs w:val="24"/>
                <w:lang w:val="ro-RO"/>
              </w:rPr>
              <w:t xml:space="preserve">puse sunt câștigătoare și toate </w:t>
            </w:r>
            <w:r w:rsidRPr="00202B1A">
              <w:rPr>
                <w:rFonts w:ascii="Times New Roman" w:hAnsi="Times New Roman"/>
                <w:sz w:val="24"/>
                <w:szCs w:val="24"/>
                <w:lang w:val="ro-RO"/>
              </w:rPr>
              <w:t>acestea vor fi finanțate în perioada programului (anii 2025-2027).</w:t>
            </w:r>
          </w:p>
          <w:p w14:paraId="0F0C8632"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E84F3B8"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0BBD68C"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12295C5"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6D88966"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C1BD7EF"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337C969"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E3695F6"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F23EFE3"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4ABDCB6"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324663B"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B438690" w14:textId="748622F0"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6. Includerea prevederii expres că Guvernul va identifica resursele</w:t>
            </w:r>
            <w:r w:rsidR="004D2360" w:rsidRPr="00202B1A">
              <w:rPr>
                <w:rFonts w:ascii="Times New Roman" w:hAnsi="Times New Roman"/>
                <w:sz w:val="24"/>
                <w:szCs w:val="24"/>
                <w:lang w:val="ro-RO"/>
              </w:rPr>
              <w:t xml:space="preserve"> suplimentare necesare pentru a </w:t>
            </w:r>
            <w:r w:rsidRPr="00202B1A">
              <w:rPr>
                <w:rFonts w:ascii="Times New Roman" w:hAnsi="Times New Roman"/>
                <w:sz w:val="24"/>
                <w:szCs w:val="24"/>
                <w:lang w:val="ro-RO"/>
              </w:rPr>
              <w:t>asigura finanțarea tuturor proiectelor.</w:t>
            </w:r>
          </w:p>
          <w:p w14:paraId="2F12D48F"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0714892"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44342EF"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36BB24E"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5A407E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0CFA07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84B47D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A9C006F"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DC995CA"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9843CB4" w14:textId="77777777" w:rsidR="00007C41" w:rsidRPr="00202B1A" w:rsidRDefault="00007C41"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6104013"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876D0BA"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5754F3C" w14:textId="01EFD939" w:rsidR="00880F02"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7. Includerea prevederii exprese în proiect, prin care MIDR/ONDRL va e</w:t>
            </w:r>
            <w:r w:rsidR="00853656" w:rsidRPr="00202B1A">
              <w:rPr>
                <w:rFonts w:ascii="Times New Roman" w:hAnsi="Times New Roman"/>
                <w:sz w:val="24"/>
                <w:szCs w:val="24"/>
                <w:lang w:val="ro-RO"/>
              </w:rPr>
              <w:t xml:space="preserve">xpedia tuturor 579 APL uri care </w:t>
            </w:r>
            <w:r w:rsidRPr="00202B1A">
              <w:rPr>
                <w:rFonts w:ascii="Times New Roman" w:hAnsi="Times New Roman"/>
                <w:sz w:val="24"/>
                <w:szCs w:val="24"/>
                <w:lang w:val="ro-RO"/>
              </w:rPr>
              <w:t>au depus proiectele, notificări oficiale și cu formulări clare prin poșta electronică, de</w:t>
            </w:r>
            <w:r w:rsidR="00853656" w:rsidRPr="00202B1A">
              <w:rPr>
                <w:rFonts w:ascii="Times New Roman" w:hAnsi="Times New Roman"/>
                <w:sz w:val="24"/>
                <w:szCs w:val="24"/>
                <w:lang w:val="ro-RO"/>
              </w:rPr>
              <w:t xml:space="preserve">spre selectarea proiectelor lor </w:t>
            </w:r>
            <w:r w:rsidRPr="00202B1A">
              <w:rPr>
                <w:rFonts w:ascii="Times New Roman" w:hAnsi="Times New Roman"/>
                <w:sz w:val="24"/>
                <w:szCs w:val="24"/>
                <w:lang w:val="ro-RO"/>
              </w:rPr>
              <w:t>pentru finanțare în perioada vizată (2025, 2026). Cu excluderea tuturor formulărilor ambiguie și interpretative.</w:t>
            </w:r>
          </w:p>
          <w:p w14:paraId="696D02C5" w14:textId="77777777" w:rsidR="00853656" w:rsidRPr="00202B1A" w:rsidRDefault="00853656"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8D32FDC" w14:textId="07E1578F" w:rsidR="008B4BE6" w:rsidRPr="00202B1A" w:rsidRDefault="00880F02" w:rsidP="00880F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Acceptând propunerile sus-menționate</w:t>
            </w:r>
            <w:r w:rsidR="00853656" w:rsidRPr="00202B1A">
              <w:rPr>
                <w:rFonts w:ascii="Times New Roman" w:hAnsi="Times New Roman"/>
                <w:sz w:val="24"/>
                <w:szCs w:val="24"/>
                <w:lang w:val="ro-RO"/>
              </w:rPr>
              <w:t xml:space="preserve"> ale CALM, există speranța că  se va detensiona și calma </w:t>
            </w:r>
            <w:r w:rsidRPr="00202B1A">
              <w:rPr>
                <w:rFonts w:ascii="Times New Roman" w:hAnsi="Times New Roman"/>
                <w:sz w:val="24"/>
                <w:szCs w:val="24"/>
                <w:lang w:val="ro-RO"/>
              </w:rPr>
              <w:t>situația actuală, respectiv se va diminua valul manifestat de neîncredere, suspiciuni și</w:t>
            </w:r>
            <w:r w:rsidR="00853656" w:rsidRPr="00202B1A">
              <w:rPr>
                <w:rFonts w:ascii="Times New Roman" w:hAnsi="Times New Roman"/>
                <w:sz w:val="24"/>
                <w:szCs w:val="24"/>
                <w:lang w:val="ro-RO"/>
              </w:rPr>
              <w:t xml:space="preserve"> contestări din partea </w:t>
            </w:r>
            <w:r w:rsidRPr="00202B1A">
              <w:rPr>
                <w:rFonts w:ascii="Times New Roman" w:hAnsi="Times New Roman"/>
                <w:sz w:val="24"/>
                <w:szCs w:val="24"/>
                <w:lang w:val="ro-RO"/>
              </w:rPr>
              <w:t>reprezentanților APL, în raport cu autoritățile centrale.</w:t>
            </w:r>
          </w:p>
        </w:tc>
        <w:tc>
          <w:tcPr>
            <w:tcW w:w="3842" w:type="dxa"/>
            <w:tcMar>
              <w:top w:w="0" w:type="dxa"/>
              <w:left w:w="108" w:type="dxa"/>
              <w:bottom w:w="0" w:type="dxa"/>
              <w:right w:w="108" w:type="dxa"/>
            </w:tcMar>
          </w:tcPr>
          <w:p w14:paraId="1C9C76C8"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20B948B" w14:textId="77777777" w:rsidR="00E02095" w:rsidRPr="00202B1A" w:rsidRDefault="00E02095"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14E73AF" w14:textId="77777777" w:rsidR="00E02095" w:rsidRPr="00202B1A" w:rsidRDefault="00E02095"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9B8DC96" w14:textId="77777777" w:rsidR="00E02095" w:rsidRPr="00202B1A" w:rsidRDefault="00E02095"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3F3426E" w14:textId="77777777" w:rsidR="00E02095" w:rsidRPr="00202B1A" w:rsidRDefault="00E02095"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9858F87" w14:textId="77777777" w:rsidR="00880F02"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28ECBFE" w14:textId="77777777" w:rsidR="00202B1A" w:rsidRPr="00202B1A" w:rsidRDefault="00202B1A"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8711CFE" w14:textId="77777777" w:rsidR="008B4BE6" w:rsidRPr="00202B1A" w:rsidRDefault="00422AF0"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sz w:val="24"/>
                <w:szCs w:val="24"/>
                <w:lang w:val="ro-RO"/>
              </w:rPr>
              <w:t xml:space="preserve">1. </w:t>
            </w:r>
            <w:r w:rsidRPr="00202B1A">
              <w:rPr>
                <w:rFonts w:ascii="Times New Roman" w:hAnsi="Times New Roman"/>
                <w:b/>
                <w:sz w:val="24"/>
                <w:szCs w:val="24"/>
                <w:lang w:val="ro-RO"/>
              </w:rPr>
              <w:t>Se ia act.</w:t>
            </w:r>
          </w:p>
          <w:p w14:paraId="5D6ADDB3"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7C7F57D"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D21B7F7"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3E002B6"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3D4E3B2"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9300CDD" w14:textId="2E37618D"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2. Se ia act.</w:t>
            </w:r>
          </w:p>
          <w:p w14:paraId="119B6CBA"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2A6E7ED"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81C2619"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AEE4CFF"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30CAA28"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94A9829" w14:textId="77777777" w:rsidR="00880F02"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B34B27B" w14:textId="77777777" w:rsidR="00202B1A" w:rsidRPr="00202B1A" w:rsidRDefault="00202B1A"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DBC1C49" w14:textId="2ED96AB3"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3. Se ia act.</w:t>
            </w:r>
          </w:p>
          <w:p w14:paraId="2495E99F"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6304F15"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65695B3"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5DF1E3B"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CF308EC" w14:textId="77777777" w:rsidR="00880F02"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FAFDF0A" w14:textId="77777777" w:rsidR="00202B1A" w:rsidRPr="00202B1A" w:rsidRDefault="00202B1A"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2AA2005"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522AC9D" w14:textId="5B282529"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4. Se ia act.</w:t>
            </w:r>
          </w:p>
          <w:p w14:paraId="039B5B4D"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E2673C8"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43489FD"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E9E6994"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E453538"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017991C"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4599300"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27222BE"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FABA526"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6EB5947" w14:textId="620DAC4C"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5. Se ia act.</w:t>
            </w:r>
          </w:p>
          <w:p w14:paraId="7A0A59A2"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A1D92AF"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163694D"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DCBA031"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7CD3CE2"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7A59613"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67B26EE"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D912BA4"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543E861"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93694BF"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DF55679"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8036028"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48CD6A4"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A133203"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D726E29"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9F90943"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1E53E9C"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29FB666"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42524B9"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FFE937D"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46D0ACA"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6439BE9"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AC0F9C8"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83B5A14"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7FB84BC"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2B9A8ED"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35F42D7" w14:textId="77777777" w:rsidR="00880F02"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7821C3E" w14:textId="77777777" w:rsidR="00853656" w:rsidRDefault="00853656"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90C71FA" w14:textId="77777777" w:rsidR="00202B1A" w:rsidRPr="00202B1A" w:rsidRDefault="00202B1A" w:rsidP="00422AF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5AE37F5" w14:textId="06DAA9E0" w:rsidR="00853656" w:rsidRPr="00202B1A" w:rsidRDefault="00880F02"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1. Se ia act.</w:t>
            </w:r>
          </w:p>
          <w:p w14:paraId="33FF810F" w14:textId="04BF4B0B" w:rsidR="00007C41" w:rsidRPr="00202B1A" w:rsidRDefault="00007C41" w:rsidP="00007C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Toate proiectele depuse în cadrul Programului „Europa este aproape”, care au întrunit criteriile de eligibilitate și au fost supuse evaluării tehnice și financiare, sunt co</w:t>
            </w:r>
            <w:r w:rsidR="00853656" w:rsidRPr="00202B1A">
              <w:rPr>
                <w:rFonts w:ascii="Times New Roman" w:hAnsi="Times New Roman"/>
                <w:sz w:val="24"/>
                <w:szCs w:val="24"/>
                <w:lang w:val="ro-RO"/>
              </w:rPr>
              <w:t>nsiderate parte a listei</w:t>
            </w:r>
            <w:r w:rsidRPr="00202B1A">
              <w:rPr>
                <w:rFonts w:ascii="Times New Roman" w:hAnsi="Times New Roman"/>
                <w:sz w:val="24"/>
                <w:szCs w:val="24"/>
                <w:lang w:val="ro-RO"/>
              </w:rPr>
              <w:t xml:space="preserve"> analizate pentru includere etapizată în Documentul Unic de Program, în funcție de disponibilitatea resurselor b</w:t>
            </w:r>
            <w:r w:rsidR="00853656" w:rsidRPr="00202B1A">
              <w:rPr>
                <w:rFonts w:ascii="Times New Roman" w:hAnsi="Times New Roman"/>
                <w:sz w:val="24"/>
                <w:szCs w:val="24"/>
                <w:lang w:val="ro-RO"/>
              </w:rPr>
              <w:t xml:space="preserve">ugetare și a deciziilor CNCDRL. </w:t>
            </w:r>
            <w:r w:rsidRPr="00202B1A">
              <w:rPr>
                <w:rFonts w:ascii="Times New Roman" w:hAnsi="Times New Roman"/>
                <w:sz w:val="24"/>
                <w:szCs w:val="24"/>
                <w:lang w:val="ro-RO"/>
              </w:rPr>
              <w:t>Astfel, eligibilitatea proiectelor reprezintă un prim pas în procesul de selectare pentru implementare, reflectând conformitatea cu cerințele programului și potențialul de a fi finanțate în limita mijloacelor disponibile.</w:t>
            </w:r>
          </w:p>
          <w:p w14:paraId="202287FF" w14:textId="77777777" w:rsidR="00007C41" w:rsidRPr="00202B1A" w:rsidRDefault="00007C41"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96D9BBB" w14:textId="77777777" w:rsidR="00E5225D" w:rsidRPr="00202B1A" w:rsidRDefault="00E5225D" w:rsidP="00422AF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C4E65FA" w14:textId="58647AFB" w:rsidR="00007C41" w:rsidRPr="00202B1A" w:rsidRDefault="00007C41" w:rsidP="00007C4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2. Se acceptă condiționat</w:t>
            </w:r>
          </w:p>
          <w:p w14:paraId="67B0D5FB" w14:textId="7E1AF7AF" w:rsidR="00007C41" w:rsidRPr="00202B1A" w:rsidRDefault="00007C41" w:rsidP="00007C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 xml:space="preserve"> Subiectul privind avizarea pentru includere în DUP a celor 447 de proiecte rămase va fi propusă pe </w:t>
            </w:r>
            <w:r w:rsidRPr="00202B1A">
              <w:rPr>
                <w:rFonts w:ascii="Times New Roman" w:hAnsi="Times New Roman"/>
                <w:sz w:val="24"/>
                <w:szCs w:val="24"/>
                <w:lang w:val="ro-RO"/>
              </w:rPr>
              <w:lastRenderedPageBreak/>
              <w:t>ordinea de zi a următoarei ședințe a CNCDRL.</w:t>
            </w:r>
          </w:p>
          <w:p w14:paraId="410B3A71" w14:textId="2AECB0D3" w:rsidR="00007C41" w:rsidRPr="00202B1A" w:rsidRDefault="00007C41" w:rsidP="00007C4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sz w:val="24"/>
                <w:szCs w:val="24"/>
                <w:lang w:val="ro-RO"/>
              </w:rPr>
              <w:t>Ulterior, Ministerul Infrastructurii și Dezvoltării Regionale va elabora proiectul de hotărâre a Guvernului cu privire la modificarea Listei proiectelor de dezvoltare locală</w:t>
            </w:r>
            <w:r w:rsidR="00853656" w:rsidRPr="00202B1A">
              <w:rPr>
                <w:rFonts w:ascii="Times New Roman" w:hAnsi="Times New Roman"/>
                <w:sz w:val="24"/>
                <w:szCs w:val="24"/>
                <w:lang w:val="ro-RO"/>
              </w:rPr>
              <w:t xml:space="preserve"> pentru finanțare din mijloacele Fondului național pentru dezvoltare regională și locală în perioada 2025-2027</w:t>
            </w:r>
            <w:r w:rsidRPr="00202B1A">
              <w:rPr>
                <w:rFonts w:ascii="Times New Roman" w:hAnsi="Times New Roman"/>
                <w:sz w:val="24"/>
                <w:szCs w:val="24"/>
                <w:lang w:val="ro-RO"/>
              </w:rPr>
              <w:t xml:space="preserve"> (anexa nr.</w:t>
            </w:r>
            <w:r w:rsidR="00853656" w:rsidRPr="00202B1A">
              <w:rPr>
                <w:rFonts w:ascii="Times New Roman" w:hAnsi="Times New Roman"/>
                <w:sz w:val="24"/>
                <w:szCs w:val="24"/>
                <w:lang w:val="ro-RO"/>
              </w:rPr>
              <w:t xml:space="preserve"> </w:t>
            </w:r>
            <w:r w:rsidRPr="00202B1A">
              <w:rPr>
                <w:rFonts w:ascii="Times New Roman" w:hAnsi="Times New Roman"/>
                <w:sz w:val="24"/>
                <w:szCs w:val="24"/>
                <w:lang w:val="ro-RO"/>
              </w:rPr>
              <w:t>2 la Hotărârea Guvernului nr. 160/2025). Astfel, toate cele 579 proiecte depuse în cadrul concursului și declarate eligibile, urmează a fi implementate pe parcursul anilor 2025-2026, în funcție de disponibilitatea fondurilor.</w:t>
            </w:r>
          </w:p>
          <w:p w14:paraId="45936FF6" w14:textId="77777777" w:rsidR="00853656" w:rsidRPr="00202B1A" w:rsidRDefault="00853656" w:rsidP="009B161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6FD4799" w14:textId="77777777" w:rsidR="00853656" w:rsidRPr="00202B1A" w:rsidRDefault="00853656" w:rsidP="009B161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3984DBC" w14:textId="77777777" w:rsidR="00853656" w:rsidRPr="00202B1A" w:rsidRDefault="00853656" w:rsidP="0085365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3. Se ia act.</w:t>
            </w:r>
          </w:p>
          <w:p w14:paraId="04EAD39B" w14:textId="77777777" w:rsidR="00853656" w:rsidRPr="00202B1A" w:rsidRDefault="00853656" w:rsidP="008536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 xml:space="preserve">Anexa nr. 2 a Documentului unic de program pentru anii 2025-2027, aprobat în baza HG nr. 160/2025, se numește „Lista proiectelor de dezvoltare locală pentru finanțare din mijloacele Fondului național pentru dezvoltare regională și locală în perioada 2025-2027 și nu conține cuvântul „prioritare”. </w:t>
            </w:r>
          </w:p>
          <w:p w14:paraId="3FC49E86" w14:textId="77777777" w:rsidR="00853656" w:rsidRPr="00202B1A" w:rsidRDefault="00853656" w:rsidP="008536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 xml:space="preserve">Toate proiectele depuse și selectate în cadrul apelului sunt considerate relevante pentru Guvernul Republicii Moldova și vor fi implementate cu scopul de a îmbunătăți condițiile de trai a populației prin susținerea </w:t>
            </w:r>
            <w:r w:rsidRPr="00202B1A">
              <w:rPr>
                <w:rFonts w:ascii="Times New Roman" w:hAnsi="Times New Roman"/>
                <w:sz w:val="24"/>
                <w:szCs w:val="24"/>
                <w:lang w:val="ro-RO"/>
              </w:rPr>
              <w:lastRenderedPageBreak/>
              <w:t>dezvoltării durabile a localităților din întreaga țară.</w:t>
            </w:r>
          </w:p>
          <w:p w14:paraId="750263E0" w14:textId="77777777" w:rsidR="00853656" w:rsidRPr="00202B1A" w:rsidRDefault="00853656" w:rsidP="008536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5484640" w14:textId="77777777" w:rsidR="00853656" w:rsidRPr="00202B1A" w:rsidRDefault="00853656" w:rsidP="009B161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D21D073" w14:textId="54276857" w:rsidR="00853656" w:rsidRPr="00202B1A" w:rsidRDefault="00853656" w:rsidP="0085365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4; 5. Se ia act.</w:t>
            </w:r>
          </w:p>
          <w:p w14:paraId="05BA0A17" w14:textId="2546992E" w:rsidR="00853656" w:rsidRPr="00202B1A" w:rsidRDefault="00853656" w:rsidP="008536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Toate cele 579 de proiecte depuse și selectate în cadrul concursului de identificare, evaluare, selectare și aprobare a proiectelor de dezvoltare locală în cadrul Programului Guvernului pentru modernizarea drumurilor locale „Europa este aproape”, ediția 2025, sunt considerate câștigătoare. Implementarea acestora va fi realizată progresiv, în perioada 2025–2026, în funcție de resursele financiare disponibile anual prin FNDRL și de deciziile CNCDRL.</w:t>
            </w:r>
          </w:p>
          <w:p w14:paraId="2C9BF578" w14:textId="77777777" w:rsidR="00007C41" w:rsidRPr="00202B1A" w:rsidRDefault="00007C41" w:rsidP="009B16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624D3E2" w14:textId="77777777" w:rsidR="00007C41" w:rsidRPr="00202B1A" w:rsidRDefault="00007C41" w:rsidP="009B16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DE17664" w14:textId="046BEA32" w:rsidR="00007C41" w:rsidRPr="00202B1A" w:rsidRDefault="00007C41" w:rsidP="009B161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6. Se ia act.</w:t>
            </w:r>
          </w:p>
          <w:p w14:paraId="2D577411" w14:textId="05DC10B4" w:rsidR="00007C41" w:rsidRPr="00202B1A" w:rsidRDefault="004D2360" w:rsidP="00007C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 xml:space="preserve">Guvernul Republicii Moldova și </w:t>
            </w:r>
            <w:r w:rsidR="00007C41" w:rsidRPr="00202B1A">
              <w:rPr>
                <w:rFonts w:ascii="Times New Roman" w:hAnsi="Times New Roman"/>
                <w:sz w:val="24"/>
                <w:szCs w:val="24"/>
                <w:lang w:val="ro-RO"/>
              </w:rPr>
              <w:t xml:space="preserve">Ministerul Infrastructurii și Dezvoltării Regionale se află în proces de identificare a resurselor financiare suplimentare în vederea implementării tuturor proiectelor depuse în cadrul Programului Guvernului pentru modernizarea drumurilor locale „Europa este aproape”, ediția 2025. </w:t>
            </w:r>
          </w:p>
          <w:p w14:paraId="3B0441A7" w14:textId="77777777" w:rsidR="00007C41" w:rsidRPr="00202B1A" w:rsidRDefault="00007C41" w:rsidP="009B16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1322F69" w14:textId="77777777" w:rsidR="00853656" w:rsidRDefault="00853656" w:rsidP="009B16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D7D5A83" w14:textId="77777777" w:rsidR="00202B1A" w:rsidRDefault="00202B1A" w:rsidP="009B16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D063380" w14:textId="77777777" w:rsidR="00202B1A" w:rsidRPr="00202B1A" w:rsidRDefault="00202B1A" w:rsidP="009B16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386F496" w14:textId="44CBDBE6" w:rsidR="008E18B0" w:rsidRPr="00202B1A" w:rsidRDefault="008E18B0" w:rsidP="009B161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7. Se ia act.</w:t>
            </w:r>
          </w:p>
          <w:p w14:paraId="18DFEB95" w14:textId="33D2EF3D" w:rsidR="009B1610" w:rsidRPr="00202B1A" w:rsidRDefault="004D2360" w:rsidP="004D236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 xml:space="preserve">Toți </w:t>
            </w:r>
            <w:proofErr w:type="spellStart"/>
            <w:r w:rsidRPr="00202B1A">
              <w:rPr>
                <w:rFonts w:ascii="Times New Roman" w:hAnsi="Times New Roman"/>
                <w:sz w:val="24"/>
                <w:szCs w:val="24"/>
                <w:lang w:val="ro-RO"/>
              </w:rPr>
              <w:t>aplicanții</w:t>
            </w:r>
            <w:proofErr w:type="spellEnd"/>
            <w:r w:rsidRPr="00202B1A">
              <w:rPr>
                <w:rFonts w:ascii="Times New Roman" w:hAnsi="Times New Roman"/>
                <w:sz w:val="24"/>
                <w:szCs w:val="24"/>
                <w:lang w:val="ro-RO"/>
              </w:rPr>
              <w:t xml:space="preserve"> (579), ale căror proiecte au fost declarate eligibile în cadrul apelului lansat și analizate pentru includere în Documentul Unic de Program 2025–2027, vor fi notificați oficial de către ONDRL cu privire la rezultatele evaluării și etapele ulterioare ale procesului de implementare. Proiectele urmează a fi implementate etapizat, în perioada 2025–2026, în funcție de punctajul obținut și de disponibilitatea mijloacelor financiare din Fondul național pentru dezvoltare regională și locală alocate pentru această perioadă.</w:t>
            </w:r>
          </w:p>
        </w:tc>
      </w:tr>
      <w:tr w:rsidR="004F59D8" w:rsidRPr="00202B1A" w14:paraId="3FCA4423" w14:textId="77777777" w:rsidTr="00202B1A">
        <w:trPr>
          <w:trHeight w:val="375"/>
        </w:trPr>
        <w:tc>
          <w:tcPr>
            <w:tcW w:w="2825" w:type="dxa"/>
            <w:tcMar>
              <w:top w:w="0" w:type="dxa"/>
              <w:left w:w="108" w:type="dxa"/>
              <w:bottom w:w="0" w:type="dxa"/>
              <w:right w:w="108" w:type="dxa"/>
            </w:tcMar>
          </w:tcPr>
          <w:p w14:paraId="21C6A446" w14:textId="77777777" w:rsidR="004F59D8" w:rsidRPr="00202B1A" w:rsidRDefault="004D2360" w:rsidP="004F59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lastRenderedPageBreak/>
              <w:t>Ministerul Finanțelor</w:t>
            </w:r>
          </w:p>
          <w:p w14:paraId="6C341A7A" w14:textId="758A20FA" w:rsidR="004D2360" w:rsidRPr="00202B1A" w:rsidRDefault="004D2360" w:rsidP="004F59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(nr. 09/2-03/303/1009 din 04.07.2025)</w:t>
            </w:r>
          </w:p>
        </w:tc>
        <w:tc>
          <w:tcPr>
            <w:tcW w:w="1134" w:type="dxa"/>
            <w:tcMar>
              <w:top w:w="0" w:type="dxa"/>
              <w:left w:w="108" w:type="dxa"/>
              <w:bottom w:w="0" w:type="dxa"/>
              <w:right w:w="108" w:type="dxa"/>
            </w:tcMar>
          </w:tcPr>
          <w:p w14:paraId="25E8A911" w14:textId="77777777" w:rsidR="004F59D8" w:rsidRPr="00202B1A" w:rsidRDefault="004F59D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946" w:type="dxa"/>
            <w:tcMar>
              <w:top w:w="0" w:type="dxa"/>
              <w:left w:w="108" w:type="dxa"/>
              <w:bottom w:w="0" w:type="dxa"/>
              <w:right w:w="108" w:type="dxa"/>
            </w:tcMar>
          </w:tcPr>
          <w:p w14:paraId="69AAC205" w14:textId="3751DFF7" w:rsidR="004F59D8" w:rsidRPr="00202B1A" w:rsidRDefault="004D2360" w:rsidP="004D236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La indicația Cancelariei de Stat nr.18-69-7067 din 30 iunie 2025, Ministerul Finanțelor a examinat proiectul de hotărâre pentru modificarea Documentului unic de program pentru anii 2025-2027, aprobat prin Hotărârea Guvernului nr. 160/2025 (număr unic 542/MIDR/2025), autor – Ministerul Infrastructurii și Dezvoltării Regionale și, în limita atribuțiilor funcționale,</w:t>
            </w:r>
            <w:r w:rsidR="00E02095" w:rsidRPr="00202B1A">
              <w:rPr>
                <w:rFonts w:ascii="Times New Roman" w:hAnsi="Times New Roman"/>
                <w:sz w:val="24"/>
                <w:szCs w:val="24"/>
                <w:lang w:val="ro-RO"/>
              </w:rPr>
              <w:t xml:space="preserve"> comunică lipsa propunerilor și </w:t>
            </w:r>
            <w:r w:rsidRPr="00202B1A">
              <w:rPr>
                <w:rFonts w:ascii="Times New Roman" w:hAnsi="Times New Roman"/>
                <w:sz w:val="24"/>
                <w:szCs w:val="24"/>
                <w:lang w:val="ro-RO"/>
              </w:rPr>
              <w:t>obiecțiilor pe marginea proiectului indicat.</w:t>
            </w:r>
          </w:p>
        </w:tc>
        <w:tc>
          <w:tcPr>
            <w:tcW w:w="3842" w:type="dxa"/>
            <w:tcMar>
              <w:top w:w="0" w:type="dxa"/>
              <w:left w:w="108" w:type="dxa"/>
              <w:bottom w:w="0" w:type="dxa"/>
              <w:right w:w="108" w:type="dxa"/>
            </w:tcMar>
          </w:tcPr>
          <w:p w14:paraId="2120F892" w14:textId="7860B5A3" w:rsidR="00920FA3" w:rsidRPr="00202B1A" w:rsidRDefault="004D2360" w:rsidP="00E807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Se ia act.</w:t>
            </w:r>
          </w:p>
          <w:p w14:paraId="78234F1A" w14:textId="77777777" w:rsidR="00920FA3" w:rsidRPr="00202B1A" w:rsidRDefault="00920FA3" w:rsidP="00E807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6E239A5" w14:textId="0BA2DF20" w:rsidR="00920FA3" w:rsidRPr="00202B1A" w:rsidRDefault="00920FA3" w:rsidP="00920FA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4F59D8" w:rsidRPr="00202B1A" w14:paraId="685F3C0F" w14:textId="77777777" w:rsidTr="00202B1A">
        <w:trPr>
          <w:trHeight w:val="375"/>
        </w:trPr>
        <w:tc>
          <w:tcPr>
            <w:tcW w:w="2825" w:type="dxa"/>
            <w:tcMar>
              <w:top w:w="0" w:type="dxa"/>
              <w:left w:w="108" w:type="dxa"/>
              <w:bottom w:w="0" w:type="dxa"/>
              <w:right w:w="108" w:type="dxa"/>
            </w:tcMar>
          </w:tcPr>
          <w:p w14:paraId="31FEC0C0" w14:textId="77777777" w:rsidR="004F59D8" w:rsidRPr="00202B1A" w:rsidRDefault="00CC4834"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Ministerul Muncii și Protecției Sociale</w:t>
            </w:r>
          </w:p>
          <w:p w14:paraId="14AD0095" w14:textId="75E5269B" w:rsidR="00CC4834" w:rsidRPr="00202B1A" w:rsidRDefault="00CC4834"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(Nr. 25/3320 din 04.07.2025)</w:t>
            </w:r>
          </w:p>
        </w:tc>
        <w:tc>
          <w:tcPr>
            <w:tcW w:w="1134" w:type="dxa"/>
            <w:tcMar>
              <w:top w:w="0" w:type="dxa"/>
              <w:left w:w="108" w:type="dxa"/>
              <w:bottom w:w="0" w:type="dxa"/>
              <w:right w:w="108" w:type="dxa"/>
            </w:tcMar>
          </w:tcPr>
          <w:p w14:paraId="4BFC0881" w14:textId="77777777" w:rsidR="004F59D8" w:rsidRPr="00202B1A" w:rsidRDefault="004F59D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946" w:type="dxa"/>
            <w:tcMar>
              <w:top w:w="0" w:type="dxa"/>
              <w:left w:w="108" w:type="dxa"/>
              <w:bottom w:w="0" w:type="dxa"/>
              <w:right w:w="108" w:type="dxa"/>
            </w:tcMar>
          </w:tcPr>
          <w:p w14:paraId="73070B6E" w14:textId="77777777" w:rsidR="00CC4834" w:rsidRPr="00202B1A" w:rsidRDefault="00CC4834"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02B1A">
              <w:rPr>
                <w:rFonts w:ascii="Times New Roman" w:hAnsi="Times New Roman"/>
                <w:sz w:val="24"/>
                <w:szCs w:val="24"/>
                <w:lang w:val="ro-MD"/>
              </w:rPr>
              <w:t xml:space="preserve">Ministerul Muncii și Protecției Sociale a examinat proiectul de hotărâre pentru modificarea Documentului unic de program pentru anii 2025-2027, aprobat prin Hotărârea Guvernului nr. 160/2025 (număr unic 542/MIDR/2025), autor – Ministerul Infrastructurii și Dezvoltării Regionale și, în limita competenței, comunică lipsa obiecțiilor și a propunerilor. </w:t>
            </w:r>
          </w:p>
          <w:p w14:paraId="1EDF156E" w14:textId="704E765D" w:rsidR="004F59D8" w:rsidRPr="00202B1A" w:rsidRDefault="00CC4834"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02B1A">
              <w:rPr>
                <w:rFonts w:ascii="Times New Roman" w:hAnsi="Times New Roman"/>
                <w:sz w:val="24"/>
                <w:szCs w:val="24"/>
                <w:lang w:val="ro-MD"/>
              </w:rPr>
              <w:t xml:space="preserve">Suplimentar, se propune modificarea/completarea Anexei nr. 2 la HG nr. 172/2022 pentru aprobarea Regulamentului cu privire la organizarea și funcționarea Consiliului Național de Coordonare a Dezvoltării Regionale și Locale cu includerea și a Ministerului Muncii și Protecției Sociale ca membru al Consiliului respectiv, având în </w:t>
            </w:r>
            <w:r w:rsidRPr="00202B1A">
              <w:rPr>
                <w:rFonts w:ascii="Times New Roman" w:hAnsi="Times New Roman"/>
                <w:sz w:val="24"/>
                <w:szCs w:val="24"/>
                <w:lang w:val="ro-MD"/>
              </w:rPr>
              <w:lastRenderedPageBreak/>
              <w:t xml:space="preserve">vedere reforma în domeniul asistenței sociale </w:t>
            </w:r>
            <w:proofErr w:type="spellStart"/>
            <w:r w:rsidRPr="00202B1A">
              <w:rPr>
                <w:rFonts w:ascii="Times New Roman" w:hAnsi="Times New Roman"/>
                <w:sz w:val="24"/>
                <w:szCs w:val="24"/>
                <w:lang w:val="ro-MD"/>
              </w:rPr>
              <w:t>Restart</w:t>
            </w:r>
            <w:proofErr w:type="spellEnd"/>
            <w:r w:rsidRPr="00202B1A">
              <w:rPr>
                <w:rFonts w:ascii="Times New Roman" w:hAnsi="Times New Roman"/>
                <w:sz w:val="24"/>
                <w:szCs w:val="24"/>
                <w:lang w:val="ro-MD"/>
              </w:rPr>
              <w:t xml:space="preserve"> și preluarea atribuțiilor pe domeniul social de la unitățile administrative teritoriale de nivelul II.</w:t>
            </w:r>
          </w:p>
        </w:tc>
        <w:tc>
          <w:tcPr>
            <w:tcW w:w="3842" w:type="dxa"/>
            <w:tcMar>
              <w:top w:w="0" w:type="dxa"/>
              <w:left w:w="108" w:type="dxa"/>
              <w:bottom w:w="0" w:type="dxa"/>
              <w:right w:w="108" w:type="dxa"/>
            </w:tcMar>
          </w:tcPr>
          <w:p w14:paraId="1437AFC1" w14:textId="77777777" w:rsidR="004F59D8" w:rsidRPr="00202B1A" w:rsidRDefault="00CC4834" w:rsidP="00CC483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lastRenderedPageBreak/>
              <w:t>Se ia act.</w:t>
            </w:r>
          </w:p>
          <w:p w14:paraId="670BF575" w14:textId="6135BFF7" w:rsidR="00CC4834" w:rsidRPr="00202B1A" w:rsidRDefault="00CC4834" w:rsidP="006A0D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 xml:space="preserve">În baza proiectului hotărârii Guvernului </w:t>
            </w:r>
            <w:r w:rsidR="006A0D87" w:rsidRPr="00202B1A">
              <w:rPr>
                <w:rFonts w:ascii="Times New Roman" w:hAnsi="Times New Roman"/>
                <w:sz w:val="24"/>
                <w:szCs w:val="24"/>
                <w:lang w:val="ro-RO"/>
              </w:rPr>
              <w:t xml:space="preserve">privind modificarea Hotărârii Guvernului nr. 172/2022 pentru aprobarea Regulamentului cu privire la organizarea și funcționarea Consiliului Național de Coordonare a Dezvoltării Regionale și Locale, </w:t>
            </w:r>
            <w:r w:rsidRPr="00202B1A">
              <w:rPr>
                <w:rFonts w:ascii="Times New Roman" w:hAnsi="Times New Roman"/>
                <w:sz w:val="24"/>
                <w:szCs w:val="24"/>
                <w:lang w:val="ro-RO"/>
              </w:rPr>
              <w:t xml:space="preserve">nr. unic 501/MIDR/2025, se propune includerea Ministrului Muncii și Protecției Sociale în componența </w:t>
            </w:r>
            <w:r w:rsidRPr="00202B1A">
              <w:rPr>
                <w:rFonts w:ascii="Times New Roman" w:hAnsi="Times New Roman"/>
                <w:sz w:val="24"/>
                <w:szCs w:val="24"/>
                <w:lang w:val="ro-RO"/>
              </w:rPr>
              <w:lastRenderedPageBreak/>
              <w:t xml:space="preserve">Consiliului Național de Coordonare a Dezvoltării Regionale și Locale. </w:t>
            </w:r>
            <w:r w:rsidRPr="00202B1A">
              <w:rPr>
                <w:rFonts w:ascii="Times New Roman" w:hAnsi="Times New Roman"/>
                <w:bCs/>
                <w:sz w:val="24"/>
                <w:szCs w:val="24"/>
                <w:lang w:val="ro-MD"/>
              </w:rPr>
              <w:t>Participarea ministrului Muncii și Protecției Sociale la lucrările Consiliului ar consolida abordarea integrată și intersectorială în planificarea și coordonarea intervențiilor, asigurând o corelare mai eficientă între politicile de dezvoltare regională și cele sociale, cu impact direct asupra bunăstării populației din regiunile țării.</w:t>
            </w:r>
          </w:p>
          <w:p w14:paraId="6F45EB42" w14:textId="661243B7" w:rsidR="00CC4834" w:rsidRPr="00202B1A" w:rsidRDefault="00CC4834" w:rsidP="00CC48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bCs/>
                <w:sz w:val="24"/>
                <w:szCs w:val="24"/>
                <w:lang w:val="ro-MD"/>
              </w:rPr>
              <w:t xml:space="preserve">Astfel, conform </w:t>
            </w:r>
            <w:r w:rsidR="006A0D87" w:rsidRPr="00202B1A">
              <w:rPr>
                <w:rFonts w:ascii="Times New Roman" w:hAnsi="Times New Roman"/>
                <w:bCs/>
                <w:sz w:val="24"/>
                <w:szCs w:val="24"/>
                <w:lang w:val="ro-MD"/>
              </w:rPr>
              <w:t>demersului nr. 18-69-6784 din 23.06.2025, Ministerul Muncii și Protecției Sociale este inclus în lista avizatorilor.</w:t>
            </w:r>
          </w:p>
        </w:tc>
      </w:tr>
      <w:tr w:rsidR="004F59D8" w:rsidRPr="00202B1A" w14:paraId="730CBD59" w14:textId="77777777" w:rsidTr="00202B1A">
        <w:trPr>
          <w:trHeight w:val="375"/>
        </w:trPr>
        <w:tc>
          <w:tcPr>
            <w:tcW w:w="2825" w:type="dxa"/>
            <w:tcMar>
              <w:top w:w="0" w:type="dxa"/>
              <w:left w:w="108" w:type="dxa"/>
              <w:bottom w:w="0" w:type="dxa"/>
              <w:right w:w="108" w:type="dxa"/>
            </w:tcMar>
          </w:tcPr>
          <w:p w14:paraId="5025260B" w14:textId="77777777" w:rsidR="004F59D8" w:rsidRPr="00202B1A" w:rsidRDefault="003D0E66"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lastRenderedPageBreak/>
              <w:t>Ministerul Mediului</w:t>
            </w:r>
          </w:p>
          <w:p w14:paraId="1E6DE7FF" w14:textId="1E28C591" w:rsidR="00F40BC7" w:rsidRPr="00202B1A" w:rsidRDefault="00F40BC7"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(nr.02-07/1887 din 04.07.2025)</w:t>
            </w:r>
          </w:p>
        </w:tc>
        <w:tc>
          <w:tcPr>
            <w:tcW w:w="1134" w:type="dxa"/>
            <w:tcMar>
              <w:top w:w="0" w:type="dxa"/>
              <w:left w:w="108" w:type="dxa"/>
              <w:bottom w:w="0" w:type="dxa"/>
              <w:right w:w="108" w:type="dxa"/>
            </w:tcMar>
          </w:tcPr>
          <w:p w14:paraId="7969E106" w14:textId="77777777" w:rsidR="004F59D8" w:rsidRPr="00202B1A" w:rsidRDefault="004F59D8"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946" w:type="dxa"/>
            <w:tcMar>
              <w:top w:w="0" w:type="dxa"/>
              <w:left w:w="108" w:type="dxa"/>
              <w:bottom w:w="0" w:type="dxa"/>
              <w:right w:w="108" w:type="dxa"/>
            </w:tcMar>
          </w:tcPr>
          <w:p w14:paraId="1D3008E5" w14:textId="77777777" w:rsidR="00F40BC7" w:rsidRPr="00202B1A" w:rsidRDefault="00F40BC7" w:rsidP="00F40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02B1A">
              <w:rPr>
                <w:rFonts w:ascii="Times New Roman" w:hAnsi="Times New Roman"/>
                <w:sz w:val="24"/>
                <w:szCs w:val="24"/>
                <w:lang w:val="ro-MD"/>
              </w:rPr>
              <w:t xml:space="preserve">Urmare examinării proiectului de hotărâre pentru modificarea Documentului unic de program pentru anii 2025-2027, aprobat prin Hotărârea Guvernului nr. 160/2025 (număr unic 542/MIDR/2025), autor – Ministerul Infrastructurii și Dezvoltării Regionale, Ministerul Mediului comunică susținerea acestuia cu luarea în considerație a următoarei recomandări. </w:t>
            </w:r>
          </w:p>
          <w:p w14:paraId="6DEA96A4" w14:textId="56D1FC07" w:rsidR="004F59D8" w:rsidRPr="00202B1A" w:rsidRDefault="00F40BC7" w:rsidP="00F40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02B1A">
              <w:rPr>
                <w:rFonts w:ascii="Times New Roman" w:hAnsi="Times New Roman"/>
                <w:sz w:val="24"/>
                <w:szCs w:val="24"/>
                <w:lang w:val="ro-MD"/>
              </w:rPr>
              <w:t xml:space="preserve">Potrivit prevederilor statuate la art. 3 alin. (3) al Legii nr. 11/2017 privind evaluarea strategică de mediu „documentele de politici și planificare, altele decât cele prevăzute la alin. (1) lit. a), care stabilesc cadrul pentru punerea în aplicare a oricăror activități planificate pentru care este necesar actul permisiv emis în conformitate cu Legea nr. 160/2011 privind reglementarea prin autorizare a activității de întreprinzător sunt supuse evaluării prealabile în conformitate cu art. 5, în cadrul căreia autoritatea competentă determină, pe baza criteriilor stabilite în anexa nr. 1, dacă acestea pot produce efecte semnificative asupra mediului, inclusiv asupra sănătății populației, și, prin urmare, necesită o evaluare strategică de mediu”. În context, pentru efectuarea evaluării prealabile a proiectului de hotărâre pentru modificarea Documentului unic de program pentru anii 2025-2027, aprobat prin </w:t>
            </w:r>
            <w:r w:rsidRPr="00202B1A">
              <w:rPr>
                <w:rFonts w:ascii="Times New Roman" w:hAnsi="Times New Roman"/>
                <w:sz w:val="24"/>
                <w:szCs w:val="24"/>
                <w:lang w:val="ro-MD"/>
              </w:rPr>
              <w:lastRenderedPageBreak/>
              <w:t>Hotărârea Guvernului nr. 160/2025, Ministerul Mediului recomandă autorilor prezentarea informațiilor statuate în art. 5 alin (2) din Legea nr. 11/2017, în vederea determinării necesității evaluării strategice de mediu a proiectului enunțat.</w:t>
            </w:r>
          </w:p>
        </w:tc>
        <w:tc>
          <w:tcPr>
            <w:tcW w:w="3842" w:type="dxa"/>
            <w:tcMar>
              <w:top w:w="0" w:type="dxa"/>
              <w:left w:w="108" w:type="dxa"/>
              <w:bottom w:w="0" w:type="dxa"/>
              <w:right w:w="108" w:type="dxa"/>
            </w:tcMar>
          </w:tcPr>
          <w:p w14:paraId="5BA20E55" w14:textId="1054E2DB" w:rsidR="00F40BC7" w:rsidRPr="00202B1A" w:rsidRDefault="00F40BC7" w:rsidP="00F40BC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lastRenderedPageBreak/>
              <w:t>Nu se acceptă</w:t>
            </w:r>
          </w:p>
          <w:p w14:paraId="247645EF" w14:textId="6D7EDD5C" w:rsidR="004F59D8" w:rsidRPr="00202B1A" w:rsidRDefault="007C2718" w:rsidP="007C2718">
            <w:pPr>
              <w:ind w:firstLine="0"/>
              <w:rPr>
                <w:rFonts w:ascii="Times New Roman" w:hAnsi="Times New Roman"/>
                <w:sz w:val="24"/>
                <w:szCs w:val="24"/>
                <w:lang w:val="ro-MD"/>
              </w:rPr>
            </w:pPr>
            <w:r w:rsidRPr="00202B1A">
              <w:rPr>
                <w:rFonts w:ascii="Times New Roman" w:hAnsi="Times New Roman"/>
                <w:sz w:val="24"/>
                <w:szCs w:val="24"/>
                <w:lang w:val="ro-MD"/>
              </w:rPr>
              <w:t>Documentul unic de program nu reprezintă un document de politici în sensul Hotărârii Guvernului nr. 386/2020 cu privire la planificarea strategică. Prin urmare, o listă de proiecte nu poate avea „efecte semnificative asupra mediului, inclusiv asupra sănătății populației”. Proiectele avizate pentru includerea în această listă sunt supuse unei proceduri de evaluare și selectare reglementată de Hotărârea Guvernului nr. 152/2022.</w:t>
            </w:r>
          </w:p>
          <w:p w14:paraId="533DD88D" w14:textId="77777777" w:rsidR="007C2718" w:rsidRPr="00202B1A" w:rsidRDefault="007C2718" w:rsidP="007C2718">
            <w:pPr>
              <w:ind w:firstLine="0"/>
              <w:rPr>
                <w:rFonts w:ascii="Times New Roman" w:hAnsi="Times New Roman"/>
                <w:sz w:val="24"/>
                <w:szCs w:val="24"/>
                <w:lang w:val="ro-MD"/>
              </w:rPr>
            </w:pPr>
            <w:r w:rsidRPr="00202B1A">
              <w:rPr>
                <w:rFonts w:ascii="Times New Roman" w:hAnsi="Times New Roman"/>
                <w:sz w:val="24"/>
                <w:szCs w:val="24"/>
                <w:lang w:val="ro-MD"/>
              </w:rPr>
              <w:t xml:space="preserve">Prin urmare, la implementarea portofoliului de proiecte incluse în DUP se vor respecta prevederile Legii nr. 86/2014 cu privire la evaluarea impactului de mediu, această </w:t>
            </w:r>
            <w:r w:rsidRPr="00202B1A">
              <w:rPr>
                <w:rFonts w:ascii="Times New Roman" w:hAnsi="Times New Roman"/>
                <w:sz w:val="24"/>
                <w:szCs w:val="24"/>
                <w:lang w:val="ro-MD"/>
              </w:rPr>
              <w:lastRenderedPageBreak/>
              <w:t>responsabilitate fiind în sarcina directă a autorităților publice locale beneficiare.</w:t>
            </w:r>
          </w:p>
          <w:p w14:paraId="06A980C7" w14:textId="77777777" w:rsidR="00202B1A" w:rsidRPr="00202B1A" w:rsidRDefault="00202B1A" w:rsidP="007C2718">
            <w:pPr>
              <w:ind w:firstLine="0"/>
              <w:rPr>
                <w:rFonts w:ascii="Times New Roman" w:hAnsi="Times New Roman"/>
                <w:sz w:val="24"/>
                <w:szCs w:val="24"/>
                <w:lang w:val="ro-MD"/>
              </w:rPr>
            </w:pPr>
          </w:p>
          <w:p w14:paraId="2FBE06D2" w14:textId="77777777" w:rsidR="00202B1A" w:rsidRPr="00202B1A" w:rsidRDefault="00202B1A" w:rsidP="007C2718">
            <w:pPr>
              <w:ind w:firstLine="0"/>
              <w:rPr>
                <w:rFonts w:ascii="Times New Roman" w:hAnsi="Times New Roman"/>
                <w:sz w:val="24"/>
                <w:szCs w:val="24"/>
                <w:lang w:val="ro-MD"/>
              </w:rPr>
            </w:pPr>
          </w:p>
          <w:p w14:paraId="238FAAA6" w14:textId="15324EA3" w:rsidR="00202B1A" w:rsidRPr="00202B1A" w:rsidRDefault="00202B1A" w:rsidP="007C2718">
            <w:pPr>
              <w:ind w:firstLine="0"/>
              <w:rPr>
                <w:rFonts w:ascii="Times New Roman" w:hAnsi="Times New Roman"/>
                <w:sz w:val="24"/>
                <w:szCs w:val="24"/>
                <w:lang w:val="ro-MD"/>
              </w:rPr>
            </w:pPr>
          </w:p>
        </w:tc>
      </w:tr>
      <w:tr w:rsidR="00244D69" w:rsidRPr="00202B1A" w14:paraId="49823A3B" w14:textId="77777777" w:rsidTr="00202B1A">
        <w:trPr>
          <w:trHeight w:val="375"/>
        </w:trPr>
        <w:tc>
          <w:tcPr>
            <w:tcW w:w="2825" w:type="dxa"/>
            <w:tcMar>
              <w:top w:w="0" w:type="dxa"/>
              <w:left w:w="108" w:type="dxa"/>
              <w:bottom w:w="0" w:type="dxa"/>
              <w:right w:w="108" w:type="dxa"/>
            </w:tcMar>
          </w:tcPr>
          <w:p w14:paraId="64731830" w14:textId="2E73CE41" w:rsidR="00244D69" w:rsidRPr="00202B1A" w:rsidRDefault="00244D69"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lastRenderedPageBreak/>
              <w:t>Ministerul Energiei</w:t>
            </w:r>
          </w:p>
          <w:p w14:paraId="0A2E4C0C" w14:textId="5DAB49FD" w:rsidR="00244D69" w:rsidRPr="00202B1A" w:rsidRDefault="00244D69"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(nr.08-1848 din 4 iulie 2025)</w:t>
            </w:r>
          </w:p>
        </w:tc>
        <w:tc>
          <w:tcPr>
            <w:tcW w:w="1134" w:type="dxa"/>
            <w:tcMar>
              <w:top w:w="0" w:type="dxa"/>
              <w:left w:w="108" w:type="dxa"/>
              <w:bottom w:w="0" w:type="dxa"/>
              <w:right w:w="108" w:type="dxa"/>
            </w:tcMar>
          </w:tcPr>
          <w:p w14:paraId="2D282ECB" w14:textId="77777777" w:rsidR="00244D69" w:rsidRPr="00202B1A" w:rsidRDefault="00244D6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6946" w:type="dxa"/>
            <w:tcMar>
              <w:top w:w="0" w:type="dxa"/>
              <w:left w:w="108" w:type="dxa"/>
              <w:bottom w:w="0" w:type="dxa"/>
              <w:right w:w="108" w:type="dxa"/>
            </w:tcMar>
          </w:tcPr>
          <w:p w14:paraId="7997F1B1" w14:textId="7272B042" w:rsidR="00244D69" w:rsidRPr="00202B1A" w:rsidRDefault="00244D69" w:rsidP="00F40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Cu referire la demersul Cancelariei de Stat nr. 18-69-7067 din 30 iunie 2025 privind avizarea proiectului de hotărâre pentru modificarea Documentului unic de program pentru anii 2025-2027, aprobat prin Hotărârea Guvernului nr. 160/2025 (număr unic 542/MIDR/2025), autor – Ministerul Infrastructurii și Dezvoltării Regionale, urmare a examinării acestuia, Ministerul Energiei, în limita competențelor instituționale, comunică lipsa de obiecții și propuneri.</w:t>
            </w:r>
          </w:p>
        </w:tc>
        <w:tc>
          <w:tcPr>
            <w:tcW w:w="3842" w:type="dxa"/>
            <w:tcMar>
              <w:top w:w="0" w:type="dxa"/>
              <w:left w:w="108" w:type="dxa"/>
              <w:bottom w:w="0" w:type="dxa"/>
              <w:right w:w="108" w:type="dxa"/>
            </w:tcMar>
          </w:tcPr>
          <w:p w14:paraId="55200C3C" w14:textId="372B4E65" w:rsidR="00244D69" w:rsidRPr="00202B1A" w:rsidRDefault="00244D69" w:rsidP="00F40BC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02B1A">
              <w:rPr>
                <w:rFonts w:ascii="Times New Roman" w:hAnsi="Times New Roman"/>
                <w:b/>
                <w:sz w:val="24"/>
                <w:szCs w:val="24"/>
                <w:lang w:val="ro-RO"/>
              </w:rPr>
              <w:t>Se ia act.</w:t>
            </w:r>
          </w:p>
        </w:tc>
      </w:tr>
      <w:tr w:rsidR="006D3EB7" w:rsidRPr="00202B1A" w14:paraId="289EF268" w14:textId="77777777" w:rsidTr="00202B1A">
        <w:trPr>
          <w:trHeight w:val="375"/>
        </w:trPr>
        <w:tc>
          <w:tcPr>
            <w:tcW w:w="14747" w:type="dxa"/>
            <w:gridSpan w:val="4"/>
            <w:tcMar>
              <w:top w:w="0" w:type="dxa"/>
              <w:left w:w="108" w:type="dxa"/>
              <w:bottom w:w="0" w:type="dxa"/>
              <w:right w:w="108" w:type="dxa"/>
            </w:tcMar>
          </w:tcPr>
          <w:p w14:paraId="61F25475" w14:textId="77777777" w:rsidR="008B4BE6" w:rsidRPr="00202B1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02B1A">
              <w:rPr>
                <w:rFonts w:ascii="Times New Roman" w:eastAsia="Times New Roman" w:hAnsi="Times New Roman"/>
                <w:sz w:val="24"/>
                <w:szCs w:val="24"/>
                <w:lang w:val="ro-RO"/>
              </w:rPr>
              <w:t>Expertizare</w:t>
            </w:r>
          </w:p>
        </w:tc>
      </w:tr>
      <w:tr w:rsidR="006D3EB7" w:rsidRPr="00202B1A" w14:paraId="764F9C0F" w14:textId="77777777" w:rsidTr="00202B1A">
        <w:trPr>
          <w:trHeight w:val="356"/>
        </w:trPr>
        <w:tc>
          <w:tcPr>
            <w:tcW w:w="2825" w:type="dxa"/>
            <w:tcMar>
              <w:top w:w="0" w:type="dxa"/>
              <w:left w:w="108" w:type="dxa"/>
              <w:bottom w:w="0" w:type="dxa"/>
              <w:right w:w="108" w:type="dxa"/>
            </w:tcMar>
          </w:tcPr>
          <w:p w14:paraId="1374A670" w14:textId="77777777" w:rsidR="008B4BE6" w:rsidRDefault="003D0E66" w:rsidP="003D0E6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202B1A">
              <w:rPr>
                <w:rFonts w:ascii="Times New Roman" w:eastAsia="Times New Roman" w:hAnsi="Times New Roman"/>
                <w:sz w:val="24"/>
                <w:szCs w:val="24"/>
                <w:lang w:val="ro-RO"/>
              </w:rPr>
              <w:t>Ministerul Justiției</w:t>
            </w:r>
          </w:p>
          <w:p w14:paraId="74C65AD1" w14:textId="48ADEB8B" w:rsidR="00194ACF" w:rsidRPr="00202B1A" w:rsidRDefault="00194ACF" w:rsidP="003D0E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eastAsia="Times New Roman" w:hAnsi="Times New Roman"/>
                <w:sz w:val="24"/>
                <w:szCs w:val="24"/>
                <w:lang w:val="ro-RO"/>
              </w:rPr>
              <w:t>(nr. 04/2-6601 din 07.07.2025)</w:t>
            </w:r>
          </w:p>
        </w:tc>
        <w:tc>
          <w:tcPr>
            <w:tcW w:w="1134" w:type="dxa"/>
            <w:tcMar>
              <w:top w:w="0" w:type="dxa"/>
              <w:left w:w="108" w:type="dxa"/>
              <w:bottom w:w="0" w:type="dxa"/>
              <w:right w:w="108" w:type="dxa"/>
            </w:tcMar>
          </w:tcPr>
          <w:p w14:paraId="7896F85C" w14:textId="3B68A21C" w:rsidR="008B4BE6" w:rsidRPr="00202B1A" w:rsidRDefault="00032B46"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02B1A">
              <w:rPr>
                <w:rFonts w:ascii="Times New Roman" w:hAnsi="Times New Roman"/>
                <w:sz w:val="24"/>
                <w:szCs w:val="24"/>
                <w:lang w:val="ro-RO"/>
              </w:rPr>
              <w:t xml:space="preserve"> </w:t>
            </w:r>
          </w:p>
        </w:tc>
        <w:tc>
          <w:tcPr>
            <w:tcW w:w="6946" w:type="dxa"/>
            <w:tcMar>
              <w:top w:w="0" w:type="dxa"/>
              <w:left w:w="108" w:type="dxa"/>
              <w:bottom w:w="0" w:type="dxa"/>
              <w:right w:w="108" w:type="dxa"/>
            </w:tcMar>
          </w:tcPr>
          <w:p w14:paraId="75EDFD34" w14:textId="4E5AC910" w:rsidR="00194ACF" w:rsidRDefault="00032B46"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02B1A">
              <w:rPr>
                <w:rFonts w:ascii="Times New Roman" w:hAnsi="Times New Roman"/>
                <w:sz w:val="24"/>
                <w:szCs w:val="24"/>
                <w:lang w:val="ro-RO"/>
              </w:rPr>
              <w:t xml:space="preserve"> </w:t>
            </w:r>
            <w:r w:rsidR="00194ACF" w:rsidRPr="00194ACF">
              <w:rPr>
                <w:rFonts w:ascii="Times New Roman" w:hAnsi="Times New Roman"/>
                <w:sz w:val="24"/>
                <w:szCs w:val="24"/>
                <w:lang w:val="ro-MD"/>
              </w:rPr>
              <w:t xml:space="preserve">Urmare examinării proiectului de hotărâre a Guvernului pentru modificarea Documentului unic de program pentru anii 2025-2027, aprobat prin Hotărârea Guvernului nr. 160/2025 (număr unic 542/MIDR/2025), comunicăm următoarele. Sub aspectul </w:t>
            </w:r>
            <w:proofErr w:type="spellStart"/>
            <w:r w:rsidR="00194ACF" w:rsidRPr="00194ACF">
              <w:rPr>
                <w:rFonts w:ascii="Times New Roman" w:hAnsi="Times New Roman"/>
                <w:sz w:val="24"/>
                <w:szCs w:val="24"/>
                <w:lang w:val="ro-MD"/>
              </w:rPr>
              <w:t>intenţiei</w:t>
            </w:r>
            <w:proofErr w:type="spellEnd"/>
            <w:r w:rsidR="00194ACF" w:rsidRPr="00194ACF">
              <w:rPr>
                <w:rFonts w:ascii="Times New Roman" w:hAnsi="Times New Roman"/>
                <w:sz w:val="24"/>
                <w:szCs w:val="24"/>
                <w:lang w:val="ro-MD"/>
              </w:rPr>
              <w:t xml:space="preserve"> de reglementare, potrivit notei de fundamentare, proiectul de act normativ propune modificarea anexei nr. 2 și includerea anexei nr. 3 la Documentul unic de program pentru anii 2025-2027, aprobat prin Hotărârea Guvernului nr. 160/2025, ca urmare a aprobării de către Consiliul Național de Coordonare a Dezvoltării Regionale și Locale (CNCDRL) a Deciziei nr. 35 din 27.06.2025, prin care au fost avizate modificările la Documentul unic de program pentru anii 2025-2027. Raționamentele expuse de inițiator în notă reflectă motivul elaborării proiectului actului normativ, obiectivele urmărite și soluțiile propuse. Obiecții de ordin conceptual nu avem de formulat. </w:t>
            </w:r>
          </w:p>
          <w:p w14:paraId="14B5A1DE"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CFE77AF"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94ACF">
              <w:rPr>
                <w:rFonts w:ascii="Times New Roman" w:hAnsi="Times New Roman"/>
                <w:sz w:val="24"/>
                <w:szCs w:val="24"/>
                <w:lang w:val="ro-MD"/>
              </w:rPr>
              <w:t xml:space="preserve">Analizat prin prisma Legii nr. 100/2017 cu privire la actele normative, la definitivarea proiectului se vor lua în considerare următoarele propuneri și observații: </w:t>
            </w:r>
          </w:p>
          <w:p w14:paraId="6E1F4D60" w14:textId="09424919"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94ACF">
              <w:rPr>
                <w:rFonts w:ascii="Times New Roman" w:hAnsi="Times New Roman"/>
                <w:sz w:val="24"/>
                <w:szCs w:val="24"/>
                <w:lang w:val="ro-MD"/>
              </w:rPr>
              <w:t xml:space="preserve">La </w:t>
            </w:r>
            <w:proofErr w:type="spellStart"/>
            <w:r w:rsidRPr="00194ACF">
              <w:rPr>
                <w:rFonts w:ascii="Times New Roman" w:hAnsi="Times New Roman"/>
                <w:sz w:val="24"/>
                <w:szCs w:val="24"/>
                <w:lang w:val="ro-MD"/>
              </w:rPr>
              <w:t>subpct</w:t>
            </w:r>
            <w:proofErr w:type="spellEnd"/>
            <w:r w:rsidRPr="00194ACF">
              <w:rPr>
                <w:rFonts w:ascii="Times New Roman" w:hAnsi="Times New Roman"/>
                <w:sz w:val="24"/>
                <w:szCs w:val="24"/>
                <w:lang w:val="ro-MD"/>
              </w:rPr>
              <w:t xml:space="preserve">. 1.1, textul „după textul „ce urmează a fi implementate în următorii ani.”” se va exclude ca fiind inutil, întrucât completarea unui text sau alineat, fără a specifica ordinea în care se inserează cuvintele, </w:t>
            </w:r>
            <w:r w:rsidRPr="00194ACF">
              <w:rPr>
                <w:rFonts w:ascii="Times New Roman" w:hAnsi="Times New Roman"/>
                <w:sz w:val="24"/>
                <w:szCs w:val="24"/>
                <w:lang w:val="ro-MD"/>
              </w:rPr>
              <w:lastRenderedPageBreak/>
              <w:t xml:space="preserve">semnifică, conform regulii generale de tehnică legislativă, completarea textului la sfârșitul acestuia. </w:t>
            </w:r>
          </w:p>
          <w:p w14:paraId="06FC613A"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2C2EC1D" w14:textId="41E84719" w:rsidR="008B4BE6" w:rsidRP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94ACF">
              <w:rPr>
                <w:rFonts w:ascii="Times New Roman" w:hAnsi="Times New Roman"/>
                <w:sz w:val="24"/>
                <w:szCs w:val="24"/>
                <w:lang w:val="ro-MD"/>
              </w:rPr>
              <w:t xml:space="preserve">La </w:t>
            </w:r>
            <w:proofErr w:type="spellStart"/>
            <w:r w:rsidRPr="00194ACF">
              <w:rPr>
                <w:rFonts w:ascii="Times New Roman" w:hAnsi="Times New Roman"/>
                <w:sz w:val="24"/>
                <w:szCs w:val="24"/>
                <w:lang w:val="ro-MD"/>
              </w:rPr>
              <w:t>subpct</w:t>
            </w:r>
            <w:proofErr w:type="spellEnd"/>
            <w:r w:rsidRPr="00194ACF">
              <w:rPr>
                <w:rFonts w:ascii="Times New Roman" w:hAnsi="Times New Roman"/>
                <w:sz w:val="24"/>
                <w:szCs w:val="24"/>
                <w:lang w:val="ro-MD"/>
              </w:rPr>
              <w:t>. 1.2 cuvintele „se modifică după cum urmează” se vor exclude, ca fiind excedente</w:t>
            </w:r>
          </w:p>
        </w:tc>
        <w:tc>
          <w:tcPr>
            <w:tcW w:w="3842" w:type="dxa"/>
            <w:tcMar>
              <w:top w:w="0" w:type="dxa"/>
              <w:left w:w="108" w:type="dxa"/>
              <w:bottom w:w="0" w:type="dxa"/>
              <w:right w:w="108" w:type="dxa"/>
            </w:tcMar>
          </w:tcPr>
          <w:p w14:paraId="4D252E56" w14:textId="77777777" w:rsidR="00194ACF" w:rsidRP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94ACF">
              <w:rPr>
                <w:rFonts w:ascii="Times New Roman" w:hAnsi="Times New Roman"/>
                <w:b/>
                <w:sz w:val="24"/>
                <w:szCs w:val="24"/>
                <w:lang w:val="ro-RO"/>
              </w:rPr>
              <w:lastRenderedPageBreak/>
              <w:t>Se ia act.</w:t>
            </w:r>
          </w:p>
          <w:p w14:paraId="1E67C9BE" w14:textId="77777777" w:rsidR="008B4BE6" w:rsidRDefault="00032B46"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02B1A">
              <w:rPr>
                <w:rFonts w:ascii="Times New Roman" w:hAnsi="Times New Roman"/>
                <w:sz w:val="24"/>
                <w:szCs w:val="24"/>
                <w:lang w:val="ro-RO"/>
              </w:rPr>
              <w:t xml:space="preserve"> </w:t>
            </w:r>
          </w:p>
          <w:p w14:paraId="0EB32DFB"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AF7B341"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BA47983"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FD67992"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202ADDA"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BD47FE6"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23B968F"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30BDD77"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93BFF31"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DB9AFEC"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79EE89F"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64EE736"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C08FF72"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EFAF35C"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C5701DE"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0EF5547"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E4CD7CF"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94ACF">
              <w:rPr>
                <w:rFonts w:ascii="Times New Roman" w:hAnsi="Times New Roman"/>
                <w:b/>
                <w:sz w:val="24"/>
                <w:szCs w:val="24"/>
                <w:lang w:val="ro-RO"/>
              </w:rPr>
              <w:t>Se acceptă</w:t>
            </w:r>
            <w:r>
              <w:rPr>
                <w:rFonts w:ascii="Times New Roman" w:hAnsi="Times New Roman"/>
                <w:b/>
                <w:sz w:val="24"/>
                <w:szCs w:val="24"/>
                <w:lang w:val="ro-RO"/>
              </w:rPr>
              <w:t>.</w:t>
            </w:r>
          </w:p>
          <w:p w14:paraId="566C5DDB"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94ACF">
              <w:rPr>
                <w:rFonts w:ascii="Times New Roman" w:hAnsi="Times New Roman"/>
                <w:sz w:val="24"/>
                <w:szCs w:val="24"/>
                <w:lang w:val="ro-RO"/>
              </w:rPr>
              <w:t>Textul a fost redactat conform propunerilor și observațiilor indicate.</w:t>
            </w:r>
          </w:p>
          <w:p w14:paraId="165984BC"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345E28A"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D831155"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8A73E09" w14:textId="77777777" w:rsid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94ACF">
              <w:rPr>
                <w:rFonts w:ascii="Times New Roman" w:hAnsi="Times New Roman"/>
                <w:b/>
                <w:sz w:val="24"/>
                <w:szCs w:val="24"/>
                <w:lang w:val="ro-RO"/>
              </w:rPr>
              <w:t xml:space="preserve">Se acceptă. </w:t>
            </w:r>
          </w:p>
          <w:p w14:paraId="71F7E883" w14:textId="675A682E" w:rsidR="00194ACF" w:rsidRP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94ACF">
              <w:rPr>
                <w:rFonts w:ascii="Times New Roman" w:hAnsi="Times New Roman"/>
                <w:sz w:val="24"/>
                <w:szCs w:val="24"/>
                <w:lang w:val="ro-RO"/>
              </w:rPr>
              <w:t>Textul a fost redactat conform propunerilor și observațiilor indicate.</w:t>
            </w:r>
            <w:bookmarkStart w:id="0" w:name="_GoBack"/>
            <w:bookmarkEnd w:id="0"/>
          </w:p>
          <w:p w14:paraId="1AE8F6C5" w14:textId="0C914B32" w:rsidR="00194ACF" w:rsidRPr="00194ACF" w:rsidRDefault="00194ACF" w:rsidP="00194AC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bl>
    <w:p w14:paraId="24D8FE0E" w14:textId="62DC9B6F" w:rsidR="00582470" w:rsidRPr="00B035BC" w:rsidRDefault="00582470"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sectPr w:rsidR="00582470" w:rsidRPr="00B035BC" w:rsidSect="004F59D8">
      <w:headerReference w:type="default" r:id="rId11"/>
      <w:headerReference w:type="first" r:id="rId12"/>
      <w:pgSz w:w="16840" w:h="11907" w:orient="landscape"/>
      <w:pgMar w:top="1134" w:right="1134" w:bottom="85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DE77D" w14:textId="77777777" w:rsidR="00B12316" w:rsidRDefault="00B12316">
      <w:r>
        <w:separator/>
      </w:r>
    </w:p>
  </w:endnote>
  <w:endnote w:type="continuationSeparator" w:id="0">
    <w:p w14:paraId="05BA74D3" w14:textId="77777777" w:rsidR="00B12316" w:rsidRDefault="00B1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B42E9" w14:textId="77777777" w:rsidR="00B12316" w:rsidRDefault="00B12316">
      <w:r>
        <w:separator/>
      </w:r>
    </w:p>
  </w:footnote>
  <w:footnote w:type="continuationSeparator" w:id="0">
    <w:p w14:paraId="3BB6604E" w14:textId="77777777" w:rsidR="00B12316" w:rsidRDefault="00B12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007C41" w:rsidRPr="00F37ED4" w:rsidRDefault="00007C41"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194ACF" w:rsidRPr="00194ACF">
      <w:rPr>
        <w:noProof/>
        <w:sz w:val="28"/>
        <w:szCs w:val="28"/>
        <w:lang w:val="ro-RO"/>
      </w:rPr>
      <w:t>9</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007C41" w:rsidRPr="00032B46" w:rsidRDefault="00007C41">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7C41"/>
    <w:rsid w:val="00013460"/>
    <w:rsid w:val="00013804"/>
    <w:rsid w:val="00013AC9"/>
    <w:rsid w:val="0001642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2258"/>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84334"/>
    <w:rsid w:val="00185AC8"/>
    <w:rsid w:val="00191428"/>
    <w:rsid w:val="00194ACF"/>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2B1A"/>
    <w:rsid w:val="002041B6"/>
    <w:rsid w:val="00205100"/>
    <w:rsid w:val="0020794F"/>
    <w:rsid w:val="002164C9"/>
    <w:rsid w:val="002170A5"/>
    <w:rsid w:val="00230761"/>
    <w:rsid w:val="00236E65"/>
    <w:rsid w:val="002372B8"/>
    <w:rsid w:val="00240AC0"/>
    <w:rsid w:val="00244D69"/>
    <w:rsid w:val="002453BD"/>
    <w:rsid w:val="00257353"/>
    <w:rsid w:val="002721D2"/>
    <w:rsid w:val="0027425A"/>
    <w:rsid w:val="0028093A"/>
    <w:rsid w:val="00281C80"/>
    <w:rsid w:val="002950E0"/>
    <w:rsid w:val="002954C4"/>
    <w:rsid w:val="002B07BD"/>
    <w:rsid w:val="002B5444"/>
    <w:rsid w:val="002B547F"/>
    <w:rsid w:val="002C1EB0"/>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1605"/>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2682"/>
    <w:rsid w:val="003C3DB4"/>
    <w:rsid w:val="003C3EB9"/>
    <w:rsid w:val="003D0E66"/>
    <w:rsid w:val="003D5E8B"/>
    <w:rsid w:val="003E3748"/>
    <w:rsid w:val="003E4DA7"/>
    <w:rsid w:val="003F0CD8"/>
    <w:rsid w:val="00405019"/>
    <w:rsid w:val="00406BA9"/>
    <w:rsid w:val="00410C9A"/>
    <w:rsid w:val="00421AB5"/>
    <w:rsid w:val="00422AF0"/>
    <w:rsid w:val="00424212"/>
    <w:rsid w:val="00424CF9"/>
    <w:rsid w:val="0043208D"/>
    <w:rsid w:val="004333B4"/>
    <w:rsid w:val="00434203"/>
    <w:rsid w:val="00452C3E"/>
    <w:rsid w:val="00452C6C"/>
    <w:rsid w:val="004540B2"/>
    <w:rsid w:val="0045451B"/>
    <w:rsid w:val="00464294"/>
    <w:rsid w:val="004735CE"/>
    <w:rsid w:val="00474658"/>
    <w:rsid w:val="0047797E"/>
    <w:rsid w:val="00497F06"/>
    <w:rsid w:val="004A3757"/>
    <w:rsid w:val="004B1283"/>
    <w:rsid w:val="004C6034"/>
    <w:rsid w:val="004D2360"/>
    <w:rsid w:val="004D3941"/>
    <w:rsid w:val="004E2421"/>
    <w:rsid w:val="004E6489"/>
    <w:rsid w:val="004E6662"/>
    <w:rsid w:val="004F568A"/>
    <w:rsid w:val="004F59D8"/>
    <w:rsid w:val="005020EC"/>
    <w:rsid w:val="00516555"/>
    <w:rsid w:val="005256CF"/>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0D87"/>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61108"/>
    <w:rsid w:val="007724CE"/>
    <w:rsid w:val="00780C21"/>
    <w:rsid w:val="0079167D"/>
    <w:rsid w:val="007A0931"/>
    <w:rsid w:val="007A4309"/>
    <w:rsid w:val="007B627D"/>
    <w:rsid w:val="007B6E7F"/>
    <w:rsid w:val="007C2718"/>
    <w:rsid w:val="007C53A1"/>
    <w:rsid w:val="007C58BD"/>
    <w:rsid w:val="007C5D4B"/>
    <w:rsid w:val="007D00B1"/>
    <w:rsid w:val="007D0E36"/>
    <w:rsid w:val="007D1AF4"/>
    <w:rsid w:val="007E3F69"/>
    <w:rsid w:val="007E7735"/>
    <w:rsid w:val="007F1254"/>
    <w:rsid w:val="007F1374"/>
    <w:rsid w:val="00800EE1"/>
    <w:rsid w:val="00811CAE"/>
    <w:rsid w:val="00825DC9"/>
    <w:rsid w:val="00831DF3"/>
    <w:rsid w:val="008326E7"/>
    <w:rsid w:val="00841A40"/>
    <w:rsid w:val="0084241F"/>
    <w:rsid w:val="0084434E"/>
    <w:rsid w:val="008506B1"/>
    <w:rsid w:val="008510CC"/>
    <w:rsid w:val="00853656"/>
    <w:rsid w:val="00860C47"/>
    <w:rsid w:val="00863417"/>
    <w:rsid w:val="0086343C"/>
    <w:rsid w:val="00863D76"/>
    <w:rsid w:val="0086509B"/>
    <w:rsid w:val="0087296A"/>
    <w:rsid w:val="00876262"/>
    <w:rsid w:val="00880F02"/>
    <w:rsid w:val="00891049"/>
    <w:rsid w:val="00897403"/>
    <w:rsid w:val="008A40C0"/>
    <w:rsid w:val="008A5923"/>
    <w:rsid w:val="008B1120"/>
    <w:rsid w:val="008B1AA1"/>
    <w:rsid w:val="008B1BFF"/>
    <w:rsid w:val="008B4BE6"/>
    <w:rsid w:val="008C2DD5"/>
    <w:rsid w:val="008E18B0"/>
    <w:rsid w:val="008F12A1"/>
    <w:rsid w:val="008F3624"/>
    <w:rsid w:val="008F4A0D"/>
    <w:rsid w:val="008F73D1"/>
    <w:rsid w:val="009002CA"/>
    <w:rsid w:val="00903AF9"/>
    <w:rsid w:val="0090579F"/>
    <w:rsid w:val="009143C9"/>
    <w:rsid w:val="00915A40"/>
    <w:rsid w:val="009201C9"/>
    <w:rsid w:val="00920FA3"/>
    <w:rsid w:val="00930424"/>
    <w:rsid w:val="00942BCB"/>
    <w:rsid w:val="00942F03"/>
    <w:rsid w:val="00953155"/>
    <w:rsid w:val="00961B81"/>
    <w:rsid w:val="00962ED5"/>
    <w:rsid w:val="00971561"/>
    <w:rsid w:val="009761DA"/>
    <w:rsid w:val="009858FE"/>
    <w:rsid w:val="009860EA"/>
    <w:rsid w:val="00990719"/>
    <w:rsid w:val="0099315C"/>
    <w:rsid w:val="009B1610"/>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D7C36"/>
    <w:rsid w:val="00AE1C50"/>
    <w:rsid w:val="00AE1F78"/>
    <w:rsid w:val="00AF23AF"/>
    <w:rsid w:val="00AF4A84"/>
    <w:rsid w:val="00AF4E3A"/>
    <w:rsid w:val="00AF6A53"/>
    <w:rsid w:val="00B00257"/>
    <w:rsid w:val="00B035BC"/>
    <w:rsid w:val="00B039D7"/>
    <w:rsid w:val="00B07F61"/>
    <w:rsid w:val="00B11EFC"/>
    <w:rsid w:val="00B12316"/>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0196"/>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4834"/>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A558A"/>
    <w:rsid w:val="00DB7EE7"/>
    <w:rsid w:val="00DC0474"/>
    <w:rsid w:val="00DC3E82"/>
    <w:rsid w:val="00DC529B"/>
    <w:rsid w:val="00DD563C"/>
    <w:rsid w:val="00DE06EE"/>
    <w:rsid w:val="00DF0141"/>
    <w:rsid w:val="00DF0807"/>
    <w:rsid w:val="00DF513B"/>
    <w:rsid w:val="00DF71E8"/>
    <w:rsid w:val="00E02095"/>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25D"/>
    <w:rsid w:val="00E5244F"/>
    <w:rsid w:val="00E55E57"/>
    <w:rsid w:val="00E56249"/>
    <w:rsid w:val="00E67ACE"/>
    <w:rsid w:val="00E67BA7"/>
    <w:rsid w:val="00E71661"/>
    <w:rsid w:val="00E757FD"/>
    <w:rsid w:val="00E8077C"/>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0BC7"/>
    <w:rsid w:val="00F41D12"/>
    <w:rsid w:val="00F45235"/>
    <w:rsid w:val="00F50B3C"/>
    <w:rsid w:val="00F5592A"/>
    <w:rsid w:val="00F57E9D"/>
    <w:rsid w:val="00F66E1A"/>
    <w:rsid w:val="00F71EBB"/>
    <w:rsid w:val="00F728DA"/>
    <w:rsid w:val="00F8554D"/>
    <w:rsid w:val="00FB4E60"/>
    <w:rsid w:val="00FC4ACC"/>
    <w:rsid w:val="00FD0892"/>
    <w:rsid w:val="00FD6782"/>
    <w:rsid w:val="00FD76B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39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8A56F6D9-B22C-4F98-A5E8-3E068231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2476</Words>
  <Characters>14119</Characters>
  <Application>Microsoft Office Word</Application>
  <DocSecurity>0</DocSecurity>
  <Lines>117</Lines>
  <Paragraphs>33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Ana-Maria</cp:lastModifiedBy>
  <cp:revision>18</cp:revision>
  <cp:lastPrinted>2024-03-11T11:21:00Z</cp:lastPrinted>
  <dcterms:created xsi:type="dcterms:W3CDTF">2025-06-17T05:27:00Z</dcterms:created>
  <dcterms:modified xsi:type="dcterms:W3CDTF">2025-07-07T11:44:00Z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