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581" w:rsidRDefault="009B16C1">
      <w:pPr>
        <w:ind w:left="696"/>
        <w:jc w:val="center"/>
        <w:rPr>
          <w:rFonts w:ascii="Times New Roman" w:hAnsi="Times New Roman"/>
          <w:b/>
          <w:color w:val="000000"/>
          <w:sz w:val="18"/>
          <w:szCs w:val="18"/>
          <w:lang w:val="ro-MD"/>
        </w:rPr>
      </w:pPr>
      <w:r>
        <w:rPr>
          <w:rFonts w:ascii="Times New Roman" w:hAnsi="Times New Roman"/>
          <w:b/>
          <w:color w:val="000000"/>
          <w:sz w:val="18"/>
          <w:szCs w:val="18"/>
          <w:lang w:val="ro-MD"/>
        </w:rPr>
        <w:t>TABEL DE CONCORDANȚĂ</w:t>
      </w:r>
    </w:p>
    <w:p w:rsidR="00AB2581" w:rsidRDefault="00AB2581">
      <w:pPr>
        <w:ind w:left="696"/>
        <w:jc w:val="center"/>
        <w:rPr>
          <w:rFonts w:ascii="Times New Roman" w:hAnsi="Times New Roman"/>
          <w:b/>
          <w:color w:val="000000"/>
          <w:sz w:val="18"/>
          <w:szCs w:val="18"/>
          <w:lang w:val="ro-MD"/>
        </w:rPr>
      </w:pPr>
    </w:p>
    <w:p w:rsidR="00AB2581" w:rsidRDefault="009B16C1">
      <w:pPr>
        <w:autoSpaceDE w:val="0"/>
        <w:spacing w:before="60" w:after="60"/>
        <w:jc w:val="center"/>
      </w:pPr>
      <w:r>
        <w:rPr>
          <w:rStyle w:val="Fontdeparagrafimplicit"/>
          <w:rFonts w:ascii="Times New Roman" w:hAnsi="Times New Roman"/>
          <w:b/>
          <w:bCs/>
          <w:color w:val="000000"/>
          <w:spacing w:val="10"/>
          <w:sz w:val="18"/>
          <w:szCs w:val="18"/>
          <w:lang w:val="ro-MD" w:eastAsia="ro-RO"/>
        </w:rPr>
        <w:t>la proiectul de lege privind medicamentele de uz veterinar</w:t>
      </w:r>
    </w:p>
    <w:p w:rsidR="00AB2581" w:rsidRDefault="00AB2581">
      <w:pPr>
        <w:rPr>
          <w:rFonts w:ascii="Times New Roman" w:hAnsi="Times New Roman"/>
          <w:color w:val="000000"/>
          <w:sz w:val="18"/>
          <w:szCs w:val="18"/>
        </w:rPr>
      </w:pPr>
    </w:p>
    <w:tbl>
      <w:tblPr>
        <w:tblW w:w="15207" w:type="dxa"/>
        <w:jc w:val="center"/>
        <w:tblLayout w:type="fixed"/>
        <w:tblCellMar>
          <w:left w:w="10" w:type="dxa"/>
          <w:right w:w="10" w:type="dxa"/>
        </w:tblCellMar>
        <w:tblLook w:val="0000" w:firstRow="0" w:lastRow="0" w:firstColumn="0" w:lastColumn="0" w:noHBand="0" w:noVBand="0"/>
      </w:tblPr>
      <w:tblGrid>
        <w:gridCol w:w="401"/>
        <w:gridCol w:w="14806"/>
      </w:tblGrid>
      <w:tr w:rsidR="00AB2581">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1</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AB2581">
            <w:pPr>
              <w:autoSpaceDE w:val="0"/>
              <w:spacing w:before="60" w:after="60"/>
              <w:rPr>
                <w:rFonts w:ascii="Times New Roman" w:hAnsi="Times New Roman"/>
                <w:b/>
                <w:bCs/>
                <w:color w:val="000000"/>
                <w:sz w:val="18"/>
                <w:szCs w:val="18"/>
              </w:rPr>
            </w:pPr>
          </w:p>
          <w:p w:rsidR="00AB2581" w:rsidRDefault="009B16C1">
            <w:pPr>
              <w:autoSpaceDE w:val="0"/>
              <w:spacing w:before="60" w:after="60"/>
              <w:rPr>
                <w:rFonts w:ascii="Times New Roman" w:hAnsi="Times New Roman"/>
                <w:b/>
                <w:bCs/>
                <w:color w:val="000000"/>
                <w:sz w:val="18"/>
                <w:szCs w:val="18"/>
              </w:rPr>
            </w:pPr>
            <w:r>
              <w:rPr>
                <w:rFonts w:ascii="Times New Roman" w:hAnsi="Times New Roman"/>
                <w:b/>
                <w:bCs/>
                <w:color w:val="000000"/>
                <w:sz w:val="18"/>
                <w:szCs w:val="18"/>
              </w:rPr>
              <w:t xml:space="preserve">- Regulamentul delegat (UE) 2021/1760 al Comisiei din 26 mai 2021 de completare a Regulamentului (UE) 2019/6 al Parlamentului European și al </w:t>
            </w:r>
            <w:r>
              <w:rPr>
                <w:rFonts w:ascii="Times New Roman" w:hAnsi="Times New Roman"/>
                <w:b/>
                <w:bCs/>
                <w:color w:val="000000"/>
                <w:sz w:val="18"/>
                <w:szCs w:val="18"/>
              </w:rPr>
              <w:t>Consiliului prin stabilirea criteriilor pentru desemnarea antimicrobienelor care trebuie să fie rezervate pentru tratamentul anumitor infecții la oameni;</w:t>
            </w:r>
          </w:p>
        </w:tc>
      </w:tr>
      <w:tr w:rsidR="00AB2581">
        <w:tblPrEx>
          <w:tblCellMar>
            <w:top w:w="0" w:type="dxa"/>
            <w:bottom w:w="0" w:type="dxa"/>
          </w:tblCellMar>
        </w:tblPrEx>
        <w:trPr>
          <w:trHeight w:val="548"/>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2</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autoSpaceDE w:val="0"/>
              <w:spacing w:before="60" w:after="60"/>
            </w:pPr>
            <w:r>
              <w:rPr>
                <w:rStyle w:val="Fontdeparagrafimplicit"/>
                <w:rFonts w:ascii="Times New Roman" w:hAnsi="Times New Roman"/>
                <w:b/>
                <w:bCs/>
                <w:color w:val="000000"/>
                <w:spacing w:val="10"/>
                <w:sz w:val="18"/>
                <w:szCs w:val="18"/>
                <w:lang w:val="ro-MD" w:eastAsia="ro-RO"/>
              </w:rPr>
              <w:t>Proiectul de lege privind medicamentele de uz veterinar</w:t>
            </w:r>
          </w:p>
        </w:tc>
      </w:tr>
      <w:tr w:rsidR="00AB2581">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rPr>
                <w:rFonts w:ascii="Times New Roman" w:hAnsi="Times New Roman"/>
                <w:b/>
                <w:color w:val="000000"/>
                <w:sz w:val="18"/>
                <w:szCs w:val="18"/>
                <w:lang w:val="ro-MD"/>
              </w:rPr>
            </w:pPr>
            <w:r>
              <w:rPr>
                <w:rFonts w:ascii="Times New Roman" w:hAnsi="Times New Roman"/>
                <w:b/>
                <w:color w:val="000000"/>
                <w:sz w:val="18"/>
                <w:szCs w:val="18"/>
                <w:lang w:val="ro-MD"/>
              </w:rPr>
              <w:t>3</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r>
              <w:rPr>
                <w:rStyle w:val="Fontdeparagrafimplicit"/>
                <w:rFonts w:ascii="Times New Roman" w:hAnsi="Times New Roman"/>
                <w:b/>
                <w:color w:val="000000"/>
                <w:sz w:val="18"/>
                <w:szCs w:val="18"/>
                <w:lang w:val="ro-RO"/>
              </w:rPr>
              <w:t xml:space="preserve">Gradul general de </w:t>
            </w:r>
            <w:r>
              <w:rPr>
                <w:rStyle w:val="Fontdeparagrafimplicit"/>
                <w:rFonts w:ascii="Times New Roman" w:hAnsi="Times New Roman"/>
                <w:b/>
                <w:color w:val="000000"/>
                <w:sz w:val="18"/>
                <w:szCs w:val="18"/>
                <w:lang w:val="ro-RO"/>
              </w:rPr>
              <w:t>compatibilitate: compatibil</w:t>
            </w:r>
          </w:p>
        </w:tc>
      </w:tr>
      <w:tr w:rsidR="00AB2581">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rPr>
                <w:rFonts w:ascii="Times New Roman" w:hAnsi="Times New Roman"/>
                <w:b/>
                <w:color w:val="000000"/>
                <w:sz w:val="18"/>
                <w:szCs w:val="18"/>
                <w:lang w:val="ro-MD"/>
              </w:rPr>
            </w:pPr>
            <w:r>
              <w:rPr>
                <w:rFonts w:ascii="Times New Roman" w:hAnsi="Times New Roman"/>
                <w:b/>
                <w:color w:val="000000"/>
                <w:sz w:val="18"/>
                <w:szCs w:val="18"/>
                <w:lang w:val="ro-MD"/>
              </w:rPr>
              <w:t>4</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r>
              <w:rPr>
                <w:rStyle w:val="Fontdeparagrafimplicit"/>
                <w:rFonts w:ascii="Times New Roman" w:hAnsi="Times New Roman"/>
                <w:b/>
                <w:color w:val="000000"/>
                <w:sz w:val="18"/>
                <w:szCs w:val="18"/>
                <w:lang w:val="ro-MD"/>
              </w:rPr>
              <w:t>MAIA</w:t>
            </w:r>
          </w:p>
        </w:tc>
      </w:tr>
      <w:tr w:rsidR="00AB2581">
        <w:tblPrEx>
          <w:tblCellMar>
            <w:top w:w="0" w:type="dxa"/>
            <w:bottom w:w="0" w:type="dxa"/>
          </w:tblCellMar>
        </w:tblPrEx>
        <w:trPr>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rPr>
                <w:rFonts w:ascii="Times New Roman" w:hAnsi="Times New Roman"/>
                <w:b/>
                <w:color w:val="000000"/>
                <w:sz w:val="18"/>
                <w:szCs w:val="18"/>
                <w:lang w:val="ro-MD"/>
              </w:rPr>
            </w:pPr>
            <w:r>
              <w:rPr>
                <w:rFonts w:ascii="Times New Roman" w:hAnsi="Times New Roman"/>
                <w:b/>
                <w:color w:val="000000"/>
                <w:sz w:val="18"/>
                <w:szCs w:val="18"/>
                <w:lang w:val="ro-MD"/>
              </w:rPr>
              <w:t>5</w:t>
            </w:r>
          </w:p>
        </w:tc>
        <w:tc>
          <w:tcPr>
            <w:tcW w:w="14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rPr>
                <w:rFonts w:ascii="Times New Roman" w:hAnsi="Times New Roman"/>
                <w:b/>
                <w:color w:val="000000"/>
                <w:sz w:val="18"/>
                <w:szCs w:val="18"/>
                <w:lang w:val="ro-RO"/>
              </w:rPr>
            </w:pPr>
            <w:r>
              <w:rPr>
                <w:rFonts w:ascii="Times New Roman" w:hAnsi="Times New Roman"/>
                <w:b/>
                <w:color w:val="000000"/>
                <w:sz w:val="18"/>
                <w:szCs w:val="18"/>
                <w:lang w:val="ro-RO"/>
              </w:rPr>
              <w:t>Data întocmirii: 26.03.2025</w:t>
            </w:r>
          </w:p>
        </w:tc>
      </w:tr>
    </w:tbl>
    <w:p w:rsidR="00AB2581" w:rsidRDefault="00AB2581">
      <w:pPr>
        <w:rPr>
          <w:rFonts w:ascii="Times New Roman" w:hAnsi="Times New Roman"/>
          <w:vanish/>
          <w:color w:val="000000"/>
          <w:sz w:val="18"/>
          <w:szCs w:val="18"/>
        </w:rPr>
      </w:pPr>
    </w:p>
    <w:tbl>
      <w:tblPr>
        <w:tblW w:w="15163" w:type="dxa"/>
        <w:jc w:val="center"/>
        <w:tblLayout w:type="fixed"/>
        <w:tblCellMar>
          <w:left w:w="10" w:type="dxa"/>
          <w:right w:w="10" w:type="dxa"/>
        </w:tblCellMar>
        <w:tblLook w:val="0000" w:firstRow="0" w:lastRow="0" w:firstColumn="0" w:lastColumn="0" w:noHBand="0" w:noVBand="0"/>
      </w:tblPr>
      <w:tblGrid>
        <w:gridCol w:w="5384"/>
        <w:gridCol w:w="5385"/>
        <w:gridCol w:w="1418"/>
        <w:gridCol w:w="2976"/>
      </w:tblGrid>
      <w:tr w:rsidR="00AB2581">
        <w:tblPrEx>
          <w:tblCellMar>
            <w:top w:w="0" w:type="dxa"/>
            <w:bottom w:w="0" w:type="dxa"/>
          </w:tblCellMar>
        </w:tblPrEx>
        <w:trPr>
          <w:trHeight w:val="316"/>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Actul Uniunii Europene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Proiectul de act normativ național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Gradul de compatibilitate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Observațiile</w:t>
            </w:r>
          </w:p>
        </w:tc>
      </w:tr>
      <w:tr w:rsidR="00AB2581">
        <w:tblPrEx>
          <w:tblCellMar>
            <w:top w:w="0" w:type="dxa"/>
            <w:bottom w:w="0" w:type="dxa"/>
          </w:tblCellMar>
        </w:tblPrEx>
        <w:trPr>
          <w:trHeight w:val="218"/>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6</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AB2581">
            <w:pPr>
              <w:jc w:val="center"/>
              <w:rPr>
                <w:rFonts w:ascii="Times New Roman" w:hAnsi="Times New Roman"/>
                <w:b/>
                <w:color w:val="000000"/>
                <w:sz w:val="18"/>
                <w:szCs w:val="18"/>
                <w:lang w:val="ro-M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pPr>
            <w:r>
              <w:rPr>
                <w:rStyle w:val="Fontdeparagrafimplicit"/>
                <w:rFonts w:ascii="Times New Roman" w:hAnsi="Times New Roman"/>
                <w:b/>
                <w:color w:val="000000"/>
                <w:sz w:val="18"/>
                <w:szCs w:val="18"/>
                <w:lang w:val="ro-RO"/>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rPr>
                <w:rFonts w:ascii="Times New Roman" w:hAnsi="Times New Roman"/>
                <w:b/>
                <w:color w:val="000000"/>
                <w:sz w:val="18"/>
                <w:szCs w:val="18"/>
                <w:lang w:val="ro-MD"/>
              </w:rPr>
            </w:pPr>
            <w:r>
              <w:rPr>
                <w:rFonts w:ascii="Times New Roman" w:hAnsi="Times New Roman"/>
                <w:b/>
                <w:color w:val="000000"/>
                <w:sz w:val="18"/>
                <w:szCs w:val="18"/>
                <w:lang w:val="ro-MD"/>
              </w:rPr>
              <w:t>9</w:t>
            </w:r>
          </w:p>
        </w:tc>
      </w:tr>
      <w:tr w:rsidR="00AB2581">
        <w:tblPrEx>
          <w:tblCellMar>
            <w:top w:w="0" w:type="dxa"/>
            <w:bottom w:w="0" w:type="dxa"/>
          </w:tblCellMar>
        </w:tblPrEx>
        <w:trPr>
          <w:trHeight w:val="361"/>
          <w:jc w:val="center"/>
        </w:trPr>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Reg 2021/1760</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ANEXĂ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 xml:space="preserve">Criterii pentru desemnarea antimicrobienelor care </w:t>
            </w:r>
            <w:r>
              <w:rPr>
                <w:rFonts w:ascii="Times New Roman" w:hAnsi="Times New Roman"/>
                <w:i/>
                <w:iCs/>
                <w:color w:val="000000"/>
                <w:sz w:val="18"/>
                <w:szCs w:val="18"/>
                <w:lang w:val="en-US"/>
              </w:rPr>
              <w:t>trebuie să fie rezervate pentru tratamentul anumitor infecții la oameni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PARTEA A:</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CRITERIUL REFERITOR LA IMPORTANȚA MAJORĂ PENTRU SĂNĂTATEA UMANĂ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1.Antimicrobianul sau grupul de antimicrobiene îndeplinește acest criteriu dacă se aplică oricare dintre următ</w:t>
            </w:r>
            <w:r>
              <w:rPr>
                <w:rFonts w:ascii="Times New Roman" w:hAnsi="Times New Roman"/>
                <w:i/>
                <w:iCs/>
                <w:color w:val="000000"/>
                <w:sz w:val="18"/>
                <w:szCs w:val="18"/>
                <w:lang w:val="en-US"/>
              </w:rPr>
              <w:t>oarele condiții: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(a)este antimicrobianul sau grupul de antimicrobiene unic sau de ultimă instanță disponibil pentru gestionarea tratamentului pacienților afectați de infecții grave și potențial mortale la oameni și care, dacă ar fi tratate necorespunzător,</w:t>
            </w:r>
            <w:r>
              <w:rPr>
                <w:rFonts w:ascii="Times New Roman" w:hAnsi="Times New Roman"/>
                <w:i/>
                <w:iCs/>
                <w:color w:val="000000"/>
                <w:sz w:val="18"/>
                <w:szCs w:val="18"/>
                <w:lang w:val="en-US"/>
              </w:rPr>
              <w:t xml:space="preserve"> ar conduce la o morbiditate invalidantă sau la o mortalitate semnificativă;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lastRenderedPageBreak/>
              <w:t>(b)este o componentă esențială a rarelor soluții disponibile pentru gestionarea tratamentului pacienților afectați de infecții grave și potențial mortale la oameni și care, dacă a</w:t>
            </w:r>
            <w:r>
              <w:rPr>
                <w:rFonts w:ascii="Times New Roman" w:hAnsi="Times New Roman"/>
                <w:i/>
                <w:iCs/>
                <w:color w:val="000000"/>
                <w:sz w:val="18"/>
                <w:szCs w:val="18"/>
                <w:lang w:val="en-US"/>
              </w:rPr>
              <w:t>r fi tratate necorespunzător, ar conduce la o morbiditate invalidantă sau la o mortalitate semnificativă;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(c)</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este un antimicrobian sau un grup de antimicrobiene autorizat în Uniune pentru tratamentul infecțiilor microbiene grave la pacienții cu opțiuni de</w:t>
            </w:r>
            <w:r>
              <w:rPr>
                <w:rFonts w:ascii="Times New Roman" w:hAnsi="Times New Roman"/>
                <w:i/>
                <w:iCs/>
                <w:color w:val="000000"/>
                <w:sz w:val="18"/>
                <w:szCs w:val="18"/>
                <w:lang w:val="en-US"/>
              </w:rPr>
              <w:t xml:space="preserve"> tratament limitate, ceea ce indică faptul că antimicrobianul sau grupul de antimicrobiene avut în vedere este recunoscut ca răspunzând unei nevoi medicale nesatisfăcute în ceea ce privește rezistența la antimicrobiene.</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 xml:space="preserve">2.Factorii considerați </w:t>
            </w:r>
            <w:r>
              <w:rPr>
                <w:rFonts w:ascii="Times New Roman" w:hAnsi="Times New Roman"/>
                <w:i/>
                <w:iCs/>
                <w:color w:val="000000"/>
                <w:sz w:val="18"/>
                <w:szCs w:val="18"/>
                <w:lang w:val="en-US"/>
              </w:rPr>
              <w:t>responsabili pentru numărul limitat al posibilităților de tratament pentru pacienți, astfel cum se menționează la punctul 1 litera (b), includ:</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—virulența microorganismelor care cauzează infecția și fenotipul (fenotipurile) rezistent(e) la antimicrobiene a</w:t>
            </w:r>
            <w:r>
              <w:rPr>
                <w:rFonts w:ascii="Times New Roman" w:hAnsi="Times New Roman"/>
                <w:i/>
                <w:iCs/>
                <w:color w:val="000000"/>
                <w:sz w:val="18"/>
                <w:szCs w:val="18"/>
                <w:lang w:val="en-US"/>
              </w:rPr>
              <w:t>l (ale) acestora, inclusiv rezistența la mai multe medicamente;</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—caracteristicile pacienților (de exemplu, pacienți imunocompromiși, copii, persoane în vârstă) și ale bolii aflate în tratament (de exemplu, locul vizat de infecție);</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—proporția pacienților c</w:t>
            </w:r>
            <w:r>
              <w:rPr>
                <w:rFonts w:ascii="Times New Roman" w:hAnsi="Times New Roman"/>
                <w:i/>
                <w:iCs/>
                <w:color w:val="000000"/>
                <w:sz w:val="18"/>
                <w:szCs w:val="18"/>
                <w:lang w:val="en-US"/>
              </w:rPr>
              <w:t>are necesită tratament și impactul acestui factor asupra serviciilor de asistență medicală.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PARTEA B: CRITERIUL REFERITOR LA RISCUL DE TRANSMITERE A REZISTENȚEI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 xml:space="preserve">1.Antimicrobianul sau grupul de antimicrobiene îndeplinește acest criteriu dacă se aplică </w:t>
            </w:r>
            <w:r>
              <w:rPr>
                <w:rFonts w:ascii="Times New Roman" w:hAnsi="Times New Roman"/>
                <w:i/>
                <w:iCs/>
                <w:color w:val="000000"/>
                <w:sz w:val="18"/>
                <w:szCs w:val="18"/>
                <w:lang w:val="en-US"/>
              </w:rPr>
              <w:t>oricare dintre următoarele condiții: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(a)pentru un antimicrobian sau un grup de antimicrobiene autorizat pentru utilizarea la animale, există dovezi științifice, inclusiv dovezi epidemiologice, după caz, care arată: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—apariția, diseminarea și transmiterea ef</w:t>
            </w:r>
            <w:r>
              <w:rPr>
                <w:rFonts w:ascii="Times New Roman" w:hAnsi="Times New Roman"/>
                <w:i/>
                <w:iCs/>
                <w:color w:val="000000"/>
                <w:sz w:val="18"/>
                <w:szCs w:val="18"/>
                <w:lang w:val="en-US"/>
              </w:rPr>
              <w:t>ectivă a rezistenței la acest antimicrobian sau grup de antimicrobiene, ori apariția unei rezistențe încrucișate sau a unei coselecții a rezistenței la alte antimicrobiene; și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 xml:space="preserve">—o transmitere importantă a acestei rezistențe de origine animală la om, legată </w:t>
            </w:r>
            <w:r>
              <w:rPr>
                <w:rFonts w:ascii="Times New Roman" w:hAnsi="Times New Roman"/>
                <w:i/>
                <w:iCs/>
                <w:color w:val="000000"/>
                <w:sz w:val="18"/>
                <w:szCs w:val="18"/>
                <w:lang w:val="en-US"/>
              </w:rPr>
              <w:t>de utilizarea la animale a acestui antimicrobian sau grup de antimicrobiene, fie prin intermediul microorganismelor rezistente la an</w:t>
            </w:r>
            <w:r>
              <w:rPr>
                <w:rFonts w:ascii="Times New Roman" w:hAnsi="Times New Roman"/>
                <w:i/>
                <w:iCs/>
                <w:color w:val="000000"/>
                <w:sz w:val="18"/>
                <w:szCs w:val="18"/>
                <w:lang w:val="en-US"/>
              </w:rPr>
              <w:lastRenderedPageBreak/>
              <w:t>timicrobianul sau la grupul de antimicrobiene în cauză, fie prin transmiterea de gene care conferă rezistență la antimicrobi</w:t>
            </w:r>
            <w:r>
              <w:rPr>
                <w:rFonts w:ascii="Times New Roman" w:hAnsi="Times New Roman"/>
                <w:i/>
                <w:iCs/>
                <w:color w:val="000000"/>
                <w:sz w:val="18"/>
                <w:szCs w:val="18"/>
                <w:lang w:val="en-US"/>
              </w:rPr>
              <w:t>anul sau la grupul de antimicrobiene în cauză;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(b)pentru un antimicrobian sau un grup de antimicrobiene neautorizat pentru utilizarea la animale, există dovezi științifice care arată: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—un risc de apariție, de diseminare și de transmitere a rezistenței la a</w:t>
            </w:r>
            <w:r>
              <w:rPr>
                <w:rFonts w:ascii="Times New Roman" w:hAnsi="Times New Roman"/>
                <w:i/>
                <w:iCs/>
                <w:color w:val="000000"/>
                <w:sz w:val="18"/>
                <w:szCs w:val="18"/>
                <w:lang w:val="en-US"/>
              </w:rPr>
              <w:t>cest antimicrobian sau grup de antimicrobiene ori de apariție a unei rezistențe încrucișate sau a unei coselecții a rezistenței la alte antimicrobiene; și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—o transmitere potențial importantă a acestei rezistențe de origine animală la om, legată de utilizar</w:t>
            </w:r>
            <w:r>
              <w:rPr>
                <w:rFonts w:ascii="Times New Roman" w:hAnsi="Times New Roman"/>
                <w:i/>
                <w:iCs/>
                <w:color w:val="000000"/>
                <w:sz w:val="18"/>
                <w:szCs w:val="18"/>
                <w:lang w:val="en-US"/>
              </w:rPr>
              <w:t>ea la animale a acestui antimicrobian sau grup de antimicrobiene, fie prin intermediul microorganismelor rezistente la antimicrobianul sau la grupul de antimicrobiene în cauză, fie prin transmiterea de gene care conferă rezistență la antimicrobianul sau la</w:t>
            </w:r>
            <w:r>
              <w:rPr>
                <w:rFonts w:ascii="Times New Roman" w:hAnsi="Times New Roman"/>
                <w:i/>
                <w:iCs/>
                <w:color w:val="000000"/>
                <w:sz w:val="18"/>
                <w:szCs w:val="18"/>
                <w:lang w:val="en-US"/>
              </w:rPr>
              <w:t xml:space="preserve"> grupul de antimicrobiene în cauză.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2.Factorii care determină o transmitere semnificativă, de la animale la oameni, a rezistenței legate de utilizarea unui antimicrobian sau a unui grup de antimicrobiene la animale includ următoarele elemente:</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 xml:space="preserve">—utilizarea </w:t>
            </w:r>
            <w:r>
              <w:rPr>
                <w:rFonts w:ascii="Times New Roman" w:hAnsi="Times New Roman"/>
                <w:i/>
                <w:iCs/>
                <w:color w:val="000000"/>
                <w:sz w:val="18"/>
                <w:szCs w:val="18"/>
                <w:lang w:val="en-US"/>
              </w:rPr>
              <w:t>încurajează rezistența, rezistența încrucișată sau coselecția unei rezistențe la antimicrobiene esențiale pentru medicina umană;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—transmiterea rezistenței are loc prin transmitere verticală și orizontală;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—transmiterea rezistenței implică agenți patogeni z</w:t>
            </w:r>
            <w:r>
              <w:rPr>
                <w:rFonts w:ascii="Times New Roman" w:hAnsi="Times New Roman"/>
                <w:i/>
                <w:iCs/>
                <w:color w:val="000000"/>
                <w:sz w:val="18"/>
                <w:szCs w:val="18"/>
                <w:lang w:val="en-US"/>
              </w:rPr>
              <w:t>oonotici;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—transmiterea poate avea loc prin diferite căi de expunere;</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—transmiterea se efectuează printr-un anumit număr de specii de animale diferite.</w:t>
            </w:r>
          </w:p>
          <w:p w:rsidR="00AB2581" w:rsidRDefault="00AB2581">
            <w:pPr>
              <w:autoSpaceDE w:val="0"/>
              <w:spacing w:before="60" w:after="60"/>
              <w:jc w:val="both"/>
              <w:rPr>
                <w:rFonts w:ascii="Times New Roman" w:hAnsi="Times New Roman"/>
                <w:i/>
                <w:iCs/>
                <w:color w:val="000000"/>
                <w:sz w:val="18"/>
                <w:szCs w:val="18"/>
                <w:lang w:val="en-US"/>
              </w:rPr>
            </w:pPr>
          </w:p>
          <w:p w:rsidR="00AB2581" w:rsidRDefault="00AB2581">
            <w:pPr>
              <w:autoSpaceDE w:val="0"/>
              <w:spacing w:before="60" w:after="60"/>
              <w:jc w:val="both"/>
              <w:rPr>
                <w:rFonts w:ascii="Times New Roman" w:hAnsi="Times New Roman"/>
                <w:i/>
                <w:iCs/>
                <w:color w:val="000000"/>
                <w:sz w:val="18"/>
                <w:szCs w:val="18"/>
                <w:lang w:val="en-US"/>
              </w:rPr>
            </w:pPr>
          </w:p>
          <w:p w:rsidR="00AB2581" w:rsidRDefault="00AB2581">
            <w:pPr>
              <w:autoSpaceDE w:val="0"/>
              <w:spacing w:before="60" w:after="60"/>
              <w:jc w:val="both"/>
              <w:rPr>
                <w:rFonts w:ascii="Times New Roman" w:hAnsi="Times New Roman"/>
                <w:i/>
                <w:iCs/>
                <w:color w:val="000000"/>
                <w:sz w:val="18"/>
                <w:szCs w:val="18"/>
                <w:lang w:val="en-US"/>
              </w:rPr>
            </w:pP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PARTEA C:CRITERIUL REFERITOR LA O UTILIZARE NEESENȚIALĂ PENTRU SĂNĂTATEA ANIMALĂ</w:t>
            </w:r>
          </w:p>
          <w:p w:rsidR="00AB2581" w:rsidRDefault="00AB2581">
            <w:pPr>
              <w:autoSpaceDE w:val="0"/>
              <w:spacing w:before="60" w:after="60"/>
              <w:jc w:val="both"/>
              <w:rPr>
                <w:rFonts w:ascii="Times New Roman" w:hAnsi="Times New Roman"/>
                <w:i/>
                <w:iCs/>
                <w:color w:val="000000"/>
                <w:sz w:val="18"/>
                <w:szCs w:val="18"/>
                <w:lang w:val="en-US"/>
              </w:rPr>
            </w:pP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1.Antimicrobianul s</w:t>
            </w:r>
            <w:r>
              <w:rPr>
                <w:rFonts w:ascii="Times New Roman" w:hAnsi="Times New Roman"/>
                <w:i/>
                <w:iCs/>
                <w:color w:val="000000"/>
                <w:sz w:val="18"/>
                <w:szCs w:val="18"/>
                <w:lang w:val="en-US"/>
              </w:rPr>
              <w:t>au grupul de antimicrobiene îndeplinește acest criteriu dacă se aplică oricare dintre următoarele condiții: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(a)nu există dovezi solide privind necesitatea utilizării antimicrobianului sau a grupului de antimicrobiene în medicina veterinară;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(b)antimicrobia</w:t>
            </w:r>
            <w:r>
              <w:rPr>
                <w:rFonts w:ascii="Times New Roman" w:hAnsi="Times New Roman"/>
                <w:i/>
                <w:iCs/>
                <w:color w:val="000000"/>
                <w:sz w:val="18"/>
                <w:szCs w:val="18"/>
                <w:lang w:val="en-US"/>
              </w:rPr>
              <w:t>nul sau grupul de antimicrobiene este utilizat pentru tratarea infecțiilor grave și potențial mortale la animale care, dacă ar fi tratate necorespunzător, ar conduce la o morbiditate sau la o mortalitate semnificativă ori ar avea un impact major asupra bun</w:t>
            </w:r>
            <w:r>
              <w:rPr>
                <w:rFonts w:ascii="Times New Roman" w:hAnsi="Times New Roman"/>
                <w:i/>
                <w:iCs/>
                <w:color w:val="000000"/>
                <w:sz w:val="18"/>
                <w:szCs w:val="18"/>
                <w:lang w:val="en-US"/>
              </w:rPr>
              <w:t>ăstării animalelor sau a sănătății publice, dar sunt disponibile medicamente alternative adecvate pentru tratarea acestor infecții la speciile de animale în cauză;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(c)antimicrobianul sau grupul de antimicrobiene este utilizat pentru tratarea infecțiilor gr</w:t>
            </w:r>
            <w:r>
              <w:rPr>
                <w:rFonts w:ascii="Times New Roman" w:hAnsi="Times New Roman"/>
                <w:i/>
                <w:iCs/>
                <w:color w:val="000000"/>
                <w:sz w:val="18"/>
                <w:szCs w:val="18"/>
                <w:lang w:val="en-US"/>
              </w:rPr>
              <w:t>ave și potențial mortale la animale care, dacă ar fi tratate necorespunzător, ar conduce la o morbiditate sau la o mortalitate limitată, și există dovezi științifice care arată că neutilizarea sa în medicina veterinară prezintă un interes major pentru sănă</w:t>
            </w:r>
            <w:r>
              <w:rPr>
                <w:rFonts w:ascii="Times New Roman" w:hAnsi="Times New Roman"/>
                <w:i/>
                <w:iCs/>
                <w:color w:val="000000"/>
                <w:sz w:val="18"/>
                <w:szCs w:val="18"/>
                <w:lang w:val="en-US"/>
              </w:rPr>
              <w:t>tatea publică.</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2.Dispozițiile prevăzute la punctul 1 se aplică atunci când antimicrobianul sau grupul de antimicrobiene în cauză se încadrează într-una dintre următoarele categorii:</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(a)antimicrobiene sau grupuri de antimicrobiene prezente în produse medici</w:t>
            </w:r>
            <w:r>
              <w:rPr>
                <w:rFonts w:ascii="Times New Roman" w:hAnsi="Times New Roman"/>
                <w:i/>
                <w:iCs/>
                <w:color w:val="000000"/>
                <w:sz w:val="18"/>
                <w:szCs w:val="18"/>
                <w:lang w:val="en-US"/>
              </w:rPr>
              <w:t>nale veterinare autorizate;</w:t>
            </w:r>
          </w:p>
          <w:p w:rsidR="00AB2581" w:rsidRDefault="009B16C1">
            <w:pPr>
              <w:autoSpaceDE w:val="0"/>
              <w:spacing w:before="60" w:after="60"/>
              <w:jc w:val="both"/>
              <w:rPr>
                <w:rFonts w:ascii="Times New Roman" w:hAnsi="Times New Roman"/>
                <w:i/>
                <w:iCs/>
                <w:color w:val="000000"/>
                <w:sz w:val="18"/>
                <w:szCs w:val="18"/>
                <w:lang w:val="en-US"/>
              </w:rPr>
            </w:pPr>
            <w:r>
              <w:rPr>
                <w:rFonts w:ascii="Times New Roman" w:hAnsi="Times New Roman"/>
                <w:i/>
                <w:iCs/>
                <w:color w:val="000000"/>
                <w:sz w:val="18"/>
                <w:szCs w:val="18"/>
                <w:lang w:val="en-US"/>
              </w:rPr>
              <w:t>(b)antimicrobiene sau grupuri de antimicrobiene prezente în medicamente autorizate pentru uz uman, care pot fi administrate animalelor în afara condițiilor autorizației lor de introducere pe piață.</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right"/>
              <w:rPr>
                <w:rFonts w:ascii="Times New Roman" w:hAnsi="Times New Roman"/>
                <w:b/>
                <w:bCs/>
                <w:color w:val="000000"/>
                <w:sz w:val="18"/>
                <w:szCs w:val="18"/>
                <w:lang w:val="ro-RO"/>
              </w:rPr>
            </w:pPr>
            <w:r>
              <w:rPr>
                <w:rFonts w:ascii="Times New Roman" w:hAnsi="Times New Roman"/>
                <w:b/>
                <w:bCs/>
                <w:color w:val="000000"/>
                <w:sz w:val="18"/>
                <w:szCs w:val="18"/>
                <w:lang w:val="ro-RO"/>
              </w:rPr>
              <w:lastRenderedPageBreak/>
              <w:t>Anexa nr. 4</w:t>
            </w: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CRITERIILE PENTRU DESEMNAREA ANTIMICROBIENELOR CARE TREBUIE SĂ FIE REZERVATE PENTRU TRATAMENTUL ANUMITOR INFECȚII LA OAMENI</w:t>
            </w: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Capitolul I</w:t>
            </w: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Criteriul referitor la importanța majoră pentru sănătatea umană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 xml:space="preserve">1. Antimicrobianul sau grupul de </w:t>
            </w:r>
            <w:r>
              <w:rPr>
                <w:rFonts w:ascii="Times New Roman" w:hAnsi="Times New Roman"/>
                <w:color w:val="000000"/>
                <w:sz w:val="18"/>
                <w:szCs w:val="18"/>
                <w:lang w:val="ro-RO"/>
              </w:rPr>
              <w:t>antimicrobiene îndeplinește acest criteriu dacă se aplică oricare dintre următoarele condiții: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1.1 este antimicrobianul sau grupul de antimicrobiene unic sau de ultimă instanță disponibil pentru gestionarea tratamentului pacienților afectați de infecții gr</w:t>
            </w:r>
            <w:r>
              <w:rPr>
                <w:rFonts w:ascii="Times New Roman" w:hAnsi="Times New Roman"/>
                <w:color w:val="000000"/>
                <w:sz w:val="18"/>
                <w:szCs w:val="18"/>
                <w:lang w:val="ro-RO"/>
              </w:rPr>
              <w:t>ave și potențial mortale la oameni și care, dacă ar fi tratate necorespunzător, ar conduce la o morbiditate invalidantă sau la o mortalitate semnificativă;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lastRenderedPageBreak/>
              <w:t>1.2 este o componentă esențială a rarelor soluții disponibile pentru gestionarea tratamentului pacie</w:t>
            </w:r>
            <w:r>
              <w:rPr>
                <w:rFonts w:ascii="Times New Roman" w:hAnsi="Times New Roman"/>
                <w:color w:val="000000"/>
                <w:sz w:val="18"/>
                <w:szCs w:val="18"/>
                <w:lang w:val="ro-RO"/>
              </w:rPr>
              <w:t>nților afectați de infecții grave și potențial mortale la oameni și care, dacă ar fi tratate necorespunzător, ar conduce la o morbiditate invalidantă sau la o mortalitate semnificativă;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1.3 este un antimicrobian sau un grup de antimicrobiene autorizat pent</w:t>
            </w:r>
            <w:r>
              <w:rPr>
                <w:rFonts w:ascii="Times New Roman" w:hAnsi="Times New Roman"/>
                <w:color w:val="000000"/>
                <w:sz w:val="18"/>
                <w:szCs w:val="18"/>
                <w:lang w:val="ro-RO"/>
              </w:rPr>
              <w:t>ru tratamentul infecțiilor microbiene grave la pacienții cu opțiuni de tratament limitate, ceea ce indică faptul că antimicrobianul sau grupul de antimicrobiene avut în vedere este recunoscut ca răspunzând unei nevoi medicale nesatisfăcute în ceea ce prive</w:t>
            </w:r>
            <w:r>
              <w:rPr>
                <w:rFonts w:ascii="Times New Roman" w:hAnsi="Times New Roman"/>
                <w:color w:val="000000"/>
                <w:sz w:val="18"/>
                <w:szCs w:val="18"/>
                <w:lang w:val="ro-RO"/>
              </w:rPr>
              <w:t>ș</w:t>
            </w:r>
            <w:r>
              <w:rPr>
                <w:rFonts w:ascii="Times New Roman" w:hAnsi="Times New Roman"/>
                <w:color w:val="000000"/>
                <w:sz w:val="18"/>
                <w:szCs w:val="18"/>
                <w:lang w:val="ro-RO"/>
              </w:rPr>
              <w:t>te rezistența la antimicrobiene.</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 Factorii considerați responsabili pentru numărul limitat al posibilităților de tratament pentru pacienți, astfel cum se menționează la punctul 1 litera b), includ:</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 xml:space="preserve">2.1 virulența microorganismelor care cauzează infecția </w:t>
            </w:r>
            <w:r>
              <w:rPr>
                <w:rFonts w:ascii="Times New Roman" w:hAnsi="Times New Roman"/>
                <w:color w:val="000000"/>
                <w:sz w:val="18"/>
                <w:szCs w:val="18"/>
                <w:lang w:val="ro-RO"/>
              </w:rPr>
              <w:t>ș</w:t>
            </w:r>
            <w:r>
              <w:rPr>
                <w:rFonts w:ascii="Times New Roman" w:hAnsi="Times New Roman"/>
                <w:color w:val="000000"/>
                <w:sz w:val="18"/>
                <w:szCs w:val="18"/>
                <w:lang w:val="ro-RO"/>
              </w:rPr>
              <w:t>i fenotipul (fenotipurile) rezistent(e) la antimicrobiene al (ale) acestora, inclusiv rezistența la mai multe medicamente;</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 xml:space="preserve">2.2 caracteristicile pacienților (de exemplu, pacienți imunocompromiși, copii, persoane în vârstă) și ale bolii aflate în tratament </w:t>
            </w:r>
            <w:r>
              <w:rPr>
                <w:rFonts w:ascii="Times New Roman" w:hAnsi="Times New Roman"/>
                <w:color w:val="000000"/>
                <w:sz w:val="18"/>
                <w:szCs w:val="18"/>
                <w:lang w:val="ro-RO"/>
              </w:rPr>
              <w:t>(de exemplu, locul vizat de infecție);</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2.3 proporția pacienților care necesită tratament și impactul acestui factor asupra serviciilor de asistență medicală.</w:t>
            </w:r>
          </w:p>
          <w:p w:rsidR="00AB2581" w:rsidRDefault="00AB2581">
            <w:pPr>
              <w:jc w:val="both"/>
              <w:rPr>
                <w:rFonts w:ascii="Times New Roman" w:hAnsi="Times New Roman"/>
                <w:color w:val="000000"/>
                <w:sz w:val="18"/>
                <w:szCs w:val="18"/>
                <w:lang w:val="ro-RO"/>
              </w:rPr>
            </w:pP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Capitolul II</w:t>
            </w: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Criteriul referitor la riscul de transmitere a rezistenței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1.Antimicrobianul sau gru</w:t>
            </w:r>
            <w:r>
              <w:rPr>
                <w:rFonts w:ascii="Times New Roman" w:hAnsi="Times New Roman"/>
                <w:color w:val="000000"/>
                <w:sz w:val="18"/>
                <w:szCs w:val="18"/>
                <w:lang w:val="ro-RO"/>
              </w:rPr>
              <w:t>pul de antimicrobiene îndeplinește acest criteriu dacă se aplică oricare dintre următoarele condiții: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1.1 pentru un antimicrobian sau un grup de antimicrobiene autorizat pentru utilizarea la animale, există dovezi științifice, inclusiv dovezi epidemiologic</w:t>
            </w:r>
            <w:r>
              <w:rPr>
                <w:rFonts w:ascii="Times New Roman" w:hAnsi="Times New Roman"/>
                <w:color w:val="000000"/>
                <w:sz w:val="18"/>
                <w:szCs w:val="18"/>
                <w:lang w:val="ro-RO"/>
              </w:rPr>
              <w:t>e, după caz, care arată: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1.1.1apariția, diseminarea și transmiterea efectivă a rezistenței la acest antimicrobian sau grup de antimicrobiene, ori apariția unei rezistențe încrucișate sau a unei coselecții a rezistenței la alte antimicrobiene; și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1.1.2 o tr</w:t>
            </w:r>
            <w:r>
              <w:rPr>
                <w:rFonts w:ascii="Times New Roman" w:hAnsi="Times New Roman"/>
                <w:color w:val="000000"/>
                <w:sz w:val="18"/>
                <w:szCs w:val="18"/>
                <w:lang w:val="ro-RO"/>
              </w:rPr>
              <w:t xml:space="preserve">ansmitere importantă a acestei rezistențe de origine animală la om, legată de utilizarea la animale a acestui antimicrobian sau grup de antimicrobiene, fie prin intermediul microorganismelor rezistente la antimicrobianul sau la grupul de antimicrobiene în </w:t>
            </w:r>
            <w:r>
              <w:rPr>
                <w:rFonts w:ascii="Times New Roman" w:hAnsi="Times New Roman"/>
                <w:color w:val="000000"/>
                <w:sz w:val="18"/>
                <w:szCs w:val="18"/>
                <w:lang w:val="ro-RO"/>
              </w:rPr>
              <w:t xml:space="preserve">cauză, fie prin </w:t>
            </w:r>
            <w:r>
              <w:rPr>
                <w:rFonts w:ascii="Times New Roman" w:hAnsi="Times New Roman"/>
                <w:color w:val="000000"/>
                <w:sz w:val="18"/>
                <w:szCs w:val="18"/>
                <w:lang w:val="ro-RO"/>
              </w:rPr>
              <w:lastRenderedPageBreak/>
              <w:t>transmiterea de gene care conferă rezistență la antimicrobianul sau la grupul de antimicrobiene în cauză;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1.2 pentru un antimicrobian sau un grup de antimicrobiene neautorizat pentru utilizarea la animale, există dovezi științifice care ara</w:t>
            </w:r>
            <w:r>
              <w:rPr>
                <w:rFonts w:ascii="Times New Roman" w:hAnsi="Times New Roman"/>
                <w:color w:val="000000"/>
                <w:sz w:val="18"/>
                <w:szCs w:val="18"/>
                <w:lang w:val="ro-RO"/>
              </w:rPr>
              <w:t>tă: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1.2.1 un risc de apariție, de diseminare și de transmitere a rezistenței la acest antimicrobian sau grup de antimicrobiene ori de apariție a unei rezistențe încrucișate sau a unei coselecții a rezistenței la alte antimicrobiene; și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 xml:space="preserve">1.2.2 o transmitere </w:t>
            </w:r>
            <w:r>
              <w:rPr>
                <w:rFonts w:ascii="Times New Roman" w:hAnsi="Times New Roman"/>
                <w:color w:val="000000"/>
                <w:sz w:val="18"/>
                <w:szCs w:val="18"/>
                <w:lang w:val="ro-RO"/>
              </w:rPr>
              <w:t xml:space="preserve">potențial importantă a acestei rezistențe de origine animală la om, legată de utilizarea la animale a acestui antimicrobian sau grup de antimicrobiene, fie prin intermediul microorganismelor rezistente la antimicrobianul sau la grupul de antimicrobiene în </w:t>
            </w:r>
            <w:r>
              <w:rPr>
                <w:rFonts w:ascii="Times New Roman" w:hAnsi="Times New Roman"/>
                <w:color w:val="000000"/>
                <w:sz w:val="18"/>
                <w:szCs w:val="18"/>
                <w:lang w:val="ro-RO"/>
              </w:rPr>
              <w:t>cauză, fie prin transmiterea de gene care conferă rezistență la antimicrobianul sau la grupul de antimicrobiene în cauză.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 Factorii care determină o transmitere semnificativă, de la animale la oameni, a rezistenței legate de utilizarea unui antimicrobian</w:t>
            </w:r>
            <w:r>
              <w:rPr>
                <w:rFonts w:ascii="Times New Roman" w:hAnsi="Times New Roman"/>
                <w:color w:val="000000"/>
                <w:sz w:val="18"/>
                <w:szCs w:val="18"/>
                <w:lang w:val="ro-RO"/>
              </w:rPr>
              <w:t xml:space="preserve"> sau a unui grup de antimicrobiene la animale includ următoarele elemente:</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2.1 utilizarea încurajează rezistența, rezistența încrucișată sau coselecția unei rezistențe la antimicrobiene esențiale pentru medicina umană;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 xml:space="preserve">2.2 transmiterea rezistenței are loc </w:t>
            </w:r>
            <w:r>
              <w:rPr>
                <w:rFonts w:ascii="Times New Roman" w:hAnsi="Times New Roman"/>
                <w:color w:val="000000"/>
                <w:sz w:val="18"/>
                <w:szCs w:val="18"/>
                <w:lang w:val="ro-RO"/>
              </w:rPr>
              <w:t>prin transmitere verticală și orizontală;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2.3 transmiterea rezistenței implică agenți patogeni zoonotici;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2.4 transmiterea poate avea loc prin diferite căi de expunere;</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 xml:space="preserve">2.5 transmiterea se efectuează printr-un anumit număr de specii de animale </w:t>
            </w:r>
            <w:r>
              <w:rPr>
                <w:rFonts w:ascii="Times New Roman" w:hAnsi="Times New Roman"/>
                <w:color w:val="000000"/>
                <w:sz w:val="18"/>
                <w:szCs w:val="18"/>
                <w:lang w:val="ro-RO"/>
              </w:rPr>
              <w:t>diferite.</w:t>
            </w:r>
          </w:p>
          <w:p w:rsidR="00AB2581" w:rsidRDefault="00AB2581">
            <w:pPr>
              <w:jc w:val="both"/>
              <w:rPr>
                <w:rFonts w:ascii="Times New Roman" w:hAnsi="Times New Roman"/>
                <w:color w:val="000000"/>
                <w:sz w:val="18"/>
                <w:szCs w:val="18"/>
                <w:lang w:val="ro-RO"/>
              </w:rPr>
            </w:pP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Capitolul III</w:t>
            </w:r>
          </w:p>
          <w:p w:rsidR="00AB2581" w:rsidRDefault="009B16C1">
            <w:pPr>
              <w:jc w:val="both"/>
              <w:rPr>
                <w:rFonts w:ascii="Times New Roman" w:hAnsi="Times New Roman"/>
                <w:b/>
                <w:bCs/>
                <w:color w:val="000000"/>
                <w:sz w:val="18"/>
                <w:szCs w:val="18"/>
                <w:lang w:val="ro-RO"/>
              </w:rPr>
            </w:pPr>
            <w:r>
              <w:rPr>
                <w:rFonts w:ascii="Times New Roman" w:hAnsi="Times New Roman"/>
                <w:b/>
                <w:bCs/>
                <w:color w:val="000000"/>
                <w:sz w:val="18"/>
                <w:szCs w:val="18"/>
                <w:lang w:val="ro-RO"/>
              </w:rPr>
              <w:t>Criteriul referitor la o utilizare neesențială pentru sănătatea animală</w:t>
            </w:r>
          </w:p>
          <w:p w:rsidR="00AB2581" w:rsidRDefault="00AB2581">
            <w:pPr>
              <w:jc w:val="both"/>
              <w:rPr>
                <w:rFonts w:ascii="Times New Roman" w:hAnsi="Times New Roman"/>
                <w:color w:val="000000"/>
                <w:sz w:val="18"/>
                <w:szCs w:val="18"/>
                <w:lang w:val="ro-RO"/>
              </w:rPr>
            </w:pP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1.Antimicrobianul sau grupul de antimicrobiene îndeplinește acest criteriu dacă se aplică oricare dintre următoarele condiții: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1.1 nu există dovezi solide pri</w:t>
            </w:r>
            <w:r>
              <w:rPr>
                <w:rFonts w:ascii="Times New Roman" w:hAnsi="Times New Roman"/>
                <w:color w:val="000000"/>
                <w:sz w:val="18"/>
                <w:szCs w:val="18"/>
                <w:lang w:val="ro-RO"/>
              </w:rPr>
              <w:t>vind necesitatea utilizării antimicrobianului sau a grupului de antimicrobiene în medicina veterinară;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1.2  antimicrobianul sau grupul de antimicrobiene este utilizat pentru tratarea infecțiilor grave și potențial mortale la animale care, dacă ar fi tratat</w:t>
            </w:r>
            <w:r>
              <w:rPr>
                <w:rFonts w:ascii="Times New Roman" w:hAnsi="Times New Roman"/>
                <w:color w:val="000000"/>
                <w:sz w:val="18"/>
                <w:szCs w:val="18"/>
                <w:lang w:val="ro-RO"/>
              </w:rPr>
              <w:t>e necorespunzător, ar conduce la o morbiditate sau la o mortalitate semnificativă ori ar avea un impact major asupra bunăstării animalelor sau a sănătății publice, dar sunt disponibile medicamente alternative adecvate pentru tratarea acestor infecții la sp</w:t>
            </w:r>
            <w:r>
              <w:rPr>
                <w:rFonts w:ascii="Times New Roman" w:hAnsi="Times New Roman"/>
                <w:color w:val="000000"/>
                <w:sz w:val="18"/>
                <w:szCs w:val="18"/>
                <w:lang w:val="ro-RO"/>
              </w:rPr>
              <w:t>eciile de animale în cauză;</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1.3  antimicrobianul sau grupul de antimicrobiene este utilizat pentru tratarea infecțiilor grave și potențial mortale la animale care, dacă ar fi tratate necorespunzător, ar conduce la o morbiditate sau la o mortalitate limitat</w:t>
            </w:r>
            <w:r>
              <w:rPr>
                <w:rFonts w:ascii="Times New Roman" w:hAnsi="Times New Roman"/>
                <w:color w:val="000000"/>
                <w:sz w:val="18"/>
                <w:szCs w:val="18"/>
                <w:lang w:val="ro-RO"/>
              </w:rPr>
              <w:t>ă, și există dovezi științifice care arată că neutilizarea sa în medicina veterinară prezintă un interes major pentru sănătatea publică.</w:t>
            </w:r>
          </w:p>
          <w:p w:rsidR="00AB2581" w:rsidRDefault="00AB2581">
            <w:pPr>
              <w:jc w:val="both"/>
              <w:rPr>
                <w:rFonts w:ascii="Times New Roman" w:hAnsi="Times New Roman"/>
                <w:color w:val="000000"/>
                <w:sz w:val="18"/>
                <w:szCs w:val="18"/>
                <w:lang w:val="ro-RO"/>
              </w:rPr>
            </w:pP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 Dispozițiile prevăzute la pct. 1 se aplică atunci când antimicrobianul sau grupul de antimicrobiene în cauză se înc</w:t>
            </w:r>
            <w:r>
              <w:rPr>
                <w:rFonts w:ascii="Times New Roman" w:hAnsi="Times New Roman"/>
                <w:color w:val="000000"/>
                <w:sz w:val="18"/>
                <w:szCs w:val="18"/>
                <w:lang w:val="ro-RO"/>
              </w:rPr>
              <w:t>adrează într-una dintre următoarele categorii:</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2.1 antimicrobiene sau grupuri de antimicrobiene prezente în produse medicinale veterinare autorizate;</w:t>
            </w:r>
          </w:p>
          <w:p w:rsidR="00AB2581" w:rsidRDefault="009B16C1">
            <w:pPr>
              <w:jc w:val="both"/>
              <w:rPr>
                <w:rFonts w:ascii="Times New Roman" w:hAnsi="Times New Roman"/>
                <w:color w:val="000000"/>
                <w:sz w:val="18"/>
                <w:szCs w:val="18"/>
                <w:lang w:val="ro-RO"/>
              </w:rPr>
            </w:pPr>
            <w:r>
              <w:rPr>
                <w:rFonts w:ascii="Times New Roman" w:hAnsi="Times New Roman"/>
                <w:color w:val="000000"/>
                <w:sz w:val="18"/>
                <w:szCs w:val="18"/>
                <w:lang w:val="ro-RO"/>
              </w:rPr>
              <w:t>2.2 antimicrobiene sau grupuri de antimicrobiene prezente în medicamente autorizate pentru uz uman, care p</w:t>
            </w:r>
            <w:r>
              <w:rPr>
                <w:rFonts w:ascii="Times New Roman" w:hAnsi="Times New Roman"/>
                <w:color w:val="000000"/>
                <w:sz w:val="18"/>
                <w:szCs w:val="18"/>
                <w:lang w:val="ro-RO"/>
              </w:rPr>
              <w:t>ot fi administrate animalelor în afara condițiilor autorizației lor de introducere pe piață.</w:t>
            </w:r>
          </w:p>
          <w:p w:rsidR="00AB2581" w:rsidRDefault="00AB2581">
            <w:pPr>
              <w:jc w:val="both"/>
              <w:rPr>
                <w:rFonts w:ascii="Times New Roman" w:hAnsi="Times New Roman"/>
                <w:color w:val="000000"/>
                <w:sz w:val="18"/>
                <w:szCs w:val="18"/>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jc w:val="center"/>
            </w:pPr>
            <w:r>
              <w:rPr>
                <w:rStyle w:val="Fontdeparagrafimplicit"/>
                <w:rFonts w:ascii="Times New Roman" w:hAnsi="Times New Roman"/>
                <w:b/>
                <w:color w:val="000000"/>
                <w:sz w:val="18"/>
                <w:szCs w:val="18"/>
                <w:lang w:val="ro-RO"/>
              </w:rPr>
              <w:lastRenderedPageBreak/>
              <w:t>Compatibil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581" w:rsidRDefault="009B16C1">
            <w:pPr>
              <w:rPr>
                <w:rFonts w:ascii="Times New Roman" w:hAnsi="Times New Roman"/>
                <w:b/>
                <w:color w:val="000000"/>
                <w:sz w:val="18"/>
                <w:szCs w:val="18"/>
                <w:lang w:val="ro-MD"/>
              </w:rPr>
            </w:pPr>
            <w:r>
              <w:rPr>
                <w:rFonts w:ascii="Times New Roman" w:hAnsi="Times New Roman"/>
                <w:b/>
                <w:color w:val="000000"/>
                <w:sz w:val="18"/>
                <w:szCs w:val="18"/>
                <w:lang w:val="ro-MD"/>
              </w:rPr>
              <w:t>Prezenta Anexa IV transpune prevederile Reg. EU 2021/1760</w:t>
            </w:r>
          </w:p>
        </w:tc>
      </w:tr>
    </w:tbl>
    <w:p w:rsidR="00000000" w:rsidRDefault="009B16C1">
      <w:pPr>
        <w:sectPr w:rsidR="00000000">
          <w:pgSz w:w="16838" w:h="11906" w:orient="landscape"/>
          <w:pgMar w:top="907" w:right="1440" w:bottom="1440" w:left="1440" w:header="720" w:footer="720" w:gutter="0"/>
          <w:cols w:space="720"/>
        </w:sectPr>
      </w:pPr>
    </w:p>
    <w:p w:rsidR="00AB2581" w:rsidRDefault="00AB2581">
      <w:pPr>
        <w:tabs>
          <w:tab w:val="left" w:pos="2106"/>
        </w:tabs>
        <w:rPr>
          <w:rFonts w:ascii="Times New Roman" w:hAnsi="Times New Roman"/>
          <w:sz w:val="18"/>
          <w:szCs w:val="18"/>
        </w:rPr>
      </w:pPr>
    </w:p>
    <w:sectPr w:rsidR="00AB2581">
      <w:pgSz w:w="11906" w:h="16838"/>
      <w:pgMar w:top="1440" w:right="1440" w:bottom="144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B16C1">
      <w:pPr>
        <w:spacing w:before="0" w:after="0" w:line="240" w:lineRule="auto"/>
      </w:pPr>
      <w:r>
        <w:separator/>
      </w:r>
    </w:p>
  </w:endnote>
  <w:endnote w:type="continuationSeparator" w:id="0">
    <w:p w:rsidR="00000000" w:rsidRDefault="009B16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B16C1">
      <w:pPr>
        <w:spacing w:before="0" w:after="0" w:line="240" w:lineRule="auto"/>
      </w:pPr>
      <w:r>
        <w:rPr>
          <w:color w:val="000000"/>
        </w:rPr>
        <w:separator/>
      </w:r>
    </w:p>
  </w:footnote>
  <w:footnote w:type="continuationSeparator" w:id="0">
    <w:p w:rsidR="00000000" w:rsidRDefault="009B16C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2581"/>
    <w:rsid w:val="009B16C1"/>
    <w:rsid w:val="00AB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1AFD8-8A41-4E56-A6C5-5A0DBEE9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Normal"/>
    <w:next w:val="Normal"/>
    <w:pPr>
      <w:keepNext/>
      <w:keepLines/>
      <w:suppressAutoHyphens/>
      <w:spacing w:before="360" w:after="80"/>
      <w:outlineLvl w:val="0"/>
    </w:pPr>
    <w:rPr>
      <w:rFonts w:ascii="Calibri Light" w:hAnsi="Calibri Light"/>
      <w:color w:val="2F5496"/>
      <w:sz w:val="40"/>
      <w:szCs w:val="40"/>
    </w:rPr>
  </w:style>
  <w:style w:type="paragraph" w:customStyle="1" w:styleId="Titlu2">
    <w:name w:val="Titlu 2"/>
    <w:basedOn w:val="Normal"/>
    <w:next w:val="Normal"/>
    <w:pPr>
      <w:keepNext/>
      <w:keepLines/>
      <w:suppressAutoHyphens/>
      <w:spacing w:before="160" w:after="80"/>
      <w:outlineLvl w:val="1"/>
    </w:pPr>
    <w:rPr>
      <w:rFonts w:ascii="Calibri Light" w:hAnsi="Calibri Light"/>
      <w:color w:val="2F5496"/>
      <w:sz w:val="32"/>
      <w:szCs w:val="32"/>
    </w:rPr>
  </w:style>
  <w:style w:type="paragraph" w:customStyle="1" w:styleId="Titlu3">
    <w:name w:val="Titlu 3"/>
    <w:basedOn w:val="Normal"/>
    <w:next w:val="Normal"/>
    <w:pPr>
      <w:keepNext/>
      <w:keepLines/>
      <w:suppressAutoHyphens/>
      <w:spacing w:before="160" w:after="80"/>
      <w:outlineLvl w:val="2"/>
    </w:pPr>
    <w:rPr>
      <w:color w:val="2F5496"/>
      <w:sz w:val="28"/>
      <w:szCs w:val="28"/>
    </w:rPr>
  </w:style>
  <w:style w:type="paragraph" w:customStyle="1" w:styleId="Titlu4">
    <w:name w:val="Titlu 4"/>
    <w:basedOn w:val="Normal"/>
    <w:next w:val="Normal"/>
    <w:pPr>
      <w:keepNext/>
      <w:keepLines/>
      <w:suppressAutoHyphens/>
      <w:spacing w:before="80" w:after="40"/>
      <w:outlineLvl w:val="3"/>
    </w:pPr>
    <w:rPr>
      <w:i/>
      <w:iCs/>
      <w:color w:val="2F5496"/>
    </w:rPr>
  </w:style>
  <w:style w:type="paragraph" w:customStyle="1" w:styleId="Titlu5">
    <w:name w:val="Titlu 5"/>
    <w:basedOn w:val="Normal"/>
    <w:next w:val="Normal"/>
    <w:pPr>
      <w:keepNext/>
      <w:keepLines/>
      <w:suppressAutoHyphens/>
      <w:spacing w:before="80" w:after="40"/>
      <w:outlineLvl w:val="4"/>
    </w:pPr>
    <w:rPr>
      <w:color w:val="2F5496"/>
    </w:rPr>
  </w:style>
  <w:style w:type="paragraph" w:customStyle="1" w:styleId="Titlu6">
    <w:name w:val="Titlu 6"/>
    <w:basedOn w:val="Normal"/>
    <w:next w:val="Normal"/>
    <w:pPr>
      <w:keepNext/>
      <w:keepLines/>
      <w:suppressAutoHyphens/>
      <w:spacing w:before="40"/>
      <w:outlineLvl w:val="5"/>
    </w:pPr>
    <w:rPr>
      <w:i/>
      <w:iCs/>
      <w:color w:val="595959"/>
    </w:rPr>
  </w:style>
  <w:style w:type="paragraph" w:customStyle="1" w:styleId="Titlu7">
    <w:name w:val="Titlu 7"/>
    <w:basedOn w:val="Normal"/>
    <w:next w:val="Normal"/>
    <w:pPr>
      <w:keepNext/>
      <w:keepLines/>
      <w:suppressAutoHyphens/>
      <w:spacing w:before="40"/>
      <w:outlineLvl w:val="6"/>
    </w:pPr>
    <w:rPr>
      <w:color w:val="595959"/>
    </w:rPr>
  </w:style>
  <w:style w:type="paragraph" w:customStyle="1" w:styleId="Titlu8">
    <w:name w:val="Titlu 8"/>
    <w:basedOn w:val="Normal"/>
    <w:next w:val="Normal"/>
    <w:pPr>
      <w:keepNext/>
      <w:keepLines/>
      <w:suppressAutoHyphens/>
      <w:outlineLvl w:val="7"/>
    </w:pPr>
    <w:rPr>
      <w:i/>
      <w:iCs/>
      <w:color w:val="272727"/>
    </w:rPr>
  </w:style>
  <w:style w:type="paragraph" w:customStyle="1" w:styleId="Titlu9">
    <w:name w:val="Titlu 9"/>
    <w:basedOn w:val="Normal"/>
    <w:next w:val="Normal"/>
    <w:pPr>
      <w:keepNext/>
      <w:keepLines/>
      <w:suppressAutoHyphens/>
      <w:outlineLvl w:val="8"/>
    </w:pPr>
    <w:rPr>
      <w:color w:val="272727"/>
    </w:rPr>
  </w:style>
  <w:style w:type="character" w:customStyle="1" w:styleId="Fontdeparagrafimplicit">
    <w:name w:val="Font de paragraf implicit"/>
  </w:style>
  <w:style w:type="character" w:customStyle="1" w:styleId="Heading1Char">
    <w:name w:val="Heading 1 Char"/>
    <w:basedOn w:val="Fontdeparagrafimplicit"/>
    <w:rPr>
      <w:rFonts w:ascii="Calibri Light" w:eastAsia="Times New Roman" w:hAnsi="Calibri Light" w:cs="Times New Roman"/>
      <w:color w:val="2F5496"/>
      <w:sz w:val="40"/>
      <w:szCs w:val="40"/>
    </w:rPr>
  </w:style>
  <w:style w:type="character" w:customStyle="1" w:styleId="Heading2Char">
    <w:name w:val="Heading 2 Char"/>
    <w:basedOn w:val="Fontdeparagrafimplicit"/>
    <w:rPr>
      <w:rFonts w:ascii="Calibri Light" w:eastAsia="Times New Roman" w:hAnsi="Calibri Light" w:cs="Times New Roman"/>
      <w:color w:val="2F5496"/>
      <w:sz w:val="32"/>
      <w:szCs w:val="32"/>
    </w:rPr>
  </w:style>
  <w:style w:type="character" w:customStyle="1" w:styleId="Heading3Char">
    <w:name w:val="Heading 3 Char"/>
    <w:basedOn w:val="Fontdeparagrafimplicit"/>
    <w:rPr>
      <w:rFonts w:eastAsia="Times New Roman" w:cs="Times New Roman"/>
      <w:color w:val="2F5496"/>
      <w:sz w:val="28"/>
      <w:szCs w:val="28"/>
    </w:rPr>
  </w:style>
  <w:style w:type="character" w:customStyle="1" w:styleId="Heading4Char">
    <w:name w:val="Heading 4 Char"/>
    <w:basedOn w:val="Fontdeparagrafimplicit"/>
    <w:rPr>
      <w:rFonts w:eastAsia="Times New Roman" w:cs="Times New Roman"/>
      <w:i/>
      <w:iCs/>
      <w:color w:val="2F5496"/>
    </w:rPr>
  </w:style>
  <w:style w:type="character" w:customStyle="1" w:styleId="Heading5Char">
    <w:name w:val="Heading 5 Char"/>
    <w:basedOn w:val="Fontdeparagrafimplicit"/>
    <w:rPr>
      <w:rFonts w:eastAsia="Times New Roman" w:cs="Times New Roman"/>
      <w:color w:val="2F5496"/>
    </w:rPr>
  </w:style>
  <w:style w:type="character" w:customStyle="1" w:styleId="Heading6Char">
    <w:name w:val="Heading 6 Char"/>
    <w:basedOn w:val="Fontdeparagrafimplicit"/>
    <w:rPr>
      <w:rFonts w:eastAsia="Times New Roman" w:cs="Times New Roman"/>
      <w:i/>
      <w:iCs/>
      <w:color w:val="595959"/>
    </w:rPr>
  </w:style>
  <w:style w:type="character" w:customStyle="1" w:styleId="Heading7Char">
    <w:name w:val="Heading 7 Char"/>
    <w:basedOn w:val="Fontdeparagrafimplicit"/>
    <w:rPr>
      <w:rFonts w:eastAsia="Times New Roman" w:cs="Times New Roman"/>
      <w:color w:val="595959"/>
    </w:rPr>
  </w:style>
  <w:style w:type="character" w:customStyle="1" w:styleId="Heading8Char">
    <w:name w:val="Heading 8 Char"/>
    <w:basedOn w:val="Fontdeparagrafimplicit"/>
    <w:rPr>
      <w:rFonts w:eastAsia="Times New Roman" w:cs="Times New Roman"/>
      <w:i/>
      <w:iCs/>
      <w:color w:val="272727"/>
    </w:rPr>
  </w:style>
  <w:style w:type="character" w:customStyle="1" w:styleId="Heading9Char">
    <w:name w:val="Heading 9 Char"/>
    <w:basedOn w:val="Fontdeparagrafimplicit"/>
    <w:rPr>
      <w:rFonts w:eastAsia="Times New Roman" w:cs="Times New Roman"/>
      <w:color w:val="272727"/>
    </w:rPr>
  </w:style>
  <w:style w:type="paragraph" w:customStyle="1" w:styleId="Titlu">
    <w:name w:val="Titlu"/>
    <w:basedOn w:val="Normal"/>
    <w:next w:val="Normal"/>
    <w:pPr>
      <w:suppressAutoHyphens/>
      <w:spacing w:after="80"/>
    </w:pPr>
    <w:rPr>
      <w:rFonts w:ascii="Calibri Light" w:hAnsi="Calibri Light"/>
      <w:spacing w:val="-10"/>
      <w:sz w:val="56"/>
      <w:szCs w:val="56"/>
    </w:rPr>
  </w:style>
  <w:style w:type="character" w:customStyle="1" w:styleId="TitleChar">
    <w:name w:val="Title Char"/>
    <w:basedOn w:val="Fontdeparagrafimplicit"/>
    <w:rPr>
      <w:rFonts w:ascii="Calibri Light" w:eastAsia="Times New Roman" w:hAnsi="Calibri Light" w:cs="Times New Roman"/>
      <w:spacing w:val="-10"/>
      <w:kern w:val="3"/>
      <w:sz w:val="56"/>
      <w:szCs w:val="56"/>
    </w:rPr>
  </w:style>
  <w:style w:type="paragraph" w:customStyle="1" w:styleId="Subtitlu">
    <w:name w:val="Subtitlu"/>
    <w:basedOn w:val="Normal"/>
    <w:next w:val="Normal"/>
    <w:pPr>
      <w:suppressAutoHyphens/>
      <w:spacing w:after="160"/>
    </w:pPr>
    <w:rPr>
      <w:color w:val="595959"/>
      <w:spacing w:val="15"/>
      <w:sz w:val="28"/>
      <w:szCs w:val="28"/>
    </w:rPr>
  </w:style>
  <w:style w:type="character" w:customStyle="1" w:styleId="SubtitleChar">
    <w:name w:val="Subtitle Char"/>
    <w:basedOn w:val="Fontdeparagrafimplicit"/>
    <w:rPr>
      <w:rFonts w:eastAsia="Times New Roman" w:cs="Times New Roman"/>
      <w:color w:val="595959"/>
      <w:spacing w:val="15"/>
      <w:sz w:val="28"/>
      <w:szCs w:val="28"/>
    </w:rPr>
  </w:style>
  <w:style w:type="paragraph" w:customStyle="1" w:styleId="Citat">
    <w:name w:val="Citat"/>
    <w:basedOn w:val="Normal"/>
    <w:next w:val="Normal"/>
    <w:pPr>
      <w:suppressAutoHyphens/>
      <w:spacing w:before="160" w:after="160"/>
      <w:jc w:val="center"/>
    </w:pPr>
    <w:rPr>
      <w:i/>
      <w:iCs/>
      <w:color w:val="404040"/>
    </w:rPr>
  </w:style>
  <w:style w:type="character" w:customStyle="1" w:styleId="QuoteChar">
    <w:name w:val="Quote Char"/>
    <w:basedOn w:val="Fontdeparagrafimplicit"/>
    <w:rPr>
      <w:i/>
      <w:iCs/>
      <w:color w:val="404040"/>
    </w:rPr>
  </w:style>
  <w:style w:type="paragraph" w:customStyle="1" w:styleId="Listparagraf">
    <w:name w:val="Listă paragraf"/>
    <w:basedOn w:val="Normal"/>
    <w:pPr>
      <w:suppressAutoHyphens/>
      <w:spacing w:after="160"/>
      <w:ind w:left="720"/>
    </w:pPr>
  </w:style>
  <w:style w:type="character" w:customStyle="1" w:styleId="Accentuareintens">
    <w:name w:val="Accentuare intensă"/>
    <w:basedOn w:val="Fontdeparagrafimplicit"/>
    <w:rPr>
      <w:i/>
      <w:iCs/>
      <w:color w:val="2F5496"/>
    </w:rPr>
  </w:style>
  <w:style w:type="paragraph" w:customStyle="1" w:styleId="Citatintens">
    <w:name w:val="Citat intens"/>
    <w:basedOn w:val="Normal"/>
    <w:next w:val="Normal"/>
    <w:pPr>
      <w:pBdr>
        <w:top w:val="single" w:sz="4" w:space="10" w:color="2F5496"/>
        <w:bottom w:val="single" w:sz="4" w:space="10" w:color="2F5496"/>
      </w:pBdr>
      <w:suppressAutoHyphens/>
      <w:spacing w:before="360" w:after="360"/>
      <w:ind w:left="864" w:right="864"/>
      <w:jc w:val="center"/>
    </w:pPr>
    <w:rPr>
      <w:i/>
      <w:iCs/>
      <w:color w:val="2F5496"/>
    </w:rPr>
  </w:style>
  <w:style w:type="character" w:customStyle="1" w:styleId="IntenseQuoteChar">
    <w:name w:val="Intense Quote Char"/>
    <w:basedOn w:val="Fontdeparagrafimplicit"/>
    <w:rPr>
      <w:i/>
      <w:iCs/>
      <w:color w:val="2F5496"/>
    </w:rPr>
  </w:style>
  <w:style w:type="character" w:customStyle="1" w:styleId="Referireintens">
    <w:name w:val="Referire intensă"/>
    <w:basedOn w:val="Fontdeparagrafimplicit"/>
    <w:rPr>
      <w:b/>
      <w:bCs/>
      <w:smallCaps/>
      <w:color w:val="2F5496"/>
      <w:spacing w:val="5"/>
    </w:rPr>
  </w:style>
  <w:style w:type="paragraph" w:customStyle="1" w:styleId="CM3">
    <w:name w:val="CM3"/>
    <w:basedOn w:val="Normal"/>
    <w:next w:val="Normal"/>
    <w:pPr>
      <w:suppressAutoHyphens/>
      <w:autoSpaceDE w:val="0"/>
    </w:pPr>
  </w:style>
  <w:style w:type="paragraph" w:customStyle="1" w:styleId="CM4">
    <w:name w:val="CM4"/>
    <w:basedOn w:val="Normal"/>
    <w:next w:val="Normal"/>
    <w:pPr>
      <w:suppressAutoHyphens/>
      <w:autoSpaceDE w:val="0"/>
    </w:pPr>
  </w:style>
  <w:style w:type="paragraph" w:customStyle="1" w:styleId="Default">
    <w:name w:val="Default"/>
    <w:pPr>
      <w:suppressAutoHyphens/>
      <w:autoSpaceDE w:val="0"/>
      <w:spacing w:after="0" w:line="240" w:lineRule="auto"/>
    </w:pPr>
    <w:rPr>
      <w:rFonts w:ascii="EUAlbertina" w:hAnsi="EUAlbertina" w:cs="EUAlbertina"/>
      <w:color w:val="000000"/>
      <w:kern w:val="0"/>
    </w:rPr>
  </w:style>
  <w:style w:type="paragraph" w:customStyle="1" w:styleId="msonormal0">
    <w:name w:val="msonormal"/>
    <w:basedOn w:val="Normal"/>
  </w:style>
  <w:style w:type="paragraph" w:customStyle="1" w:styleId="tbl-norm">
    <w:name w:val="tbl-norm"/>
    <w:basedOn w:val="Normal"/>
  </w:style>
  <w:style w:type="character" w:styleId="Hyperlink">
    <w:name w:val="Hyperlink"/>
    <w:basedOn w:val="Fontdeparagrafimplicit"/>
    <w:rPr>
      <w:color w:val="0000FF"/>
      <w:u w:val="single"/>
    </w:rPr>
  </w:style>
  <w:style w:type="character" w:customStyle="1" w:styleId="HyperlinkParcurs">
    <w:name w:val="HyperlinkParcurs"/>
    <w:basedOn w:val="Fontdeparagrafimplicit"/>
    <w:rPr>
      <w:color w:val="800080"/>
      <w:u w:val="single"/>
    </w:rPr>
  </w:style>
  <w:style w:type="character" w:customStyle="1" w:styleId="superscript">
    <w:name w:val="superscript"/>
    <w:basedOn w:val="Fontdeparagrafimplicit"/>
  </w:style>
  <w:style w:type="paragraph" w:customStyle="1" w:styleId="inline-element">
    <w:name w:val="inline-element"/>
    <w:basedOn w:val="Normal"/>
  </w:style>
  <w:style w:type="paragraph" w:customStyle="1" w:styleId="title-annex-1">
    <w:name w:val="title-annex-1"/>
    <w:basedOn w:val="Normal"/>
  </w:style>
  <w:style w:type="paragraph" w:customStyle="1" w:styleId="title-annex-2">
    <w:name w:val="title-annex-2"/>
    <w:basedOn w:val="Normal"/>
  </w:style>
  <w:style w:type="paragraph" w:styleId="NormalWeb">
    <w:name w:val="Normal (Web)"/>
    <w:basedOn w:val="Normal"/>
  </w:style>
  <w:style w:type="paragraph" w:customStyle="1" w:styleId="title-table">
    <w:name w:val="title-table"/>
    <w:basedOn w:val="Normal"/>
  </w:style>
  <w:style w:type="character" w:customStyle="1" w:styleId="boldface">
    <w:name w:val="boldface"/>
    <w:basedOn w:val="Fontdeparagrafimplicit"/>
  </w:style>
  <w:style w:type="paragraph" w:customStyle="1" w:styleId="modref">
    <w:name w:val="modref"/>
    <w:basedOn w:val="Normal"/>
  </w:style>
  <w:style w:type="paragraph" w:customStyle="1" w:styleId="title-gr-seq-level-1">
    <w:name w:val="title-gr-seq-level-1"/>
    <w:basedOn w:val="Normal"/>
  </w:style>
  <w:style w:type="paragraph" w:customStyle="1" w:styleId="tbl-left">
    <w:name w:val="tbl-left"/>
    <w:basedOn w:val="Normal"/>
  </w:style>
  <w:style w:type="character" w:customStyle="1" w:styleId="italics">
    <w:name w:val="italics"/>
    <w:basedOn w:val="Fontdeparagrafimplicit"/>
  </w:style>
  <w:style w:type="paragraph" w:customStyle="1" w:styleId="norm">
    <w:name w:val="norm"/>
    <w:basedOn w:val="Normal"/>
  </w:style>
  <w:style w:type="paragraph" w:customStyle="1" w:styleId="hd-column">
    <w:name w:val="hd-column"/>
    <w:basedOn w:val="Normal"/>
  </w:style>
  <w:style w:type="paragraph" w:customStyle="1" w:styleId="footnote">
    <w:name w:val="footnote"/>
    <w:basedOn w:val="Normal"/>
  </w:style>
  <w:style w:type="paragraph" w:customStyle="1" w:styleId="title-doc-first">
    <w:name w:val="title-doc-first"/>
    <w:basedOn w:val="Normal"/>
    <w:pPr>
      <w:spacing w:line="240" w:lineRule="auto"/>
    </w:pPr>
    <w:rPr>
      <w:rFonts w:ascii="Times New Roman" w:eastAsia="Times New Roman" w:hAnsi="Times New Roman"/>
      <w:kern w:val="0"/>
      <w:lang w:val="en-US" w:eastAsia="en-US"/>
    </w:rPr>
  </w:style>
  <w:style w:type="paragraph" w:customStyle="1" w:styleId="title-doc-last">
    <w:name w:val="title-doc-last"/>
    <w:basedOn w:val="Normal"/>
    <w:pPr>
      <w:spacing w:line="240" w:lineRule="auto"/>
    </w:pPr>
    <w:rPr>
      <w:rFonts w:ascii="Times New Roman" w:eastAsia="Times New Roman" w:hAnsi="Times New Roman"/>
      <w:kern w:val="0"/>
      <w:lang w:val="en-US" w:eastAsia="en-US"/>
    </w:rPr>
  </w:style>
  <w:style w:type="paragraph" w:customStyle="1" w:styleId="title-doc-oj-reference">
    <w:name w:val="title-doc-oj-reference"/>
    <w:basedOn w:val="Normal"/>
    <w:pPr>
      <w:spacing w:line="240" w:lineRule="auto"/>
    </w:pPr>
    <w:rPr>
      <w:rFonts w:ascii="Times New Roman" w:eastAsia="Times New Roman" w:hAnsi="Times New Roman"/>
      <w:kern w:val="0"/>
      <w:lang w:val="en-US" w:eastAsia="en-US"/>
    </w:rPr>
  </w:style>
  <w:style w:type="paragraph" w:customStyle="1" w:styleId="hd-modifiers">
    <w:name w:val="hd-modifiers"/>
    <w:basedOn w:val="Normal"/>
    <w:pPr>
      <w:spacing w:line="240" w:lineRule="auto"/>
    </w:pPr>
    <w:rPr>
      <w:rFonts w:ascii="Times New Roman" w:eastAsia="Times New Roman" w:hAnsi="Times New Roman"/>
      <w:kern w:val="0"/>
      <w:lang w:val="en-US" w:eastAsia="en-US"/>
    </w:rPr>
  </w:style>
  <w:style w:type="paragraph" w:customStyle="1" w:styleId="hd-toc-1">
    <w:name w:val="hd-toc-1"/>
    <w:basedOn w:val="Normal"/>
    <w:pPr>
      <w:spacing w:line="240" w:lineRule="auto"/>
    </w:pPr>
    <w:rPr>
      <w:rFonts w:ascii="Times New Roman" w:eastAsia="Times New Roman" w:hAnsi="Times New Roman"/>
      <w:kern w:val="0"/>
      <w:lang w:val="en-US" w:eastAsia="en-US"/>
    </w:rPr>
  </w:style>
  <w:style w:type="paragraph" w:customStyle="1" w:styleId="hd-toc-2">
    <w:name w:val="hd-toc-2"/>
    <w:basedOn w:val="Normal"/>
    <w:pPr>
      <w:spacing w:line="240" w:lineRule="auto"/>
    </w:pPr>
    <w:rPr>
      <w:rFonts w:ascii="Times New Roman" w:eastAsia="Times New Roman" w:hAnsi="Times New Roman"/>
      <w:kern w:val="0"/>
      <w:lang w:val="en-US" w:eastAsia="en-US"/>
    </w:rPr>
  </w:style>
  <w:style w:type="paragraph" w:customStyle="1" w:styleId="hd-toc-3">
    <w:name w:val="hd-toc-3"/>
    <w:basedOn w:val="Normal"/>
    <w:pPr>
      <w:spacing w:line="240" w:lineRule="auto"/>
    </w:pPr>
    <w:rPr>
      <w:rFonts w:ascii="Times New Roman" w:eastAsia="Times New Roman" w:hAnsi="Times New Roman"/>
      <w:kern w:val="0"/>
      <w:lang w:val="en-US" w:eastAsia="en-US"/>
    </w:rPr>
  </w:style>
  <w:style w:type="paragraph" w:customStyle="1" w:styleId="arrow">
    <w:name w:val="arrow"/>
    <w:basedOn w:val="Normal"/>
    <w:pPr>
      <w:spacing w:line="240" w:lineRule="auto"/>
    </w:pPr>
    <w:rPr>
      <w:rFonts w:ascii="Times New Roman" w:eastAsia="Times New Roman" w:hAnsi="Times New Roman"/>
      <w:kern w:val="0"/>
      <w:lang w:val="en-US" w:eastAsia="en-US"/>
    </w:rPr>
  </w:style>
  <w:style w:type="paragraph" w:customStyle="1" w:styleId="title-fam-member-star">
    <w:name w:val="title-fam-member-star"/>
    <w:basedOn w:val="Normal"/>
    <w:pPr>
      <w:spacing w:line="240" w:lineRule="auto"/>
    </w:pPr>
    <w:rPr>
      <w:rFonts w:ascii="Times New Roman" w:eastAsia="Times New Roman" w:hAnsi="Times New Roman"/>
      <w:kern w:val="0"/>
      <w:lang w:val="en-US" w:eastAsia="en-US"/>
    </w:rPr>
  </w:style>
  <w:style w:type="paragraph" w:customStyle="1" w:styleId="toc-1">
    <w:name w:val="toc-1"/>
    <w:basedOn w:val="Normal"/>
    <w:pPr>
      <w:spacing w:line="240" w:lineRule="auto"/>
    </w:pPr>
    <w:rPr>
      <w:rFonts w:ascii="Times New Roman" w:eastAsia="Times New Roman" w:hAnsi="Times New Roman"/>
      <w:kern w:val="0"/>
      <w:lang w:val="en-US" w:eastAsia="en-US"/>
    </w:rPr>
  </w:style>
  <w:style w:type="paragraph" w:customStyle="1" w:styleId="toc-2">
    <w:name w:val="toc-2"/>
    <w:basedOn w:val="Normal"/>
    <w:pPr>
      <w:spacing w:line="240" w:lineRule="auto"/>
    </w:pPr>
    <w:rPr>
      <w:rFonts w:ascii="Times New Roman" w:eastAsia="Times New Roman" w:hAnsi="Times New Roman"/>
      <w:kern w:val="0"/>
      <w:lang w:val="en-US" w:eastAsia="en-US"/>
    </w:rPr>
  </w:style>
  <w:style w:type="paragraph" w:customStyle="1" w:styleId="title-division-1">
    <w:name w:val="title-division-1"/>
    <w:basedOn w:val="Normal"/>
    <w:pPr>
      <w:spacing w:line="240" w:lineRule="auto"/>
    </w:pPr>
    <w:rPr>
      <w:rFonts w:ascii="Times New Roman" w:eastAsia="Times New Roman" w:hAnsi="Times New Roman"/>
      <w:kern w:val="0"/>
      <w:lang w:val="en-US" w:eastAsia="en-US"/>
    </w:rPr>
  </w:style>
  <w:style w:type="paragraph" w:customStyle="1" w:styleId="title-division-2">
    <w:name w:val="title-division-2"/>
    <w:basedOn w:val="Normal"/>
    <w:pPr>
      <w:spacing w:line="240" w:lineRule="auto"/>
    </w:pPr>
    <w:rPr>
      <w:rFonts w:ascii="Times New Roman" w:eastAsia="Times New Roman" w:hAnsi="Times New Roman"/>
      <w:kern w:val="0"/>
      <w:lang w:val="en-US" w:eastAsia="en-US"/>
    </w:rPr>
  </w:style>
  <w:style w:type="paragraph" w:customStyle="1" w:styleId="title-article-norm">
    <w:name w:val="title-article-norm"/>
    <w:basedOn w:val="Normal"/>
    <w:pPr>
      <w:spacing w:line="240" w:lineRule="auto"/>
    </w:pPr>
    <w:rPr>
      <w:rFonts w:ascii="Times New Roman" w:eastAsia="Times New Roman" w:hAnsi="Times New Roman"/>
      <w:kern w:val="0"/>
      <w:lang w:val="en-US" w:eastAsia="en-US"/>
    </w:rPr>
  </w:style>
  <w:style w:type="paragraph" w:customStyle="1" w:styleId="stitle-article-norm">
    <w:name w:val="stitle-article-norm"/>
    <w:basedOn w:val="Normal"/>
    <w:pPr>
      <w:spacing w:line="240" w:lineRule="auto"/>
    </w:pPr>
    <w:rPr>
      <w:rFonts w:ascii="Times New Roman" w:eastAsia="Times New Roman" w:hAnsi="Times New Roman"/>
      <w:kern w:val="0"/>
      <w:lang w:val="en-US" w:eastAsia="en-US"/>
    </w:rPr>
  </w:style>
  <w:style w:type="character" w:customStyle="1" w:styleId="no-parag">
    <w:name w:val="no-parag"/>
    <w:basedOn w:val="Fontdeparagrafimplicit"/>
  </w:style>
  <w:style w:type="character" w:customStyle="1" w:styleId="expanded">
    <w:name w:val="expanded"/>
    <w:basedOn w:val="Fontdeparagrafimplicit"/>
  </w:style>
  <w:style w:type="paragraph" w:customStyle="1" w:styleId="List1">
    <w:name w:val="List1"/>
    <w:basedOn w:val="Normal"/>
    <w:pPr>
      <w:spacing w:line="240" w:lineRule="auto"/>
    </w:pPr>
    <w:rPr>
      <w:rFonts w:ascii="Times New Roman" w:eastAsia="Times New Roman" w:hAnsi="Times New Roman"/>
      <w:kern w:val="0"/>
      <w:lang w:val="en-US" w:eastAsia="en-US"/>
    </w:rPr>
  </w:style>
  <w:style w:type="paragraph" w:customStyle="1" w:styleId="title-toc">
    <w:name w:val="title-toc"/>
    <w:basedOn w:val="Normal"/>
    <w:pPr>
      <w:spacing w:line="240" w:lineRule="auto"/>
    </w:pPr>
    <w:rPr>
      <w:rFonts w:ascii="Times New Roman" w:eastAsia="Times New Roman" w:hAnsi="Times New Roman"/>
      <w:kern w:val="0"/>
      <w:lang w:val="en-US" w:eastAsia="en-US"/>
    </w:rPr>
  </w:style>
  <w:style w:type="paragraph" w:customStyle="1" w:styleId="toc-item">
    <w:name w:val="toc-item"/>
    <w:basedOn w:val="Normal"/>
    <w:pPr>
      <w:spacing w:line="240" w:lineRule="auto"/>
    </w:pPr>
    <w:rPr>
      <w:rFonts w:ascii="Times New Roman" w:eastAsia="Times New Roman" w:hAnsi="Times New Roman"/>
      <w:kern w:val="0"/>
      <w:lang w:val="en-US" w:eastAsia="en-US"/>
    </w:rPr>
  </w:style>
  <w:style w:type="paragraph" w:customStyle="1" w:styleId="title-gr-seq-level-2">
    <w:name w:val="title-gr-seq-level-2"/>
    <w:basedOn w:val="Normal"/>
    <w:pPr>
      <w:spacing w:line="240" w:lineRule="auto"/>
    </w:pPr>
    <w:rPr>
      <w:rFonts w:ascii="Times New Roman" w:eastAsia="Times New Roman" w:hAnsi="Times New Roman"/>
      <w:kern w:val="0"/>
      <w:lang w:val="en-US" w:eastAsia="en-US"/>
    </w:rPr>
  </w:style>
  <w:style w:type="paragraph" w:customStyle="1" w:styleId="title-gr-seq-level-3">
    <w:name w:val="title-gr-seq-level-3"/>
    <w:basedOn w:val="Normal"/>
    <w:pPr>
      <w:spacing w:line="240" w:lineRule="auto"/>
    </w:pPr>
    <w:rPr>
      <w:rFonts w:ascii="Times New Roman" w:eastAsia="Times New Roman" w:hAnsi="Times New Roman"/>
      <w:kern w:val="0"/>
      <w:lang w:val="en-US" w:eastAsia="en-US"/>
    </w:rPr>
  </w:style>
  <w:style w:type="paragraph" w:customStyle="1" w:styleId="title-gr-seq-level-4">
    <w:name w:val="title-gr-seq-level-4"/>
    <w:basedOn w:val="Normal"/>
    <w:pPr>
      <w:spacing w:line="240" w:lineRule="auto"/>
    </w:pPr>
    <w:rPr>
      <w:rFonts w:ascii="Times New Roman" w:eastAsia="Times New Roman" w:hAnsi="Times New Roman"/>
      <w:kern w:val="0"/>
      <w:lang w:val="en-US" w:eastAsia="en-US"/>
    </w:rPr>
  </w:style>
  <w:style w:type="paragraph" w:customStyle="1" w:styleId="title-gr-seq-level-5">
    <w:name w:val="title-gr-seq-level-5"/>
    <w:basedOn w:val="Normal"/>
    <w:pPr>
      <w:spacing w:line="240" w:lineRule="auto"/>
    </w:pPr>
    <w:rPr>
      <w:rFonts w:ascii="Times New Roman" w:eastAsia="Times New Roman" w:hAnsi="Times New Roman"/>
      <w:kern w:val="0"/>
      <w:lang w:val="en-US" w:eastAsia="en-US"/>
    </w:rPr>
  </w:style>
  <w:style w:type="paragraph" w:customStyle="1" w:styleId="title-gr-seq-level-6">
    <w:name w:val="title-gr-seq-level-6"/>
    <w:basedOn w:val="Normal"/>
    <w:pPr>
      <w:spacing w:line="240" w:lineRule="auto"/>
    </w:pPr>
    <w:rPr>
      <w:rFonts w:ascii="Times New Roman" w:eastAsia="Times New Roman" w:hAnsi="Times New Roman"/>
      <w:kern w:val="0"/>
      <w:lang w:val="en-US" w:eastAsia="en-US"/>
    </w:rPr>
  </w:style>
  <w:style w:type="paragraph" w:customStyle="1" w:styleId="Normal1">
    <w:name w:val="Normal1"/>
    <w:basedOn w:val="Normal"/>
    <w:pPr>
      <w:spacing w:line="240" w:lineRule="auto"/>
    </w:pPr>
    <w:rPr>
      <w:rFonts w:ascii="Times New Roman" w:eastAsia="Times New Roman" w:hAnsi="Times New Roman"/>
      <w:kern w:val="0"/>
      <w:lang w:val="en-US" w:eastAsia="en-US"/>
    </w:rPr>
  </w:style>
  <w:style w:type="paragraph" w:customStyle="1" w:styleId="oj-doc-ti">
    <w:name w:val="oj-doc-ti"/>
    <w:basedOn w:val="Normal"/>
    <w:pPr>
      <w:spacing w:line="240" w:lineRule="auto"/>
    </w:pPr>
    <w:rPr>
      <w:rFonts w:ascii="Times New Roman" w:eastAsia="Times New Roman" w:hAnsi="Times New Roman"/>
      <w:kern w:val="0"/>
      <w:lang w:val="en-US" w:eastAsia="en-US"/>
    </w:rPr>
  </w:style>
  <w:style w:type="paragraph" w:customStyle="1" w:styleId="oj-normal">
    <w:name w:val="oj-normal"/>
    <w:basedOn w:val="Normal"/>
    <w:pPr>
      <w:spacing w:line="240" w:lineRule="auto"/>
    </w:pPr>
    <w:rPr>
      <w:rFonts w:ascii="Times New Roman" w:eastAsia="Times New Roman" w:hAnsi="Times New Roman"/>
      <w:kern w:val="0"/>
      <w:lang w:val="en-US" w:eastAsia="en-US"/>
    </w:rPr>
  </w:style>
  <w:style w:type="paragraph" w:customStyle="1" w:styleId="oj-tbl-hdr">
    <w:name w:val="oj-tbl-hdr"/>
    <w:basedOn w:val="Normal"/>
    <w:pPr>
      <w:spacing w:line="240" w:lineRule="auto"/>
    </w:pPr>
    <w:rPr>
      <w:rFonts w:ascii="Times New Roman" w:eastAsia="Times New Roman" w:hAnsi="Times New Roman"/>
      <w:kern w:val="0"/>
      <w:lang w:val="en-US" w:eastAsia="en-US"/>
    </w:rPr>
  </w:style>
  <w:style w:type="character" w:customStyle="1" w:styleId="oj-bold">
    <w:name w:val="oj-bold"/>
    <w:basedOn w:val="Fontdeparagrafimplicit"/>
  </w:style>
  <w:style w:type="paragraph" w:customStyle="1" w:styleId="oj-tbl-txt">
    <w:name w:val="oj-tbl-txt"/>
    <w:basedOn w:val="Normal"/>
    <w:pPr>
      <w:spacing w:line="240" w:lineRule="auto"/>
    </w:pPr>
    <w:rPr>
      <w:rFonts w:ascii="Times New Roman" w:eastAsia="Times New Roman" w:hAnsi="Times New Roman"/>
      <w:kern w:val="0"/>
      <w:lang w:val="en-US" w:eastAsia="en-US"/>
    </w:rPr>
  </w:style>
  <w:style w:type="character" w:customStyle="1" w:styleId="oj-super">
    <w:name w:val="oj-super"/>
    <w:basedOn w:val="Fontdeparagrafimplicit"/>
  </w:style>
  <w:style w:type="character" w:customStyle="1" w:styleId="MeniuneNerezolvat">
    <w:name w:val="Mențiune Nerezolvat"/>
    <w:basedOn w:val="Fontdeparagrafimplicit"/>
    <w:rPr>
      <w:color w:val="605E5C"/>
      <w:shd w:val="clear" w:color="auto" w:fill="E1DFDD"/>
    </w:rPr>
  </w:style>
  <w:style w:type="paragraph" w:customStyle="1" w:styleId="List">
    <w:name w:val="Listă"/>
    <w:basedOn w:val="Normal"/>
    <w:pPr>
      <w:spacing w:line="240" w:lineRule="auto"/>
      <w:textAlignment w:val="auto"/>
    </w:pPr>
    <w:rPr>
      <w:rFonts w:ascii="Times New Roman" w:eastAsia="Times New Roman" w:hAnsi="Times New Roman"/>
      <w:kern w:val="0"/>
      <w:lang w:val="en-US" w:eastAsia="en-US"/>
    </w:rPr>
  </w:style>
  <w:style w:type="paragraph" w:customStyle="1" w:styleId="Frspaiere">
    <w:name w:val="Fără spațiere"/>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10699</Characters>
  <Application>Microsoft Office Word</Application>
  <DocSecurity>0</DocSecurity>
  <Lines>89</Lines>
  <Paragraphs>25</Paragraphs>
  <ScaleCrop>false</ScaleCrop>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Cojanu</dc:creator>
  <dc:description/>
  <cp:lastModifiedBy>app</cp:lastModifiedBy>
  <cp:revision>2</cp:revision>
  <dcterms:created xsi:type="dcterms:W3CDTF">2025-05-20T15:47:00Z</dcterms:created>
  <dcterms:modified xsi:type="dcterms:W3CDTF">2025-05-20T15:47:00Z</dcterms:modified>
</cp:coreProperties>
</file>