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5ABF" w14:textId="77777777" w:rsidR="00BB271D" w:rsidRPr="00985FCD" w:rsidRDefault="00A46A3E" w:rsidP="002A6A8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985FCD">
        <w:rPr>
          <w:b/>
          <w:sz w:val="24"/>
          <w:szCs w:val="24"/>
          <w:lang w:val="ro-RO"/>
        </w:rPr>
        <w:t>NOTA DE FUNDAMENTARE</w:t>
      </w:r>
    </w:p>
    <w:p w14:paraId="26056E79" w14:textId="57424647" w:rsidR="00BB271D" w:rsidRPr="00985FCD" w:rsidRDefault="00A46A3E" w:rsidP="00A218DB">
      <w:pPr>
        <w:pBdr>
          <w:top w:val="none" w:sz="4" w:space="0" w:color="000000"/>
          <w:left w:val="none" w:sz="4" w:space="0" w:color="000000"/>
          <w:bottom w:val="none" w:sz="4" w:space="0" w:color="000000"/>
          <w:right w:val="none" w:sz="4" w:space="0" w:color="000000"/>
        </w:pBdr>
        <w:tabs>
          <w:tab w:val="left" w:pos="884"/>
          <w:tab w:val="left" w:pos="1196"/>
        </w:tabs>
        <w:ind w:left="851" w:right="1417" w:firstLine="0"/>
        <w:jc w:val="center"/>
        <w:rPr>
          <w:b/>
          <w:sz w:val="24"/>
          <w:szCs w:val="24"/>
          <w:lang w:val="ro-RO"/>
        </w:rPr>
      </w:pPr>
      <w:r w:rsidRPr="00985FCD">
        <w:rPr>
          <w:b/>
          <w:sz w:val="24"/>
          <w:szCs w:val="24"/>
          <w:lang w:val="ro-RO"/>
        </w:rPr>
        <w:t xml:space="preserve">la proiectul </w:t>
      </w:r>
      <w:r w:rsidR="00E52D2E" w:rsidRPr="00985FCD">
        <w:rPr>
          <w:b/>
          <w:sz w:val="24"/>
          <w:szCs w:val="24"/>
          <w:lang w:val="ro-RO"/>
        </w:rPr>
        <w:t>Ordinului</w:t>
      </w:r>
      <w:r w:rsidR="00293CA7" w:rsidRPr="00985FCD">
        <w:rPr>
          <w:b/>
          <w:sz w:val="24"/>
          <w:szCs w:val="24"/>
          <w:lang w:val="ro-RO"/>
        </w:rPr>
        <w:t xml:space="preserve"> </w:t>
      </w:r>
      <w:r w:rsidR="001048CB" w:rsidRPr="00985FCD">
        <w:rPr>
          <w:b/>
          <w:sz w:val="24"/>
          <w:szCs w:val="24"/>
          <w:lang w:val="ro-RO"/>
        </w:rPr>
        <w:t xml:space="preserve">cu privire la </w:t>
      </w:r>
      <w:r w:rsidR="00E52D2E" w:rsidRPr="00985FCD">
        <w:rPr>
          <w:b/>
          <w:sz w:val="24"/>
          <w:szCs w:val="24"/>
          <w:lang w:val="ro-RO"/>
        </w:rPr>
        <w:t xml:space="preserve">aprobarea </w:t>
      </w:r>
      <w:r w:rsidR="00B67EA6" w:rsidRPr="00985FCD">
        <w:rPr>
          <w:b/>
          <w:sz w:val="24"/>
          <w:szCs w:val="24"/>
          <w:lang w:val="ro-RO"/>
        </w:rPr>
        <w:t>Statelor-tip de personal și a Metodologiei de repartizare a timpului de muncă a cadrelor didactice din instituțiile de învățământ profesional tehnic</w:t>
      </w:r>
    </w:p>
    <w:p w14:paraId="1F792C04" w14:textId="77777777" w:rsidR="00293CA7" w:rsidRPr="00985FCD" w:rsidRDefault="00293CA7" w:rsidP="00293CA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leGrid"/>
        <w:tblW w:w="1019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196"/>
      </w:tblGrid>
      <w:tr w:rsidR="00BB271D" w:rsidRPr="00985FCD" w14:paraId="7D10F1D0" w14:textId="77777777" w:rsidTr="00422AF6">
        <w:tc>
          <w:tcPr>
            <w:tcW w:w="1019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96BF133" w14:textId="77777777" w:rsidR="00BB271D" w:rsidRPr="00985FCD" w:rsidRDefault="00A46A3E">
            <w:pPr>
              <w:rPr>
                <w:rFonts w:ascii="Times New Roman" w:hAnsi="Times New Roman"/>
                <w:b/>
                <w:bCs/>
                <w:sz w:val="24"/>
                <w:szCs w:val="24"/>
                <w:lang w:val="ro-RO"/>
              </w:rPr>
            </w:pPr>
            <w:r w:rsidRPr="00985FCD">
              <w:rPr>
                <w:rFonts w:ascii="Times New Roman" w:hAnsi="Times New Roman"/>
                <w:b/>
                <w:bCs/>
                <w:sz w:val="24"/>
                <w:szCs w:val="24"/>
                <w:lang w:val="ro-RO"/>
              </w:rPr>
              <w:t>1. Denumirea sau numele autorului și, după caz, a/al participanților la elaborarea proiectului actului normativ</w:t>
            </w:r>
          </w:p>
        </w:tc>
      </w:tr>
      <w:tr w:rsidR="00BB271D" w:rsidRPr="00985FCD" w14:paraId="0AF1D30A" w14:textId="77777777" w:rsidTr="00422AF6">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73B981" w14:textId="159BE220" w:rsidR="00DA45BA" w:rsidRDefault="00293CA7" w:rsidP="00E52D2E">
            <w:pPr>
              <w:rPr>
                <w:rFonts w:ascii="Times New Roman" w:hAnsi="Times New Roman"/>
                <w:sz w:val="24"/>
                <w:szCs w:val="24"/>
                <w:lang w:val="ro-RO"/>
              </w:rPr>
            </w:pPr>
            <w:r w:rsidRPr="00985FCD">
              <w:rPr>
                <w:rFonts w:ascii="Times New Roman" w:hAnsi="Times New Roman"/>
                <w:sz w:val="24"/>
                <w:szCs w:val="24"/>
                <w:lang w:val="ro-RO"/>
              </w:rPr>
              <w:t>Proiectul</w:t>
            </w:r>
            <w:r w:rsidR="00727C5A">
              <w:rPr>
                <w:rFonts w:ascii="Times New Roman" w:hAnsi="Times New Roman"/>
                <w:sz w:val="24"/>
                <w:szCs w:val="24"/>
                <w:lang w:val="ro-RO"/>
              </w:rPr>
              <w:t xml:space="preserve"> Ordinului cu privire la aprobarea</w:t>
            </w:r>
            <w:r w:rsidRPr="00985FCD">
              <w:rPr>
                <w:rFonts w:ascii="Times New Roman" w:hAnsi="Times New Roman"/>
                <w:sz w:val="24"/>
                <w:szCs w:val="24"/>
                <w:lang w:val="ro-RO"/>
              </w:rPr>
              <w:t xml:space="preserve"> </w:t>
            </w:r>
            <w:r w:rsidR="00B67EA6" w:rsidRPr="00985FCD">
              <w:rPr>
                <w:rFonts w:ascii="Times New Roman" w:hAnsi="Times New Roman"/>
                <w:sz w:val="24"/>
                <w:szCs w:val="24"/>
                <w:lang w:val="ro-RO"/>
              </w:rPr>
              <w:t xml:space="preserve">Statelor-tip de personal și a Metodologiei </w:t>
            </w:r>
            <w:r w:rsidRPr="00985FCD">
              <w:rPr>
                <w:rFonts w:ascii="Times New Roman" w:hAnsi="Times New Roman"/>
                <w:sz w:val="24"/>
                <w:szCs w:val="24"/>
                <w:lang w:val="ro-RO"/>
              </w:rPr>
              <w:t>este elaborat de către Minist</w:t>
            </w:r>
            <w:r w:rsidR="00242B5E" w:rsidRPr="00985FCD">
              <w:rPr>
                <w:rFonts w:ascii="Times New Roman" w:hAnsi="Times New Roman"/>
                <w:sz w:val="24"/>
                <w:szCs w:val="24"/>
                <w:lang w:val="ro-RO"/>
              </w:rPr>
              <w:t>e</w:t>
            </w:r>
            <w:r w:rsidRPr="00985FCD">
              <w:rPr>
                <w:rFonts w:ascii="Times New Roman" w:hAnsi="Times New Roman"/>
                <w:sz w:val="24"/>
                <w:szCs w:val="24"/>
                <w:lang w:val="ro-RO"/>
              </w:rPr>
              <w:t>rul Educației și Cercetării</w:t>
            </w:r>
            <w:r w:rsidR="00E52D2E" w:rsidRPr="00985FCD">
              <w:rPr>
                <w:rFonts w:ascii="Times New Roman" w:hAnsi="Times New Roman"/>
                <w:sz w:val="24"/>
                <w:szCs w:val="24"/>
                <w:lang w:val="ro-RO"/>
              </w:rPr>
              <w:t>.</w:t>
            </w:r>
            <w:r w:rsidR="00AB304E" w:rsidRPr="00985FCD">
              <w:rPr>
                <w:rFonts w:ascii="Times New Roman" w:hAnsi="Times New Roman"/>
                <w:sz w:val="24"/>
                <w:szCs w:val="24"/>
                <w:lang w:val="ro-RO"/>
              </w:rPr>
              <w:t xml:space="preserve"> </w:t>
            </w:r>
          </w:p>
          <w:p w14:paraId="0E19B2EC" w14:textId="13CF0EB4" w:rsidR="00985FCD" w:rsidRPr="00422AF6" w:rsidRDefault="00985FCD" w:rsidP="00E52D2E">
            <w:pPr>
              <w:rPr>
                <w:rFonts w:ascii="Times New Roman" w:hAnsi="Times New Roman"/>
                <w:sz w:val="24"/>
                <w:szCs w:val="24"/>
                <w:lang w:val="ro-RO"/>
              </w:rPr>
            </w:pPr>
          </w:p>
        </w:tc>
      </w:tr>
      <w:tr w:rsidR="00BB271D" w:rsidRPr="00985FCD" w14:paraId="1B98F181"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39EF29" w14:textId="77777777" w:rsidR="00BB271D" w:rsidRPr="00985FCD" w:rsidRDefault="00A46A3E">
            <w:pPr>
              <w:rPr>
                <w:rFonts w:ascii="Times New Roman" w:hAnsi="Times New Roman"/>
                <w:b/>
                <w:bCs/>
                <w:sz w:val="24"/>
                <w:szCs w:val="24"/>
                <w:lang w:val="ro-RO"/>
              </w:rPr>
            </w:pPr>
            <w:r w:rsidRPr="00985FCD">
              <w:rPr>
                <w:rFonts w:ascii="Times New Roman" w:hAnsi="Times New Roman"/>
                <w:b/>
                <w:bCs/>
                <w:sz w:val="24"/>
                <w:szCs w:val="24"/>
                <w:lang w:val="ro-RO"/>
              </w:rPr>
              <w:t>2. Condițiile ce au impus elaborarea proiectului actului normativ</w:t>
            </w:r>
          </w:p>
        </w:tc>
      </w:tr>
      <w:tr w:rsidR="00BB271D" w:rsidRPr="00985FCD" w14:paraId="1F8F46FF"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75B435" w14:textId="77777777" w:rsidR="00BB271D" w:rsidRPr="00985FCD" w:rsidRDefault="00A46A3E">
            <w:pPr>
              <w:rPr>
                <w:rFonts w:ascii="Times New Roman" w:hAnsi="Times New Roman"/>
                <w:i/>
                <w:iCs/>
                <w:sz w:val="24"/>
                <w:szCs w:val="24"/>
                <w:lang w:val="ro-RO"/>
              </w:rPr>
            </w:pPr>
            <w:r w:rsidRPr="00985FCD">
              <w:rPr>
                <w:rFonts w:ascii="Times New Roman" w:hAnsi="Times New Roman"/>
                <w:i/>
                <w:iCs/>
                <w:sz w:val="24"/>
                <w:szCs w:val="24"/>
                <w:lang w:val="ro-RO"/>
              </w:rPr>
              <w:t>2.1. Temeiul legal sau, după caz, sursa proiectului actului normativ</w:t>
            </w:r>
          </w:p>
        </w:tc>
      </w:tr>
      <w:tr w:rsidR="00293CA7" w:rsidRPr="00985FCD" w14:paraId="7761A9CB"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D6BED9" w14:textId="57A876B0" w:rsidR="0095156D" w:rsidRDefault="00293CA7" w:rsidP="00B67EA6">
            <w:pPr>
              <w:rPr>
                <w:rFonts w:ascii="Times New Roman" w:hAnsi="Times New Roman"/>
                <w:sz w:val="24"/>
                <w:szCs w:val="24"/>
                <w:lang w:val="ro-RO" w:eastAsia="ru-RU"/>
              </w:rPr>
            </w:pPr>
            <w:r w:rsidRPr="00985FCD">
              <w:rPr>
                <w:rFonts w:ascii="Times New Roman" w:hAnsi="Times New Roman"/>
                <w:sz w:val="24"/>
                <w:szCs w:val="24"/>
                <w:lang w:val="ro-RO"/>
              </w:rPr>
              <w:t xml:space="preserve">Proiectul </w:t>
            </w:r>
            <w:r w:rsidR="00727C5A">
              <w:rPr>
                <w:rFonts w:ascii="Times New Roman" w:hAnsi="Times New Roman"/>
                <w:sz w:val="24"/>
                <w:szCs w:val="24"/>
                <w:lang w:val="ro-RO"/>
              </w:rPr>
              <w:t xml:space="preserve">Ordinului cu privire la aprobarea </w:t>
            </w:r>
            <w:r w:rsidR="00B67EA6" w:rsidRPr="00985FCD">
              <w:rPr>
                <w:rFonts w:ascii="Times New Roman" w:hAnsi="Times New Roman"/>
                <w:bCs/>
                <w:i/>
                <w:iCs/>
                <w:sz w:val="24"/>
                <w:szCs w:val="24"/>
                <w:lang w:val="ro-RO"/>
              </w:rPr>
              <w:t xml:space="preserve">Statelor-tip de personal și a Metodologiei de repartizare a timpului de muncă a cadrelor didactice din instituțiile de învățământ profesional tehnic </w:t>
            </w:r>
            <w:r w:rsidRPr="00985FCD">
              <w:rPr>
                <w:rFonts w:ascii="Times New Roman" w:hAnsi="Times New Roman"/>
                <w:sz w:val="24"/>
                <w:szCs w:val="24"/>
                <w:lang w:val="ro-RO"/>
              </w:rPr>
              <w:t xml:space="preserve">a fost elaborat în temeiul </w:t>
            </w:r>
            <w:r w:rsidR="00B67EA6" w:rsidRPr="00985FCD">
              <w:rPr>
                <w:rFonts w:ascii="Times New Roman" w:hAnsi="Times New Roman"/>
                <w:sz w:val="24"/>
                <w:szCs w:val="24"/>
                <w:lang w:val="ro-MD"/>
              </w:rPr>
              <w:t>art. 70 alin. (2), art. 140 pct.</w:t>
            </w:r>
            <w:r w:rsidR="000D1F2E" w:rsidRPr="00985FCD">
              <w:rPr>
                <w:rFonts w:ascii="Times New Roman" w:hAnsi="Times New Roman"/>
                <w:sz w:val="24"/>
                <w:szCs w:val="24"/>
                <w:lang w:val="ro-MD"/>
              </w:rPr>
              <w:t xml:space="preserve"> 1</w:t>
            </w:r>
            <w:r w:rsidR="00B67EA6" w:rsidRPr="00985FCD">
              <w:rPr>
                <w:rFonts w:ascii="Times New Roman" w:hAnsi="Times New Roman"/>
                <w:sz w:val="24"/>
                <w:szCs w:val="24"/>
                <w:lang w:val="ro-MD"/>
              </w:rPr>
              <w:t xml:space="preserve"> lit. </w:t>
            </w:r>
            <w:r w:rsidR="000D1F2E" w:rsidRPr="00985FCD">
              <w:rPr>
                <w:rFonts w:ascii="Times New Roman" w:hAnsi="Times New Roman"/>
                <w:sz w:val="24"/>
                <w:szCs w:val="24"/>
                <w:lang w:val="ro-MD"/>
              </w:rPr>
              <w:t>l</w:t>
            </w:r>
            <w:r w:rsidR="00B67EA6" w:rsidRPr="00985FCD">
              <w:rPr>
                <w:rFonts w:ascii="Times New Roman" w:hAnsi="Times New Roman"/>
                <w:sz w:val="24"/>
                <w:szCs w:val="24"/>
                <w:lang w:val="ro-MD"/>
              </w:rPr>
              <w:t xml:space="preserve">) </w:t>
            </w:r>
            <w:r w:rsidR="00AF2279" w:rsidRPr="00985FCD">
              <w:rPr>
                <w:rFonts w:ascii="Times New Roman" w:hAnsi="Times New Roman"/>
                <w:sz w:val="24"/>
                <w:szCs w:val="24"/>
                <w:lang w:val="ro-MD" w:eastAsia="ru-RU"/>
              </w:rPr>
              <w:t>al Codului educa</w:t>
            </w:r>
            <w:proofErr w:type="spellStart"/>
            <w:r w:rsidR="00AF2279" w:rsidRPr="00985FCD">
              <w:rPr>
                <w:rFonts w:ascii="Times New Roman" w:hAnsi="Times New Roman"/>
                <w:sz w:val="24"/>
                <w:szCs w:val="24"/>
                <w:lang w:val="ro-RO" w:eastAsia="ru-RU"/>
              </w:rPr>
              <w:t>ției</w:t>
            </w:r>
            <w:proofErr w:type="spellEnd"/>
            <w:r w:rsidR="00AF2279" w:rsidRPr="00985FCD">
              <w:rPr>
                <w:rFonts w:ascii="Times New Roman" w:hAnsi="Times New Roman"/>
                <w:sz w:val="24"/>
                <w:szCs w:val="24"/>
                <w:lang w:val="ro-RO" w:eastAsia="ru-RU"/>
              </w:rPr>
              <w:t>, nr. 152 din 17.07.2014.</w:t>
            </w:r>
          </w:p>
          <w:p w14:paraId="45AF767E" w14:textId="37A0407D" w:rsidR="00985FCD" w:rsidRPr="00985FCD" w:rsidRDefault="00985FCD" w:rsidP="00B67EA6">
            <w:pPr>
              <w:rPr>
                <w:rFonts w:ascii="Times New Roman" w:hAnsi="Times New Roman"/>
                <w:bCs/>
                <w:i/>
                <w:iCs/>
                <w:sz w:val="24"/>
                <w:szCs w:val="24"/>
                <w:lang w:val="ro-RO"/>
              </w:rPr>
            </w:pPr>
          </w:p>
        </w:tc>
      </w:tr>
      <w:tr w:rsidR="00BB271D" w:rsidRPr="00985FCD" w14:paraId="57AB31D7"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6A37422" w14:textId="77777777" w:rsidR="00BB271D" w:rsidRPr="00985FCD" w:rsidRDefault="00A46A3E">
            <w:pPr>
              <w:rPr>
                <w:rFonts w:ascii="Times New Roman" w:hAnsi="Times New Roman"/>
                <w:sz w:val="24"/>
                <w:szCs w:val="24"/>
                <w:lang w:val="ro-RO"/>
              </w:rPr>
            </w:pPr>
            <w:r w:rsidRPr="00985FCD">
              <w:rPr>
                <w:rFonts w:ascii="Times New Roman" w:hAnsi="Times New Roman"/>
                <w:sz w:val="24"/>
                <w:szCs w:val="24"/>
                <w:lang w:val="ro-RO"/>
              </w:rPr>
              <w:t xml:space="preserve">2.2. </w:t>
            </w:r>
            <w:r w:rsidRPr="00985FCD">
              <w:rPr>
                <w:rFonts w:ascii="Times New Roman" w:hAnsi="Times New Roman"/>
                <w:i/>
                <w:iCs/>
                <w:sz w:val="24"/>
                <w:szCs w:val="24"/>
                <w:lang w:val="ro-RO"/>
              </w:rPr>
              <w:t>Descrierea situației actuale și a problemelor care impun intervenția, inclusiv a cadrului normativ aplicabil și a deficiențelor/lacunelor normative</w:t>
            </w:r>
          </w:p>
        </w:tc>
      </w:tr>
      <w:tr w:rsidR="00BB271D" w:rsidRPr="00985FCD" w14:paraId="7198C800"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F8511F" w14:textId="7CF26238" w:rsidR="000D1F2E" w:rsidRPr="00985FCD" w:rsidRDefault="00794C44" w:rsidP="00794C44">
            <w:pPr>
              <w:tabs>
                <w:tab w:val="left" w:pos="1014"/>
              </w:tabs>
              <w:rPr>
                <w:rFonts w:ascii="Times New Roman" w:hAnsi="Times New Roman"/>
                <w:sz w:val="24"/>
                <w:szCs w:val="24"/>
                <w:lang w:val="ro-RO"/>
              </w:rPr>
            </w:pPr>
            <w:r w:rsidRPr="00985FCD">
              <w:rPr>
                <w:rFonts w:ascii="Times New Roman" w:hAnsi="Times New Roman"/>
                <w:sz w:val="24"/>
                <w:szCs w:val="24"/>
                <w:lang w:val="ro-RO"/>
              </w:rPr>
              <w:t xml:space="preserve">Proiectul </w:t>
            </w:r>
            <w:r w:rsidR="00727C5A">
              <w:rPr>
                <w:rFonts w:ascii="Times New Roman" w:hAnsi="Times New Roman"/>
                <w:sz w:val="24"/>
                <w:szCs w:val="24"/>
                <w:lang w:val="ro-RO"/>
              </w:rPr>
              <w:t xml:space="preserve">Ordinului cu privire la aprobarea </w:t>
            </w:r>
            <w:r w:rsidR="000D1F2E" w:rsidRPr="00985FCD">
              <w:rPr>
                <w:rFonts w:ascii="Times New Roman" w:hAnsi="Times New Roman"/>
                <w:i/>
                <w:iCs/>
                <w:sz w:val="24"/>
                <w:szCs w:val="24"/>
                <w:lang w:val="ro-RO"/>
              </w:rPr>
              <w:t xml:space="preserve">Statelor-tip de personal și a Metodologiei de repartizare a timpului de muncă a cadrelor didactice din instituțiile de învățământ profesional tehnic </w:t>
            </w:r>
            <w:r w:rsidRPr="00985FCD">
              <w:rPr>
                <w:rFonts w:ascii="Times New Roman" w:hAnsi="Times New Roman"/>
                <w:sz w:val="24"/>
                <w:szCs w:val="24"/>
                <w:lang w:val="ro-RO"/>
              </w:rPr>
              <w:t xml:space="preserve">are ca scop </w:t>
            </w:r>
            <w:r w:rsidR="000D1F2E" w:rsidRPr="00985FCD">
              <w:rPr>
                <w:rFonts w:ascii="Times New Roman" w:hAnsi="Times New Roman"/>
                <w:sz w:val="24"/>
                <w:szCs w:val="24"/>
                <w:lang w:val="ro-RO"/>
              </w:rPr>
              <w:t>stabilirea unităților de personal de conducere,</w:t>
            </w:r>
            <w:r w:rsidR="00827FCB">
              <w:rPr>
                <w:rFonts w:ascii="Times New Roman" w:hAnsi="Times New Roman"/>
                <w:sz w:val="24"/>
                <w:szCs w:val="24"/>
                <w:lang w:val="ro-RO"/>
              </w:rPr>
              <w:t xml:space="preserve"> </w:t>
            </w:r>
            <w:r w:rsidR="000D1F2E" w:rsidRPr="00985FCD">
              <w:rPr>
                <w:rFonts w:ascii="Times New Roman" w:hAnsi="Times New Roman"/>
                <w:sz w:val="24"/>
                <w:szCs w:val="24"/>
                <w:lang w:val="ro-RO"/>
              </w:rPr>
              <w:t>personal didactic, personal didactic auxiliar, personal nedidactic, personal pentru cămin și a personalului pentru cantina instituției specifice și caracteristice instituțiilor de învățământ profesional tehnic.</w:t>
            </w:r>
          </w:p>
          <w:p w14:paraId="43F23C59" w14:textId="3D15D3E0" w:rsidR="009677EF" w:rsidRPr="00985FCD" w:rsidRDefault="009677EF" w:rsidP="00794C44">
            <w:pPr>
              <w:tabs>
                <w:tab w:val="left" w:pos="1014"/>
              </w:tabs>
              <w:rPr>
                <w:rFonts w:ascii="Times New Roman" w:hAnsi="Times New Roman"/>
                <w:sz w:val="24"/>
                <w:szCs w:val="24"/>
                <w:lang w:val="ro-RO"/>
              </w:rPr>
            </w:pPr>
            <w:r w:rsidRPr="00985FCD">
              <w:rPr>
                <w:rFonts w:ascii="Times New Roman" w:hAnsi="Times New Roman"/>
                <w:sz w:val="24"/>
                <w:szCs w:val="24"/>
                <w:lang w:val="ro-RO"/>
              </w:rPr>
              <w:t>Astfel anexa nr. 1 și nr. 6 prezintă modelele</w:t>
            </w:r>
            <w:r w:rsidR="00827FCB">
              <w:rPr>
                <w:rFonts w:ascii="Times New Roman" w:hAnsi="Times New Roman"/>
                <w:sz w:val="24"/>
                <w:szCs w:val="24"/>
                <w:lang w:val="ro-RO"/>
              </w:rPr>
              <w:t>-</w:t>
            </w:r>
            <w:r w:rsidRPr="00985FCD">
              <w:rPr>
                <w:rFonts w:ascii="Times New Roman" w:hAnsi="Times New Roman"/>
                <w:sz w:val="24"/>
                <w:szCs w:val="24"/>
                <w:lang w:val="ro-RO"/>
              </w:rPr>
              <w:t>tip de state de personal și listă de tarifare ce urmează a fi elaborate de instituțiile de învățământ profesional tehnic. Statele tip de personal se  aprobă la nivel de consiliu de administrație și se înaintează spre aprobare fondatorului, iar lista de tarifare fiind aprobată în cadrul instituției de învățământ profesional tehnic de către managerul instituției.</w:t>
            </w:r>
          </w:p>
          <w:p w14:paraId="206871C1" w14:textId="096DFFA3" w:rsidR="000D1F2E" w:rsidRPr="00985FCD" w:rsidRDefault="00573CD8" w:rsidP="00794C44">
            <w:pPr>
              <w:tabs>
                <w:tab w:val="left" w:pos="1014"/>
              </w:tabs>
              <w:rPr>
                <w:rFonts w:ascii="Times New Roman" w:hAnsi="Times New Roman"/>
                <w:sz w:val="24"/>
                <w:szCs w:val="24"/>
                <w:lang w:val="ro-RO"/>
              </w:rPr>
            </w:pPr>
            <w:r w:rsidRPr="00985FCD">
              <w:rPr>
                <w:rFonts w:ascii="Times New Roman" w:hAnsi="Times New Roman"/>
                <w:sz w:val="24"/>
                <w:szCs w:val="24"/>
                <w:lang w:val="ro-RO"/>
              </w:rPr>
              <w:t>Totodată anexa 2 și 3 vin să reglementeze volumul de muncă a unităților specificate în anexa nr. 1 în dependență de numărul de elevi înmatriculați în instituția de învățământ profesional tehnic. Normarea corespunzătoarea a personalului implicat în procesul de instruire cât și în procesele adiacente educației, conferă siguranța și respectarea prevederilor legale privind condițiile de muncă.</w:t>
            </w:r>
          </w:p>
          <w:p w14:paraId="3AF76A75" w14:textId="3EDFD15E" w:rsidR="009677EF" w:rsidRPr="00985FCD" w:rsidRDefault="009677EF" w:rsidP="002C0312">
            <w:pPr>
              <w:tabs>
                <w:tab w:val="left" w:pos="1014"/>
              </w:tabs>
              <w:rPr>
                <w:rFonts w:ascii="Times New Roman" w:hAnsi="Times New Roman"/>
                <w:sz w:val="24"/>
                <w:szCs w:val="24"/>
                <w:lang w:val="ro-RO"/>
              </w:rPr>
            </w:pPr>
            <w:r w:rsidRPr="00985FCD">
              <w:rPr>
                <w:rFonts w:ascii="Times New Roman" w:hAnsi="Times New Roman"/>
                <w:sz w:val="24"/>
                <w:szCs w:val="24"/>
                <w:lang w:val="ro-RO"/>
              </w:rPr>
              <w:t xml:space="preserve">Anexa nr. 4 </w:t>
            </w:r>
            <w:r w:rsidR="002C0312" w:rsidRPr="00985FCD">
              <w:rPr>
                <w:rFonts w:ascii="Times New Roman" w:hAnsi="Times New Roman"/>
                <w:i/>
                <w:iCs/>
                <w:sz w:val="24"/>
                <w:szCs w:val="24"/>
                <w:lang w:val="ro-RO"/>
              </w:rPr>
              <w:t xml:space="preserve">Metodologia </w:t>
            </w:r>
            <w:r w:rsidRPr="00985FCD">
              <w:rPr>
                <w:rFonts w:ascii="Times New Roman" w:hAnsi="Times New Roman"/>
                <w:i/>
                <w:iCs/>
                <w:sz w:val="24"/>
                <w:szCs w:val="24"/>
                <w:lang w:val="ro-RO"/>
              </w:rPr>
              <w:t>de elaborare și aprobare a statelor de personal și a listelor de tarifare pentru instituțiile de învățământ profesional tehnic</w:t>
            </w:r>
            <w:r w:rsidR="002C0312" w:rsidRPr="00985FCD">
              <w:rPr>
                <w:rFonts w:ascii="Times New Roman" w:hAnsi="Times New Roman"/>
                <w:i/>
                <w:iCs/>
                <w:sz w:val="24"/>
                <w:szCs w:val="24"/>
                <w:lang w:val="ro-RO"/>
              </w:rPr>
              <w:t xml:space="preserve"> </w:t>
            </w:r>
            <w:r w:rsidR="002C0312" w:rsidRPr="00985FCD">
              <w:rPr>
                <w:rFonts w:ascii="Times New Roman" w:hAnsi="Times New Roman"/>
                <w:sz w:val="24"/>
                <w:szCs w:val="24"/>
                <w:lang w:val="ro-RO"/>
              </w:rPr>
              <w:t>reglementează toate acțiunile ce sunt necesare a fi realizate de directorii instituțiilor de învățământ profesional tehnic în scopul elaborării și aprobării unităților de state de personal și a listei de tarifare.</w:t>
            </w:r>
          </w:p>
          <w:p w14:paraId="42149057" w14:textId="3B5ED1A3" w:rsidR="00573CD8" w:rsidRPr="00985FCD" w:rsidRDefault="00573CD8" w:rsidP="00794C44">
            <w:pPr>
              <w:tabs>
                <w:tab w:val="left" w:pos="1014"/>
              </w:tabs>
              <w:rPr>
                <w:rFonts w:ascii="Times New Roman" w:hAnsi="Times New Roman"/>
                <w:sz w:val="24"/>
                <w:szCs w:val="24"/>
                <w:lang w:val="ro-RO"/>
              </w:rPr>
            </w:pPr>
            <w:r w:rsidRPr="00985FCD">
              <w:rPr>
                <w:rFonts w:ascii="Times New Roman" w:hAnsi="Times New Roman"/>
                <w:i/>
                <w:iCs/>
                <w:sz w:val="24"/>
                <w:szCs w:val="24"/>
                <w:lang w:val="ro-RO"/>
              </w:rPr>
              <w:t>Metodologia privind repartizarea timpului de muncă a cadrelor didactice și de conducere din instituțiile de învățământ profesional tehnic</w:t>
            </w:r>
            <w:r w:rsidRPr="00985FCD">
              <w:rPr>
                <w:rFonts w:ascii="Times New Roman" w:hAnsi="Times New Roman"/>
                <w:sz w:val="24"/>
                <w:szCs w:val="24"/>
                <w:lang w:val="ro-RO"/>
              </w:rPr>
              <w:t xml:space="preserve"> acordă suportul necesar instituțiilor de învățământ profesional tehnic în structurarea echitabilă a timpului de muncă a cadrelor didactice și de conducere, asigur</w:t>
            </w:r>
            <w:r w:rsidR="009677EF" w:rsidRPr="00985FCD">
              <w:rPr>
                <w:rFonts w:ascii="Times New Roman" w:hAnsi="Times New Roman"/>
                <w:sz w:val="24"/>
                <w:szCs w:val="24"/>
                <w:lang w:val="ro-RO"/>
              </w:rPr>
              <w:t>ând</w:t>
            </w:r>
            <w:r w:rsidRPr="00985FCD">
              <w:rPr>
                <w:rFonts w:ascii="Times New Roman" w:hAnsi="Times New Roman"/>
                <w:sz w:val="24"/>
                <w:szCs w:val="24"/>
                <w:lang w:val="ro-RO"/>
              </w:rPr>
              <w:t xml:space="preserve"> prevederile legale privind repartizarea șarjei didactice și tarifarea orelor conform competențelor deținute de cadrul didactic, </w:t>
            </w:r>
            <w:r w:rsidR="009677EF" w:rsidRPr="00985FCD">
              <w:rPr>
                <w:rFonts w:ascii="Times New Roman" w:hAnsi="Times New Roman"/>
                <w:sz w:val="24"/>
                <w:szCs w:val="24"/>
                <w:lang w:val="ro-RO"/>
              </w:rPr>
              <w:t>având ca scop oferirea cadrului didactic un ritm normal de muncă, la o intensitate a efortului intelectual și la o tensiune nervoasă, care să nu impună o oboseală excesivă.</w:t>
            </w:r>
          </w:p>
          <w:p w14:paraId="49748ED1" w14:textId="77777777" w:rsidR="00794C44" w:rsidRDefault="00E14188" w:rsidP="002C0312">
            <w:pPr>
              <w:tabs>
                <w:tab w:val="left" w:pos="1014"/>
              </w:tabs>
              <w:rPr>
                <w:rFonts w:ascii="Times New Roman" w:hAnsi="Times New Roman"/>
                <w:sz w:val="24"/>
                <w:szCs w:val="24"/>
                <w:lang w:val="ro-RO"/>
              </w:rPr>
            </w:pPr>
            <w:r w:rsidRPr="00985FCD">
              <w:rPr>
                <w:rFonts w:ascii="Times New Roman" w:hAnsi="Times New Roman"/>
                <w:sz w:val="24"/>
                <w:szCs w:val="24"/>
                <w:lang w:val="ro-RO"/>
              </w:rPr>
              <w:t>În calitate de organ central de specialitate al administrației publice care asigură realizarea politicii guvernamentale în domeni</w:t>
            </w:r>
            <w:r w:rsidR="002C0312" w:rsidRPr="00985FCD">
              <w:rPr>
                <w:rFonts w:ascii="Times New Roman" w:hAnsi="Times New Roman"/>
                <w:sz w:val="24"/>
                <w:szCs w:val="24"/>
                <w:lang w:val="ro-RO"/>
              </w:rPr>
              <w:t>ul</w:t>
            </w:r>
            <w:r w:rsidRPr="00985FCD">
              <w:rPr>
                <w:rFonts w:ascii="Times New Roman" w:hAnsi="Times New Roman"/>
                <w:sz w:val="24"/>
                <w:szCs w:val="24"/>
                <w:lang w:val="ro-RO"/>
              </w:rPr>
              <w:t xml:space="preserve"> de activitate </w:t>
            </w:r>
            <w:r w:rsidR="002C0312" w:rsidRPr="00985FCD">
              <w:rPr>
                <w:rFonts w:ascii="Times New Roman" w:hAnsi="Times New Roman"/>
                <w:sz w:val="24"/>
                <w:szCs w:val="24"/>
                <w:lang w:val="ro-RO"/>
              </w:rPr>
              <w:t>educațional</w:t>
            </w:r>
            <w:r w:rsidRPr="00985FCD">
              <w:rPr>
                <w:rFonts w:ascii="Times New Roman" w:hAnsi="Times New Roman"/>
                <w:sz w:val="24"/>
                <w:szCs w:val="24"/>
                <w:lang w:val="ro-RO"/>
              </w:rPr>
              <w:t xml:space="preserve">, Ministerul Educației și Cercetării, </w:t>
            </w:r>
            <w:r w:rsidR="002C0312" w:rsidRPr="00985FCD">
              <w:rPr>
                <w:rFonts w:ascii="Times New Roman" w:hAnsi="Times New Roman"/>
                <w:sz w:val="24"/>
                <w:szCs w:val="24"/>
                <w:lang w:val="ro-RO"/>
              </w:rPr>
              <w:t>își asumă</w:t>
            </w:r>
            <w:r w:rsidRPr="00985FCD">
              <w:rPr>
                <w:rFonts w:ascii="Times New Roman" w:hAnsi="Times New Roman"/>
                <w:sz w:val="24"/>
                <w:szCs w:val="24"/>
                <w:lang w:val="ro-RO"/>
              </w:rPr>
              <w:t xml:space="preserve"> responsabil</w:t>
            </w:r>
            <w:r w:rsidR="002C0312" w:rsidRPr="00985FCD">
              <w:rPr>
                <w:rFonts w:ascii="Times New Roman" w:hAnsi="Times New Roman"/>
                <w:sz w:val="24"/>
                <w:szCs w:val="24"/>
                <w:lang w:val="ro-RO"/>
              </w:rPr>
              <w:t>itatea asupra desfășurării unui proces educațional de calitate, stabilind un cadru general eficient și productiv</w:t>
            </w:r>
            <w:r w:rsidRPr="00985FCD">
              <w:rPr>
                <w:rFonts w:ascii="Times New Roman" w:hAnsi="Times New Roman"/>
                <w:sz w:val="24"/>
                <w:szCs w:val="24"/>
                <w:lang w:val="ro-RO"/>
              </w:rPr>
              <w:t xml:space="preserve"> de </w:t>
            </w:r>
            <w:r w:rsidR="002C0312" w:rsidRPr="00985FCD">
              <w:rPr>
                <w:rFonts w:ascii="Times New Roman" w:hAnsi="Times New Roman"/>
                <w:sz w:val="24"/>
                <w:szCs w:val="24"/>
                <w:lang w:val="ro-RO"/>
              </w:rPr>
              <w:t>activare a</w:t>
            </w:r>
            <w:r w:rsidRPr="00985FCD">
              <w:rPr>
                <w:rFonts w:ascii="Times New Roman" w:hAnsi="Times New Roman"/>
                <w:sz w:val="24"/>
                <w:szCs w:val="24"/>
                <w:lang w:val="ro-RO"/>
              </w:rPr>
              <w:t xml:space="preserve"> specialiștilor</w:t>
            </w:r>
            <w:r w:rsidR="002C0312" w:rsidRPr="00985FCD">
              <w:rPr>
                <w:rFonts w:ascii="Times New Roman" w:hAnsi="Times New Roman"/>
                <w:sz w:val="24"/>
                <w:szCs w:val="24"/>
                <w:lang w:val="ro-RO"/>
              </w:rPr>
              <w:t>,</w:t>
            </w:r>
            <w:r w:rsidRPr="00985FCD">
              <w:rPr>
                <w:rFonts w:ascii="Times New Roman" w:hAnsi="Times New Roman"/>
                <w:sz w:val="24"/>
                <w:szCs w:val="24"/>
                <w:lang w:val="ro-RO"/>
              </w:rPr>
              <w:t xml:space="preserve"> monitoriz</w:t>
            </w:r>
            <w:r w:rsidR="002C0312" w:rsidRPr="00985FCD">
              <w:rPr>
                <w:rFonts w:ascii="Times New Roman" w:hAnsi="Times New Roman"/>
                <w:sz w:val="24"/>
                <w:szCs w:val="24"/>
                <w:lang w:val="ro-RO"/>
              </w:rPr>
              <w:t xml:space="preserve">ând sistemic implementarea </w:t>
            </w:r>
            <w:r w:rsidRPr="00985FCD">
              <w:rPr>
                <w:rFonts w:ascii="Times New Roman" w:hAnsi="Times New Roman"/>
                <w:sz w:val="24"/>
                <w:szCs w:val="24"/>
                <w:lang w:val="ro-RO"/>
              </w:rPr>
              <w:t>acestuia.</w:t>
            </w:r>
          </w:p>
          <w:p w14:paraId="5DA3D7C0" w14:textId="5E645097" w:rsidR="00985FCD" w:rsidRPr="00985FCD" w:rsidRDefault="00985FCD" w:rsidP="002C0312">
            <w:pPr>
              <w:tabs>
                <w:tab w:val="left" w:pos="1014"/>
              </w:tabs>
              <w:rPr>
                <w:rFonts w:ascii="Times New Roman" w:hAnsi="Times New Roman"/>
                <w:sz w:val="24"/>
                <w:szCs w:val="24"/>
                <w:lang w:val="ro-RO"/>
              </w:rPr>
            </w:pPr>
          </w:p>
        </w:tc>
      </w:tr>
      <w:tr w:rsidR="00BB271D" w:rsidRPr="00985FCD" w14:paraId="0D6592F1"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3D8D62" w14:textId="77777777" w:rsidR="00BB271D" w:rsidRPr="00985FCD" w:rsidRDefault="00A46A3E">
            <w:pPr>
              <w:rPr>
                <w:rFonts w:ascii="Times New Roman" w:hAnsi="Times New Roman"/>
                <w:b/>
                <w:bCs/>
                <w:sz w:val="24"/>
                <w:szCs w:val="24"/>
                <w:lang w:val="ro-RO"/>
              </w:rPr>
            </w:pPr>
            <w:r w:rsidRPr="00985FCD">
              <w:rPr>
                <w:rFonts w:ascii="Times New Roman" w:hAnsi="Times New Roman"/>
                <w:b/>
                <w:bCs/>
                <w:sz w:val="24"/>
                <w:szCs w:val="24"/>
                <w:lang w:val="ro-RO"/>
              </w:rPr>
              <w:t>3. Obiectivele urmărite și soluțiile propuse</w:t>
            </w:r>
          </w:p>
        </w:tc>
      </w:tr>
      <w:tr w:rsidR="00BB271D" w:rsidRPr="00985FCD" w14:paraId="283465EB"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CC2CCB8" w14:textId="77777777" w:rsidR="00BB271D" w:rsidRPr="00985FCD" w:rsidRDefault="00A46A3E">
            <w:pPr>
              <w:rPr>
                <w:rFonts w:ascii="Times New Roman" w:hAnsi="Times New Roman"/>
                <w:i/>
                <w:iCs/>
                <w:sz w:val="24"/>
                <w:szCs w:val="24"/>
                <w:lang w:val="ro-RO"/>
              </w:rPr>
            </w:pPr>
            <w:r w:rsidRPr="00985FCD">
              <w:rPr>
                <w:rFonts w:ascii="Times New Roman" w:hAnsi="Times New Roman"/>
                <w:i/>
                <w:iCs/>
                <w:sz w:val="24"/>
                <w:szCs w:val="24"/>
                <w:lang w:val="ro-RO"/>
              </w:rPr>
              <w:t>3.1. Principalele prevederi ale proiectului și evidențierea elementelor noi</w:t>
            </w:r>
          </w:p>
        </w:tc>
      </w:tr>
      <w:tr w:rsidR="00EE2972" w:rsidRPr="00985FCD" w14:paraId="1DF84CDA"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DC3657" w14:textId="4B311E1E" w:rsidR="00242B5E" w:rsidRPr="00985FCD" w:rsidRDefault="00EE2972" w:rsidP="00EE2972">
            <w:pPr>
              <w:rPr>
                <w:rFonts w:ascii="Times New Roman" w:hAnsi="Times New Roman"/>
                <w:bCs/>
                <w:sz w:val="24"/>
                <w:szCs w:val="24"/>
                <w:lang w:val="ro-MD"/>
              </w:rPr>
            </w:pPr>
            <w:r w:rsidRPr="00985FCD">
              <w:rPr>
                <w:rFonts w:ascii="Times New Roman" w:hAnsi="Times New Roman"/>
                <w:bCs/>
                <w:sz w:val="24"/>
                <w:szCs w:val="24"/>
                <w:lang w:val="ro-MD"/>
              </w:rPr>
              <w:t>Proiectul</w:t>
            </w:r>
            <w:r w:rsidR="00727C5A">
              <w:rPr>
                <w:rFonts w:ascii="Times New Roman" w:hAnsi="Times New Roman"/>
                <w:sz w:val="24"/>
                <w:szCs w:val="24"/>
                <w:lang w:val="ro-RO"/>
              </w:rPr>
              <w:t xml:space="preserve"> Ordinului cu privire la aprobarea</w:t>
            </w:r>
            <w:r w:rsidRPr="00985FCD">
              <w:rPr>
                <w:rFonts w:ascii="Times New Roman" w:hAnsi="Times New Roman"/>
                <w:bCs/>
                <w:sz w:val="24"/>
                <w:szCs w:val="24"/>
                <w:lang w:val="ro-MD"/>
              </w:rPr>
              <w:t xml:space="preserve"> </w:t>
            </w:r>
            <w:r w:rsidR="00D30516" w:rsidRPr="00985FCD">
              <w:rPr>
                <w:rFonts w:ascii="Times New Roman" w:hAnsi="Times New Roman"/>
                <w:i/>
                <w:iCs/>
                <w:sz w:val="24"/>
                <w:szCs w:val="24"/>
                <w:lang w:val="ro-RO"/>
              </w:rPr>
              <w:t>Statelor-tip de personal și a Metodologiei de repartizare a timpului de muncă a cadrelor didactice din instituțiile de învățământ profesional tehnic</w:t>
            </w:r>
            <w:r w:rsidR="00B67164" w:rsidRPr="00985FCD">
              <w:rPr>
                <w:rFonts w:ascii="Times New Roman" w:hAnsi="Times New Roman"/>
                <w:bCs/>
                <w:sz w:val="24"/>
                <w:szCs w:val="24"/>
                <w:lang w:val="ro-MD"/>
              </w:rPr>
              <w:t xml:space="preserve"> </w:t>
            </w:r>
            <w:r w:rsidRPr="00985FCD">
              <w:rPr>
                <w:rFonts w:ascii="Times New Roman" w:hAnsi="Times New Roman"/>
                <w:bCs/>
                <w:sz w:val="24"/>
                <w:szCs w:val="24"/>
                <w:lang w:val="ro-MD"/>
              </w:rPr>
              <w:t>prevede</w:t>
            </w:r>
            <w:r w:rsidR="00242B5E" w:rsidRPr="00985FCD">
              <w:rPr>
                <w:rFonts w:ascii="Times New Roman" w:hAnsi="Times New Roman"/>
                <w:bCs/>
                <w:sz w:val="24"/>
                <w:szCs w:val="24"/>
                <w:lang w:val="ro-MD"/>
              </w:rPr>
              <w:t>:</w:t>
            </w:r>
            <w:r w:rsidRPr="00985FCD">
              <w:rPr>
                <w:rFonts w:ascii="Times New Roman" w:hAnsi="Times New Roman"/>
                <w:bCs/>
                <w:sz w:val="24"/>
                <w:szCs w:val="24"/>
                <w:lang w:val="ro-MD"/>
              </w:rPr>
              <w:t xml:space="preserve"> </w:t>
            </w:r>
          </w:p>
          <w:p w14:paraId="0CF500D4" w14:textId="485E4DFA" w:rsidR="002A6A84" w:rsidRPr="00985FCD" w:rsidRDefault="00D30516" w:rsidP="002A6A84">
            <w:pPr>
              <w:pStyle w:val="ListParagraph"/>
              <w:numPr>
                <w:ilvl w:val="0"/>
                <w:numId w:val="46"/>
              </w:numPr>
              <w:tabs>
                <w:tab w:val="left" w:pos="1014"/>
              </w:tabs>
              <w:ind w:left="0" w:firstLine="709"/>
              <w:rPr>
                <w:rFonts w:ascii="Times New Roman" w:hAnsi="Times New Roman"/>
                <w:bCs/>
                <w:sz w:val="24"/>
                <w:szCs w:val="24"/>
                <w:lang w:val="ro-MD"/>
              </w:rPr>
            </w:pPr>
            <w:r w:rsidRPr="00985FCD">
              <w:rPr>
                <w:rFonts w:ascii="Times New Roman" w:hAnsi="Times New Roman"/>
                <w:bCs/>
                <w:sz w:val="24"/>
                <w:szCs w:val="24"/>
                <w:lang w:val="ro-MD"/>
              </w:rPr>
              <w:lastRenderedPageBreak/>
              <w:t>Modelul tip al St</w:t>
            </w:r>
            <w:r w:rsidR="00704BD6" w:rsidRPr="00985FCD">
              <w:rPr>
                <w:rFonts w:ascii="Times New Roman" w:hAnsi="Times New Roman"/>
                <w:bCs/>
                <w:sz w:val="24"/>
                <w:szCs w:val="24"/>
                <w:lang w:val="ro-MD"/>
              </w:rPr>
              <w:t>a</w:t>
            </w:r>
            <w:r w:rsidRPr="00985FCD">
              <w:rPr>
                <w:rFonts w:ascii="Times New Roman" w:hAnsi="Times New Roman"/>
                <w:bCs/>
                <w:sz w:val="24"/>
                <w:szCs w:val="24"/>
                <w:lang w:val="ro-MD"/>
              </w:rPr>
              <w:t>telor-tip de personal pentru instituțiile de învățământ profesional tehnic;</w:t>
            </w:r>
          </w:p>
          <w:p w14:paraId="2CFDE2F4" w14:textId="77777777" w:rsidR="00D30516" w:rsidRPr="00985FCD" w:rsidRDefault="00704BD6" w:rsidP="002A6A84">
            <w:pPr>
              <w:pStyle w:val="ListParagraph"/>
              <w:numPr>
                <w:ilvl w:val="0"/>
                <w:numId w:val="46"/>
              </w:numPr>
              <w:tabs>
                <w:tab w:val="left" w:pos="1014"/>
              </w:tabs>
              <w:ind w:left="0" w:firstLine="709"/>
              <w:rPr>
                <w:rFonts w:ascii="Times New Roman" w:hAnsi="Times New Roman"/>
                <w:bCs/>
                <w:sz w:val="24"/>
                <w:szCs w:val="24"/>
                <w:lang w:val="ro-MD"/>
              </w:rPr>
            </w:pPr>
            <w:r w:rsidRPr="00985FCD">
              <w:rPr>
                <w:rFonts w:ascii="Times New Roman" w:hAnsi="Times New Roman"/>
                <w:bCs/>
                <w:sz w:val="24"/>
                <w:szCs w:val="24"/>
                <w:lang w:val="ro-MD"/>
              </w:rPr>
              <w:t>Recomandări privind normarea unităților de personal în cadrul instituțiilor de învățământ profesional tehnic;</w:t>
            </w:r>
          </w:p>
          <w:p w14:paraId="6EF23E5D" w14:textId="77777777" w:rsidR="00704BD6" w:rsidRPr="00985FCD" w:rsidRDefault="00704BD6" w:rsidP="002A6A84">
            <w:pPr>
              <w:pStyle w:val="ListParagraph"/>
              <w:numPr>
                <w:ilvl w:val="0"/>
                <w:numId w:val="46"/>
              </w:numPr>
              <w:tabs>
                <w:tab w:val="left" w:pos="1014"/>
              </w:tabs>
              <w:ind w:left="0" w:firstLine="709"/>
              <w:rPr>
                <w:rFonts w:ascii="Times New Roman" w:hAnsi="Times New Roman"/>
                <w:bCs/>
                <w:sz w:val="24"/>
                <w:szCs w:val="24"/>
                <w:lang w:val="ro-MD"/>
              </w:rPr>
            </w:pPr>
            <w:r w:rsidRPr="00985FCD">
              <w:rPr>
                <w:rFonts w:ascii="Times New Roman" w:hAnsi="Times New Roman"/>
                <w:bCs/>
                <w:sz w:val="24"/>
                <w:szCs w:val="24"/>
                <w:lang w:val="ro-MD"/>
              </w:rPr>
              <w:t>Recomandări privind normarea unităților de personal pentru căminul instituției de învățământ profesional tehnic;</w:t>
            </w:r>
          </w:p>
          <w:p w14:paraId="59F970F6" w14:textId="77777777" w:rsidR="00704BD6" w:rsidRPr="00985FCD" w:rsidRDefault="00704BD6" w:rsidP="002A6A84">
            <w:pPr>
              <w:pStyle w:val="ListParagraph"/>
              <w:numPr>
                <w:ilvl w:val="0"/>
                <w:numId w:val="46"/>
              </w:numPr>
              <w:tabs>
                <w:tab w:val="left" w:pos="1014"/>
              </w:tabs>
              <w:ind w:left="0" w:firstLine="709"/>
              <w:rPr>
                <w:rFonts w:ascii="Times New Roman" w:hAnsi="Times New Roman"/>
                <w:bCs/>
                <w:sz w:val="24"/>
                <w:szCs w:val="24"/>
                <w:lang w:val="ro-MD"/>
              </w:rPr>
            </w:pPr>
            <w:r w:rsidRPr="00985FCD">
              <w:rPr>
                <w:rFonts w:ascii="Times New Roman" w:hAnsi="Times New Roman"/>
                <w:bCs/>
                <w:sz w:val="24"/>
                <w:szCs w:val="24"/>
                <w:lang w:val="ro-MD"/>
              </w:rPr>
              <w:t>Structurarea timpului de muncă a cadrelor didactice și de conducere;</w:t>
            </w:r>
          </w:p>
          <w:p w14:paraId="07EE33C1" w14:textId="591C5F76" w:rsidR="00704BD6" w:rsidRPr="00985FCD" w:rsidRDefault="00704BD6" w:rsidP="002A6A84">
            <w:pPr>
              <w:pStyle w:val="ListParagraph"/>
              <w:numPr>
                <w:ilvl w:val="0"/>
                <w:numId w:val="46"/>
              </w:numPr>
              <w:tabs>
                <w:tab w:val="left" w:pos="1014"/>
              </w:tabs>
              <w:ind w:left="0" w:firstLine="709"/>
              <w:rPr>
                <w:rFonts w:ascii="Times New Roman" w:hAnsi="Times New Roman"/>
                <w:bCs/>
                <w:sz w:val="24"/>
                <w:szCs w:val="24"/>
                <w:lang w:val="ro-MD"/>
              </w:rPr>
            </w:pPr>
            <w:r w:rsidRPr="00985FCD">
              <w:rPr>
                <w:rFonts w:ascii="Times New Roman" w:hAnsi="Times New Roman"/>
                <w:bCs/>
                <w:sz w:val="24"/>
                <w:szCs w:val="24"/>
                <w:lang w:val="ro-MD"/>
              </w:rPr>
              <w:t>Repartizarea șarjei didactice;</w:t>
            </w:r>
          </w:p>
          <w:p w14:paraId="7DC31FF4" w14:textId="77777777" w:rsidR="00704BD6" w:rsidRPr="00985FCD" w:rsidRDefault="00704BD6" w:rsidP="002A6A84">
            <w:pPr>
              <w:pStyle w:val="ListParagraph"/>
              <w:numPr>
                <w:ilvl w:val="0"/>
                <w:numId w:val="46"/>
              </w:numPr>
              <w:tabs>
                <w:tab w:val="left" w:pos="1014"/>
              </w:tabs>
              <w:ind w:left="0" w:firstLine="709"/>
              <w:rPr>
                <w:rFonts w:ascii="Times New Roman" w:hAnsi="Times New Roman"/>
                <w:bCs/>
                <w:sz w:val="24"/>
                <w:szCs w:val="24"/>
                <w:lang w:val="ro-MD"/>
              </w:rPr>
            </w:pPr>
            <w:r w:rsidRPr="00985FCD">
              <w:rPr>
                <w:rFonts w:ascii="Times New Roman" w:hAnsi="Times New Roman"/>
                <w:bCs/>
                <w:sz w:val="24"/>
                <w:szCs w:val="24"/>
                <w:lang w:val="ro-MD"/>
              </w:rPr>
              <w:t>Tarifarea orelor;</w:t>
            </w:r>
          </w:p>
          <w:p w14:paraId="329B53EB" w14:textId="77777777" w:rsidR="00704BD6" w:rsidRPr="00985FCD" w:rsidRDefault="00704BD6" w:rsidP="00704BD6">
            <w:pPr>
              <w:pStyle w:val="ListParagraph"/>
              <w:numPr>
                <w:ilvl w:val="0"/>
                <w:numId w:val="46"/>
              </w:numPr>
              <w:tabs>
                <w:tab w:val="left" w:pos="1014"/>
              </w:tabs>
              <w:ind w:left="0" w:firstLine="709"/>
              <w:rPr>
                <w:rFonts w:ascii="Times New Roman" w:hAnsi="Times New Roman"/>
                <w:bCs/>
                <w:sz w:val="24"/>
                <w:szCs w:val="24"/>
                <w:lang w:val="ro-MD"/>
              </w:rPr>
            </w:pPr>
            <w:r w:rsidRPr="00985FCD">
              <w:rPr>
                <w:rFonts w:ascii="Times New Roman" w:hAnsi="Times New Roman"/>
                <w:bCs/>
                <w:sz w:val="24"/>
                <w:szCs w:val="24"/>
                <w:lang w:val="ro-MD"/>
              </w:rPr>
              <w:t>Metodologia de elaborarea și aprobare a statelor de personal și a listelor de tarifare pentru instituțiile de învățământ profesional tehnic;</w:t>
            </w:r>
          </w:p>
          <w:p w14:paraId="32A99C9F" w14:textId="77777777" w:rsidR="00704BD6" w:rsidRDefault="00704BD6" w:rsidP="00704BD6">
            <w:pPr>
              <w:pStyle w:val="ListParagraph"/>
              <w:numPr>
                <w:ilvl w:val="0"/>
                <w:numId w:val="46"/>
              </w:numPr>
              <w:tabs>
                <w:tab w:val="left" w:pos="1014"/>
              </w:tabs>
              <w:ind w:left="0" w:firstLine="709"/>
              <w:rPr>
                <w:rFonts w:ascii="Times New Roman" w:hAnsi="Times New Roman"/>
                <w:bCs/>
                <w:sz w:val="24"/>
                <w:szCs w:val="24"/>
                <w:lang w:val="ro-MD"/>
              </w:rPr>
            </w:pPr>
            <w:r w:rsidRPr="00985FCD">
              <w:rPr>
                <w:rFonts w:ascii="Times New Roman" w:hAnsi="Times New Roman"/>
                <w:bCs/>
                <w:sz w:val="24"/>
                <w:szCs w:val="24"/>
                <w:lang w:val="ro-MD"/>
              </w:rPr>
              <w:t>Modelul tip al Listei de tarifare.</w:t>
            </w:r>
          </w:p>
          <w:p w14:paraId="5E9BE6F6" w14:textId="1797B93A" w:rsidR="00985FCD" w:rsidRPr="00985FCD" w:rsidRDefault="00985FCD" w:rsidP="00704BD6">
            <w:pPr>
              <w:pStyle w:val="ListParagraph"/>
              <w:numPr>
                <w:ilvl w:val="0"/>
                <w:numId w:val="46"/>
              </w:numPr>
              <w:tabs>
                <w:tab w:val="left" w:pos="1014"/>
              </w:tabs>
              <w:ind w:left="0" w:firstLine="709"/>
              <w:rPr>
                <w:rFonts w:ascii="Times New Roman" w:hAnsi="Times New Roman"/>
                <w:bCs/>
                <w:sz w:val="24"/>
                <w:szCs w:val="24"/>
                <w:lang w:val="ro-MD"/>
              </w:rPr>
            </w:pPr>
          </w:p>
        </w:tc>
      </w:tr>
      <w:tr w:rsidR="00BB271D" w:rsidRPr="00985FCD" w14:paraId="35EE2402"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D36AF40" w14:textId="77777777" w:rsidR="00BB271D" w:rsidRPr="00985FCD" w:rsidRDefault="00A46A3E">
            <w:pPr>
              <w:rPr>
                <w:rFonts w:ascii="Times New Roman" w:hAnsi="Times New Roman"/>
                <w:i/>
                <w:iCs/>
                <w:sz w:val="24"/>
                <w:szCs w:val="24"/>
                <w:lang w:val="ro-RO"/>
              </w:rPr>
            </w:pPr>
            <w:r w:rsidRPr="00985FCD">
              <w:rPr>
                <w:rFonts w:ascii="Times New Roman" w:hAnsi="Times New Roman"/>
                <w:i/>
                <w:iCs/>
                <w:sz w:val="24"/>
                <w:szCs w:val="24"/>
                <w:lang w:val="ro-RO"/>
              </w:rPr>
              <w:lastRenderedPageBreak/>
              <w:t>3.2. Opțiunile alternative analizate și motivele pentru care acestea nu au fost luate în considerare</w:t>
            </w:r>
          </w:p>
        </w:tc>
      </w:tr>
      <w:tr w:rsidR="00BB271D" w:rsidRPr="00985FCD" w14:paraId="6812D339" w14:textId="77777777" w:rsidTr="00422AF6">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156D50" w14:textId="77777777" w:rsidR="001210B2" w:rsidRDefault="00B67164" w:rsidP="001C006E">
            <w:pPr>
              <w:rPr>
                <w:rFonts w:ascii="Times New Roman" w:hAnsi="Times New Roman"/>
                <w:b/>
                <w:bCs/>
                <w:sz w:val="24"/>
                <w:szCs w:val="24"/>
                <w:lang w:val="ro-RO"/>
              </w:rPr>
            </w:pPr>
            <w:r w:rsidRPr="00985FCD">
              <w:rPr>
                <w:rFonts w:ascii="Times New Roman" w:hAnsi="Times New Roman"/>
                <w:b/>
                <w:bCs/>
                <w:sz w:val="24"/>
                <w:szCs w:val="24"/>
                <w:lang w:val="ro-RO"/>
              </w:rPr>
              <w:t>Nu este aplicabil.</w:t>
            </w:r>
          </w:p>
          <w:p w14:paraId="0BE84103" w14:textId="2FEA3C3B" w:rsidR="00985FCD" w:rsidRPr="00985FCD" w:rsidRDefault="00985FCD" w:rsidP="001C006E">
            <w:pPr>
              <w:rPr>
                <w:rFonts w:ascii="Times New Roman" w:hAnsi="Times New Roman"/>
                <w:b/>
                <w:bCs/>
                <w:sz w:val="24"/>
                <w:szCs w:val="24"/>
                <w:lang w:val="ro-RO"/>
              </w:rPr>
            </w:pPr>
          </w:p>
        </w:tc>
      </w:tr>
      <w:tr w:rsidR="00BB271D" w:rsidRPr="00985FCD" w14:paraId="2C9D99DF" w14:textId="77777777" w:rsidTr="00422AF6">
        <w:trPr>
          <w:trHeight w:val="381"/>
        </w:trPr>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53E2852" w14:textId="3DC2156D" w:rsidR="00BB271D" w:rsidRPr="00985FCD" w:rsidRDefault="00A46A3E">
            <w:pPr>
              <w:rPr>
                <w:rFonts w:ascii="Times New Roman" w:hAnsi="Times New Roman"/>
                <w:b/>
                <w:bCs/>
                <w:sz w:val="24"/>
                <w:szCs w:val="24"/>
                <w:lang w:val="ro-RO"/>
              </w:rPr>
            </w:pPr>
            <w:r w:rsidRPr="00985FCD">
              <w:rPr>
                <w:rFonts w:ascii="Times New Roman" w:hAnsi="Times New Roman"/>
                <w:b/>
                <w:bCs/>
                <w:sz w:val="24"/>
                <w:szCs w:val="24"/>
                <w:lang w:val="ro-RO"/>
              </w:rPr>
              <w:t xml:space="preserve">4. Analiza impactului de reglementare </w:t>
            </w:r>
          </w:p>
        </w:tc>
      </w:tr>
      <w:tr w:rsidR="00BB271D" w:rsidRPr="00985FCD" w14:paraId="60452332"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24CFD0" w14:textId="77777777" w:rsidR="00BB271D" w:rsidRPr="00985FCD" w:rsidRDefault="00A46A3E">
            <w:pPr>
              <w:rPr>
                <w:rFonts w:ascii="Times New Roman" w:hAnsi="Times New Roman"/>
                <w:i/>
                <w:iCs/>
                <w:sz w:val="24"/>
                <w:szCs w:val="24"/>
                <w:lang w:val="ro-RO"/>
              </w:rPr>
            </w:pPr>
            <w:r w:rsidRPr="00985FCD">
              <w:rPr>
                <w:rFonts w:ascii="Times New Roman" w:hAnsi="Times New Roman"/>
                <w:i/>
                <w:iCs/>
                <w:sz w:val="24"/>
                <w:szCs w:val="24"/>
                <w:lang w:val="ro-RO"/>
              </w:rPr>
              <w:t>4.1. Impactul asupra sectorului public</w:t>
            </w:r>
          </w:p>
        </w:tc>
      </w:tr>
      <w:tr w:rsidR="00582A96" w:rsidRPr="00985FCD" w14:paraId="657CB555"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D47C1F" w14:textId="74DE1F91" w:rsidR="002A32D0" w:rsidRDefault="007F7BDB" w:rsidP="00EC7CE3">
            <w:pPr>
              <w:rPr>
                <w:rFonts w:ascii="Times New Roman" w:hAnsi="Times New Roman"/>
                <w:bCs/>
                <w:sz w:val="24"/>
                <w:szCs w:val="24"/>
                <w:lang w:val="ro-RO"/>
              </w:rPr>
            </w:pPr>
            <w:r w:rsidRPr="00985FCD">
              <w:rPr>
                <w:rFonts w:ascii="Times New Roman" w:hAnsi="Times New Roman"/>
                <w:bCs/>
                <w:sz w:val="24"/>
                <w:szCs w:val="24"/>
                <w:lang w:val="ro-MD"/>
              </w:rPr>
              <w:t xml:space="preserve">Implementarea prevederilor proiectului va avea un  impact pozitiv asupra </w:t>
            </w:r>
            <w:proofErr w:type="spellStart"/>
            <w:r w:rsidRPr="00985FCD">
              <w:rPr>
                <w:rFonts w:ascii="Times New Roman" w:hAnsi="Times New Roman"/>
                <w:bCs/>
                <w:sz w:val="24"/>
                <w:szCs w:val="24"/>
                <w:lang w:val="ro-MD"/>
              </w:rPr>
              <w:t>institu</w:t>
            </w:r>
            <w:r w:rsidRPr="00985FCD">
              <w:rPr>
                <w:rFonts w:ascii="Times New Roman" w:hAnsi="Times New Roman"/>
                <w:bCs/>
                <w:sz w:val="24"/>
                <w:szCs w:val="24"/>
                <w:lang w:val="ro-RO"/>
              </w:rPr>
              <w:t>țiilor</w:t>
            </w:r>
            <w:proofErr w:type="spellEnd"/>
            <w:r w:rsidRPr="00985FCD">
              <w:rPr>
                <w:rFonts w:ascii="Times New Roman" w:hAnsi="Times New Roman"/>
                <w:bCs/>
                <w:sz w:val="24"/>
                <w:szCs w:val="24"/>
                <w:lang w:val="ro-RO"/>
              </w:rPr>
              <w:t xml:space="preserve"> de </w:t>
            </w:r>
            <w:r w:rsidR="00544C23" w:rsidRPr="00985FCD">
              <w:rPr>
                <w:rFonts w:ascii="Times New Roman" w:hAnsi="Times New Roman"/>
                <w:bCs/>
                <w:sz w:val="24"/>
                <w:szCs w:val="24"/>
                <w:lang w:val="ro-RO"/>
              </w:rPr>
              <w:t xml:space="preserve">învățământul profesional tehnic, asigurând un proces corect de </w:t>
            </w:r>
            <w:r w:rsidR="00D25BD5" w:rsidRPr="00985FCD">
              <w:rPr>
                <w:rFonts w:ascii="Times New Roman" w:hAnsi="Times New Roman"/>
                <w:bCs/>
                <w:sz w:val="24"/>
                <w:szCs w:val="24"/>
                <w:lang w:val="ro-RO"/>
              </w:rPr>
              <w:t>elaborare și aprobare a statelor de personal și a listei de tarifare.</w:t>
            </w:r>
          </w:p>
          <w:p w14:paraId="5E4A5A72" w14:textId="790F73A5" w:rsidR="00985FCD" w:rsidRPr="00985FCD" w:rsidRDefault="00985FCD" w:rsidP="00EC7CE3">
            <w:pPr>
              <w:rPr>
                <w:rFonts w:ascii="Times New Roman" w:hAnsi="Times New Roman"/>
                <w:sz w:val="24"/>
                <w:szCs w:val="24"/>
                <w:lang w:val="ro-RO"/>
              </w:rPr>
            </w:pPr>
          </w:p>
        </w:tc>
      </w:tr>
      <w:tr w:rsidR="00BB271D" w:rsidRPr="00985FCD" w14:paraId="36D3D1B0"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7641DB0" w14:textId="77777777" w:rsidR="00BB271D" w:rsidRPr="00985FCD" w:rsidRDefault="00A46A3E">
            <w:pPr>
              <w:rPr>
                <w:rFonts w:ascii="Times New Roman" w:hAnsi="Times New Roman"/>
                <w:i/>
                <w:iCs/>
                <w:sz w:val="24"/>
                <w:szCs w:val="24"/>
                <w:lang w:val="ro-RO"/>
              </w:rPr>
            </w:pPr>
            <w:r w:rsidRPr="00985FCD">
              <w:rPr>
                <w:rFonts w:ascii="Times New Roman" w:hAnsi="Times New Roman"/>
                <w:i/>
                <w:iCs/>
                <w:sz w:val="24"/>
                <w:szCs w:val="24"/>
                <w:lang w:val="ro-RO"/>
              </w:rPr>
              <w:t>4.2. Impactul financiar și argumentarea costurilor estimative</w:t>
            </w:r>
          </w:p>
        </w:tc>
      </w:tr>
      <w:tr w:rsidR="00582A96" w:rsidRPr="00985FCD" w14:paraId="5C13B653"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338D3F" w14:textId="77777777" w:rsidR="008C21D6" w:rsidRDefault="008C21D6" w:rsidP="00807AC7">
            <w:pPr>
              <w:rPr>
                <w:rFonts w:ascii="Times New Roman" w:hAnsi="Times New Roman"/>
                <w:bCs/>
                <w:sz w:val="24"/>
                <w:szCs w:val="24"/>
                <w:lang w:val="ro-MD"/>
              </w:rPr>
            </w:pPr>
            <w:r w:rsidRPr="00985FCD">
              <w:rPr>
                <w:rFonts w:ascii="Times New Roman" w:hAnsi="Times New Roman"/>
                <w:bCs/>
                <w:sz w:val="24"/>
                <w:szCs w:val="24"/>
                <w:lang w:val="ro-MD"/>
              </w:rPr>
              <w:t xml:space="preserve">Implementarea prevederilor proiectului nu necesită </w:t>
            </w:r>
            <w:r w:rsidR="00807AC7" w:rsidRPr="00985FCD">
              <w:rPr>
                <w:rFonts w:ascii="Times New Roman" w:hAnsi="Times New Roman"/>
                <w:bCs/>
                <w:sz w:val="24"/>
                <w:szCs w:val="24"/>
                <w:lang w:val="ro-MD"/>
              </w:rPr>
              <w:t>cheltuieli</w:t>
            </w:r>
            <w:r w:rsidRPr="00985FCD">
              <w:rPr>
                <w:rFonts w:ascii="Times New Roman" w:hAnsi="Times New Roman"/>
                <w:bCs/>
                <w:sz w:val="24"/>
                <w:szCs w:val="24"/>
                <w:lang w:val="ro-MD"/>
              </w:rPr>
              <w:t xml:space="preserve"> </w:t>
            </w:r>
            <w:r w:rsidR="00807AC7" w:rsidRPr="00985FCD">
              <w:rPr>
                <w:rFonts w:ascii="Times New Roman" w:hAnsi="Times New Roman"/>
                <w:bCs/>
                <w:sz w:val="24"/>
                <w:szCs w:val="24"/>
                <w:lang w:val="ro-MD"/>
              </w:rPr>
              <w:t xml:space="preserve">financiare </w:t>
            </w:r>
            <w:r w:rsidRPr="00985FCD">
              <w:rPr>
                <w:rFonts w:ascii="Times New Roman" w:hAnsi="Times New Roman"/>
                <w:bCs/>
                <w:sz w:val="24"/>
                <w:szCs w:val="24"/>
                <w:lang w:val="ro-MD"/>
              </w:rPr>
              <w:t xml:space="preserve">suplimentare din </w:t>
            </w:r>
            <w:r w:rsidR="00807AC7" w:rsidRPr="00985FCD">
              <w:rPr>
                <w:rFonts w:ascii="Times New Roman" w:hAnsi="Times New Roman"/>
                <w:bCs/>
                <w:sz w:val="24"/>
                <w:szCs w:val="24"/>
                <w:lang w:val="ro-MD"/>
              </w:rPr>
              <w:t>bugetul de stat.</w:t>
            </w:r>
            <w:r w:rsidRPr="00985FCD">
              <w:rPr>
                <w:rFonts w:ascii="Times New Roman" w:hAnsi="Times New Roman"/>
                <w:bCs/>
                <w:sz w:val="24"/>
                <w:szCs w:val="24"/>
                <w:lang w:val="ro-MD"/>
              </w:rPr>
              <w:t xml:space="preserve"> </w:t>
            </w:r>
          </w:p>
          <w:p w14:paraId="6CCBA8B2" w14:textId="52AAA2C7" w:rsidR="00985FCD" w:rsidRPr="00985FCD" w:rsidRDefault="00985FCD" w:rsidP="00807AC7">
            <w:pPr>
              <w:rPr>
                <w:rFonts w:ascii="Times New Roman" w:hAnsi="Times New Roman"/>
                <w:bCs/>
                <w:sz w:val="24"/>
                <w:szCs w:val="24"/>
                <w:lang w:val="ro-MD"/>
              </w:rPr>
            </w:pPr>
          </w:p>
        </w:tc>
      </w:tr>
      <w:tr w:rsidR="00BB271D" w:rsidRPr="00985FCD" w14:paraId="271AB65D"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20243A" w14:textId="77777777" w:rsidR="00BB271D" w:rsidRPr="00985FCD" w:rsidRDefault="00A46A3E">
            <w:pPr>
              <w:rPr>
                <w:rFonts w:ascii="Times New Roman" w:hAnsi="Times New Roman"/>
                <w:i/>
                <w:iCs/>
                <w:sz w:val="24"/>
                <w:szCs w:val="24"/>
                <w:lang w:val="ro-RO"/>
              </w:rPr>
            </w:pPr>
            <w:r w:rsidRPr="00985FCD">
              <w:rPr>
                <w:rFonts w:ascii="Times New Roman" w:hAnsi="Times New Roman"/>
                <w:i/>
                <w:iCs/>
                <w:sz w:val="24"/>
                <w:szCs w:val="24"/>
                <w:lang w:val="ro-RO"/>
              </w:rPr>
              <w:t>4.3. Impactul asupra sectorului privat</w:t>
            </w:r>
          </w:p>
        </w:tc>
      </w:tr>
      <w:tr w:rsidR="00582A96" w:rsidRPr="00985FCD" w14:paraId="54D6145C"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CF4342" w14:textId="77777777" w:rsidR="00582A96" w:rsidRDefault="00582A96">
            <w:pPr>
              <w:rPr>
                <w:rFonts w:ascii="Times New Roman" w:hAnsi="Times New Roman"/>
                <w:b/>
                <w:sz w:val="24"/>
                <w:szCs w:val="24"/>
                <w:lang w:val="ro-MD"/>
              </w:rPr>
            </w:pPr>
            <w:r w:rsidRPr="00985FCD">
              <w:rPr>
                <w:rFonts w:ascii="Times New Roman" w:hAnsi="Times New Roman"/>
                <w:b/>
                <w:sz w:val="24"/>
                <w:szCs w:val="24"/>
                <w:lang w:val="ro-MD"/>
              </w:rPr>
              <w:t xml:space="preserve">Nu </w:t>
            </w:r>
            <w:r w:rsidR="00541949" w:rsidRPr="00985FCD">
              <w:rPr>
                <w:rFonts w:ascii="Times New Roman" w:hAnsi="Times New Roman"/>
                <w:b/>
                <w:sz w:val="24"/>
                <w:szCs w:val="24"/>
                <w:lang w:val="ro-MD"/>
              </w:rPr>
              <w:t>este aplicabil</w:t>
            </w:r>
            <w:r w:rsidRPr="00985FCD">
              <w:rPr>
                <w:rFonts w:ascii="Times New Roman" w:hAnsi="Times New Roman"/>
                <w:b/>
                <w:sz w:val="24"/>
                <w:szCs w:val="24"/>
                <w:lang w:val="ro-MD"/>
              </w:rPr>
              <w:t>.</w:t>
            </w:r>
          </w:p>
          <w:p w14:paraId="73CE8520" w14:textId="0FBEABBE" w:rsidR="00985FCD" w:rsidRPr="00985FCD" w:rsidRDefault="00985FCD">
            <w:pPr>
              <w:rPr>
                <w:rFonts w:ascii="Times New Roman" w:hAnsi="Times New Roman"/>
                <w:b/>
                <w:sz w:val="24"/>
                <w:szCs w:val="24"/>
                <w:lang w:val="ro-RO"/>
              </w:rPr>
            </w:pPr>
          </w:p>
        </w:tc>
      </w:tr>
      <w:tr w:rsidR="00BB271D" w:rsidRPr="00985FCD" w14:paraId="07471C6B"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4316D9E" w14:textId="465B10E9" w:rsidR="00BB271D" w:rsidRPr="00985FCD" w:rsidRDefault="00A46A3E" w:rsidP="006E658B">
            <w:pPr>
              <w:rPr>
                <w:rFonts w:ascii="Times New Roman" w:hAnsi="Times New Roman"/>
                <w:b/>
                <w:bCs/>
                <w:sz w:val="24"/>
                <w:szCs w:val="24"/>
                <w:lang w:val="ro-RO"/>
              </w:rPr>
            </w:pPr>
            <w:r w:rsidRPr="00985FCD">
              <w:rPr>
                <w:rFonts w:ascii="Times New Roman" w:hAnsi="Times New Roman"/>
                <w:b/>
                <w:bCs/>
                <w:sz w:val="24"/>
                <w:szCs w:val="24"/>
                <w:lang w:val="ro-RO"/>
              </w:rPr>
              <w:t>4.4. Impactul social</w:t>
            </w:r>
          </w:p>
        </w:tc>
      </w:tr>
      <w:tr w:rsidR="00541949" w:rsidRPr="00985FCD" w14:paraId="20AF82C3" w14:textId="77777777" w:rsidTr="00422AF6">
        <w:trPr>
          <w:trHeight w:val="347"/>
        </w:trPr>
        <w:tc>
          <w:tcPr>
            <w:tcW w:w="10196"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139A4757" w14:textId="3C26F851" w:rsidR="00792950" w:rsidRPr="00985FCD" w:rsidRDefault="00792950" w:rsidP="006E658B">
            <w:pPr>
              <w:rPr>
                <w:rFonts w:ascii="Times New Roman" w:hAnsi="Times New Roman"/>
                <w:i/>
                <w:iCs/>
                <w:sz w:val="24"/>
                <w:szCs w:val="24"/>
                <w:lang w:val="ro-RO"/>
              </w:rPr>
            </w:pPr>
            <w:r w:rsidRPr="00985FCD">
              <w:rPr>
                <w:rFonts w:ascii="Times New Roman" w:hAnsi="Times New Roman"/>
                <w:i/>
                <w:iCs/>
                <w:sz w:val="24"/>
                <w:szCs w:val="24"/>
                <w:lang w:val="ro-RO"/>
              </w:rPr>
              <w:t>4.4.1. Impactul asupra datelor cu caracter personal</w:t>
            </w:r>
          </w:p>
        </w:tc>
      </w:tr>
      <w:tr w:rsidR="00792950" w:rsidRPr="00985FCD" w14:paraId="23254535" w14:textId="77777777" w:rsidTr="00422AF6">
        <w:trPr>
          <w:trHeight w:val="672"/>
        </w:trPr>
        <w:tc>
          <w:tcPr>
            <w:tcW w:w="10196"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592D467" w14:textId="0B20ECB0" w:rsidR="00792950" w:rsidRDefault="00792950" w:rsidP="008B5705">
            <w:pPr>
              <w:ind w:firstLine="0"/>
              <w:rPr>
                <w:rFonts w:ascii="Times New Roman" w:hAnsi="Times New Roman"/>
                <w:bCs/>
                <w:sz w:val="24"/>
                <w:szCs w:val="24"/>
                <w:lang w:val="ro-MD"/>
              </w:rPr>
            </w:pPr>
            <w:r w:rsidRPr="00985FCD">
              <w:rPr>
                <w:rFonts w:ascii="Times New Roman" w:hAnsi="Times New Roman"/>
                <w:bCs/>
                <w:sz w:val="24"/>
                <w:szCs w:val="24"/>
                <w:lang w:val="ro-MD"/>
              </w:rPr>
              <w:t xml:space="preserve"> </w:t>
            </w:r>
            <w:r w:rsidR="006E658B" w:rsidRPr="00985FCD">
              <w:rPr>
                <w:rFonts w:ascii="Times New Roman" w:hAnsi="Times New Roman"/>
                <w:bCs/>
                <w:sz w:val="24"/>
                <w:szCs w:val="24"/>
                <w:lang w:val="ro-MD"/>
              </w:rPr>
              <w:t xml:space="preserve">           </w:t>
            </w:r>
            <w:r w:rsidRPr="00985FCD">
              <w:rPr>
                <w:rFonts w:ascii="Times New Roman" w:hAnsi="Times New Roman"/>
                <w:bCs/>
                <w:sz w:val="24"/>
                <w:szCs w:val="24"/>
                <w:lang w:val="ro-MD"/>
              </w:rPr>
              <w:t xml:space="preserve">În procesul de </w:t>
            </w:r>
            <w:r w:rsidR="00952019">
              <w:rPr>
                <w:rFonts w:ascii="Times New Roman" w:hAnsi="Times New Roman"/>
                <w:bCs/>
                <w:sz w:val="24"/>
                <w:szCs w:val="24"/>
                <w:lang w:val="ro-MD"/>
              </w:rPr>
              <w:t>elaborare a statelor de personal și listelor de tarifare</w:t>
            </w:r>
            <w:r w:rsidRPr="00985FCD">
              <w:rPr>
                <w:rFonts w:ascii="Times New Roman" w:hAnsi="Times New Roman"/>
                <w:bCs/>
                <w:sz w:val="24"/>
                <w:szCs w:val="24"/>
                <w:lang w:val="ro-MD"/>
              </w:rPr>
              <w:t xml:space="preserve"> </w:t>
            </w:r>
            <w:r w:rsidR="006E658B" w:rsidRPr="00985FCD">
              <w:rPr>
                <w:rFonts w:ascii="Times New Roman" w:hAnsi="Times New Roman"/>
                <w:bCs/>
                <w:sz w:val="24"/>
                <w:szCs w:val="24"/>
                <w:lang w:val="ro-MD"/>
              </w:rPr>
              <w:t xml:space="preserve">instituțiile de învățământ profesional tehnic </w:t>
            </w:r>
            <w:r w:rsidRPr="00985FCD">
              <w:rPr>
                <w:rFonts w:ascii="Times New Roman" w:hAnsi="Times New Roman"/>
                <w:bCs/>
                <w:sz w:val="24"/>
                <w:szCs w:val="24"/>
                <w:lang w:val="ro-MD"/>
              </w:rPr>
              <w:t>vor respecta pre</w:t>
            </w:r>
            <w:r w:rsidR="00952019">
              <w:rPr>
                <w:rFonts w:ascii="Times New Roman" w:hAnsi="Times New Roman"/>
                <w:bCs/>
                <w:sz w:val="24"/>
                <w:szCs w:val="24"/>
                <w:lang w:val="ro-MD"/>
              </w:rPr>
              <w:t>ve</w:t>
            </w:r>
            <w:r w:rsidRPr="00985FCD">
              <w:rPr>
                <w:rFonts w:ascii="Times New Roman" w:hAnsi="Times New Roman"/>
                <w:bCs/>
                <w:sz w:val="24"/>
                <w:szCs w:val="24"/>
                <w:lang w:val="ro-MD"/>
              </w:rPr>
              <w:t xml:space="preserve">derile </w:t>
            </w:r>
            <w:r w:rsidR="006E658B" w:rsidRPr="00985FCD">
              <w:rPr>
                <w:rFonts w:ascii="Times New Roman" w:hAnsi="Times New Roman"/>
                <w:bCs/>
                <w:sz w:val="24"/>
                <w:szCs w:val="24"/>
                <w:lang w:val="ro-MD"/>
              </w:rPr>
              <w:t>Legii nr. 133/2011 privind protecția datelor cu caracter personal.</w:t>
            </w:r>
          </w:p>
          <w:p w14:paraId="389ABBD9" w14:textId="4A540D66" w:rsidR="00985FCD" w:rsidRPr="00985FCD" w:rsidRDefault="00985FCD" w:rsidP="008B5705">
            <w:pPr>
              <w:ind w:firstLine="0"/>
              <w:rPr>
                <w:rFonts w:ascii="Times New Roman" w:hAnsi="Times New Roman"/>
                <w:bCs/>
                <w:sz w:val="24"/>
                <w:szCs w:val="24"/>
                <w:lang w:val="ro-MD"/>
              </w:rPr>
            </w:pPr>
          </w:p>
        </w:tc>
      </w:tr>
      <w:tr w:rsidR="006E658B" w:rsidRPr="00985FCD" w14:paraId="3F1186D6" w14:textId="77777777" w:rsidTr="00422AF6">
        <w:trPr>
          <w:trHeight w:val="161"/>
        </w:trPr>
        <w:tc>
          <w:tcPr>
            <w:tcW w:w="10196" w:type="dxa"/>
            <w:tcBorders>
              <w:top w:val="single" w:sz="4" w:space="0" w:color="auto"/>
              <w:left w:val="single" w:sz="8" w:space="0" w:color="000000"/>
              <w:bottom w:val="single" w:sz="4" w:space="0" w:color="auto"/>
              <w:right w:val="single" w:sz="8" w:space="0" w:color="000000"/>
            </w:tcBorders>
            <w:shd w:val="clear" w:color="auto" w:fill="D9D9D9" w:themeFill="background1" w:themeFillShade="D9"/>
            <w:tcMar>
              <w:top w:w="0" w:type="dxa"/>
              <w:left w:w="108" w:type="dxa"/>
              <w:bottom w:w="0" w:type="dxa"/>
              <w:right w:w="108" w:type="dxa"/>
            </w:tcMar>
          </w:tcPr>
          <w:p w14:paraId="1E8DC028" w14:textId="15A7880D" w:rsidR="006E658B" w:rsidRPr="00985FCD" w:rsidRDefault="006E658B" w:rsidP="00792950">
            <w:pPr>
              <w:rPr>
                <w:rFonts w:ascii="Times New Roman" w:hAnsi="Times New Roman"/>
                <w:bCs/>
                <w:i/>
                <w:iCs/>
                <w:sz w:val="24"/>
                <w:szCs w:val="24"/>
                <w:lang w:val="ro-MD"/>
              </w:rPr>
            </w:pPr>
            <w:r w:rsidRPr="00985FCD">
              <w:rPr>
                <w:rFonts w:ascii="Times New Roman" w:hAnsi="Times New Roman"/>
                <w:i/>
                <w:iCs/>
                <w:sz w:val="24"/>
                <w:szCs w:val="24"/>
                <w:lang w:val="ro-RO"/>
              </w:rPr>
              <w:t>4.4.2. Impactul asupra echității și egalității de gen</w:t>
            </w:r>
          </w:p>
        </w:tc>
      </w:tr>
      <w:tr w:rsidR="00792950" w:rsidRPr="00985FCD" w14:paraId="74B656A3" w14:textId="77777777" w:rsidTr="00422AF6">
        <w:trPr>
          <w:trHeight w:val="1094"/>
        </w:trPr>
        <w:tc>
          <w:tcPr>
            <w:tcW w:w="10196"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D4E79C" w14:textId="365D493A" w:rsidR="00792950" w:rsidRDefault="00792950" w:rsidP="006E658B">
            <w:pPr>
              <w:rPr>
                <w:rFonts w:ascii="Times New Roman" w:hAnsi="Times New Roman"/>
                <w:sz w:val="24"/>
                <w:szCs w:val="24"/>
                <w:lang w:val="ro-RO"/>
              </w:rPr>
            </w:pPr>
            <w:r w:rsidRPr="00985FCD">
              <w:rPr>
                <w:rFonts w:ascii="Times New Roman" w:hAnsi="Times New Roman"/>
                <w:bCs/>
                <w:sz w:val="24"/>
                <w:szCs w:val="24"/>
                <w:lang w:val="ro-MD"/>
              </w:rPr>
              <w:t xml:space="preserve">Proiectul </w:t>
            </w:r>
            <w:r w:rsidR="00727C5A">
              <w:rPr>
                <w:rFonts w:ascii="Times New Roman" w:hAnsi="Times New Roman"/>
                <w:sz w:val="24"/>
                <w:szCs w:val="24"/>
                <w:lang w:val="ro-RO"/>
              </w:rPr>
              <w:t xml:space="preserve">Ordinului cu privire la aprobarea </w:t>
            </w:r>
            <w:r w:rsidR="00D25BD5" w:rsidRPr="00985FCD">
              <w:rPr>
                <w:rFonts w:ascii="Times New Roman" w:hAnsi="Times New Roman"/>
                <w:i/>
                <w:iCs/>
                <w:sz w:val="24"/>
                <w:szCs w:val="24"/>
                <w:lang w:val="ro-RO"/>
              </w:rPr>
              <w:t xml:space="preserve">Statelor-tip de personal și a Metodologiei de repartizare a timpului de muncă a cadrelor didactice din instituțiile de învățământ profesional tehnic </w:t>
            </w:r>
            <w:r w:rsidRPr="00985FCD">
              <w:rPr>
                <w:rFonts w:ascii="Times New Roman" w:hAnsi="Times New Roman"/>
                <w:sz w:val="24"/>
                <w:szCs w:val="24"/>
                <w:lang w:val="ro-RO"/>
              </w:rPr>
              <w:t xml:space="preserve">va avea un impact pozitiv supra </w:t>
            </w:r>
            <w:r w:rsidR="00D25BD5" w:rsidRPr="00985FCD">
              <w:rPr>
                <w:rFonts w:ascii="Times New Roman" w:hAnsi="Times New Roman"/>
                <w:sz w:val="24"/>
                <w:szCs w:val="24"/>
                <w:lang w:val="ro-RO"/>
              </w:rPr>
              <w:t>cadrelor didactice și personalului</w:t>
            </w:r>
            <w:r w:rsidRPr="00985FCD">
              <w:rPr>
                <w:rFonts w:ascii="Times New Roman" w:hAnsi="Times New Roman"/>
                <w:sz w:val="24"/>
                <w:szCs w:val="24"/>
                <w:lang w:val="ro-RO"/>
              </w:rPr>
              <w:t xml:space="preserve"> ce v</w:t>
            </w:r>
            <w:r w:rsidR="00D25BD5" w:rsidRPr="00985FCD">
              <w:rPr>
                <w:rFonts w:ascii="Times New Roman" w:hAnsi="Times New Roman"/>
                <w:sz w:val="24"/>
                <w:szCs w:val="24"/>
                <w:lang w:val="ro-RO"/>
              </w:rPr>
              <w:t>a</w:t>
            </w:r>
            <w:r w:rsidRPr="00985FCD">
              <w:rPr>
                <w:rFonts w:ascii="Times New Roman" w:hAnsi="Times New Roman"/>
                <w:sz w:val="24"/>
                <w:szCs w:val="24"/>
                <w:lang w:val="ro-RO"/>
              </w:rPr>
              <w:t xml:space="preserve"> dori să </w:t>
            </w:r>
            <w:r w:rsidR="00D25BD5" w:rsidRPr="00985FCD">
              <w:rPr>
                <w:rFonts w:ascii="Times New Roman" w:hAnsi="Times New Roman"/>
                <w:sz w:val="24"/>
                <w:szCs w:val="24"/>
                <w:lang w:val="ro-RO"/>
              </w:rPr>
              <w:t>activeze</w:t>
            </w:r>
            <w:r w:rsidRPr="00985FCD">
              <w:rPr>
                <w:rFonts w:ascii="Times New Roman" w:hAnsi="Times New Roman"/>
                <w:sz w:val="24"/>
                <w:szCs w:val="24"/>
                <w:lang w:val="ro-RO"/>
              </w:rPr>
              <w:t xml:space="preserve"> în instituțiile de învățământ profesional tehnic</w:t>
            </w:r>
            <w:r w:rsidR="008B5705" w:rsidRPr="00985FCD">
              <w:rPr>
                <w:rFonts w:ascii="Times New Roman" w:hAnsi="Times New Roman"/>
                <w:sz w:val="24"/>
                <w:szCs w:val="24"/>
                <w:lang w:val="ro-RO"/>
              </w:rPr>
              <w:t xml:space="preserve">, respectând în procesul </w:t>
            </w:r>
            <w:r w:rsidR="00D25BD5" w:rsidRPr="00985FCD">
              <w:rPr>
                <w:rFonts w:ascii="Times New Roman" w:hAnsi="Times New Roman"/>
                <w:sz w:val="24"/>
                <w:szCs w:val="24"/>
                <w:lang w:val="ro-RO"/>
              </w:rPr>
              <w:t xml:space="preserve">de muncă </w:t>
            </w:r>
            <w:r w:rsidR="008B5705" w:rsidRPr="00985FCD">
              <w:rPr>
                <w:rFonts w:ascii="Times New Roman" w:hAnsi="Times New Roman"/>
                <w:sz w:val="24"/>
                <w:szCs w:val="24"/>
                <w:lang w:val="ro-RO"/>
              </w:rPr>
              <w:t>principiul echității și egalității de gen.</w:t>
            </w:r>
          </w:p>
          <w:p w14:paraId="4439B3DF" w14:textId="3CEB3ECC" w:rsidR="00985FCD" w:rsidRPr="00985FCD" w:rsidRDefault="00985FCD" w:rsidP="006E658B">
            <w:pPr>
              <w:rPr>
                <w:rFonts w:ascii="Times New Roman" w:hAnsi="Times New Roman"/>
                <w:sz w:val="24"/>
                <w:szCs w:val="24"/>
                <w:lang w:val="ro-RO"/>
              </w:rPr>
            </w:pPr>
          </w:p>
        </w:tc>
      </w:tr>
      <w:tr w:rsidR="00BB271D" w:rsidRPr="00985FCD" w14:paraId="55F5CD58"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19FC6D" w14:textId="77777777" w:rsidR="00BB271D" w:rsidRPr="00985FCD" w:rsidRDefault="00A46A3E">
            <w:pPr>
              <w:rPr>
                <w:rFonts w:ascii="Times New Roman" w:hAnsi="Times New Roman"/>
                <w:sz w:val="24"/>
                <w:szCs w:val="24"/>
                <w:lang w:val="ro-RO"/>
              </w:rPr>
            </w:pPr>
            <w:r w:rsidRPr="00985FCD">
              <w:rPr>
                <w:rFonts w:ascii="Times New Roman" w:hAnsi="Times New Roman"/>
                <w:sz w:val="24"/>
                <w:szCs w:val="24"/>
                <w:lang w:val="ro-RO"/>
              </w:rPr>
              <w:t>4.5. Impactul asupra mediului</w:t>
            </w:r>
          </w:p>
        </w:tc>
      </w:tr>
      <w:tr w:rsidR="00541949" w:rsidRPr="00985FCD" w14:paraId="57100D9D"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3FED6C2" w14:textId="77777777" w:rsidR="00541949" w:rsidRDefault="00541949">
            <w:pPr>
              <w:rPr>
                <w:rFonts w:ascii="Times New Roman" w:hAnsi="Times New Roman"/>
                <w:b/>
                <w:sz w:val="24"/>
                <w:szCs w:val="24"/>
                <w:lang w:val="ro-MD"/>
              </w:rPr>
            </w:pPr>
            <w:r w:rsidRPr="00985FCD">
              <w:rPr>
                <w:rFonts w:ascii="Times New Roman" w:hAnsi="Times New Roman"/>
                <w:b/>
                <w:sz w:val="24"/>
                <w:szCs w:val="24"/>
                <w:lang w:val="ro-MD"/>
              </w:rPr>
              <w:t>Nu este aplicabil.</w:t>
            </w:r>
          </w:p>
          <w:p w14:paraId="7241881F" w14:textId="2DC61ACC" w:rsidR="00985FCD" w:rsidRPr="00985FCD" w:rsidRDefault="00985FCD">
            <w:pPr>
              <w:rPr>
                <w:rFonts w:ascii="Times New Roman" w:hAnsi="Times New Roman"/>
                <w:b/>
                <w:sz w:val="24"/>
                <w:szCs w:val="24"/>
                <w:lang w:val="ro-RO"/>
              </w:rPr>
            </w:pPr>
          </w:p>
        </w:tc>
      </w:tr>
      <w:tr w:rsidR="00BB271D" w:rsidRPr="00985FCD" w14:paraId="3B7343AE"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D38A73" w14:textId="77777777" w:rsidR="00BB271D" w:rsidRPr="00985FCD" w:rsidRDefault="00A46A3E">
            <w:pPr>
              <w:rPr>
                <w:rFonts w:ascii="Times New Roman" w:hAnsi="Times New Roman"/>
                <w:sz w:val="24"/>
                <w:szCs w:val="24"/>
                <w:lang w:val="ro-RO"/>
              </w:rPr>
            </w:pPr>
            <w:r w:rsidRPr="00985FCD">
              <w:rPr>
                <w:rFonts w:ascii="Times New Roman" w:hAnsi="Times New Roman"/>
                <w:sz w:val="24"/>
                <w:szCs w:val="24"/>
                <w:lang w:val="ro-RO"/>
              </w:rPr>
              <w:t>4.6. Alte impacturi și informații relevante</w:t>
            </w:r>
          </w:p>
        </w:tc>
      </w:tr>
      <w:tr w:rsidR="00BB271D" w:rsidRPr="00985FCD" w14:paraId="02857654" w14:textId="77777777" w:rsidTr="00422AF6">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B2822A" w14:textId="77777777" w:rsidR="00BB271D" w:rsidRDefault="00541949">
            <w:pPr>
              <w:rPr>
                <w:rFonts w:ascii="Times New Roman" w:hAnsi="Times New Roman"/>
                <w:b/>
                <w:sz w:val="24"/>
                <w:szCs w:val="24"/>
                <w:lang w:val="ro-MD"/>
              </w:rPr>
            </w:pPr>
            <w:r w:rsidRPr="00985FCD">
              <w:rPr>
                <w:rFonts w:ascii="Times New Roman" w:hAnsi="Times New Roman"/>
                <w:b/>
                <w:sz w:val="24"/>
                <w:szCs w:val="24"/>
                <w:lang w:val="ro-MD"/>
              </w:rPr>
              <w:t>Nu este aplicabil.</w:t>
            </w:r>
          </w:p>
          <w:p w14:paraId="4FF84540" w14:textId="0281915E" w:rsidR="00985FCD" w:rsidRPr="00985FCD" w:rsidRDefault="00985FCD">
            <w:pPr>
              <w:rPr>
                <w:rFonts w:ascii="Times New Roman" w:hAnsi="Times New Roman"/>
                <w:b/>
                <w:sz w:val="24"/>
                <w:szCs w:val="24"/>
                <w:lang w:val="ro-RO"/>
              </w:rPr>
            </w:pPr>
          </w:p>
        </w:tc>
      </w:tr>
      <w:tr w:rsidR="00BB271D" w:rsidRPr="00985FCD" w14:paraId="42ACBB1A"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5193255" w14:textId="77777777" w:rsidR="00BB271D" w:rsidRPr="00985FCD" w:rsidRDefault="00A46A3E">
            <w:pPr>
              <w:rPr>
                <w:rFonts w:ascii="Times New Roman" w:hAnsi="Times New Roman"/>
                <w:b/>
                <w:bCs/>
                <w:sz w:val="24"/>
                <w:szCs w:val="24"/>
                <w:lang w:val="ro-RO"/>
              </w:rPr>
            </w:pPr>
            <w:r w:rsidRPr="00985FCD">
              <w:rPr>
                <w:rFonts w:ascii="Times New Roman" w:hAnsi="Times New Roman"/>
                <w:b/>
                <w:bCs/>
                <w:sz w:val="24"/>
                <w:szCs w:val="24"/>
                <w:lang w:val="ro-RO"/>
              </w:rPr>
              <w:t xml:space="preserve">5. Compatibilitatea proiectului actului normativ cu legislația UE </w:t>
            </w:r>
          </w:p>
        </w:tc>
      </w:tr>
      <w:tr w:rsidR="00BB271D" w:rsidRPr="00985FCD" w14:paraId="4FD927D7"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92A537" w14:textId="77777777" w:rsidR="00BB271D" w:rsidRPr="00985FCD" w:rsidRDefault="00A46A3E">
            <w:pPr>
              <w:rPr>
                <w:rFonts w:ascii="Times New Roman" w:hAnsi="Times New Roman"/>
                <w:sz w:val="24"/>
                <w:szCs w:val="24"/>
                <w:lang w:val="ro-RO"/>
              </w:rPr>
            </w:pPr>
            <w:r w:rsidRPr="00985FCD">
              <w:rPr>
                <w:rFonts w:ascii="Times New Roman" w:hAnsi="Times New Roman"/>
                <w:sz w:val="24"/>
                <w:szCs w:val="24"/>
                <w:lang w:val="ro-RO"/>
              </w:rPr>
              <w:t>5.1. Măsuri normative necesare pentru transpunerea actelor juridice ale UE în legislația națională</w:t>
            </w:r>
          </w:p>
        </w:tc>
      </w:tr>
      <w:tr w:rsidR="00541949" w:rsidRPr="00985FCD" w14:paraId="4DA81CC8"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439AAB" w14:textId="77777777" w:rsidR="00541949" w:rsidRDefault="00541949">
            <w:pPr>
              <w:rPr>
                <w:rFonts w:ascii="Times New Roman" w:hAnsi="Times New Roman"/>
                <w:b/>
                <w:sz w:val="24"/>
                <w:szCs w:val="24"/>
                <w:lang w:val="ro-MD"/>
              </w:rPr>
            </w:pPr>
            <w:r w:rsidRPr="00985FCD">
              <w:rPr>
                <w:rFonts w:ascii="Times New Roman" w:hAnsi="Times New Roman"/>
                <w:b/>
                <w:sz w:val="24"/>
                <w:szCs w:val="24"/>
                <w:lang w:val="ro-MD"/>
              </w:rPr>
              <w:t>Nu este aplicabil.</w:t>
            </w:r>
          </w:p>
          <w:p w14:paraId="4E1D1B2B" w14:textId="3E3855E2" w:rsidR="00985FCD" w:rsidRPr="00985FCD" w:rsidRDefault="00985FCD">
            <w:pPr>
              <w:rPr>
                <w:rFonts w:ascii="Times New Roman" w:hAnsi="Times New Roman"/>
                <w:b/>
                <w:sz w:val="24"/>
                <w:szCs w:val="24"/>
                <w:lang w:val="ro-RO"/>
              </w:rPr>
            </w:pPr>
          </w:p>
        </w:tc>
      </w:tr>
      <w:tr w:rsidR="00BB271D" w:rsidRPr="00985FCD" w14:paraId="474FA25D"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DA3C7E" w14:textId="77777777" w:rsidR="00BB271D" w:rsidRPr="00985FCD" w:rsidRDefault="00A46A3E">
            <w:pPr>
              <w:rPr>
                <w:rFonts w:ascii="Times New Roman" w:hAnsi="Times New Roman"/>
                <w:sz w:val="24"/>
                <w:szCs w:val="24"/>
                <w:lang w:val="ro-RO"/>
              </w:rPr>
            </w:pPr>
            <w:r w:rsidRPr="00985FCD">
              <w:rPr>
                <w:rFonts w:ascii="Times New Roman" w:hAnsi="Times New Roman"/>
                <w:sz w:val="24"/>
                <w:szCs w:val="24"/>
                <w:lang w:val="ro-RO"/>
              </w:rPr>
              <w:lastRenderedPageBreak/>
              <w:t>5.2. Măsuri normative care urmăresc crearea cadrului juridic intern necesar pentru implementarea legislației UE</w:t>
            </w:r>
          </w:p>
        </w:tc>
      </w:tr>
      <w:tr w:rsidR="00BB271D" w:rsidRPr="00985FCD" w14:paraId="11B99B1D" w14:textId="77777777" w:rsidTr="00422AF6">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F41295" w14:textId="77777777" w:rsidR="005F5F6D" w:rsidRDefault="00541949" w:rsidP="005F5F6D">
            <w:pPr>
              <w:rPr>
                <w:rFonts w:ascii="Times New Roman" w:hAnsi="Times New Roman"/>
                <w:sz w:val="24"/>
                <w:szCs w:val="24"/>
                <w:lang w:val="ro-RO"/>
              </w:rPr>
            </w:pPr>
            <w:r w:rsidRPr="00985FCD">
              <w:rPr>
                <w:rFonts w:ascii="Times New Roman" w:hAnsi="Times New Roman"/>
                <w:sz w:val="24"/>
                <w:szCs w:val="24"/>
                <w:lang w:val="ro-RO"/>
              </w:rPr>
              <w:t>Proiectul respectă prevederile legislației naționale și nu intră în contradicție cu prevederile legislației UE.</w:t>
            </w:r>
          </w:p>
          <w:p w14:paraId="55149589" w14:textId="2779B4F9" w:rsidR="00985FCD" w:rsidRPr="00985FCD" w:rsidRDefault="00985FCD" w:rsidP="00985FCD">
            <w:pPr>
              <w:ind w:firstLine="0"/>
              <w:rPr>
                <w:rFonts w:ascii="Times New Roman" w:hAnsi="Times New Roman"/>
                <w:sz w:val="24"/>
                <w:szCs w:val="24"/>
                <w:lang w:val="ro-RO"/>
              </w:rPr>
            </w:pPr>
          </w:p>
        </w:tc>
      </w:tr>
      <w:tr w:rsidR="00BB271D" w:rsidRPr="00985FCD" w14:paraId="103E879C"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880620F" w14:textId="77777777" w:rsidR="00BB271D" w:rsidRPr="00985FCD" w:rsidRDefault="00A46A3E">
            <w:pPr>
              <w:rPr>
                <w:rFonts w:ascii="Times New Roman" w:hAnsi="Times New Roman"/>
                <w:b/>
                <w:bCs/>
                <w:sz w:val="24"/>
                <w:szCs w:val="24"/>
                <w:lang w:val="ro-RO"/>
              </w:rPr>
            </w:pPr>
            <w:r w:rsidRPr="00985FCD">
              <w:rPr>
                <w:rFonts w:ascii="Times New Roman" w:hAnsi="Times New Roman"/>
                <w:b/>
                <w:bCs/>
                <w:sz w:val="24"/>
                <w:szCs w:val="24"/>
                <w:lang w:val="ro-RO"/>
              </w:rPr>
              <w:t>6. Avizarea și consultarea publică a proiectului actului normativ</w:t>
            </w:r>
          </w:p>
        </w:tc>
      </w:tr>
      <w:tr w:rsidR="00BB271D" w:rsidRPr="00985FCD" w14:paraId="7547CDB7" w14:textId="77777777" w:rsidTr="00422AF6">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AAC6E3" w14:textId="2292BECF" w:rsidR="005F5F6D" w:rsidRPr="00985FCD" w:rsidRDefault="005F5F6D" w:rsidP="00792950">
            <w:pPr>
              <w:ind w:firstLine="750"/>
              <w:rPr>
                <w:rFonts w:ascii="Times New Roman" w:hAnsi="Times New Roman"/>
                <w:sz w:val="24"/>
                <w:szCs w:val="24"/>
                <w:lang w:val="ro-MD"/>
              </w:rPr>
            </w:pPr>
            <w:r w:rsidRPr="00985FCD">
              <w:rPr>
                <w:rFonts w:ascii="Times New Roman" w:hAnsi="Times New Roman"/>
                <w:sz w:val="24"/>
                <w:szCs w:val="24"/>
                <w:lang w:val="ro-MD"/>
              </w:rPr>
              <w:t xml:space="preserve">În scopul respectării prevederilor Legii nr. 239/2008 privind transparența în procesul decizional, anunțul privind </w:t>
            </w:r>
            <w:proofErr w:type="spellStart"/>
            <w:r w:rsidR="005D0C30" w:rsidRPr="00985FCD">
              <w:rPr>
                <w:rFonts w:ascii="Times New Roman" w:hAnsi="Times New Roman"/>
                <w:sz w:val="24"/>
                <w:szCs w:val="24"/>
                <w:lang w:val="ro-MD"/>
              </w:rPr>
              <w:t>ini</w:t>
            </w:r>
            <w:r w:rsidR="005D0C30" w:rsidRPr="00985FCD">
              <w:rPr>
                <w:rFonts w:ascii="Times New Roman" w:hAnsi="Times New Roman"/>
                <w:sz w:val="24"/>
                <w:szCs w:val="24"/>
                <w:lang w:val="ro-RO"/>
              </w:rPr>
              <w:t>țierea</w:t>
            </w:r>
            <w:proofErr w:type="spellEnd"/>
            <w:r w:rsidR="005D0C30" w:rsidRPr="00985FCD">
              <w:rPr>
                <w:rFonts w:ascii="Times New Roman" w:hAnsi="Times New Roman"/>
                <w:sz w:val="24"/>
                <w:szCs w:val="24"/>
                <w:lang w:val="ro-RO"/>
              </w:rPr>
              <w:t xml:space="preserve"> </w:t>
            </w:r>
            <w:r w:rsidR="00792950" w:rsidRPr="00985FCD">
              <w:rPr>
                <w:rFonts w:ascii="Times New Roman" w:hAnsi="Times New Roman"/>
                <w:sz w:val="24"/>
                <w:szCs w:val="24"/>
                <w:lang w:val="ro-MD"/>
              </w:rPr>
              <w:t xml:space="preserve">procesului de consultare publică a </w:t>
            </w:r>
            <w:r w:rsidR="005D0C30" w:rsidRPr="00985FCD">
              <w:rPr>
                <w:rFonts w:ascii="Times New Roman" w:hAnsi="Times New Roman"/>
                <w:sz w:val="24"/>
                <w:szCs w:val="24"/>
                <w:lang w:val="ro-MD"/>
              </w:rPr>
              <w:t>proiectului Regulamentului</w:t>
            </w:r>
            <w:r w:rsidRPr="00985FCD">
              <w:rPr>
                <w:rFonts w:ascii="Times New Roman" w:hAnsi="Times New Roman"/>
                <w:sz w:val="24"/>
                <w:szCs w:val="24"/>
                <w:lang w:val="ro-MD"/>
              </w:rPr>
              <w:t xml:space="preserve"> a fost plasat pe pagina web oficială a Ministerului Educației și Cercetării, </w:t>
            </w:r>
            <w:hyperlink r:id="rId11" w:history="1">
              <w:r w:rsidRPr="00985FCD">
                <w:rPr>
                  <w:rStyle w:val="Hyperlink"/>
                  <w:rFonts w:ascii="Times New Roman" w:hAnsi="Times New Roman"/>
                  <w:sz w:val="24"/>
                  <w:szCs w:val="24"/>
                  <w:lang w:val="ro-MD"/>
                </w:rPr>
                <w:t>www.mec.gov.md</w:t>
              </w:r>
            </w:hyperlink>
            <w:r w:rsidRPr="00985FCD">
              <w:rPr>
                <w:rFonts w:ascii="Times New Roman" w:hAnsi="Times New Roman"/>
                <w:sz w:val="24"/>
                <w:szCs w:val="24"/>
                <w:lang w:val="ro-MD"/>
              </w:rPr>
              <w:t xml:space="preserve">, la compartimentul Transparența decizională, precum și pe pagina web </w:t>
            </w:r>
            <w:hyperlink r:id="rId12" w:history="1">
              <w:r w:rsidR="005D0C30" w:rsidRPr="00985FCD">
                <w:rPr>
                  <w:rStyle w:val="Hyperlink"/>
                  <w:rFonts w:ascii="Times New Roman" w:hAnsi="Times New Roman"/>
                  <w:sz w:val="24"/>
                  <w:szCs w:val="24"/>
                  <w:lang w:val="ro-MD"/>
                </w:rPr>
                <w:t>www.particip.gov.md</w:t>
              </w:r>
            </w:hyperlink>
            <w:r w:rsidR="005D0C30" w:rsidRPr="00985FCD">
              <w:rPr>
                <w:rFonts w:ascii="Times New Roman" w:hAnsi="Times New Roman"/>
                <w:sz w:val="24"/>
                <w:szCs w:val="24"/>
                <w:lang w:val="ro-MD"/>
              </w:rPr>
              <w:t xml:space="preserve">. </w:t>
            </w:r>
          </w:p>
          <w:p w14:paraId="70C30B55" w14:textId="3927F366" w:rsidR="005D0C30" w:rsidRDefault="005D0C30" w:rsidP="005D0C30">
            <w:pPr>
              <w:rPr>
                <w:rFonts w:ascii="Times New Roman" w:hAnsi="Times New Roman"/>
                <w:sz w:val="24"/>
                <w:szCs w:val="24"/>
              </w:rPr>
            </w:pPr>
            <w:proofErr w:type="spellStart"/>
            <w:r w:rsidRPr="00985FCD">
              <w:rPr>
                <w:rFonts w:ascii="Times New Roman" w:hAnsi="Times New Roman"/>
                <w:sz w:val="24"/>
                <w:szCs w:val="24"/>
              </w:rPr>
              <w:t>Proiectul</w:t>
            </w:r>
            <w:proofErr w:type="spellEnd"/>
            <w:r w:rsidRPr="00985FCD">
              <w:rPr>
                <w:rFonts w:ascii="Times New Roman" w:hAnsi="Times New Roman"/>
                <w:sz w:val="24"/>
                <w:szCs w:val="24"/>
              </w:rPr>
              <w:t xml:space="preserve"> </w:t>
            </w:r>
            <w:proofErr w:type="spellStart"/>
            <w:r w:rsidRPr="00985FCD">
              <w:rPr>
                <w:rFonts w:ascii="Times New Roman" w:hAnsi="Times New Roman"/>
                <w:sz w:val="24"/>
                <w:szCs w:val="24"/>
              </w:rPr>
              <w:t>urmează</w:t>
            </w:r>
            <w:proofErr w:type="spellEnd"/>
            <w:r w:rsidRPr="00985FCD">
              <w:rPr>
                <w:rFonts w:ascii="Times New Roman" w:hAnsi="Times New Roman"/>
                <w:sz w:val="24"/>
                <w:szCs w:val="24"/>
              </w:rPr>
              <w:t xml:space="preserve"> a fi </w:t>
            </w:r>
            <w:proofErr w:type="spellStart"/>
            <w:r w:rsidRPr="00985FCD">
              <w:rPr>
                <w:rFonts w:ascii="Times New Roman" w:hAnsi="Times New Roman"/>
                <w:sz w:val="24"/>
                <w:szCs w:val="24"/>
              </w:rPr>
              <w:t>avizat</w:t>
            </w:r>
            <w:proofErr w:type="spellEnd"/>
            <w:r w:rsidRPr="00985FCD">
              <w:rPr>
                <w:rFonts w:ascii="Times New Roman" w:hAnsi="Times New Roman"/>
                <w:sz w:val="24"/>
                <w:szCs w:val="24"/>
              </w:rPr>
              <w:t xml:space="preserve"> la</w:t>
            </w:r>
            <w:r w:rsidR="005C53B2" w:rsidRPr="00985FCD">
              <w:rPr>
                <w:rFonts w:ascii="Times New Roman" w:hAnsi="Times New Roman"/>
                <w:sz w:val="24"/>
                <w:szCs w:val="24"/>
              </w:rPr>
              <w:t xml:space="preserve"> </w:t>
            </w:r>
            <w:proofErr w:type="spellStart"/>
            <w:r w:rsidR="005C53B2" w:rsidRPr="00985FCD">
              <w:rPr>
                <w:rFonts w:ascii="Times New Roman" w:hAnsi="Times New Roman"/>
                <w:sz w:val="24"/>
                <w:szCs w:val="24"/>
              </w:rPr>
              <w:t>Ministerul</w:t>
            </w:r>
            <w:proofErr w:type="spellEnd"/>
            <w:r w:rsidR="005C53B2" w:rsidRPr="00985FCD">
              <w:rPr>
                <w:rFonts w:ascii="Times New Roman" w:hAnsi="Times New Roman"/>
                <w:sz w:val="24"/>
                <w:szCs w:val="24"/>
              </w:rPr>
              <w:t xml:space="preserve"> </w:t>
            </w:r>
            <w:proofErr w:type="spellStart"/>
            <w:r w:rsidR="00D25BD5" w:rsidRPr="00985FCD">
              <w:rPr>
                <w:rFonts w:ascii="Times New Roman" w:hAnsi="Times New Roman"/>
                <w:sz w:val="24"/>
                <w:szCs w:val="24"/>
              </w:rPr>
              <w:t>Finanțelor</w:t>
            </w:r>
            <w:proofErr w:type="spellEnd"/>
            <w:r w:rsidR="005C53B2" w:rsidRPr="00985FCD">
              <w:rPr>
                <w:rFonts w:ascii="Times New Roman" w:hAnsi="Times New Roman"/>
                <w:sz w:val="24"/>
                <w:szCs w:val="24"/>
              </w:rPr>
              <w:t xml:space="preserve">, </w:t>
            </w:r>
            <w:proofErr w:type="spellStart"/>
            <w:r w:rsidR="005C53B2" w:rsidRPr="00985FCD">
              <w:rPr>
                <w:rFonts w:ascii="Times New Roman" w:hAnsi="Times New Roman"/>
                <w:sz w:val="24"/>
                <w:szCs w:val="24"/>
              </w:rPr>
              <w:t>Ministerul</w:t>
            </w:r>
            <w:proofErr w:type="spellEnd"/>
            <w:r w:rsidR="005C53B2" w:rsidRPr="00985FCD">
              <w:rPr>
                <w:rFonts w:ascii="Times New Roman" w:hAnsi="Times New Roman"/>
                <w:sz w:val="24"/>
                <w:szCs w:val="24"/>
              </w:rPr>
              <w:t xml:space="preserve"> </w:t>
            </w:r>
            <w:proofErr w:type="spellStart"/>
            <w:r w:rsidR="00D25BD5" w:rsidRPr="00985FCD">
              <w:rPr>
                <w:rFonts w:ascii="Times New Roman" w:hAnsi="Times New Roman"/>
                <w:sz w:val="24"/>
                <w:szCs w:val="24"/>
              </w:rPr>
              <w:t>Muncii</w:t>
            </w:r>
            <w:proofErr w:type="spellEnd"/>
            <w:r w:rsidR="00D25BD5" w:rsidRPr="00985FCD">
              <w:rPr>
                <w:rFonts w:ascii="Times New Roman" w:hAnsi="Times New Roman"/>
                <w:sz w:val="24"/>
                <w:szCs w:val="24"/>
              </w:rPr>
              <w:t xml:space="preserve"> </w:t>
            </w:r>
            <w:proofErr w:type="spellStart"/>
            <w:r w:rsidR="00D25BD5" w:rsidRPr="00985FCD">
              <w:rPr>
                <w:rFonts w:ascii="Times New Roman" w:hAnsi="Times New Roman"/>
                <w:sz w:val="24"/>
                <w:szCs w:val="24"/>
              </w:rPr>
              <w:t>și</w:t>
            </w:r>
            <w:proofErr w:type="spellEnd"/>
            <w:r w:rsidR="00D25BD5" w:rsidRPr="00985FCD">
              <w:rPr>
                <w:rFonts w:ascii="Times New Roman" w:hAnsi="Times New Roman"/>
                <w:sz w:val="24"/>
                <w:szCs w:val="24"/>
              </w:rPr>
              <w:t xml:space="preserve"> </w:t>
            </w:r>
            <w:proofErr w:type="spellStart"/>
            <w:r w:rsidR="00D25BD5" w:rsidRPr="00985FCD">
              <w:rPr>
                <w:rFonts w:ascii="Times New Roman" w:hAnsi="Times New Roman"/>
                <w:sz w:val="24"/>
                <w:szCs w:val="24"/>
              </w:rPr>
              <w:t>Protecției</w:t>
            </w:r>
            <w:proofErr w:type="spellEnd"/>
            <w:r w:rsidR="00D25BD5" w:rsidRPr="00985FCD">
              <w:rPr>
                <w:rFonts w:ascii="Times New Roman" w:hAnsi="Times New Roman"/>
                <w:sz w:val="24"/>
                <w:szCs w:val="24"/>
              </w:rPr>
              <w:t xml:space="preserve"> </w:t>
            </w:r>
            <w:proofErr w:type="spellStart"/>
            <w:r w:rsidR="00D25BD5" w:rsidRPr="00985FCD">
              <w:rPr>
                <w:rFonts w:ascii="Times New Roman" w:hAnsi="Times New Roman"/>
                <w:sz w:val="24"/>
                <w:szCs w:val="24"/>
              </w:rPr>
              <w:t>Sociale</w:t>
            </w:r>
            <w:proofErr w:type="spellEnd"/>
            <w:r w:rsidR="00D25BD5" w:rsidRPr="00985FCD">
              <w:rPr>
                <w:rFonts w:ascii="Times New Roman" w:hAnsi="Times New Roman"/>
                <w:sz w:val="24"/>
                <w:szCs w:val="24"/>
              </w:rPr>
              <w:t>.</w:t>
            </w:r>
            <w:r w:rsidR="005C53B2" w:rsidRPr="00985FCD">
              <w:rPr>
                <w:rFonts w:ascii="Times New Roman" w:hAnsi="Times New Roman"/>
                <w:sz w:val="24"/>
                <w:szCs w:val="24"/>
              </w:rPr>
              <w:t xml:space="preserve"> </w:t>
            </w:r>
          </w:p>
          <w:p w14:paraId="49E51AF4" w14:textId="103F8AF8" w:rsidR="00985FCD" w:rsidRPr="00985FCD" w:rsidRDefault="00985FCD" w:rsidP="005D0C30">
            <w:pPr>
              <w:rPr>
                <w:rFonts w:ascii="Times New Roman" w:hAnsi="Times New Roman"/>
                <w:sz w:val="24"/>
                <w:szCs w:val="24"/>
                <w:lang w:val="ro-RO"/>
              </w:rPr>
            </w:pPr>
          </w:p>
        </w:tc>
      </w:tr>
      <w:tr w:rsidR="00BB271D" w:rsidRPr="00985FCD" w14:paraId="039CFC11"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EABE5D5" w14:textId="77777777" w:rsidR="00BB271D" w:rsidRPr="00985FCD" w:rsidRDefault="00A46A3E">
            <w:pPr>
              <w:rPr>
                <w:rFonts w:ascii="Times New Roman" w:hAnsi="Times New Roman"/>
                <w:b/>
                <w:bCs/>
                <w:sz w:val="24"/>
                <w:szCs w:val="24"/>
                <w:lang w:val="ro-RO"/>
              </w:rPr>
            </w:pPr>
            <w:r w:rsidRPr="00985FCD">
              <w:rPr>
                <w:rFonts w:ascii="Times New Roman" w:hAnsi="Times New Roman"/>
                <w:b/>
                <w:bCs/>
                <w:sz w:val="24"/>
                <w:szCs w:val="24"/>
                <w:lang w:val="ro-RO"/>
              </w:rPr>
              <w:t>7. Concluziile expertizelor</w:t>
            </w:r>
          </w:p>
        </w:tc>
      </w:tr>
      <w:tr w:rsidR="00BB271D" w:rsidRPr="00985FCD" w14:paraId="73157A50"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22D69CB" w14:textId="77777777" w:rsidR="005F5F6D" w:rsidRDefault="004A3C07" w:rsidP="00EC7CE3">
            <w:pPr>
              <w:rPr>
                <w:rFonts w:ascii="Times New Roman" w:hAnsi="Times New Roman"/>
                <w:sz w:val="24"/>
                <w:szCs w:val="24"/>
                <w:lang w:val="ro-RO"/>
              </w:rPr>
            </w:pPr>
            <w:r w:rsidRPr="00985FCD">
              <w:rPr>
                <w:rFonts w:ascii="Times New Roman" w:hAnsi="Times New Roman"/>
                <w:sz w:val="24"/>
                <w:szCs w:val="24"/>
                <w:lang w:val="ro-RO"/>
              </w:rPr>
              <w:t xml:space="preserve">Proiectul urmează a fi supus </w:t>
            </w:r>
            <w:r w:rsidR="005C53B2" w:rsidRPr="00985FCD">
              <w:rPr>
                <w:rFonts w:ascii="Times New Roman" w:hAnsi="Times New Roman"/>
                <w:sz w:val="24"/>
                <w:szCs w:val="24"/>
                <w:lang w:val="ro-RO"/>
              </w:rPr>
              <w:t>expertizei juridice la Ministerul Justiției și expertizei anticorupție la Centrul Național Anticorupție.</w:t>
            </w:r>
          </w:p>
          <w:p w14:paraId="387EC9EE" w14:textId="0596B86A" w:rsidR="00985FCD" w:rsidRPr="00985FCD" w:rsidRDefault="00985FCD" w:rsidP="00EC7CE3">
            <w:pPr>
              <w:rPr>
                <w:rFonts w:ascii="Times New Roman" w:hAnsi="Times New Roman"/>
                <w:b/>
                <w:bCs/>
                <w:sz w:val="24"/>
                <w:szCs w:val="24"/>
                <w:lang w:val="ro-RO"/>
              </w:rPr>
            </w:pPr>
          </w:p>
        </w:tc>
      </w:tr>
      <w:tr w:rsidR="00BB271D" w:rsidRPr="00985FCD" w14:paraId="628B7959"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A023A83" w14:textId="77777777" w:rsidR="00BB271D" w:rsidRPr="00985FCD" w:rsidRDefault="00A46A3E">
            <w:pPr>
              <w:rPr>
                <w:rFonts w:ascii="Times New Roman" w:hAnsi="Times New Roman"/>
                <w:b/>
                <w:bCs/>
                <w:sz w:val="24"/>
                <w:szCs w:val="24"/>
                <w:lang w:val="ro-RO"/>
              </w:rPr>
            </w:pPr>
            <w:r w:rsidRPr="00985FCD">
              <w:rPr>
                <w:rFonts w:ascii="Times New Roman" w:hAnsi="Times New Roman"/>
                <w:b/>
                <w:bCs/>
                <w:sz w:val="24"/>
                <w:szCs w:val="24"/>
                <w:lang w:val="ro-RO"/>
              </w:rPr>
              <w:t>8. Modul de încorporare a actului în cadrul normativ existent</w:t>
            </w:r>
          </w:p>
        </w:tc>
      </w:tr>
      <w:tr w:rsidR="00BB271D" w:rsidRPr="00985FCD" w14:paraId="762BF38A" w14:textId="77777777" w:rsidTr="00422AF6">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4FC9DB" w14:textId="77777777" w:rsidR="005F5F6D" w:rsidRDefault="005C53B2" w:rsidP="00EC7CE3">
            <w:pPr>
              <w:rPr>
                <w:rFonts w:ascii="Times New Roman" w:hAnsi="Times New Roman"/>
                <w:b/>
                <w:bCs/>
                <w:sz w:val="24"/>
                <w:szCs w:val="24"/>
                <w:lang w:val="ro-RO"/>
              </w:rPr>
            </w:pPr>
            <w:r w:rsidRPr="00985FCD">
              <w:rPr>
                <w:rFonts w:ascii="Times New Roman" w:hAnsi="Times New Roman"/>
                <w:b/>
                <w:bCs/>
                <w:sz w:val="24"/>
                <w:szCs w:val="24"/>
                <w:lang w:val="ro-RO"/>
              </w:rPr>
              <w:t>Nu este aplicabil.</w:t>
            </w:r>
            <w:r w:rsidR="00A46A3E" w:rsidRPr="00985FCD">
              <w:rPr>
                <w:rFonts w:ascii="Times New Roman" w:hAnsi="Times New Roman"/>
                <w:b/>
                <w:bCs/>
                <w:sz w:val="24"/>
                <w:szCs w:val="24"/>
                <w:lang w:val="ro-RO"/>
              </w:rPr>
              <w:t xml:space="preserve"> </w:t>
            </w:r>
          </w:p>
          <w:p w14:paraId="1BBB294B" w14:textId="23403577" w:rsidR="00985FCD" w:rsidRPr="00985FCD" w:rsidRDefault="00985FCD" w:rsidP="00EC7CE3">
            <w:pPr>
              <w:rPr>
                <w:rFonts w:ascii="Times New Roman" w:hAnsi="Times New Roman"/>
                <w:b/>
                <w:bCs/>
                <w:sz w:val="24"/>
                <w:szCs w:val="24"/>
                <w:lang w:val="ro-RO"/>
              </w:rPr>
            </w:pPr>
          </w:p>
        </w:tc>
      </w:tr>
      <w:tr w:rsidR="00BB271D" w:rsidRPr="00985FCD" w14:paraId="7E88909C" w14:textId="77777777" w:rsidTr="00422AF6">
        <w:tc>
          <w:tcPr>
            <w:tcW w:w="1019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F2AF869" w14:textId="77777777" w:rsidR="00BB271D" w:rsidRPr="00985FCD" w:rsidRDefault="00A46A3E">
            <w:pPr>
              <w:rPr>
                <w:rFonts w:ascii="Times New Roman" w:hAnsi="Times New Roman"/>
                <w:b/>
                <w:bCs/>
                <w:sz w:val="24"/>
                <w:szCs w:val="24"/>
                <w:lang w:val="ro-RO"/>
              </w:rPr>
            </w:pPr>
            <w:r w:rsidRPr="00985FCD">
              <w:rPr>
                <w:rFonts w:ascii="Times New Roman" w:hAnsi="Times New Roman"/>
                <w:b/>
                <w:bCs/>
                <w:sz w:val="24"/>
                <w:szCs w:val="24"/>
                <w:lang w:val="ro-RO"/>
              </w:rPr>
              <w:t>9. Măsurile necesare pentru implementarea prevederilor proiectului actului normativ</w:t>
            </w:r>
          </w:p>
        </w:tc>
      </w:tr>
      <w:tr w:rsidR="00BB271D" w:rsidRPr="00985FCD" w14:paraId="76CA0EBD" w14:textId="77777777" w:rsidTr="00422AF6">
        <w:tc>
          <w:tcPr>
            <w:tcW w:w="1019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63DDAA" w14:textId="1B13A6B9" w:rsidR="002A6A84" w:rsidRPr="00985FCD" w:rsidRDefault="002A6A84" w:rsidP="002A6A84">
            <w:pPr>
              <w:rPr>
                <w:rFonts w:ascii="Times New Roman" w:hAnsi="Times New Roman"/>
                <w:sz w:val="24"/>
                <w:szCs w:val="24"/>
                <w:lang w:val="ro-RO"/>
              </w:rPr>
            </w:pPr>
            <w:r w:rsidRPr="00985FCD">
              <w:rPr>
                <w:rFonts w:ascii="Times New Roman" w:hAnsi="Times New Roman"/>
                <w:sz w:val="24"/>
                <w:szCs w:val="24"/>
                <w:lang w:val="ro-RO"/>
              </w:rPr>
              <w:t>Pentru implementarea prevederilor proiectului actului normativ nu sunt nece</w:t>
            </w:r>
            <w:r w:rsidR="00BF2073" w:rsidRPr="00985FCD">
              <w:rPr>
                <w:rFonts w:ascii="Times New Roman" w:hAnsi="Times New Roman"/>
                <w:sz w:val="24"/>
                <w:szCs w:val="24"/>
                <w:lang w:val="ro-RO"/>
              </w:rPr>
              <w:t>s</w:t>
            </w:r>
            <w:r w:rsidRPr="00985FCD">
              <w:rPr>
                <w:rFonts w:ascii="Times New Roman" w:hAnsi="Times New Roman"/>
                <w:sz w:val="24"/>
                <w:szCs w:val="24"/>
                <w:lang w:val="ro-RO"/>
              </w:rPr>
              <w:t>are măsuri</w:t>
            </w:r>
          </w:p>
          <w:p w14:paraId="1C6ED925" w14:textId="77777777" w:rsidR="00BB271D" w:rsidRDefault="002A6A84" w:rsidP="002A6A84">
            <w:pPr>
              <w:ind w:firstLine="0"/>
              <w:rPr>
                <w:rFonts w:ascii="Times New Roman" w:hAnsi="Times New Roman"/>
                <w:sz w:val="24"/>
                <w:szCs w:val="24"/>
                <w:lang w:val="ro-RO"/>
              </w:rPr>
            </w:pPr>
            <w:r w:rsidRPr="00985FCD">
              <w:rPr>
                <w:rFonts w:ascii="Times New Roman" w:hAnsi="Times New Roman"/>
                <w:sz w:val="24"/>
                <w:szCs w:val="24"/>
                <w:lang w:val="ro-RO"/>
              </w:rPr>
              <w:t>suplimentare.</w:t>
            </w:r>
          </w:p>
          <w:p w14:paraId="5820A0EA" w14:textId="1CFFCD2C" w:rsidR="00985FCD" w:rsidRPr="00985FCD" w:rsidRDefault="00985FCD" w:rsidP="002A6A84">
            <w:pPr>
              <w:ind w:firstLine="0"/>
              <w:rPr>
                <w:rFonts w:ascii="Times New Roman" w:hAnsi="Times New Roman"/>
                <w:sz w:val="24"/>
                <w:szCs w:val="24"/>
                <w:lang w:val="ro-RO"/>
              </w:rPr>
            </w:pPr>
          </w:p>
        </w:tc>
      </w:tr>
    </w:tbl>
    <w:p w14:paraId="03538015" w14:textId="250B5F4E" w:rsidR="00BB271D" w:rsidRPr="00985FCD" w:rsidRDefault="00BB271D" w:rsidP="00834AB9">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5CC1559" w14:textId="77777777" w:rsidR="00985FCD" w:rsidRDefault="00985FCD" w:rsidP="00834AB9">
      <w:pPr>
        <w:ind w:firstLine="708"/>
        <w:jc w:val="center"/>
        <w:rPr>
          <w:b/>
          <w:sz w:val="24"/>
          <w:szCs w:val="24"/>
          <w:lang w:val="ro-MD"/>
        </w:rPr>
      </w:pPr>
    </w:p>
    <w:p w14:paraId="66F65EE0" w14:textId="77777777" w:rsidR="00985FCD" w:rsidRDefault="00985FCD" w:rsidP="00834AB9">
      <w:pPr>
        <w:ind w:firstLine="708"/>
        <w:jc w:val="center"/>
        <w:rPr>
          <w:b/>
          <w:sz w:val="24"/>
          <w:szCs w:val="24"/>
          <w:lang w:val="ro-MD"/>
        </w:rPr>
      </w:pPr>
    </w:p>
    <w:p w14:paraId="0D2FA64B" w14:textId="715BB9DE" w:rsidR="00834AB9" w:rsidRPr="00985FCD" w:rsidRDefault="00834AB9" w:rsidP="00834AB9">
      <w:pPr>
        <w:ind w:firstLine="708"/>
        <w:jc w:val="center"/>
        <w:rPr>
          <w:b/>
          <w:sz w:val="24"/>
          <w:szCs w:val="24"/>
          <w:lang w:val="ro-MD"/>
        </w:rPr>
      </w:pPr>
      <w:r w:rsidRPr="00985FCD">
        <w:rPr>
          <w:b/>
          <w:sz w:val="24"/>
          <w:szCs w:val="24"/>
          <w:lang w:val="ro-MD"/>
        </w:rPr>
        <w:t xml:space="preserve">Ministru </w:t>
      </w:r>
      <w:r w:rsidRPr="00985FCD">
        <w:rPr>
          <w:b/>
          <w:sz w:val="24"/>
          <w:szCs w:val="24"/>
          <w:lang w:val="ro-MD"/>
        </w:rPr>
        <w:tab/>
      </w:r>
      <w:r w:rsidRPr="00985FCD">
        <w:rPr>
          <w:b/>
          <w:sz w:val="24"/>
          <w:szCs w:val="24"/>
          <w:lang w:val="ro-MD"/>
        </w:rPr>
        <w:tab/>
      </w:r>
      <w:r w:rsidRPr="00985FCD">
        <w:rPr>
          <w:b/>
          <w:sz w:val="24"/>
          <w:szCs w:val="24"/>
          <w:lang w:val="ro-MD"/>
        </w:rPr>
        <w:tab/>
      </w:r>
      <w:r w:rsidRPr="00985FCD">
        <w:rPr>
          <w:b/>
          <w:sz w:val="24"/>
          <w:szCs w:val="24"/>
          <w:lang w:val="ro-MD"/>
        </w:rPr>
        <w:tab/>
      </w:r>
      <w:r w:rsidRPr="00985FCD">
        <w:rPr>
          <w:b/>
          <w:sz w:val="24"/>
          <w:szCs w:val="24"/>
          <w:lang w:val="ro-MD"/>
        </w:rPr>
        <w:tab/>
        <w:t xml:space="preserve">Dan PERCIUN </w:t>
      </w:r>
    </w:p>
    <w:p w14:paraId="1DBF2013" w14:textId="77777777" w:rsidR="002A6A84" w:rsidRPr="00985FCD" w:rsidRDefault="002A6A84" w:rsidP="002A6A84">
      <w:pPr>
        <w:ind w:left="-567"/>
        <w:rPr>
          <w:sz w:val="24"/>
          <w:szCs w:val="24"/>
          <w:lang w:val="ro-RO"/>
        </w:rPr>
      </w:pPr>
    </w:p>
    <w:p w14:paraId="169D9B5E" w14:textId="77777777" w:rsidR="002A6A84" w:rsidRPr="00985FCD" w:rsidRDefault="002A6A84" w:rsidP="002A6A84">
      <w:pPr>
        <w:ind w:left="-567"/>
        <w:rPr>
          <w:sz w:val="24"/>
          <w:szCs w:val="24"/>
          <w:lang w:val="ro-RO"/>
        </w:rPr>
      </w:pPr>
    </w:p>
    <w:p w14:paraId="217BE3B4" w14:textId="77777777" w:rsidR="002A6A84" w:rsidRPr="00985FCD" w:rsidRDefault="002A6A84" w:rsidP="002A6A84">
      <w:pPr>
        <w:ind w:left="-567"/>
        <w:rPr>
          <w:sz w:val="24"/>
          <w:szCs w:val="24"/>
          <w:lang w:val="ro-RO"/>
        </w:rPr>
      </w:pPr>
    </w:p>
    <w:p w14:paraId="7B9F7A6F" w14:textId="77777777" w:rsidR="002A6A84" w:rsidRPr="00985FCD" w:rsidRDefault="002A6A84" w:rsidP="002A6A84">
      <w:pPr>
        <w:ind w:left="-567"/>
        <w:rPr>
          <w:sz w:val="24"/>
          <w:szCs w:val="24"/>
          <w:lang w:val="ro-RO"/>
        </w:rPr>
      </w:pPr>
    </w:p>
    <w:p w14:paraId="2FFA1C9E" w14:textId="77777777" w:rsidR="002A6A84" w:rsidRPr="00985FCD" w:rsidRDefault="002A6A84" w:rsidP="002A6A84">
      <w:pPr>
        <w:ind w:left="-567"/>
        <w:rPr>
          <w:sz w:val="24"/>
          <w:szCs w:val="24"/>
          <w:lang w:val="ro-RO"/>
        </w:rPr>
      </w:pPr>
    </w:p>
    <w:p w14:paraId="160FC3C3" w14:textId="14A2A081" w:rsidR="002A6A84" w:rsidRDefault="002A6A84" w:rsidP="002A6A84">
      <w:pPr>
        <w:ind w:left="-567"/>
        <w:rPr>
          <w:lang w:val="ro-RO"/>
        </w:rPr>
      </w:pPr>
    </w:p>
    <w:p w14:paraId="3DF42245" w14:textId="59D38DC0" w:rsidR="00985FCD" w:rsidRDefault="00985FCD" w:rsidP="002A6A84">
      <w:pPr>
        <w:ind w:left="-567"/>
        <w:rPr>
          <w:lang w:val="ro-RO"/>
        </w:rPr>
      </w:pPr>
    </w:p>
    <w:p w14:paraId="23F1F30A" w14:textId="14059CE1" w:rsidR="00985FCD" w:rsidRDefault="00985FCD" w:rsidP="002A6A84">
      <w:pPr>
        <w:ind w:left="-567"/>
        <w:rPr>
          <w:lang w:val="ro-RO"/>
        </w:rPr>
      </w:pPr>
    </w:p>
    <w:p w14:paraId="366019D6" w14:textId="1FCC0621" w:rsidR="00985FCD" w:rsidRDefault="00985FCD" w:rsidP="002A6A84">
      <w:pPr>
        <w:ind w:left="-567"/>
        <w:rPr>
          <w:lang w:val="ro-RO"/>
        </w:rPr>
      </w:pPr>
    </w:p>
    <w:p w14:paraId="7113DC3A" w14:textId="21F49EC6" w:rsidR="00985FCD" w:rsidRDefault="00985FCD" w:rsidP="002A6A84">
      <w:pPr>
        <w:ind w:left="-567"/>
        <w:rPr>
          <w:lang w:val="ro-RO"/>
        </w:rPr>
      </w:pPr>
    </w:p>
    <w:p w14:paraId="407BD597" w14:textId="69BDDC84" w:rsidR="00985FCD" w:rsidRDefault="00985FCD" w:rsidP="002A6A84">
      <w:pPr>
        <w:ind w:left="-567"/>
        <w:rPr>
          <w:lang w:val="ro-RO"/>
        </w:rPr>
      </w:pPr>
    </w:p>
    <w:p w14:paraId="33C1ABEA" w14:textId="27ED026E" w:rsidR="00985FCD" w:rsidRDefault="00985FCD" w:rsidP="002A6A84">
      <w:pPr>
        <w:ind w:left="-567"/>
        <w:rPr>
          <w:lang w:val="ro-RO"/>
        </w:rPr>
      </w:pPr>
    </w:p>
    <w:p w14:paraId="4A83084F" w14:textId="1FE28A14" w:rsidR="00985FCD" w:rsidRDefault="00985FCD" w:rsidP="002A6A84">
      <w:pPr>
        <w:ind w:left="-567"/>
        <w:rPr>
          <w:lang w:val="ro-RO"/>
        </w:rPr>
      </w:pPr>
    </w:p>
    <w:p w14:paraId="50D7F0C4" w14:textId="073C5E55" w:rsidR="00985FCD" w:rsidRDefault="00985FCD" w:rsidP="002A6A84">
      <w:pPr>
        <w:ind w:left="-567"/>
        <w:rPr>
          <w:lang w:val="ro-RO"/>
        </w:rPr>
      </w:pPr>
    </w:p>
    <w:p w14:paraId="1414FC64" w14:textId="04235356" w:rsidR="00985FCD" w:rsidRDefault="00985FCD" w:rsidP="00952019">
      <w:pPr>
        <w:ind w:firstLine="0"/>
        <w:rPr>
          <w:lang w:val="ro-RO"/>
        </w:rPr>
      </w:pPr>
    </w:p>
    <w:p w14:paraId="5A40B6E6" w14:textId="7FB57948" w:rsidR="00985FCD" w:rsidRDefault="00985FCD" w:rsidP="002A6A84">
      <w:pPr>
        <w:ind w:left="-567"/>
        <w:rPr>
          <w:lang w:val="ro-RO"/>
        </w:rPr>
      </w:pPr>
    </w:p>
    <w:p w14:paraId="6FFAB64A" w14:textId="00302DE5" w:rsidR="00985FCD" w:rsidRDefault="00985FCD" w:rsidP="002A6A84">
      <w:pPr>
        <w:ind w:left="-567"/>
        <w:rPr>
          <w:lang w:val="ro-RO"/>
        </w:rPr>
      </w:pPr>
    </w:p>
    <w:p w14:paraId="535D6B27" w14:textId="41E4A384" w:rsidR="00985FCD" w:rsidRDefault="00985FCD" w:rsidP="002A6A84">
      <w:pPr>
        <w:ind w:left="-567"/>
        <w:rPr>
          <w:lang w:val="ro-RO"/>
        </w:rPr>
      </w:pPr>
    </w:p>
    <w:p w14:paraId="1D1EA078" w14:textId="7DBAF737" w:rsidR="00985FCD" w:rsidRDefault="00985FCD" w:rsidP="00952019">
      <w:pPr>
        <w:ind w:firstLine="0"/>
        <w:rPr>
          <w:lang w:val="ro-RO"/>
        </w:rPr>
      </w:pPr>
    </w:p>
    <w:p w14:paraId="08AAF969" w14:textId="222EF183" w:rsidR="00952019" w:rsidRDefault="00952019" w:rsidP="00952019">
      <w:pPr>
        <w:ind w:firstLine="0"/>
        <w:rPr>
          <w:lang w:val="ro-RO"/>
        </w:rPr>
      </w:pPr>
    </w:p>
    <w:p w14:paraId="7DF3E330" w14:textId="105F95E9" w:rsidR="00952019" w:rsidRDefault="00952019" w:rsidP="00952019">
      <w:pPr>
        <w:ind w:firstLine="0"/>
        <w:rPr>
          <w:lang w:val="ro-RO"/>
        </w:rPr>
      </w:pPr>
    </w:p>
    <w:p w14:paraId="3E06CDA8" w14:textId="260C80D9" w:rsidR="00952019" w:rsidRDefault="00952019" w:rsidP="00952019">
      <w:pPr>
        <w:ind w:firstLine="0"/>
        <w:rPr>
          <w:lang w:val="ro-RO"/>
        </w:rPr>
      </w:pPr>
    </w:p>
    <w:p w14:paraId="48B7BE01" w14:textId="4C00F68B" w:rsidR="00952019" w:rsidRDefault="00952019" w:rsidP="00952019">
      <w:pPr>
        <w:ind w:firstLine="0"/>
        <w:rPr>
          <w:lang w:val="ro-RO"/>
        </w:rPr>
      </w:pPr>
    </w:p>
    <w:p w14:paraId="5BFF0597" w14:textId="61865C8D" w:rsidR="00952019" w:rsidRDefault="00952019" w:rsidP="00952019">
      <w:pPr>
        <w:ind w:firstLine="0"/>
        <w:rPr>
          <w:lang w:val="ro-RO"/>
        </w:rPr>
      </w:pPr>
    </w:p>
    <w:p w14:paraId="268D382C" w14:textId="12B0A69C" w:rsidR="00985FCD" w:rsidRDefault="00985FCD" w:rsidP="00422AF6">
      <w:pPr>
        <w:ind w:firstLine="0"/>
        <w:rPr>
          <w:lang w:val="ro-RO"/>
        </w:rPr>
      </w:pPr>
    </w:p>
    <w:p w14:paraId="58994606" w14:textId="77777777" w:rsidR="00985FCD" w:rsidRPr="00985FCD" w:rsidRDefault="00985FCD" w:rsidP="00727C5A">
      <w:pPr>
        <w:ind w:firstLine="0"/>
        <w:rPr>
          <w:sz w:val="18"/>
          <w:szCs w:val="18"/>
          <w:lang w:val="ro-RO"/>
        </w:rPr>
      </w:pPr>
    </w:p>
    <w:p w14:paraId="219447EB" w14:textId="29289CB0" w:rsidR="002A6A84" w:rsidRPr="00985FCD" w:rsidRDefault="002A6A84" w:rsidP="002A6A84">
      <w:pPr>
        <w:ind w:left="-567"/>
        <w:rPr>
          <w:sz w:val="18"/>
          <w:szCs w:val="18"/>
          <w:lang w:val="ro-RO"/>
        </w:rPr>
      </w:pPr>
      <w:r w:rsidRPr="00985FCD">
        <w:rPr>
          <w:sz w:val="18"/>
          <w:szCs w:val="18"/>
          <w:lang w:val="ro-RO"/>
        </w:rPr>
        <w:t>Ex: Nani–</w:t>
      </w:r>
      <w:proofErr w:type="spellStart"/>
      <w:r w:rsidRPr="00985FCD">
        <w:rPr>
          <w:sz w:val="18"/>
          <w:szCs w:val="18"/>
          <w:lang w:val="ro-RO"/>
        </w:rPr>
        <w:t>Secrieru</w:t>
      </w:r>
      <w:proofErr w:type="spellEnd"/>
      <w:r w:rsidRPr="00985FCD">
        <w:rPr>
          <w:sz w:val="18"/>
          <w:szCs w:val="18"/>
          <w:lang w:val="ro-RO"/>
        </w:rPr>
        <w:t xml:space="preserve"> Carolina, tel.:022277508 </w:t>
      </w:r>
    </w:p>
    <w:p w14:paraId="42B182B7" w14:textId="6EF4B2C2" w:rsidR="00EC7CE3" w:rsidRPr="00985FCD" w:rsidRDefault="002A6A84" w:rsidP="002A6A84">
      <w:pPr>
        <w:ind w:left="-567"/>
        <w:rPr>
          <w:sz w:val="18"/>
          <w:szCs w:val="18"/>
          <w:lang w:val="ro-RO"/>
        </w:rPr>
      </w:pPr>
      <w:r w:rsidRPr="00985FCD">
        <w:rPr>
          <w:sz w:val="18"/>
          <w:szCs w:val="18"/>
          <w:lang w:val="ro-RO"/>
        </w:rPr>
        <w:t xml:space="preserve">Email: </w:t>
      </w:r>
      <w:hyperlink r:id="rId13" w:history="1">
        <w:r w:rsidRPr="00985FCD">
          <w:rPr>
            <w:rStyle w:val="Hyperlink"/>
            <w:sz w:val="18"/>
            <w:szCs w:val="18"/>
            <w:lang w:val="ro-RO"/>
          </w:rPr>
          <w:t>carolina.nani-secrieru@mec.gov.md</w:t>
        </w:r>
      </w:hyperlink>
      <w:r w:rsidRPr="00985FCD">
        <w:rPr>
          <w:sz w:val="18"/>
          <w:szCs w:val="18"/>
          <w:lang w:val="ro-RO"/>
        </w:rPr>
        <w:t xml:space="preserve"> </w:t>
      </w:r>
    </w:p>
    <w:sectPr w:rsidR="00EC7CE3" w:rsidRPr="00985FCD" w:rsidSect="00422AF6">
      <w:headerReference w:type="default" r:id="rId14"/>
      <w:headerReference w:type="first" r:id="rId15"/>
      <w:pgSz w:w="12240" w:h="15840" w:code="1"/>
      <w:pgMar w:top="709" w:right="616" w:bottom="142"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4B446" w14:textId="77777777" w:rsidR="00DA7AF3" w:rsidRDefault="00DA7AF3">
      <w:r>
        <w:separator/>
      </w:r>
    </w:p>
  </w:endnote>
  <w:endnote w:type="continuationSeparator" w:id="0">
    <w:p w14:paraId="11CB3D0B" w14:textId="77777777" w:rsidR="00DA7AF3" w:rsidRDefault="00DA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574F" w14:textId="77777777" w:rsidR="00DA7AF3" w:rsidRDefault="00DA7AF3">
      <w:r>
        <w:separator/>
      </w:r>
    </w:p>
  </w:footnote>
  <w:footnote w:type="continuationSeparator" w:id="0">
    <w:p w14:paraId="14F5A5DD" w14:textId="77777777" w:rsidR="00DA7AF3" w:rsidRDefault="00DA7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0428" w14:textId="77777777" w:rsidR="00BB271D" w:rsidRDefault="00BB271D">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B488" w14:textId="77777777" w:rsidR="00BB271D" w:rsidRDefault="00BB271D">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592"/>
    <w:multiLevelType w:val="hybridMultilevel"/>
    <w:tmpl w:val="229042E0"/>
    <w:lvl w:ilvl="0" w:tplc="66181236">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 w15:restartNumberingAfterBreak="0">
    <w:nsid w:val="05360B6C"/>
    <w:multiLevelType w:val="multilevel"/>
    <w:tmpl w:val="9AE4B89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47DCE"/>
    <w:multiLevelType w:val="multilevel"/>
    <w:tmpl w:val="5764FD0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4095F"/>
    <w:multiLevelType w:val="multilevel"/>
    <w:tmpl w:val="7B86581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0B6BD0"/>
    <w:multiLevelType w:val="multilevel"/>
    <w:tmpl w:val="C92AFB0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7030D"/>
    <w:multiLevelType w:val="multilevel"/>
    <w:tmpl w:val="69DC9B0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F05227"/>
    <w:multiLevelType w:val="multilevel"/>
    <w:tmpl w:val="DC8685F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2876BD"/>
    <w:multiLevelType w:val="multilevel"/>
    <w:tmpl w:val="0626315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FF22B2"/>
    <w:multiLevelType w:val="multilevel"/>
    <w:tmpl w:val="8FEE149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1B319DD"/>
    <w:multiLevelType w:val="hybridMultilevel"/>
    <w:tmpl w:val="E61ECECC"/>
    <w:lvl w:ilvl="0" w:tplc="FFFFFFFF">
      <w:start w:val="1"/>
      <w:numFmt w:val="decimal"/>
      <w:lvlText w:val="%1)"/>
      <w:lvlJc w:val="left"/>
      <w:pPr>
        <w:ind w:left="1252" w:hanging="360"/>
      </w:pPr>
      <w:rPr>
        <w:rFonts w:hint="default"/>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10" w15:restartNumberingAfterBreak="0">
    <w:nsid w:val="2328745A"/>
    <w:multiLevelType w:val="multilevel"/>
    <w:tmpl w:val="EA94D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C4422"/>
    <w:multiLevelType w:val="multilevel"/>
    <w:tmpl w:val="042A368E"/>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18546C"/>
    <w:multiLevelType w:val="multilevel"/>
    <w:tmpl w:val="F648A8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286B44"/>
    <w:multiLevelType w:val="multilevel"/>
    <w:tmpl w:val="996C2E62"/>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F14801"/>
    <w:multiLevelType w:val="multilevel"/>
    <w:tmpl w:val="46943102"/>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5F43F2"/>
    <w:multiLevelType w:val="multilevel"/>
    <w:tmpl w:val="BFCA4EB0"/>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681D95"/>
    <w:multiLevelType w:val="multilevel"/>
    <w:tmpl w:val="07E0751C"/>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0C95A33"/>
    <w:multiLevelType w:val="multilevel"/>
    <w:tmpl w:val="6182471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D13FF2"/>
    <w:multiLevelType w:val="multilevel"/>
    <w:tmpl w:val="BF1AC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500112"/>
    <w:multiLevelType w:val="multilevel"/>
    <w:tmpl w:val="63507DB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3D47D2"/>
    <w:multiLevelType w:val="multilevel"/>
    <w:tmpl w:val="100E5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875764"/>
    <w:multiLevelType w:val="multilevel"/>
    <w:tmpl w:val="B9A2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33779"/>
    <w:multiLevelType w:val="multilevel"/>
    <w:tmpl w:val="A6269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7440E"/>
    <w:multiLevelType w:val="multilevel"/>
    <w:tmpl w:val="1746508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46CA0"/>
    <w:multiLevelType w:val="multilevel"/>
    <w:tmpl w:val="F312B78A"/>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3E9D4AC2"/>
    <w:multiLevelType w:val="multilevel"/>
    <w:tmpl w:val="961C595C"/>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D15EF1"/>
    <w:multiLevelType w:val="multilevel"/>
    <w:tmpl w:val="4198E18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42FC77F8"/>
    <w:multiLevelType w:val="multilevel"/>
    <w:tmpl w:val="6034198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436A7361"/>
    <w:multiLevelType w:val="multilevel"/>
    <w:tmpl w:val="59849B1C"/>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455A4F5F"/>
    <w:multiLevelType w:val="multilevel"/>
    <w:tmpl w:val="5FBAFB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CB6E72"/>
    <w:multiLevelType w:val="multilevel"/>
    <w:tmpl w:val="B2108A0C"/>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375225"/>
    <w:multiLevelType w:val="hybridMultilevel"/>
    <w:tmpl w:val="32CE5A90"/>
    <w:lvl w:ilvl="0" w:tplc="FCA4B16C">
      <w:start w:val="2"/>
      <w:numFmt w:val="bullet"/>
      <w:lvlText w:val="-"/>
      <w:lvlJc w:val="left"/>
      <w:pPr>
        <w:ind w:left="1069" w:hanging="360"/>
      </w:pPr>
      <w:rPr>
        <w:rFonts w:ascii="Calibri" w:eastAsia="Calibri" w:hAnsi="Calibri" w:cs="Calibri"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32" w15:restartNumberingAfterBreak="0">
    <w:nsid w:val="4CC13D11"/>
    <w:multiLevelType w:val="hybridMultilevel"/>
    <w:tmpl w:val="FE0A5674"/>
    <w:lvl w:ilvl="0" w:tplc="5CCA2CD4">
      <w:start w:val="1"/>
      <w:numFmt w:val="bullet"/>
      <w:lvlText w:val="⁃"/>
      <w:lvlJc w:val="left"/>
      <w:pPr>
        <w:ind w:left="1429" w:hanging="360"/>
      </w:pPr>
      <w:rPr>
        <w:rFonts w:ascii="Times New Roman" w:hAnsi="Times New Roman" w:cs="Times New Roman"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33" w15:restartNumberingAfterBreak="0">
    <w:nsid w:val="4E4F6327"/>
    <w:multiLevelType w:val="multilevel"/>
    <w:tmpl w:val="3044F88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795E20"/>
    <w:multiLevelType w:val="multilevel"/>
    <w:tmpl w:val="5D004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A13E1D"/>
    <w:multiLevelType w:val="multilevel"/>
    <w:tmpl w:val="19B2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ED3DFA"/>
    <w:multiLevelType w:val="multilevel"/>
    <w:tmpl w:val="C04CC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DE5815"/>
    <w:multiLevelType w:val="multilevel"/>
    <w:tmpl w:val="E2D81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001FF"/>
    <w:multiLevelType w:val="multilevel"/>
    <w:tmpl w:val="85EEA30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14523E"/>
    <w:multiLevelType w:val="multilevel"/>
    <w:tmpl w:val="A8AE8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7056BE"/>
    <w:multiLevelType w:val="multilevel"/>
    <w:tmpl w:val="140A1C7C"/>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1" w15:restartNumberingAfterBreak="0">
    <w:nsid w:val="65757501"/>
    <w:multiLevelType w:val="multilevel"/>
    <w:tmpl w:val="DF10079E"/>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201667"/>
    <w:multiLevelType w:val="hybridMultilevel"/>
    <w:tmpl w:val="E61ECECC"/>
    <w:lvl w:ilvl="0" w:tplc="D5D01708">
      <w:start w:val="1"/>
      <w:numFmt w:val="decimal"/>
      <w:lvlText w:val="%1)"/>
      <w:lvlJc w:val="left"/>
      <w:pPr>
        <w:ind w:left="1252" w:hanging="360"/>
      </w:pPr>
      <w:rPr>
        <w:rFonts w:hint="default"/>
      </w:rPr>
    </w:lvl>
    <w:lvl w:ilvl="1" w:tplc="08180019" w:tentative="1">
      <w:start w:val="1"/>
      <w:numFmt w:val="lowerLetter"/>
      <w:lvlText w:val="%2."/>
      <w:lvlJc w:val="left"/>
      <w:pPr>
        <w:ind w:left="1972" w:hanging="360"/>
      </w:pPr>
    </w:lvl>
    <w:lvl w:ilvl="2" w:tplc="0818001B" w:tentative="1">
      <w:start w:val="1"/>
      <w:numFmt w:val="lowerRoman"/>
      <w:lvlText w:val="%3."/>
      <w:lvlJc w:val="right"/>
      <w:pPr>
        <w:ind w:left="2692" w:hanging="180"/>
      </w:pPr>
    </w:lvl>
    <w:lvl w:ilvl="3" w:tplc="0818000F" w:tentative="1">
      <w:start w:val="1"/>
      <w:numFmt w:val="decimal"/>
      <w:lvlText w:val="%4."/>
      <w:lvlJc w:val="left"/>
      <w:pPr>
        <w:ind w:left="3412" w:hanging="360"/>
      </w:pPr>
    </w:lvl>
    <w:lvl w:ilvl="4" w:tplc="08180019" w:tentative="1">
      <w:start w:val="1"/>
      <w:numFmt w:val="lowerLetter"/>
      <w:lvlText w:val="%5."/>
      <w:lvlJc w:val="left"/>
      <w:pPr>
        <w:ind w:left="4132" w:hanging="360"/>
      </w:pPr>
    </w:lvl>
    <w:lvl w:ilvl="5" w:tplc="0818001B" w:tentative="1">
      <w:start w:val="1"/>
      <w:numFmt w:val="lowerRoman"/>
      <w:lvlText w:val="%6."/>
      <w:lvlJc w:val="right"/>
      <w:pPr>
        <w:ind w:left="4852" w:hanging="180"/>
      </w:pPr>
    </w:lvl>
    <w:lvl w:ilvl="6" w:tplc="0818000F" w:tentative="1">
      <w:start w:val="1"/>
      <w:numFmt w:val="decimal"/>
      <w:lvlText w:val="%7."/>
      <w:lvlJc w:val="left"/>
      <w:pPr>
        <w:ind w:left="5572" w:hanging="360"/>
      </w:pPr>
    </w:lvl>
    <w:lvl w:ilvl="7" w:tplc="08180019" w:tentative="1">
      <w:start w:val="1"/>
      <w:numFmt w:val="lowerLetter"/>
      <w:lvlText w:val="%8."/>
      <w:lvlJc w:val="left"/>
      <w:pPr>
        <w:ind w:left="6292" w:hanging="360"/>
      </w:pPr>
    </w:lvl>
    <w:lvl w:ilvl="8" w:tplc="0818001B" w:tentative="1">
      <w:start w:val="1"/>
      <w:numFmt w:val="lowerRoman"/>
      <w:lvlText w:val="%9."/>
      <w:lvlJc w:val="right"/>
      <w:pPr>
        <w:ind w:left="7012" w:hanging="180"/>
      </w:pPr>
    </w:lvl>
  </w:abstractNum>
  <w:abstractNum w:abstractNumId="43" w15:restartNumberingAfterBreak="0">
    <w:nsid w:val="68566D95"/>
    <w:multiLevelType w:val="multilevel"/>
    <w:tmpl w:val="77300B28"/>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4" w15:restartNumberingAfterBreak="0">
    <w:nsid w:val="6B65604D"/>
    <w:multiLevelType w:val="multilevel"/>
    <w:tmpl w:val="88C2EDDE"/>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5" w15:restartNumberingAfterBreak="0">
    <w:nsid w:val="6C955CDB"/>
    <w:multiLevelType w:val="multilevel"/>
    <w:tmpl w:val="04382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3701D4"/>
    <w:multiLevelType w:val="hybridMultilevel"/>
    <w:tmpl w:val="E61ECECC"/>
    <w:lvl w:ilvl="0" w:tplc="FFFFFFFF">
      <w:start w:val="1"/>
      <w:numFmt w:val="decimal"/>
      <w:lvlText w:val="%1)"/>
      <w:lvlJc w:val="left"/>
      <w:pPr>
        <w:ind w:left="1252" w:hanging="360"/>
      </w:pPr>
      <w:rPr>
        <w:rFonts w:hint="default"/>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47" w15:restartNumberingAfterBreak="0">
    <w:nsid w:val="7C5A5E91"/>
    <w:multiLevelType w:val="multilevel"/>
    <w:tmpl w:val="63422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7"/>
  </w:num>
  <w:num w:numId="3">
    <w:abstractNumId w:val="12"/>
  </w:num>
  <w:num w:numId="4">
    <w:abstractNumId w:val="47"/>
  </w:num>
  <w:num w:numId="5">
    <w:abstractNumId w:val="25"/>
  </w:num>
  <w:num w:numId="6">
    <w:abstractNumId w:val="22"/>
  </w:num>
  <w:num w:numId="7">
    <w:abstractNumId w:val="20"/>
  </w:num>
  <w:num w:numId="8">
    <w:abstractNumId w:val="18"/>
  </w:num>
  <w:num w:numId="9">
    <w:abstractNumId w:val="1"/>
  </w:num>
  <w:num w:numId="10">
    <w:abstractNumId w:val="8"/>
  </w:num>
  <w:num w:numId="11">
    <w:abstractNumId w:val="40"/>
  </w:num>
  <w:num w:numId="12">
    <w:abstractNumId w:val="11"/>
  </w:num>
  <w:num w:numId="13">
    <w:abstractNumId w:val="38"/>
  </w:num>
  <w:num w:numId="14">
    <w:abstractNumId w:val="29"/>
  </w:num>
  <w:num w:numId="15">
    <w:abstractNumId w:val="26"/>
  </w:num>
  <w:num w:numId="16">
    <w:abstractNumId w:val="14"/>
  </w:num>
  <w:num w:numId="17">
    <w:abstractNumId w:val="15"/>
  </w:num>
  <w:num w:numId="18">
    <w:abstractNumId w:val="13"/>
  </w:num>
  <w:num w:numId="19">
    <w:abstractNumId w:val="16"/>
  </w:num>
  <w:num w:numId="20">
    <w:abstractNumId w:val="4"/>
  </w:num>
  <w:num w:numId="21">
    <w:abstractNumId w:val="30"/>
  </w:num>
  <w:num w:numId="22">
    <w:abstractNumId w:val="23"/>
  </w:num>
  <w:num w:numId="23">
    <w:abstractNumId w:val="37"/>
  </w:num>
  <w:num w:numId="24">
    <w:abstractNumId w:val="21"/>
  </w:num>
  <w:num w:numId="25">
    <w:abstractNumId w:val="10"/>
  </w:num>
  <w:num w:numId="26">
    <w:abstractNumId w:val="45"/>
  </w:num>
  <w:num w:numId="27">
    <w:abstractNumId w:val="5"/>
  </w:num>
  <w:num w:numId="28">
    <w:abstractNumId w:val="41"/>
    <w:lvlOverride w:ilvl="0">
      <w:startOverride w:val="1"/>
    </w:lvlOverride>
  </w:num>
  <w:num w:numId="29">
    <w:abstractNumId w:val="19"/>
  </w:num>
  <w:num w:numId="30">
    <w:abstractNumId w:val="17"/>
  </w:num>
  <w:num w:numId="31">
    <w:abstractNumId w:val="6"/>
  </w:num>
  <w:num w:numId="32">
    <w:abstractNumId w:val="41"/>
  </w:num>
  <w:num w:numId="33">
    <w:abstractNumId w:val="36"/>
  </w:num>
  <w:num w:numId="34">
    <w:abstractNumId w:val="35"/>
  </w:num>
  <w:num w:numId="35">
    <w:abstractNumId w:val="34"/>
  </w:num>
  <w:num w:numId="36">
    <w:abstractNumId w:val="39"/>
  </w:num>
  <w:num w:numId="37">
    <w:abstractNumId w:val="3"/>
  </w:num>
  <w:num w:numId="38">
    <w:abstractNumId w:val="2"/>
  </w:num>
  <w:num w:numId="39">
    <w:abstractNumId w:val="43"/>
  </w:num>
  <w:num w:numId="40">
    <w:abstractNumId w:val="24"/>
  </w:num>
  <w:num w:numId="41">
    <w:abstractNumId w:val="44"/>
  </w:num>
  <w:num w:numId="42">
    <w:abstractNumId w:val="27"/>
  </w:num>
  <w:num w:numId="43">
    <w:abstractNumId w:val="28"/>
  </w:num>
  <w:num w:numId="44">
    <w:abstractNumId w:val="31"/>
  </w:num>
  <w:num w:numId="45">
    <w:abstractNumId w:val="0"/>
  </w:num>
  <w:num w:numId="46">
    <w:abstractNumId w:val="32"/>
  </w:num>
  <w:num w:numId="47">
    <w:abstractNumId w:val="42"/>
  </w:num>
  <w:num w:numId="48">
    <w:abstractNumId w:val="9"/>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1D"/>
    <w:rsid w:val="00003E0E"/>
    <w:rsid w:val="000065CA"/>
    <w:rsid w:val="00036766"/>
    <w:rsid w:val="00037E3C"/>
    <w:rsid w:val="000B3428"/>
    <w:rsid w:val="000D1F2E"/>
    <w:rsid w:val="001048CB"/>
    <w:rsid w:val="001210B2"/>
    <w:rsid w:val="001A671E"/>
    <w:rsid w:val="001C006E"/>
    <w:rsid w:val="002008C3"/>
    <w:rsid w:val="00242B5E"/>
    <w:rsid w:val="00242E94"/>
    <w:rsid w:val="002556CA"/>
    <w:rsid w:val="00293CA7"/>
    <w:rsid w:val="002A32D0"/>
    <w:rsid w:val="002A6A84"/>
    <w:rsid w:val="002C0312"/>
    <w:rsid w:val="00310341"/>
    <w:rsid w:val="003766A7"/>
    <w:rsid w:val="003A6E76"/>
    <w:rsid w:val="00422AF6"/>
    <w:rsid w:val="0043562F"/>
    <w:rsid w:val="00473DCB"/>
    <w:rsid w:val="004A3C07"/>
    <w:rsid w:val="004B3A4F"/>
    <w:rsid w:val="004C3749"/>
    <w:rsid w:val="004D6913"/>
    <w:rsid w:val="004E249E"/>
    <w:rsid w:val="0053515C"/>
    <w:rsid w:val="00541949"/>
    <w:rsid w:val="00544C23"/>
    <w:rsid w:val="005537F5"/>
    <w:rsid w:val="00573CD8"/>
    <w:rsid w:val="00582A96"/>
    <w:rsid w:val="005C53B2"/>
    <w:rsid w:val="005D0BC3"/>
    <w:rsid w:val="005D0C30"/>
    <w:rsid w:val="005F5F6D"/>
    <w:rsid w:val="0061434F"/>
    <w:rsid w:val="00627848"/>
    <w:rsid w:val="00651E6D"/>
    <w:rsid w:val="006B78D0"/>
    <w:rsid w:val="006E658B"/>
    <w:rsid w:val="00704BD6"/>
    <w:rsid w:val="00705084"/>
    <w:rsid w:val="00727C5A"/>
    <w:rsid w:val="00792950"/>
    <w:rsid w:val="00794C44"/>
    <w:rsid w:val="007E1F94"/>
    <w:rsid w:val="007F7BDB"/>
    <w:rsid w:val="00807AC7"/>
    <w:rsid w:val="00827FCB"/>
    <w:rsid w:val="00834AB9"/>
    <w:rsid w:val="008B5705"/>
    <w:rsid w:val="008C21D6"/>
    <w:rsid w:val="008C248C"/>
    <w:rsid w:val="009108CD"/>
    <w:rsid w:val="0092312E"/>
    <w:rsid w:val="00934E88"/>
    <w:rsid w:val="00943662"/>
    <w:rsid w:val="0095156D"/>
    <w:rsid w:val="00952019"/>
    <w:rsid w:val="009677EF"/>
    <w:rsid w:val="00985FCD"/>
    <w:rsid w:val="009A5379"/>
    <w:rsid w:val="009C7300"/>
    <w:rsid w:val="00A218DB"/>
    <w:rsid w:val="00A46A3E"/>
    <w:rsid w:val="00A66ACA"/>
    <w:rsid w:val="00A66EB1"/>
    <w:rsid w:val="00A753E2"/>
    <w:rsid w:val="00AB304E"/>
    <w:rsid w:val="00AF2279"/>
    <w:rsid w:val="00AF4B41"/>
    <w:rsid w:val="00B57555"/>
    <w:rsid w:val="00B67164"/>
    <w:rsid w:val="00B67EA6"/>
    <w:rsid w:val="00B85ACE"/>
    <w:rsid w:val="00BB271D"/>
    <w:rsid w:val="00BC7189"/>
    <w:rsid w:val="00BF2073"/>
    <w:rsid w:val="00C01DB3"/>
    <w:rsid w:val="00C17A9F"/>
    <w:rsid w:val="00C43082"/>
    <w:rsid w:val="00C745AF"/>
    <w:rsid w:val="00C90243"/>
    <w:rsid w:val="00CB3839"/>
    <w:rsid w:val="00D04B99"/>
    <w:rsid w:val="00D25BD5"/>
    <w:rsid w:val="00D30516"/>
    <w:rsid w:val="00D378FB"/>
    <w:rsid w:val="00DA45BA"/>
    <w:rsid w:val="00DA7AF3"/>
    <w:rsid w:val="00DB7F17"/>
    <w:rsid w:val="00E14188"/>
    <w:rsid w:val="00E50471"/>
    <w:rsid w:val="00E52D2E"/>
    <w:rsid w:val="00EC7CE3"/>
    <w:rsid w:val="00EE2972"/>
    <w:rsid w:val="00EF6563"/>
    <w:rsid w:val="00F414D8"/>
    <w:rsid w:val="00FA06D8"/>
    <w:rsid w:val="00FD0DB4"/>
    <w:rsid w:val="00FD7207"/>
    <w:rsid w:val="00FF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8470"/>
  <w15:docId w15:val="{D9EC1AA2-423F-4300-9BFB-8C1B9D5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A5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a.nani-secrieru@mec.gov.m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gov.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c.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991FE26F-F752-4258-A0EE-CAF913692764}">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3</Pages>
  <Words>1158</Words>
  <Characters>6722</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435.2023.ro</vt:lpstr>
      <vt:lpstr>435.2023.ro</vt:lpstr>
    </vt:vector>
  </TitlesOfParts>
  <Company>Cancelaria Guvernului</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User</cp:lastModifiedBy>
  <cp:revision>44</cp:revision>
  <cp:lastPrinted>2025-01-31T14:08:00Z</cp:lastPrinted>
  <dcterms:created xsi:type="dcterms:W3CDTF">2024-08-05T11:13:00Z</dcterms:created>
  <dcterms:modified xsi:type="dcterms:W3CDTF">2025-01-31T14:09:00Z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